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4E59E" w14:textId="3718CDCD" w:rsidR="00512DD8" w:rsidRDefault="00DD7799" w:rsidP="00DD7799">
      <w:pPr>
        <w:pStyle w:val="NormalWeb"/>
        <w:spacing w:before="0" w:beforeAutospacing="0" w:after="0" w:afterAutospacing="0"/>
      </w:pPr>
      <w:r>
        <w:t>1.  The premise of this</w:t>
      </w:r>
      <w:r w:rsidR="004E335D">
        <w:t xml:space="preserve"> proposed</w:t>
      </w:r>
      <w:r>
        <w:t xml:space="preserve"> rule change is peculiar at best. </w:t>
      </w:r>
      <w:r w:rsidR="00B3587A">
        <w:t xml:space="preserve">It alleges, </w:t>
      </w:r>
      <w:r w:rsidR="00B3587A" w:rsidRPr="00C9002D">
        <w:t>“</w:t>
      </w:r>
      <w:r w:rsidR="00B3587A" w:rsidRPr="00C9002D">
        <w:t xml:space="preserve">Research shows that </w:t>
      </w:r>
      <w:r w:rsidR="004D36D2">
        <w:t>‘</w:t>
      </w:r>
      <w:r w:rsidR="00B3587A" w:rsidRPr="00C9002D">
        <w:t xml:space="preserve">detaining low-risk and moderate-risk defendants, even for a few days strongly correlates with higher rates of new criminal activity both during the pretrial period and </w:t>
      </w:r>
      <w:r w:rsidR="00B3587A" w:rsidRPr="00512DD8">
        <w:rPr>
          <w:i/>
          <w:iCs/>
        </w:rPr>
        <w:t>years after case disposition</w:t>
      </w:r>
      <w:r w:rsidR="00B3587A" w:rsidRPr="00C9002D">
        <w:t>; as length of pretrial detention increases up to 30 days, recidivism rates for low-risk and moderate-risk defendants also increases significantly.</w:t>
      </w:r>
      <w:r w:rsidR="004D36D2">
        <w:t>’</w:t>
      </w:r>
      <w:r w:rsidR="00B3587A" w:rsidRPr="00C9002D">
        <w:t>”</w:t>
      </w:r>
      <w:r w:rsidR="00C9002D">
        <w:t xml:space="preserve"> </w:t>
      </w:r>
      <w:r w:rsidR="00512DD8">
        <w:t xml:space="preserve">(Emphasis added).  </w:t>
      </w:r>
    </w:p>
    <w:p w14:paraId="1F713663" w14:textId="77777777" w:rsidR="00512DD8" w:rsidRDefault="00512DD8" w:rsidP="00DD7799">
      <w:pPr>
        <w:pStyle w:val="NormalWeb"/>
        <w:spacing w:before="0" w:beforeAutospacing="0" w:after="0" w:afterAutospacing="0"/>
      </w:pPr>
    </w:p>
    <w:p w14:paraId="7CBD80B4" w14:textId="032742BE" w:rsidR="00DD7799" w:rsidRDefault="00365945" w:rsidP="00DD7799">
      <w:pPr>
        <w:pStyle w:val="NormalWeb"/>
        <w:spacing w:before="0" w:beforeAutospacing="0" w:after="0" w:afterAutospacing="0"/>
        <w:rPr>
          <w:rFonts w:ascii="Calibri" w:hAnsi="Calibri"/>
          <w:sz w:val="22"/>
          <w:szCs w:val="22"/>
        </w:rPr>
      </w:pPr>
      <w:r>
        <w:t>F</w:t>
      </w:r>
      <w:r w:rsidR="00C9002D">
        <w:t>ollowing the footnotes to the actual research, one finds that recidivism rates were measured over 12 months, not “years.” (</w:t>
      </w:r>
      <w:r w:rsidR="00C9002D">
        <w:rPr>
          <w:sz w:val="25"/>
          <w:szCs w:val="25"/>
        </w:rPr>
        <w:t>Cotter, Ryan and Justice System Planning and Information (May 2016)</w:t>
      </w:r>
      <w:r w:rsidR="00C9002D">
        <w:rPr>
          <w:sz w:val="25"/>
          <w:szCs w:val="25"/>
        </w:rPr>
        <w:t>,</w:t>
      </w:r>
      <w:r w:rsidR="00C9002D">
        <w:rPr>
          <w:sz w:val="25"/>
          <w:szCs w:val="25"/>
        </w:rPr>
        <w:t xml:space="preserve"> </w:t>
      </w:r>
      <w:r w:rsidR="00C9002D">
        <w:rPr>
          <w:sz w:val="25"/>
          <w:szCs w:val="25"/>
        </w:rPr>
        <w:t>“</w:t>
      </w:r>
      <w:r w:rsidR="00C9002D">
        <w:rPr>
          <w:sz w:val="25"/>
          <w:szCs w:val="25"/>
        </w:rPr>
        <w:t>The Hidden Cost of Pretrial Detention</w:t>
      </w:r>
      <w:r w:rsidR="001F4E23">
        <w:rPr>
          <w:sz w:val="25"/>
          <w:szCs w:val="25"/>
        </w:rPr>
        <w:t>”)</w:t>
      </w:r>
      <w:r>
        <w:rPr>
          <w:sz w:val="25"/>
          <w:szCs w:val="25"/>
        </w:rPr>
        <w:t>.  Second, this research reveals only a correlative comparison, not a causative relationship.</w:t>
      </w:r>
      <w:r w:rsidR="00DD7799">
        <w:t xml:space="preserve"> I submit at some point in time, personal responsibility cannot be sacrificed “years” away on the altar of a 30-</w:t>
      </w:r>
      <w:r w:rsidR="006344E8">
        <w:t xml:space="preserve">plus </w:t>
      </w:r>
      <w:r w:rsidR="00DD7799">
        <w:t>day incarceration</w:t>
      </w:r>
      <w:r w:rsidR="00C9002D">
        <w:t>. At a minimum, the research referred to does not support this contention</w:t>
      </w:r>
      <w:r w:rsidR="001F4E23">
        <w:t xml:space="preserve"> underlying this proposed rule</w:t>
      </w:r>
      <w:r w:rsidR="00C9002D">
        <w:t>.</w:t>
      </w:r>
      <w:r w:rsidR="00DD7799">
        <w:t xml:space="preserve"> </w:t>
      </w:r>
    </w:p>
    <w:p w14:paraId="0CFF75A0" w14:textId="77777777" w:rsidR="00DD7799" w:rsidRDefault="00DD7799" w:rsidP="00DD7799">
      <w:pPr>
        <w:pStyle w:val="NormalWeb"/>
        <w:spacing w:before="0" w:beforeAutospacing="0" w:after="0" w:afterAutospacing="0"/>
        <w:rPr>
          <w:rFonts w:ascii="Calibri" w:hAnsi="Calibri"/>
          <w:sz w:val="22"/>
          <w:szCs w:val="22"/>
        </w:rPr>
      </w:pPr>
      <w:r>
        <w:t> </w:t>
      </w:r>
    </w:p>
    <w:p w14:paraId="3F5034E5" w14:textId="77777777" w:rsidR="00DD7799" w:rsidRDefault="00DD7799" w:rsidP="00DD7799">
      <w:pPr>
        <w:pStyle w:val="NormalWeb"/>
        <w:spacing w:before="0" w:beforeAutospacing="0" w:after="0" w:afterAutospacing="0"/>
        <w:rPr>
          <w:rFonts w:ascii="Calibri" w:hAnsi="Calibri"/>
          <w:sz w:val="22"/>
          <w:szCs w:val="22"/>
        </w:rPr>
      </w:pPr>
      <w:r>
        <w:t>2. The proposed rule also appears to contemplate judges failing to comply with their le</w:t>
      </w:r>
      <w:r w:rsidR="00337B19">
        <w:t>gal and ethical duties to consider</w:t>
      </w:r>
      <w:r>
        <w:t xml:space="preserve"> A. R. S. 13-3967 as well as A. R. Cr. P. Rule 7.2 (3)(A-G).  The failure, if such, should be addressed by education and/or discipline, not a new rule.  </w:t>
      </w:r>
    </w:p>
    <w:p w14:paraId="030A10C2" w14:textId="77777777" w:rsidR="00DD7799" w:rsidRDefault="00DD7799" w:rsidP="00DD7799">
      <w:pPr>
        <w:pStyle w:val="NormalWeb"/>
        <w:spacing w:before="0" w:beforeAutospacing="0" w:after="0" w:afterAutospacing="0"/>
        <w:rPr>
          <w:rFonts w:ascii="Calibri" w:hAnsi="Calibri"/>
          <w:sz w:val="22"/>
          <w:szCs w:val="22"/>
        </w:rPr>
      </w:pPr>
      <w:r>
        <w:t> </w:t>
      </w:r>
    </w:p>
    <w:p w14:paraId="3431949B" w14:textId="3B90FDFB" w:rsidR="00DD7799" w:rsidRPr="00614E16" w:rsidRDefault="00DD7799" w:rsidP="00DD7799">
      <w:pPr>
        <w:pStyle w:val="NormalWeb"/>
        <w:spacing w:before="0" w:beforeAutospacing="0" w:after="0" w:afterAutospacing="0"/>
        <w:rPr>
          <w:rFonts w:ascii="Calibri" w:hAnsi="Calibri"/>
          <w:i/>
          <w:iCs/>
          <w:sz w:val="22"/>
          <w:szCs w:val="22"/>
        </w:rPr>
      </w:pPr>
      <w:r>
        <w:t xml:space="preserve">3.  When compared with the new Rule 7.2(b), it is confusingly contrary. Rule 7.2(b) allows for the holding of a defendant for a non-violent felony offense (possession of heroin for example) if they commit a new felony offense while on release </w:t>
      </w:r>
      <w:r>
        <w:rPr>
          <w:i/>
          <w:iCs/>
        </w:rPr>
        <w:t>without admission to bail.</w:t>
      </w:r>
      <w:r>
        <w:t xml:space="preserve">  Just by way of example, a defendant arrested for a personal use amount of heroin then released OR </w:t>
      </w:r>
      <w:proofErr w:type="spellStart"/>
      <w:r>
        <w:t>or</w:t>
      </w:r>
      <w:proofErr w:type="spellEnd"/>
      <w:r w:rsidR="00C865BF">
        <w:t xml:space="preserve"> on</w:t>
      </w:r>
      <w:r>
        <w:t xml:space="preserve"> PTS could be held without admission to bail if they commit a new felony offense such as shoplifting a sandwich and a case of beer with shoplift</w:t>
      </w:r>
      <w:r w:rsidR="00337B19">
        <w:t xml:space="preserve">ing priors.  </w:t>
      </w:r>
      <w:r w:rsidR="00337B19" w:rsidRPr="00614E16">
        <w:rPr>
          <w:i/>
          <w:iCs/>
        </w:rPr>
        <w:t>If we are sincere about</w:t>
      </w:r>
      <w:r w:rsidRPr="00614E16">
        <w:rPr>
          <w:i/>
          <w:iCs/>
        </w:rPr>
        <w:t xml:space="preserve"> look</w:t>
      </w:r>
      <w:r w:rsidR="00337B19" w:rsidRPr="00614E16">
        <w:rPr>
          <w:i/>
          <w:iCs/>
        </w:rPr>
        <w:t>ing</w:t>
      </w:r>
      <w:r w:rsidRPr="00614E16">
        <w:rPr>
          <w:i/>
          <w:iCs/>
        </w:rPr>
        <w:t xml:space="preserve"> at the effects of holding of a defendant in custody</w:t>
      </w:r>
      <w:r w:rsidR="00365945">
        <w:rPr>
          <w:i/>
          <w:iCs/>
        </w:rPr>
        <w:t xml:space="preserve"> for long periods of incarceration</w:t>
      </w:r>
      <w:r w:rsidR="00616DD1">
        <w:rPr>
          <w:i/>
          <w:iCs/>
        </w:rPr>
        <w:t xml:space="preserve"> for non-violent offenses</w:t>
      </w:r>
      <w:r w:rsidRPr="00614E16">
        <w:rPr>
          <w:i/>
          <w:iCs/>
        </w:rPr>
        <w:t xml:space="preserve">, we cannot look away from the </w:t>
      </w:r>
      <w:r w:rsidR="00614E16" w:rsidRPr="00614E16">
        <w:rPr>
          <w:i/>
          <w:iCs/>
        </w:rPr>
        <w:t>gaze</w:t>
      </w:r>
      <w:r w:rsidRPr="00614E16">
        <w:rPr>
          <w:i/>
          <w:iCs/>
        </w:rPr>
        <w:t xml:space="preserve"> of the bail evidentiary hearings </w:t>
      </w:r>
      <w:r w:rsidR="00365945">
        <w:rPr>
          <w:i/>
          <w:iCs/>
        </w:rPr>
        <w:t xml:space="preserve">staring </w:t>
      </w:r>
      <w:r w:rsidRPr="00614E16">
        <w:rPr>
          <w:i/>
          <w:iCs/>
        </w:rPr>
        <w:t>right back at us.</w:t>
      </w:r>
    </w:p>
    <w:p w14:paraId="6D1EC5A4" w14:textId="77777777" w:rsidR="00DD7799" w:rsidRDefault="00DD7799" w:rsidP="00DD7799">
      <w:pPr>
        <w:pStyle w:val="NormalWeb"/>
        <w:spacing w:before="0" w:beforeAutospacing="0" w:after="0" w:afterAutospacing="0"/>
        <w:rPr>
          <w:rFonts w:ascii="Calibri" w:hAnsi="Calibri"/>
          <w:sz w:val="22"/>
          <w:szCs w:val="22"/>
        </w:rPr>
      </w:pPr>
      <w:r>
        <w:t> </w:t>
      </w:r>
    </w:p>
    <w:p w14:paraId="5091126C" w14:textId="6369A31D" w:rsidR="00DD7799" w:rsidRDefault="00DD7799" w:rsidP="00DD7799">
      <w:pPr>
        <w:pStyle w:val="NormalWeb"/>
        <w:shd w:val="clear" w:color="auto" w:fill="FFFFFF"/>
        <w:spacing w:before="0" w:beforeAutospacing="0" w:after="0" w:afterAutospacing="0"/>
        <w:textAlignment w:val="baseline"/>
        <w:rPr>
          <w:rFonts w:ascii="Calibri" w:hAnsi="Calibri"/>
          <w:sz w:val="22"/>
          <w:szCs w:val="22"/>
        </w:rPr>
      </w:pPr>
      <w:r>
        <w:rPr>
          <w:color w:val="000000"/>
        </w:rPr>
        <w:t xml:space="preserve">4.  </w:t>
      </w:r>
      <w:r w:rsidR="00C865BF">
        <w:rPr>
          <w:color w:val="000000"/>
        </w:rPr>
        <w:t>The proponents point to the New Mexico Supreme Court: “</w:t>
      </w:r>
      <w:r>
        <w:rPr>
          <w:color w:val="000000"/>
        </w:rPr>
        <w:t>Regarding felony defendants, the New Mexico Supreme Court held unconstitutional the practice of setting a high money bond for the purpose of preventing release.”  The Arizona Constitution disagrees and clearly contemplates the holding of a defendant by a “high money bond” if to do so will accomplish any of the listed purposes:</w:t>
      </w:r>
    </w:p>
    <w:p w14:paraId="687C9E29" w14:textId="77777777" w:rsidR="00DD7799" w:rsidRDefault="00DD7799" w:rsidP="00DD7799">
      <w:pPr>
        <w:pStyle w:val="NormalWeb"/>
        <w:shd w:val="clear" w:color="auto" w:fill="FFFFFF"/>
        <w:spacing w:before="0" w:beforeAutospacing="0" w:after="0" w:afterAutospacing="0"/>
        <w:textAlignment w:val="baseline"/>
        <w:rPr>
          <w:rFonts w:ascii="Calibri" w:hAnsi="Calibri"/>
          <w:sz w:val="22"/>
          <w:szCs w:val="22"/>
        </w:rPr>
      </w:pPr>
      <w:r>
        <w:t> </w:t>
      </w:r>
    </w:p>
    <w:p w14:paraId="0FCC7E70" w14:textId="77777777" w:rsidR="00DD7799" w:rsidRDefault="00DD7799" w:rsidP="00DD7799">
      <w:pPr>
        <w:pStyle w:val="NormalWeb"/>
        <w:shd w:val="clear" w:color="auto" w:fill="FFFFFF"/>
        <w:spacing w:before="0" w:beforeAutospacing="0" w:after="0" w:afterAutospacing="0"/>
        <w:textAlignment w:val="baseline"/>
        <w:rPr>
          <w:rFonts w:ascii="Calibri" w:hAnsi="Calibri"/>
          <w:sz w:val="22"/>
          <w:szCs w:val="22"/>
        </w:rPr>
      </w:pPr>
      <w:r>
        <w:rPr>
          <w:color w:val="000000"/>
        </w:rPr>
        <w:t>“The purposes of bail and any conditions of release that are set by a judicial officer include:</w:t>
      </w:r>
    </w:p>
    <w:p w14:paraId="331B459C" w14:textId="77777777" w:rsidR="00DD7799" w:rsidRDefault="00DD7799" w:rsidP="00DD7799">
      <w:pPr>
        <w:pStyle w:val="NormalWeb"/>
        <w:shd w:val="clear" w:color="auto" w:fill="FFFFFF"/>
        <w:spacing w:before="0" w:beforeAutospacing="0" w:after="0" w:afterAutospacing="0"/>
        <w:textAlignment w:val="baseline"/>
        <w:rPr>
          <w:rFonts w:ascii="Calibri" w:hAnsi="Calibri"/>
          <w:sz w:val="22"/>
          <w:szCs w:val="22"/>
        </w:rPr>
      </w:pPr>
      <w:r>
        <w:rPr>
          <w:color w:val="000000"/>
        </w:rPr>
        <w:t>1. Assuring the appearance of the accused.</w:t>
      </w:r>
    </w:p>
    <w:p w14:paraId="384A50FB" w14:textId="77777777" w:rsidR="00DD7799" w:rsidRDefault="00DD7799" w:rsidP="00DD7799">
      <w:pPr>
        <w:pStyle w:val="NormalWeb"/>
        <w:shd w:val="clear" w:color="auto" w:fill="FFFFFF"/>
        <w:spacing w:before="0" w:beforeAutospacing="0" w:after="0" w:afterAutospacing="0"/>
        <w:textAlignment w:val="baseline"/>
        <w:rPr>
          <w:rFonts w:ascii="Calibri" w:hAnsi="Calibri"/>
          <w:sz w:val="22"/>
          <w:szCs w:val="22"/>
        </w:rPr>
      </w:pPr>
      <w:r>
        <w:rPr>
          <w:color w:val="000000"/>
        </w:rPr>
        <w:t>2. Protecting against the intimidation of witnesses.</w:t>
      </w:r>
    </w:p>
    <w:p w14:paraId="161188D3" w14:textId="14382F92" w:rsidR="00DD7799" w:rsidRDefault="00DD7799" w:rsidP="00DD7799">
      <w:pPr>
        <w:pStyle w:val="NormalWeb"/>
        <w:shd w:val="clear" w:color="auto" w:fill="FFFFFF"/>
        <w:spacing w:before="0" w:beforeAutospacing="0" w:after="0" w:afterAutospacing="0"/>
        <w:textAlignment w:val="baseline"/>
        <w:rPr>
          <w:color w:val="000000"/>
        </w:rPr>
      </w:pPr>
      <w:r>
        <w:rPr>
          <w:color w:val="000000"/>
        </w:rPr>
        <w:t>3. Protecting the safety of the victim, any other person or the community.</w:t>
      </w:r>
    </w:p>
    <w:p w14:paraId="4A859E87" w14:textId="77777777" w:rsidR="001F4E23" w:rsidRDefault="001F4E23" w:rsidP="00DD7799">
      <w:pPr>
        <w:pStyle w:val="NormalWeb"/>
        <w:shd w:val="clear" w:color="auto" w:fill="FFFFFF"/>
        <w:spacing w:before="0" w:beforeAutospacing="0" w:after="0" w:afterAutospacing="0"/>
        <w:textAlignment w:val="baseline"/>
        <w:rPr>
          <w:rFonts w:ascii="Calibri" w:hAnsi="Calibri"/>
          <w:sz w:val="22"/>
          <w:szCs w:val="22"/>
        </w:rPr>
      </w:pPr>
    </w:p>
    <w:p w14:paraId="39BABFC0" w14:textId="77777777" w:rsidR="00DD7799" w:rsidRDefault="00DD7799" w:rsidP="00DD7799">
      <w:pPr>
        <w:pStyle w:val="NormalWeb"/>
        <w:shd w:val="clear" w:color="auto" w:fill="FFFFFF"/>
        <w:spacing w:before="0" w:beforeAutospacing="0" w:after="0" w:afterAutospacing="0"/>
        <w:textAlignment w:val="baseline"/>
        <w:rPr>
          <w:rFonts w:ascii="Calibri" w:hAnsi="Calibri"/>
          <w:sz w:val="22"/>
          <w:szCs w:val="22"/>
        </w:rPr>
      </w:pPr>
      <w:r>
        <w:rPr>
          <w:color w:val="000000"/>
        </w:rPr>
        <w:t xml:space="preserve">Arizona Constitution, Article 2, Sec. 22(B). </w:t>
      </w:r>
    </w:p>
    <w:p w14:paraId="4C5AEBF6" w14:textId="77777777" w:rsidR="00DD7799" w:rsidRDefault="00DD7799" w:rsidP="00DD7799">
      <w:pPr>
        <w:pStyle w:val="NormalWeb"/>
        <w:shd w:val="clear" w:color="auto" w:fill="FFFFFF"/>
        <w:spacing w:before="0" w:beforeAutospacing="0" w:after="0" w:afterAutospacing="0"/>
        <w:textAlignment w:val="baseline"/>
        <w:rPr>
          <w:rFonts w:ascii="Calibri" w:hAnsi="Calibri"/>
          <w:sz w:val="22"/>
          <w:szCs w:val="22"/>
        </w:rPr>
      </w:pPr>
      <w:r>
        <w:rPr>
          <w:color w:val="000000"/>
        </w:rPr>
        <w:t> </w:t>
      </w:r>
    </w:p>
    <w:p w14:paraId="0A18F01B" w14:textId="0ED84763" w:rsidR="00C9002D" w:rsidRPr="00C9002D" w:rsidRDefault="00DD7799" w:rsidP="00DD7799">
      <w:pPr>
        <w:pStyle w:val="NormalWeb"/>
        <w:shd w:val="clear" w:color="auto" w:fill="FFFFFF"/>
        <w:spacing w:before="0" w:beforeAutospacing="0" w:after="0" w:afterAutospacing="0"/>
        <w:textAlignment w:val="baseline"/>
        <w:rPr>
          <w:rFonts w:ascii="Calibri" w:hAnsi="Calibri"/>
          <w:sz w:val="22"/>
          <w:szCs w:val="22"/>
        </w:rPr>
      </w:pPr>
      <w:r>
        <w:rPr>
          <w:color w:val="000000"/>
        </w:rPr>
        <w:t xml:space="preserve">The proposed rule appears to be contrary to this constitutional provision that judges consider </w:t>
      </w:r>
      <w:r w:rsidRPr="004D36D2">
        <w:rPr>
          <w:color w:val="000000"/>
        </w:rPr>
        <w:t>both bail</w:t>
      </w:r>
      <w:r>
        <w:rPr>
          <w:i/>
          <w:iCs/>
          <w:color w:val="000000"/>
        </w:rPr>
        <w:t xml:space="preserve"> and release conditions</w:t>
      </w:r>
      <w:r>
        <w:rPr>
          <w:color w:val="000000"/>
        </w:rPr>
        <w:t xml:space="preserve"> under the three </w:t>
      </w:r>
      <w:r w:rsidR="001F4E23">
        <w:rPr>
          <w:color w:val="000000"/>
        </w:rPr>
        <w:t xml:space="preserve">constitutionally </w:t>
      </w:r>
      <w:r>
        <w:rPr>
          <w:color w:val="000000"/>
        </w:rPr>
        <w:t>enumerated purpose</w:t>
      </w:r>
      <w:r w:rsidR="001F4E23">
        <w:rPr>
          <w:color w:val="000000"/>
        </w:rPr>
        <w:t>s. Any one or all of them contemplate the</w:t>
      </w:r>
      <w:r>
        <w:rPr>
          <w:color w:val="000000"/>
        </w:rPr>
        <w:t xml:space="preserve"> fact</w:t>
      </w:r>
      <w:r w:rsidR="001F4E23">
        <w:rPr>
          <w:color w:val="000000"/>
        </w:rPr>
        <w:t xml:space="preserve"> that a judge</w:t>
      </w:r>
      <w:r>
        <w:rPr>
          <w:color w:val="000000"/>
        </w:rPr>
        <w:t xml:space="preserve"> may impose a bond that the defendant may not be able pay in order to </w:t>
      </w:r>
      <w:r w:rsidR="001F4E23">
        <w:rPr>
          <w:color w:val="000000"/>
        </w:rPr>
        <w:t>prevent release if to do so aligns with at least one of the three constitutional purposes</w:t>
      </w:r>
      <w:r>
        <w:rPr>
          <w:b/>
          <w:bCs/>
          <w:color w:val="000000"/>
        </w:rPr>
        <w:t>.</w:t>
      </w:r>
      <w:r w:rsidR="00C9002D">
        <w:rPr>
          <w:b/>
          <w:bCs/>
          <w:color w:val="000000"/>
        </w:rPr>
        <w:t xml:space="preserve"> </w:t>
      </w:r>
      <w:r w:rsidR="00C9002D">
        <w:rPr>
          <w:color w:val="000000"/>
        </w:rPr>
        <w:t xml:space="preserve">It is also unclear to me why the proposed rule change </w:t>
      </w:r>
      <w:r w:rsidR="00365945">
        <w:rPr>
          <w:color w:val="000000"/>
        </w:rPr>
        <w:t>does not address</w:t>
      </w:r>
      <w:r w:rsidR="00C9002D">
        <w:rPr>
          <w:color w:val="000000"/>
        </w:rPr>
        <w:t xml:space="preserve"> the</w:t>
      </w:r>
      <w:r w:rsidR="00365945">
        <w:rPr>
          <w:color w:val="000000"/>
        </w:rPr>
        <w:t xml:space="preserve"> </w:t>
      </w:r>
      <w:r w:rsidR="004D36D2">
        <w:rPr>
          <w:color w:val="000000"/>
        </w:rPr>
        <w:t>demands</w:t>
      </w:r>
      <w:r w:rsidR="00365945">
        <w:rPr>
          <w:color w:val="000000"/>
        </w:rPr>
        <w:t xml:space="preserve"> of</w:t>
      </w:r>
      <w:r w:rsidR="00C9002D">
        <w:rPr>
          <w:color w:val="000000"/>
        </w:rPr>
        <w:t xml:space="preserve"> Article 2, Sec. 22(B) in its analysis of why this rule must be passed.</w:t>
      </w:r>
    </w:p>
    <w:p w14:paraId="44CB2574" w14:textId="77777777" w:rsidR="00DD7799" w:rsidRDefault="00DD7799" w:rsidP="00DD7799">
      <w:pPr>
        <w:pStyle w:val="NormalWeb"/>
        <w:spacing w:before="0" w:beforeAutospacing="0" w:after="0" w:afterAutospacing="0"/>
        <w:rPr>
          <w:rFonts w:ascii="Calibri" w:hAnsi="Calibri"/>
          <w:sz w:val="22"/>
          <w:szCs w:val="22"/>
        </w:rPr>
      </w:pPr>
      <w:r>
        <w:rPr>
          <w:b/>
          <w:bCs/>
        </w:rPr>
        <w:t> </w:t>
      </w:r>
    </w:p>
    <w:p w14:paraId="4068A350" w14:textId="5D205A8B" w:rsidR="00DD7799" w:rsidRDefault="00DD7799" w:rsidP="00DD7799">
      <w:pPr>
        <w:pStyle w:val="NormalWeb"/>
        <w:spacing w:before="0" w:beforeAutospacing="0" w:after="0" w:afterAutospacing="0"/>
        <w:rPr>
          <w:rFonts w:ascii="Calibri" w:hAnsi="Calibri"/>
          <w:sz w:val="22"/>
          <w:szCs w:val="22"/>
        </w:rPr>
      </w:pPr>
      <w:r>
        <w:lastRenderedPageBreak/>
        <w:t xml:space="preserve">5.  A defendant already possess the right to have their conditions of release reviewed if they are accused of committing a misdemeanor offense </w:t>
      </w:r>
      <w:r>
        <w:rPr>
          <w:i/>
          <w:iCs/>
        </w:rPr>
        <w:t>no later than ten days after arraignment</w:t>
      </w:r>
      <w:r>
        <w:t xml:space="preserve"> “for any defendant held in custody on bond.”  A. R. Cr. P., Rule 7.4 (f). This proposed rule is therefore confusingly duplicative and unnecessary.  A defendant charged with a felony is entitled to have </w:t>
      </w:r>
      <w:r w:rsidR="00C865BF">
        <w:t>their</w:t>
      </w:r>
      <w:r>
        <w:t xml:space="preserve"> conditions of release reviewed at their arraignment. A. R. Cr. P., Rule 14.4(b).  While the time frame</w:t>
      </w:r>
      <w:r w:rsidR="001F4E23">
        <w:t xml:space="preserve"> for a felony arraignment</w:t>
      </w:r>
      <w:bookmarkStart w:id="0" w:name="_GoBack"/>
      <w:bookmarkEnd w:id="0"/>
      <w:r>
        <w:t xml:space="preserve"> is a little more than the contemplated seven days under the proposed rule, it does not appear to be excessive.</w:t>
      </w:r>
    </w:p>
    <w:p w14:paraId="094E1B8B" w14:textId="77777777" w:rsidR="00DD7799" w:rsidRDefault="00DD7799" w:rsidP="00DD7799">
      <w:pPr>
        <w:pStyle w:val="NormalWeb"/>
        <w:spacing w:before="0" w:beforeAutospacing="0" w:after="0" w:afterAutospacing="0"/>
        <w:rPr>
          <w:rFonts w:ascii="Calibri" w:hAnsi="Calibri"/>
          <w:sz w:val="22"/>
          <w:szCs w:val="22"/>
        </w:rPr>
      </w:pPr>
      <w:r>
        <w:t> </w:t>
      </w:r>
    </w:p>
    <w:p w14:paraId="1483510E" w14:textId="01B5B83C" w:rsidR="00DD7799" w:rsidRDefault="00DD7799" w:rsidP="00DD7799">
      <w:pPr>
        <w:pStyle w:val="NormalWeb"/>
        <w:spacing w:before="0" w:beforeAutospacing="0" w:after="0" w:afterAutospacing="0"/>
      </w:pPr>
      <w:r>
        <w:t xml:space="preserve">6.  Practically, what is contemplated at the release hearing and how should it be structured? I submit rural counties will find themselves strapped for calendar time, appointment and presence of defense attorneys, prosecutors and judges to preside over these additional release hearings. Making sure victims are given notice of the hearing is also troublesome under this proposed rule. </w:t>
      </w:r>
    </w:p>
    <w:p w14:paraId="336996FC" w14:textId="77777777" w:rsidR="00C865BF" w:rsidRDefault="00C865BF" w:rsidP="00DD7799">
      <w:pPr>
        <w:pStyle w:val="NormalWeb"/>
        <w:spacing w:before="0" w:beforeAutospacing="0" w:after="0" w:afterAutospacing="0"/>
        <w:rPr>
          <w:rFonts w:ascii="Calibri" w:hAnsi="Calibri"/>
          <w:sz w:val="22"/>
          <w:szCs w:val="22"/>
        </w:rPr>
      </w:pPr>
    </w:p>
    <w:p w14:paraId="0CC94A59" w14:textId="77777777" w:rsidR="00DD7799" w:rsidRDefault="00DD7799" w:rsidP="00DD7799">
      <w:pPr>
        <w:pStyle w:val="NormalWeb"/>
        <w:spacing w:before="0" w:beforeAutospacing="0" w:after="0" w:afterAutospacing="0"/>
        <w:rPr>
          <w:rFonts w:ascii="Calibri" w:hAnsi="Calibri"/>
          <w:sz w:val="22"/>
          <w:szCs w:val="22"/>
        </w:rPr>
      </w:pPr>
      <w:r>
        <w:t>7.  “A proposed mandatory bail review hearing following the initial appearance would provide the process due for those defendants detained on a bond they cannot pay.”  How would judges be notified of this and when within the seven-day period would they know in order to set a bail hearing?   If the position is that the defendant cannot pay, does the defendant have any obligation to support that contention? Or do judges simply accept that defense without any proof?</w:t>
      </w:r>
    </w:p>
    <w:p w14:paraId="2135FE04" w14:textId="77777777" w:rsidR="00DD7799" w:rsidRDefault="00DD7799" w:rsidP="00DD7799">
      <w:pPr>
        <w:pStyle w:val="NormalWeb"/>
        <w:spacing w:before="0" w:beforeAutospacing="0" w:after="0" w:afterAutospacing="0"/>
        <w:rPr>
          <w:rFonts w:ascii="Calibri" w:hAnsi="Calibri"/>
          <w:sz w:val="22"/>
          <w:szCs w:val="22"/>
        </w:rPr>
      </w:pPr>
      <w:r>
        <w:t> </w:t>
      </w:r>
    </w:p>
    <w:p w14:paraId="2F5EB672" w14:textId="0BFA5FE0" w:rsidR="00DD7799" w:rsidRDefault="00DD7799" w:rsidP="00DD7799">
      <w:pPr>
        <w:pStyle w:val="NormalWeb"/>
        <w:spacing w:before="0" w:beforeAutospacing="0" w:after="0" w:afterAutospacing="0"/>
        <w:rPr>
          <w:rFonts w:ascii="Calibri" w:hAnsi="Calibri"/>
          <w:sz w:val="22"/>
          <w:szCs w:val="22"/>
        </w:rPr>
      </w:pPr>
      <w:r>
        <w:t>8.  Further, what then is the purpose of the recent emphasis on the public safety assessment and its use in judicial decisions regarding release? A defendant scores a 6/6 on the PSA, a validated and reliable instrument judges are taught to regard with great deference</w:t>
      </w:r>
      <w:r w:rsidR="00C865BF">
        <w:t xml:space="preserve"> and held on bond at the first Initial Appearance hearing.</w:t>
      </w:r>
      <w:r>
        <w:t>  Yet judges, under the proposed rule, must</w:t>
      </w:r>
      <w:r w:rsidR="00C865BF">
        <w:t xml:space="preserve"> almost immediately</w:t>
      </w:r>
      <w:r>
        <w:t xml:space="preserve"> hold another release hearing to</w:t>
      </w:r>
      <w:r w:rsidR="00337B19">
        <w:t xml:space="preserve"> find the same defendants</w:t>
      </w:r>
      <w:r>
        <w:t xml:space="preserve"> are at great risk to commit a new crime and/or fail to appear for future court proceedings, which is already known by the 6/6 score</w:t>
      </w:r>
      <w:r w:rsidR="00365945">
        <w:t>.</w:t>
      </w:r>
    </w:p>
    <w:p w14:paraId="5F8A08D5" w14:textId="77777777" w:rsidR="00DD7799" w:rsidRDefault="00DD7799" w:rsidP="00DD7799">
      <w:pPr>
        <w:pStyle w:val="NormalWeb"/>
        <w:spacing w:before="0" w:beforeAutospacing="0" w:after="0" w:afterAutospacing="0"/>
        <w:rPr>
          <w:rFonts w:ascii="Calibri" w:hAnsi="Calibri"/>
          <w:sz w:val="22"/>
          <w:szCs w:val="22"/>
        </w:rPr>
      </w:pPr>
      <w:r>
        <w:t> </w:t>
      </w:r>
    </w:p>
    <w:p w14:paraId="34B0EB67" w14:textId="77777777" w:rsidR="00365945" w:rsidRDefault="00DD7799" w:rsidP="00365945">
      <w:pPr>
        <w:pStyle w:val="NormalWeb"/>
        <w:spacing w:before="0" w:beforeAutospacing="0" w:after="0" w:afterAutospacing="0"/>
        <w:jc w:val="both"/>
      </w:pPr>
      <w:r>
        <w:t>9.  As to “A bond need not and must not be imposed for a defendant detained on another charge solely to receive credit for time served,” defendants and their attorneys often request this.  On occasion, defendants have numerous cases and on some there may be a bond; on others they were released on their own recognizance. If a defendant is sentenced to prison on all cases (for concurrent time), judges have been known to give defendants credit for the time they served on those offenses for which no bond was ordered but because of other bonds imposed, they were, in fact, in custody on those OR charges. This is simply equitable relief given to those defendants who are sentenced to AZDOC. However, under this proposed rule, equitable relief requested by a defendant, could not be given.</w:t>
      </w:r>
    </w:p>
    <w:p w14:paraId="769554ED" w14:textId="77777777" w:rsidR="00365945" w:rsidRDefault="00365945" w:rsidP="00365945">
      <w:pPr>
        <w:pStyle w:val="NormalWeb"/>
        <w:spacing w:before="0" w:beforeAutospacing="0" w:after="0" w:afterAutospacing="0"/>
        <w:jc w:val="both"/>
      </w:pPr>
    </w:p>
    <w:p w14:paraId="4436C9E8" w14:textId="59E7EE60" w:rsidR="004050E5" w:rsidRDefault="00EF7722" w:rsidP="00365945">
      <w:pPr>
        <w:pStyle w:val="NormalWeb"/>
        <w:spacing w:before="0" w:beforeAutospacing="0" w:after="0" w:afterAutospacing="0"/>
        <w:jc w:val="both"/>
      </w:pPr>
      <w:r>
        <w:t xml:space="preserve">10.  This </w:t>
      </w:r>
      <w:r w:rsidR="004050E5">
        <w:t xml:space="preserve">rule fails to contemplate the effect continual release of repeat offenders have on communities. It further fails to address the limited means of community release available to rural counties and cities.  That should not be interpreted as a justification to hold a defendant in custody with a </w:t>
      </w:r>
      <w:r w:rsidR="00365945">
        <w:t>bail they cannot pay</w:t>
      </w:r>
      <w:r w:rsidR="004050E5">
        <w:t>.  However, this rule should not be seen to offer relief to certain repeat offenders who continue to engage in misdemeanor criminal activities.  For example, in 2018 the Flagstaff Police Department identified 127 individuals who were classified as repeat offenders. These 127 individuals were arrested 688 times during 2018.  39% were rearrested within 48 hours of their relea</w:t>
      </w:r>
      <w:r w:rsidR="00337B19">
        <w:t xml:space="preserve">se. 44% were rearrested within </w:t>
      </w:r>
      <w:r w:rsidR="004050E5">
        <w:t xml:space="preserve">72 hours of their release. </w:t>
      </w:r>
      <w:r w:rsidR="00614E16">
        <w:t>What is the obligation of the judiciary to the communities we serve and how is it fulfilled by continued release of repeat offenders because they cannot afford to pay a bond?</w:t>
      </w:r>
    </w:p>
    <w:p w14:paraId="31B0C765" w14:textId="77777777" w:rsidR="00365945" w:rsidRDefault="00365945" w:rsidP="00365945">
      <w:pPr>
        <w:pStyle w:val="NormalWeb"/>
        <w:spacing w:before="0" w:beforeAutospacing="0" w:after="0" w:afterAutospacing="0"/>
        <w:jc w:val="both"/>
      </w:pPr>
    </w:p>
    <w:p w14:paraId="04ECA500" w14:textId="165F3645" w:rsidR="00DD7799" w:rsidRDefault="004050E5">
      <w:pPr>
        <w:rPr>
          <w:rFonts w:ascii="Times New Roman" w:hAnsi="Times New Roman" w:cs="Times New Roman"/>
          <w:sz w:val="24"/>
          <w:szCs w:val="24"/>
        </w:rPr>
      </w:pPr>
      <w:r>
        <w:rPr>
          <w:rFonts w:ascii="Times New Roman" w:hAnsi="Times New Roman" w:cs="Times New Roman"/>
          <w:sz w:val="24"/>
          <w:szCs w:val="24"/>
        </w:rPr>
        <w:t>11. I am unclear what the data/research shows</w:t>
      </w:r>
      <w:r w:rsidR="00365945">
        <w:rPr>
          <w:rFonts w:ascii="Times New Roman" w:hAnsi="Times New Roman" w:cs="Times New Roman"/>
          <w:sz w:val="24"/>
          <w:szCs w:val="24"/>
        </w:rPr>
        <w:t xml:space="preserve"> (if any)</w:t>
      </w:r>
      <w:r>
        <w:rPr>
          <w:rFonts w:ascii="Times New Roman" w:hAnsi="Times New Roman" w:cs="Times New Roman"/>
          <w:sz w:val="24"/>
          <w:szCs w:val="24"/>
        </w:rPr>
        <w:t xml:space="preserve"> regarding how judges are failing in their setting of bond amounts and release decisions.  Using the data above, of the 688 arrests, 351 were released on their own recognizance. </w:t>
      </w:r>
      <w:r w:rsidR="00337B19">
        <w:rPr>
          <w:rFonts w:ascii="Times New Roman" w:hAnsi="Times New Roman" w:cs="Times New Roman"/>
          <w:sz w:val="24"/>
          <w:szCs w:val="24"/>
        </w:rPr>
        <w:t xml:space="preserve"> 130 were given time served and released.  68 were cited and released by the police officer. 41 bonded out. 37 were given third-party release. 31 were given a summons upon their arrest. 20 were released immediately to pretrial services.  Given the above, is this </w:t>
      </w:r>
      <w:r w:rsidR="00EF7722">
        <w:rPr>
          <w:rFonts w:ascii="Times New Roman" w:hAnsi="Times New Roman" w:cs="Times New Roman"/>
          <w:sz w:val="24"/>
          <w:szCs w:val="24"/>
        </w:rPr>
        <w:t>really a significant</w:t>
      </w:r>
      <w:r w:rsidR="00337B19">
        <w:rPr>
          <w:rFonts w:ascii="Times New Roman" w:hAnsi="Times New Roman" w:cs="Times New Roman"/>
          <w:sz w:val="24"/>
          <w:szCs w:val="24"/>
        </w:rPr>
        <w:t xml:space="preserve"> issue that r</w:t>
      </w:r>
      <w:r w:rsidR="00EF7722">
        <w:rPr>
          <w:rFonts w:ascii="Times New Roman" w:hAnsi="Times New Roman" w:cs="Times New Roman"/>
          <w:sz w:val="24"/>
          <w:szCs w:val="24"/>
        </w:rPr>
        <w:t xml:space="preserve">equires a new rule? Candidly, without further research on how judges are failing in our </w:t>
      </w:r>
      <w:proofErr w:type="spellStart"/>
      <w:proofErr w:type="gramStart"/>
      <w:r w:rsidR="00365945">
        <w:rPr>
          <w:rFonts w:ascii="Times New Roman" w:hAnsi="Times New Roman" w:cs="Times New Roman"/>
          <w:sz w:val="24"/>
          <w:szCs w:val="24"/>
        </w:rPr>
        <w:t>their</w:t>
      </w:r>
      <w:proofErr w:type="spellEnd"/>
      <w:proofErr w:type="gramEnd"/>
      <w:r w:rsidR="00616DD1">
        <w:rPr>
          <w:rFonts w:ascii="Times New Roman" w:hAnsi="Times New Roman" w:cs="Times New Roman"/>
          <w:sz w:val="24"/>
          <w:szCs w:val="24"/>
        </w:rPr>
        <w:t xml:space="preserve"> to our state Constitution, statute</w:t>
      </w:r>
      <w:r w:rsidR="00365945">
        <w:rPr>
          <w:rFonts w:ascii="Times New Roman" w:hAnsi="Times New Roman" w:cs="Times New Roman"/>
          <w:sz w:val="24"/>
          <w:szCs w:val="24"/>
        </w:rPr>
        <w:t>s</w:t>
      </w:r>
      <w:r w:rsidR="00616DD1">
        <w:rPr>
          <w:rFonts w:ascii="Times New Roman" w:hAnsi="Times New Roman" w:cs="Times New Roman"/>
          <w:sz w:val="24"/>
          <w:szCs w:val="24"/>
        </w:rPr>
        <w:t xml:space="preserve"> and law</w:t>
      </w:r>
      <w:r w:rsidR="00365945">
        <w:rPr>
          <w:rFonts w:ascii="Times New Roman" w:hAnsi="Times New Roman" w:cs="Times New Roman"/>
          <w:sz w:val="24"/>
          <w:szCs w:val="24"/>
        </w:rPr>
        <w:t>s</w:t>
      </w:r>
      <w:r w:rsidR="00EF7722">
        <w:rPr>
          <w:rFonts w:ascii="Times New Roman" w:hAnsi="Times New Roman" w:cs="Times New Roman"/>
          <w:sz w:val="24"/>
          <w:szCs w:val="24"/>
        </w:rPr>
        <w:t xml:space="preserve"> regarding release/bond decisions, </w:t>
      </w:r>
      <w:r w:rsidR="00337B19">
        <w:rPr>
          <w:rFonts w:ascii="Times New Roman" w:hAnsi="Times New Roman" w:cs="Times New Roman"/>
          <w:sz w:val="24"/>
          <w:szCs w:val="24"/>
        </w:rPr>
        <w:t>this</w:t>
      </w:r>
      <w:r>
        <w:rPr>
          <w:rFonts w:ascii="Times New Roman" w:hAnsi="Times New Roman" w:cs="Times New Roman"/>
          <w:sz w:val="24"/>
          <w:szCs w:val="24"/>
        </w:rPr>
        <w:t xml:space="preserve"> </w:t>
      </w:r>
      <w:r w:rsidR="00EF7722">
        <w:rPr>
          <w:rFonts w:ascii="Times New Roman" w:hAnsi="Times New Roman" w:cs="Times New Roman"/>
          <w:sz w:val="24"/>
          <w:szCs w:val="24"/>
        </w:rPr>
        <w:t xml:space="preserve">proposed rule appears to be </w:t>
      </w:r>
      <w:r>
        <w:rPr>
          <w:rFonts w:ascii="Times New Roman" w:hAnsi="Times New Roman" w:cs="Times New Roman"/>
          <w:sz w:val="24"/>
          <w:szCs w:val="24"/>
        </w:rPr>
        <w:t xml:space="preserve">a </w:t>
      </w:r>
      <w:r w:rsidR="00EF7722">
        <w:rPr>
          <w:rFonts w:ascii="Times New Roman" w:hAnsi="Times New Roman" w:cs="Times New Roman"/>
          <w:sz w:val="24"/>
          <w:szCs w:val="24"/>
        </w:rPr>
        <w:t>solution in search of a problem.</w:t>
      </w:r>
    </w:p>
    <w:p w14:paraId="77EA620F" w14:textId="75C0D60D" w:rsidR="00C865BF" w:rsidRDefault="00C865BF">
      <w:pPr>
        <w:rPr>
          <w:rFonts w:ascii="Times New Roman" w:hAnsi="Times New Roman" w:cs="Times New Roman"/>
          <w:sz w:val="24"/>
          <w:szCs w:val="24"/>
        </w:rPr>
      </w:pPr>
    </w:p>
    <w:p w14:paraId="4F34FB5A" w14:textId="40952520" w:rsidR="00C865BF" w:rsidRDefault="00C865BF">
      <w:pPr>
        <w:rPr>
          <w:rFonts w:ascii="Times New Roman" w:hAnsi="Times New Roman" w:cs="Times New Roman"/>
          <w:sz w:val="24"/>
          <w:szCs w:val="24"/>
        </w:rPr>
      </w:pPr>
      <w:r>
        <w:rPr>
          <w:rFonts w:ascii="Times New Roman" w:hAnsi="Times New Roman" w:cs="Times New Roman"/>
          <w:sz w:val="24"/>
          <w:szCs w:val="24"/>
        </w:rPr>
        <w:t>Respectfully Submitted,</w:t>
      </w:r>
    </w:p>
    <w:p w14:paraId="6E8B9B9D" w14:textId="36BA49CC" w:rsidR="00C865BF" w:rsidRDefault="00C865BF">
      <w:pPr>
        <w:rPr>
          <w:rFonts w:ascii="Times New Roman" w:hAnsi="Times New Roman" w:cs="Times New Roman"/>
          <w:sz w:val="24"/>
          <w:szCs w:val="24"/>
        </w:rPr>
      </w:pPr>
      <w:r>
        <w:rPr>
          <w:rFonts w:ascii="Times New Roman" w:hAnsi="Times New Roman" w:cs="Times New Roman"/>
          <w:sz w:val="24"/>
          <w:szCs w:val="24"/>
        </w:rPr>
        <w:t>Judge Dan Slayton</w:t>
      </w:r>
    </w:p>
    <w:p w14:paraId="23ADEC74" w14:textId="7A4C30D3" w:rsidR="00C865BF" w:rsidRDefault="00C865BF">
      <w:pPr>
        <w:rPr>
          <w:rFonts w:ascii="Times New Roman" w:hAnsi="Times New Roman" w:cs="Times New Roman"/>
          <w:sz w:val="24"/>
          <w:szCs w:val="24"/>
        </w:rPr>
      </w:pPr>
      <w:r>
        <w:rPr>
          <w:rFonts w:ascii="Times New Roman" w:hAnsi="Times New Roman" w:cs="Times New Roman"/>
          <w:sz w:val="24"/>
          <w:szCs w:val="24"/>
        </w:rPr>
        <w:t>Presiding Judge</w:t>
      </w:r>
    </w:p>
    <w:p w14:paraId="57FA0197" w14:textId="223AA7CE" w:rsidR="00C865BF" w:rsidRDefault="00C865BF">
      <w:pPr>
        <w:rPr>
          <w:rFonts w:ascii="Times New Roman" w:hAnsi="Times New Roman" w:cs="Times New Roman"/>
          <w:sz w:val="24"/>
          <w:szCs w:val="24"/>
        </w:rPr>
      </w:pPr>
      <w:r>
        <w:rPr>
          <w:rFonts w:ascii="Times New Roman" w:hAnsi="Times New Roman" w:cs="Times New Roman"/>
          <w:sz w:val="24"/>
          <w:szCs w:val="24"/>
        </w:rPr>
        <w:t>Coconino County Superior Court</w:t>
      </w:r>
    </w:p>
    <w:p w14:paraId="3F4443D5" w14:textId="6F1E7B42" w:rsidR="00C865BF" w:rsidRPr="00DD7799" w:rsidRDefault="00C865BF">
      <w:pPr>
        <w:rPr>
          <w:rFonts w:ascii="Times New Roman" w:hAnsi="Times New Roman" w:cs="Times New Roman"/>
          <w:sz w:val="24"/>
          <w:szCs w:val="24"/>
        </w:rPr>
      </w:pPr>
      <w:r>
        <w:rPr>
          <w:rFonts w:ascii="Times New Roman" w:hAnsi="Times New Roman" w:cs="Times New Roman"/>
          <w:sz w:val="24"/>
          <w:szCs w:val="24"/>
        </w:rPr>
        <w:t>Flagstaff, AZ 86005</w:t>
      </w:r>
    </w:p>
    <w:sectPr w:rsidR="00C865BF" w:rsidRPr="00DD77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F7202" w14:textId="77777777" w:rsidR="009431B4" w:rsidRDefault="009431B4" w:rsidP="00B3587A">
      <w:pPr>
        <w:spacing w:after="0" w:line="240" w:lineRule="auto"/>
      </w:pPr>
      <w:r>
        <w:separator/>
      </w:r>
    </w:p>
  </w:endnote>
  <w:endnote w:type="continuationSeparator" w:id="0">
    <w:p w14:paraId="57C9517C" w14:textId="77777777" w:rsidR="009431B4" w:rsidRDefault="009431B4" w:rsidP="00B3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A8CA1" w14:textId="77777777" w:rsidR="009431B4" w:rsidRDefault="009431B4" w:rsidP="00B3587A">
      <w:pPr>
        <w:spacing w:after="0" w:line="240" w:lineRule="auto"/>
      </w:pPr>
      <w:r>
        <w:separator/>
      </w:r>
    </w:p>
  </w:footnote>
  <w:footnote w:type="continuationSeparator" w:id="0">
    <w:p w14:paraId="0BAF9B89" w14:textId="77777777" w:rsidR="009431B4" w:rsidRDefault="009431B4" w:rsidP="00B358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799"/>
    <w:rsid w:val="0002623F"/>
    <w:rsid w:val="001F4E23"/>
    <w:rsid w:val="00337B19"/>
    <w:rsid w:val="00365945"/>
    <w:rsid w:val="004050E5"/>
    <w:rsid w:val="00437AB1"/>
    <w:rsid w:val="004D36D2"/>
    <w:rsid w:val="004E335D"/>
    <w:rsid w:val="00512DD8"/>
    <w:rsid w:val="00614E16"/>
    <w:rsid w:val="00616DD1"/>
    <w:rsid w:val="006344E8"/>
    <w:rsid w:val="0094018D"/>
    <w:rsid w:val="009431B4"/>
    <w:rsid w:val="00B3587A"/>
    <w:rsid w:val="00C865BF"/>
    <w:rsid w:val="00C9002D"/>
    <w:rsid w:val="00D15A57"/>
    <w:rsid w:val="00DD7799"/>
    <w:rsid w:val="00EF7722"/>
    <w:rsid w:val="00FE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52C6"/>
  <w15:docId w15:val="{5114435F-CD1E-4A17-B804-55A242FF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77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587A"/>
    <w:rPr>
      <w:color w:val="0000FF" w:themeColor="hyperlink"/>
      <w:u w:val="single"/>
    </w:rPr>
  </w:style>
  <w:style w:type="paragraph" w:styleId="FootnoteText">
    <w:name w:val="footnote text"/>
    <w:basedOn w:val="Normal"/>
    <w:link w:val="FootnoteTextChar"/>
    <w:uiPriority w:val="99"/>
    <w:semiHidden/>
    <w:unhideWhenUsed/>
    <w:rsid w:val="00B3587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3587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358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51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6116</TotalTime>
  <Pages>3</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Slayton</dc:creator>
  <cp:lastModifiedBy>Slayton, Dan</cp:lastModifiedBy>
  <cp:revision>9</cp:revision>
  <dcterms:created xsi:type="dcterms:W3CDTF">2021-02-18T02:11:00Z</dcterms:created>
  <dcterms:modified xsi:type="dcterms:W3CDTF">2021-06-14T15:30:00Z</dcterms:modified>
</cp:coreProperties>
</file>