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C2C98" w14:textId="77777777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David K. Byers</w:t>
      </w:r>
    </w:p>
    <w:p w14:paraId="5A179B55" w14:textId="77777777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Administrative Director</w:t>
      </w:r>
    </w:p>
    <w:p w14:paraId="56AEFD18" w14:textId="77777777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Administrative Office of the Courts</w:t>
      </w:r>
    </w:p>
    <w:p w14:paraId="12306D2B" w14:textId="77777777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1501 W. Washington, Suite 411</w:t>
      </w:r>
    </w:p>
    <w:p w14:paraId="66D8D03A" w14:textId="3A22B85D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Phoenix, AZ</w:t>
      </w:r>
      <w:r w:rsidR="00ED64B4" w:rsidRPr="00FA6AE5">
        <w:rPr>
          <w:sz w:val="28"/>
          <w:szCs w:val="28"/>
        </w:rPr>
        <w:t xml:space="preserve"> </w:t>
      </w:r>
      <w:r w:rsidRPr="00FA6AE5">
        <w:rPr>
          <w:sz w:val="28"/>
          <w:szCs w:val="28"/>
        </w:rPr>
        <w:t>85007</w:t>
      </w:r>
    </w:p>
    <w:p w14:paraId="26B93775" w14:textId="77777777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(602) 452-3301</w:t>
      </w:r>
    </w:p>
    <w:p w14:paraId="18979464" w14:textId="77777777" w:rsidR="00560134" w:rsidRPr="00371563" w:rsidRDefault="00560134" w:rsidP="00560134">
      <w:pPr>
        <w:rPr>
          <w:szCs w:val="24"/>
        </w:rPr>
      </w:pPr>
      <w:hyperlink r:id="rId9" w:history="1">
        <w:r w:rsidRPr="00371563">
          <w:rPr>
            <w:rStyle w:val="Hyperlink"/>
            <w:szCs w:val="24"/>
          </w:rPr>
          <w:t>Projects2@courts.az.gov</w:t>
        </w:r>
      </w:hyperlink>
    </w:p>
    <w:p w14:paraId="0A249261" w14:textId="77777777" w:rsidR="00560134" w:rsidRDefault="00560134" w:rsidP="00560134">
      <w:pPr>
        <w:rPr>
          <w:sz w:val="28"/>
          <w:szCs w:val="28"/>
        </w:rPr>
      </w:pPr>
    </w:p>
    <w:p w14:paraId="3E478D82" w14:textId="66CE68D2" w:rsidR="00855390" w:rsidRPr="00EC4A08" w:rsidRDefault="00C13B9D" w:rsidP="00205E2C">
      <w:pPr>
        <w:pStyle w:val="Heading1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C4A08">
        <w:rPr>
          <w:rFonts w:ascii="Times New Roman" w:hAnsi="Times New Roman"/>
          <w:sz w:val="28"/>
          <w:szCs w:val="28"/>
        </w:rPr>
        <w:t xml:space="preserve">ARIZONA </w:t>
      </w:r>
      <w:r w:rsidR="00855390" w:rsidRPr="00EC4A08">
        <w:rPr>
          <w:rFonts w:ascii="Times New Roman" w:hAnsi="Times New Roman"/>
          <w:sz w:val="28"/>
          <w:szCs w:val="28"/>
        </w:rPr>
        <w:t>SUPREME COURT</w:t>
      </w:r>
    </w:p>
    <w:p w14:paraId="2EB2F3D9" w14:textId="63D8A57B" w:rsidR="00855390" w:rsidRDefault="00855390" w:rsidP="00205E2C">
      <w:pPr>
        <w:contextualSpacing/>
        <w:rPr>
          <w:sz w:val="28"/>
          <w:szCs w:val="28"/>
        </w:rPr>
      </w:pPr>
    </w:p>
    <w:p w14:paraId="09514A76" w14:textId="77777777" w:rsidR="00EC4A08" w:rsidRDefault="00EC4A08" w:rsidP="00205E2C">
      <w:pPr>
        <w:contextualSpacing/>
        <w:rPr>
          <w:sz w:val="28"/>
          <w:szCs w:val="28"/>
        </w:rPr>
      </w:pPr>
    </w:p>
    <w:p w14:paraId="448D8EDD" w14:textId="0EA23E21" w:rsidR="00C13B9D" w:rsidRPr="00FA6AE5" w:rsidRDefault="00EC4A08" w:rsidP="00205E2C">
      <w:pPr>
        <w:contextualSpacing/>
        <w:rPr>
          <w:sz w:val="28"/>
          <w:szCs w:val="28"/>
        </w:rPr>
      </w:pPr>
      <w:r>
        <w:rPr>
          <w:sz w:val="28"/>
          <w:szCs w:val="28"/>
        </w:rPr>
        <w:t>In the matter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</w:p>
    <w:p w14:paraId="4B6C49EF" w14:textId="61C8FCEB" w:rsidR="00855390" w:rsidRPr="00FA6AE5" w:rsidRDefault="00ED64B4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  <w:t>)</w:t>
      </w:r>
    </w:p>
    <w:p w14:paraId="145D2194" w14:textId="40A8AF4A" w:rsidR="00855390" w:rsidRPr="00FA6AE5" w:rsidRDefault="00855390" w:rsidP="00205E2C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PETITION TO AMEND RULES 3, 32,</w:t>
      </w:r>
      <w:r w:rsidRPr="00FA6AE5">
        <w:rPr>
          <w:sz w:val="28"/>
          <w:szCs w:val="28"/>
        </w:rPr>
        <w:tab/>
        <w:t>)</w:t>
      </w:r>
      <w:r w:rsidRPr="00FA6AE5">
        <w:rPr>
          <w:sz w:val="28"/>
          <w:szCs w:val="28"/>
        </w:rPr>
        <w:tab/>
        <w:t>Supreme Court No. R-21-____</w:t>
      </w:r>
    </w:p>
    <w:p w14:paraId="525250D5" w14:textId="03B7FED0" w:rsidR="00855390" w:rsidRPr="00FA6AE5" w:rsidRDefault="00855390" w:rsidP="00205E2C">
      <w:pPr>
        <w:pStyle w:val="Footer"/>
        <w:tabs>
          <w:tab w:val="clear" w:pos="4320"/>
          <w:tab w:val="clear" w:pos="8640"/>
          <w:tab w:val="left" w:pos="3060"/>
          <w:tab w:val="left" w:pos="3420"/>
        </w:tabs>
        <w:contextualSpacing/>
        <w:rPr>
          <w:sz w:val="28"/>
          <w:szCs w:val="28"/>
        </w:rPr>
      </w:pPr>
      <w:r w:rsidRPr="00FA6AE5">
        <w:rPr>
          <w:sz w:val="28"/>
          <w:szCs w:val="28"/>
        </w:rPr>
        <w:t>34, AND 42 OF THE</w:t>
      </w:r>
      <w:r w:rsidRPr="00FA6AE5">
        <w:rPr>
          <w:i/>
          <w:sz w:val="28"/>
          <w:szCs w:val="28"/>
        </w:rPr>
        <w:t xml:space="preserve"> </w:t>
      </w:r>
      <w:r w:rsidRPr="00FA6AE5">
        <w:rPr>
          <w:sz w:val="28"/>
          <w:szCs w:val="28"/>
        </w:rPr>
        <w:t>ARIZONA RULES</w:t>
      </w:r>
      <w:r w:rsidRPr="00FA6AE5">
        <w:rPr>
          <w:sz w:val="28"/>
          <w:szCs w:val="28"/>
        </w:rPr>
        <w:tab/>
        <w:t>)</w:t>
      </w:r>
    </w:p>
    <w:p w14:paraId="7E47F4A5" w14:textId="3C12240C" w:rsidR="00497CD3" w:rsidRPr="00C13B9D" w:rsidRDefault="00497CD3" w:rsidP="00205E2C">
      <w:pPr>
        <w:pStyle w:val="Footer"/>
        <w:tabs>
          <w:tab w:val="clear" w:pos="4320"/>
          <w:tab w:val="clear" w:pos="8640"/>
        </w:tabs>
        <w:contextualSpacing/>
        <w:rPr>
          <w:sz w:val="28"/>
          <w:szCs w:val="28"/>
        </w:rPr>
      </w:pPr>
      <w:r w:rsidRPr="00C13B9D">
        <w:rPr>
          <w:sz w:val="28"/>
          <w:szCs w:val="28"/>
        </w:rPr>
        <w:t>OF PROTECTIVE ORDER</w:t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  <w:t>)</w:t>
      </w:r>
      <w:r w:rsidRPr="00C13B9D">
        <w:rPr>
          <w:sz w:val="28"/>
          <w:szCs w:val="28"/>
        </w:rPr>
        <w:tab/>
        <w:t>(expedited consideration and</w:t>
      </w:r>
    </w:p>
    <w:p w14:paraId="649ADC6A" w14:textId="7E365149" w:rsidR="00497CD3" w:rsidRPr="00C13B9D" w:rsidRDefault="00497CD3" w:rsidP="00205E2C">
      <w:pPr>
        <w:pStyle w:val="Footer"/>
        <w:tabs>
          <w:tab w:val="clear" w:pos="4320"/>
          <w:tab w:val="clear" w:pos="8640"/>
        </w:tabs>
        <w:contextualSpacing/>
        <w:rPr>
          <w:sz w:val="28"/>
          <w:szCs w:val="28"/>
        </w:rPr>
      </w:pPr>
      <w:r w:rsidRPr="00C13B9D">
        <w:rPr>
          <w:sz w:val="28"/>
          <w:szCs w:val="28"/>
        </w:rPr>
        <w:t>PROCEDURE</w:t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</w:r>
      <w:r w:rsidRPr="00C13B9D">
        <w:rPr>
          <w:sz w:val="28"/>
          <w:szCs w:val="28"/>
        </w:rPr>
        <w:tab/>
        <w:t>)</w:t>
      </w:r>
      <w:r w:rsidRPr="00C13B9D">
        <w:rPr>
          <w:sz w:val="28"/>
          <w:szCs w:val="28"/>
        </w:rPr>
        <w:tab/>
        <w:t>emergency adoption requested)</w:t>
      </w:r>
    </w:p>
    <w:p w14:paraId="5E4F13CD" w14:textId="75CE41B0" w:rsidR="00855390" w:rsidRPr="00FA6AE5" w:rsidRDefault="00855390" w:rsidP="00205E2C">
      <w:pPr>
        <w:pStyle w:val="Footer"/>
        <w:tabs>
          <w:tab w:val="clear" w:pos="4320"/>
          <w:tab w:val="clear" w:pos="8640"/>
        </w:tabs>
        <w:contextualSpacing/>
        <w:rPr>
          <w:sz w:val="28"/>
          <w:szCs w:val="28"/>
        </w:rPr>
      </w:pP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  <w:u w:val="single"/>
        </w:rPr>
        <w:tab/>
      </w:r>
      <w:r w:rsidRPr="00FA6AE5">
        <w:rPr>
          <w:sz w:val="28"/>
          <w:szCs w:val="28"/>
        </w:rPr>
        <w:t>)</w:t>
      </w:r>
    </w:p>
    <w:p w14:paraId="1AB7751E" w14:textId="77777777" w:rsidR="00855390" w:rsidRPr="00FA6AE5" w:rsidRDefault="00855390" w:rsidP="00205E2C">
      <w:pPr>
        <w:pStyle w:val="Footer"/>
        <w:tabs>
          <w:tab w:val="clear" w:pos="4320"/>
          <w:tab w:val="clear" w:pos="8640"/>
        </w:tabs>
        <w:contextualSpacing/>
        <w:rPr>
          <w:sz w:val="28"/>
          <w:szCs w:val="28"/>
        </w:rPr>
      </w:pPr>
    </w:p>
    <w:p w14:paraId="37BBB2CF" w14:textId="3699D192" w:rsidR="00855390" w:rsidRPr="00FA6AE5" w:rsidRDefault="00855390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  <w:t>Pursuant to Rule 28</w:t>
      </w:r>
      <w:r w:rsidR="00B75779" w:rsidRPr="00FA6AE5">
        <w:rPr>
          <w:szCs w:val="28"/>
        </w:rPr>
        <w:t xml:space="preserve"> of the Rules of the Supreme Court</w:t>
      </w:r>
      <w:r w:rsidRPr="00FA6AE5">
        <w:rPr>
          <w:szCs w:val="28"/>
        </w:rPr>
        <w:t xml:space="preserve">, David K. Byers, Administrative Director, Administrative Office of the Courts, respectfully petitions this Court to </w:t>
      </w:r>
      <w:r w:rsidR="004A529B">
        <w:rPr>
          <w:szCs w:val="28"/>
        </w:rPr>
        <w:t xml:space="preserve">consider and </w:t>
      </w:r>
      <w:r w:rsidR="009D5671" w:rsidRPr="00FA6AE5">
        <w:rPr>
          <w:szCs w:val="28"/>
        </w:rPr>
        <w:t xml:space="preserve">adopt </w:t>
      </w:r>
      <w:r w:rsidR="004A529B">
        <w:rPr>
          <w:szCs w:val="28"/>
        </w:rPr>
        <w:t xml:space="preserve">on an emergency basis </w:t>
      </w:r>
      <w:r w:rsidR="009D5671" w:rsidRPr="00FA6AE5">
        <w:rPr>
          <w:szCs w:val="28"/>
        </w:rPr>
        <w:t xml:space="preserve">the proposed amendments to </w:t>
      </w:r>
      <w:r w:rsidRPr="00FA6AE5">
        <w:rPr>
          <w:szCs w:val="28"/>
        </w:rPr>
        <w:t>the Arizona</w:t>
      </w:r>
      <w:r w:rsidRPr="00FA6AE5">
        <w:rPr>
          <w:i/>
          <w:szCs w:val="28"/>
        </w:rPr>
        <w:t xml:space="preserve"> </w:t>
      </w:r>
      <w:r w:rsidRPr="00FA6AE5">
        <w:rPr>
          <w:szCs w:val="28"/>
        </w:rPr>
        <w:t xml:space="preserve">Rules of Protective Order Procedure (ARPOP), as reflected in the </w:t>
      </w:r>
      <w:r w:rsidR="001E2B22" w:rsidRPr="00FA6AE5">
        <w:rPr>
          <w:szCs w:val="28"/>
        </w:rPr>
        <w:t>attached</w:t>
      </w:r>
      <w:r w:rsidRPr="00FA6AE5">
        <w:rPr>
          <w:szCs w:val="28"/>
        </w:rPr>
        <w:t xml:space="preserve"> Appendix A</w:t>
      </w:r>
      <w:r w:rsidR="00B02CD2" w:rsidRPr="00FA6AE5">
        <w:rPr>
          <w:szCs w:val="28"/>
        </w:rPr>
        <w:t xml:space="preserve">. </w:t>
      </w:r>
      <w:r w:rsidR="00E578FA" w:rsidRPr="00FA6AE5">
        <w:rPr>
          <w:szCs w:val="28"/>
        </w:rPr>
        <w:t>They</w:t>
      </w:r>
      <w:r w:rsidR="00B02CD2" w:rsidRPr="00FA6AE5">
        <w:rPr>
          <w:szCs w:val="28"/>
        </w:rPr>
        <w:t xml:space="preserve"> are designed to implement new statutory provisions</w:t>
      </w:r>
      <w:r w:rsidR="00F107E8" w:rsidRPr="00FA6AE5">
        <w:rPr>
          <w:szCs w:val="28"/>
        </w:rPr>
        <w:t xml:space="preserve"> concerning protective orders, as enacted by Laws 2021, Chapter </w:t>
      </w:r>
      <w:r w:rsidR="00043FEA" w:rsidRPr="00FA6AE5">
        <w:rPr>
          <w:szCs w:val="28"/>
        </w:rPr>
        <w:t>273</w:t>
      </w:r>
      <w:r w:rsidR="00F107E8" w:rsidRPr="00FA6AE5">
        <w:rPr>
          <w:szCs w:val="28"/>
        </w:rPr>
        <w:t xml:space="preserve">, SB 1412, and Laws 2021, Chapter </w:t>
      </w:r>
      <w:r w:rsidR="00E95697" w:rsidRPr="00FA6AE5">
        <w:rPr>
          <w:szCs w:val="28"/>
        </w:rPr>
        <w:t>258</w:t>
      </w:r>
      <w:r w:rsidR="00F107E8" w:rsidRPr="00FA6AE5">
        <w:rPr>
          <w:szCs w:val="28"/>
        </w:rPr>
        <w:t>, HB 2158</w:t>
      </w:r>
      <w:r w:rsidRPr="00FA6AE5">
        <w:rPr>
          <w:szCs w:val="28"/>
        </w:rPr>
        <w:t>. Th</w:t>
      </w:r>
      <w:r w:rsidR="00B34049" w:rsidRPr="00FA6AE5">
        <w:rPr>
          <w:szCs w:val="28"/>
        </w:rPr>
        <w:t>is petition</w:t>
      </w:r>
      <w:r w:rsidR="00E578FA" w:rsidRPr="00FA6AE5">
        <w:rPr>
          <w:szCs w:val="28"/>
        </w:rPr>
        <w:t xml:space="preserve"> also</w:t>
      </w:r>
      <w:r w:rsidR="00B34049" w:rsidRPr="00FA6AE5">
        <w:rPr>
          <w:szCs w:val="28"/>
        </w:rPr>
        <w:t xml:space="preserve"> includes th</w:t>
      </w:r>
      <w:r w:rsidRPr="00FA6AE5">
        <w:rPr>
          <w:szCs w:val="28"/>
        </w:rPr>
        <w:t xml:space="preserve">ree </w:t>
      </w:r>
      <w:r w:rsidR="00A64627" w:rsidRPr="00FA6AE5">
        <w:rPr>
          <w:szCs w:val="28"/>
        </w:rPr>
        <w:t xml:space="preserve">unrelated </w:t>
      </w:r>
      <w:r w:rsidRPr="00FA6AE5">
        <w:rPr>
          <w:szCs w:val="28"/>
        </w:rPr>
        <w:t>technical amendmen</w:t>
      </w:r>
      <w:r w:rsidR="00ED64B4" w:rsidRPr="00FA6AE5">
        <w:rPr>
          <w:szCs w:val="28"/>
        </w:rPr>
        <w:t>ts.</w:t>
      </w:r>
      <w:r w:rsidR="00472757" w:rsidRPr="00FA6AE5">
        <w:rPr>
          <w:szCs w:val="28"/>
        </w:rPr>
        <w:t xml:space="preserve"> </w:t>
      </w:r>
    </w:p>
    <w:p w14:paraId="36C78ECF" w14:textId="27338DEC" w:rsidR="00855390" w:rsidRPr="00FA6AE5" w:rsidRDefault="00855390" w:rsidP="00205E2C">
      <w:pPr>
        <w:pStyle w:val="BodyText"/>
        <w:widowControl w:val="0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b/>
          <w:szCs w:val="28"/>
        </w:rPr>
        <w:tab/>
        <w:t>I. Background and Purpose of the Proposed Rule Amendment</w:t>
      </w:r>
      <w:r w:rsidR="000A1BFC" w:rsidRPr="00FA6AE5">
        <w:rPr>
          <w:b/>
          <w:szCs w:val="28"/>
        </w:rPr>
        <w:t>s</w:t>
      </w:r>
      <w:r w:rsidRPr="00FA6AE5">
        <w:rPr>
          <w:b/>
          <w:szCs w:val="28"/>
        </w:rPr>
        <w:t>.</w:t>
      </w:r>
      <w:r w:rsidRPr="00FA6AE5">
        <w:rPr>
          <w:szCs w:val="28"/>
        </w:rPr>
        <w:t xml:space="preserve"> Senate Bill 1412 </w:t>
      </w:r>
      <w:r w:rsidR="00ED64B4" w:rsidRPr="00FA6AE5">
        <w:rPr>
          <w:szCs w:val="28"/>
        </w:rPr>
        <w:t xml:space="preserve">and House Bill 2158 were </w:t>
      </w:r>
      <w:r w:rsidRPr="00FA6AE5">
        <w:rPr>
          <w:szCs w:val="28"/>
        </w:rPr>
        <w:t xml:space="preserve">passed in the First Regular Session of the Fifty-fifth Legislature (2021). </w:t>
      </w:r>
    </w:p>
    <w:p w14:paraId="3E9BDE1A" w14:textId="1F999D81" w:rsidR="00F81EF4" w:rsidRPr="00FA6AE5" w:rsidRDefault="00855390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lastRenderedPageBreak/>
        <w:tab/>
        <w:t>SB</w:t>
      </w:r>
      <w:r w:rsidR="00095774" w:rsidRPr="00FA6AE5">
        <w:rPr>
          <w:szCs w:val="28"/>
        </w:rPr>
        <w:t xml:space="preserve"> </w:t>
      </w:r>
      <w:r w:rsidRPr="00FA6AE5">
        <w:rPr>
          <w:szCs w:val="28"/>
        </w:rPr>
        <w:t>1412 inserted subsection A</w:t>
      </w:r>
      <w:r w:rsidR="00FA7164" w:rsidRPr="00FA6AE5">
        <w:rPr>
          <w:szCs w:val="28"/>
        </w:rPr>
        <w:t>.</w:t>
      </w:r>
      <w:r w:rsidRPr="00FA6AE5">
        <w:rPr>
          <w:szCs w:val="28"/>
        </w:rPr>
        <w:t>R</w:t>
      </w:r>
      <w:r w:rsidR="00FA7164" w:rsidRPr="00FA6AE5">
        <w:rPr>
          <w:szCs w:val="28"/>
        </w:rPr>
        <w:t>.</w:t>
      </w:r>
      <w:r w:rsidRPr="00FA6AE5">
        <w:rPr>
          <w:szCs w:val="28"/>
        </w:rPr>
        <w:t>S</w:t>
      </w:r>
      <w:r w:rsidR="00FA7164" w:rsidRPr="00FA6AE5">
        <w:rPr>
          <w:szCs w:val="28"/>
        </w:rPr>
        <w:t>.</w:t>
      </w:r>
      <w:r w:rsidRPr="00FA6AE5">
        <w:rPr>
          <w:szCs w:val="28"/>
        </w:rPr>
        <w:t xml:space="preserve"> § </w:t>
      </w:r>
      <w:r w:rsidR="009D5FF6" w:rsidRPr="00FA6AE5">
        <w:rPr>
          <w:szCs w:val="28"/>
        </w:rPr>
        <w:t>12-1809</w:t>
      </w:r>
      <w:r w:rsidR="00D435E0" w:rsidRPr="00FA6AE5">
        <w:rPr>
          <w:szCs w:val="28"/>
        </w:rPr>
        <w:t>(</w:t>
      </w:r>
      <w:r w:rsidR="000412D4" w:rsidRPr="00FA6AE5">
        <w:rPr>
          <w:szCs w:val="28"/>
        </w:rPr>
        <w:t>S)(1)(c)</w:t>
      </w:r>
      <w:r w:rsidRPr="00FA6AE5">
        <w:rPr>
          <w:szCs w:val="28"/>
        </w:rPr>
        <w:t xml:space="preserve"> into the existing statute, expanding the </w:t>
      </w:r>
      <w:r w:rsidR="000412D4" w:rsidRPr="00FA6AE5">
        <w:rPr>
          <w:szCs w:val="28"/>
        </w:rPr>
        <w:t>definition of harassment</w:t>
      </w:r>
      <w:r w:rsidR="00F3504B" w:rsidRPr="00FA6AE5">
        <w:rPr>
          <w:szCs w:val="28"/>
        </w:rPr>
        <w:t xml:space="preserve"> for purposes of an Injunction Against Harassment</w:t>
      </w:r>
      <w:r w:rsidRPr="00FA6AE5">
        <w:rPr>
          <w:szCs w:val="28"/>
        </w:rPr>
        <w:t xml:space="preserve">. This legislation will now allow a </w:t>
      </w:r>
      <w:r w:rsidR="00444395" w:rsidRPr="00FA6AE5">
        <w:rPr>
          <w:szCs w:val="28"/>
        </w:rPr>
        <w:t xml:space="preserve">victim of certain </w:t>
      </w:r>
      <w:r w:rsidR="00425659" w:rsidRPr="00FA6AE5">
        <w:rPr>
          <w:szCs w:val="28"/>
        </w:rPr>
        <w:t>types of crimes</w:t>
      </w:r>
      <w:r w:rsidR="00444395" w:rsidRPr="00FA6AE5">
        <w:rPr>
          <w:szCs w:val="28"/>
        </w:rPr>
        <w:t xml:space="preserve"> to request an </w:t>
      </w:r>
      <w:r w:rsidR="00064E80" w:rsidRPr="00FA6AE5">
        <w:rPr>
          <w:szCs w:val="28"/>
        </w:rPr>
        <w:t>Injunction Against Harassment against the person who committed the crime.</w:t>
      </w:r>
    </w:p>
    <w:p w14:paraId="444F614E" w14:textId="6F43ED1A" w:rsidR="00855390" w:rsidRPr="00FA6AE5" w:rsidRDefault="00F81EF4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  <w:t>HB</w:t>
      </w:r>
      <w:r w:rsidR="00095774" w:rsidRPr="00FA6AE5">
        <w:rPr>
          <w:szCs w:val="28"/>
        </w:rPr>
        <w:t xml:space="preserve"> </w:t>
      </w:r>
      <w:r w:rsidRPr="00FA6AE5">
        <w:rPr>
          <w:szCs w:val="28"/>
        </w:rPr>
        <w:t xml:space="preserve">2158 </w:t>
      </w:r>
      <w:r w:rsidR="00FB518F" w:rsidRPr="00FA6AE5">
        <w:rPr>
          <w:szCs w:val="28"/>
        </w:rPr>
        <w:t>amends A</w:t>
      </w:r>
      <w:r w:rsidR="00FA7164" w:rsidRPr="00FA6AE5">
        <w:rPr>
          <w:szCs w:val="28"/>
        </w:rPr>
        <w:t>.</w:t>
      </w:r>
      <w:r w:rsidR="00FB518F" w:rsidRPr="00FA6AE5">
        <w:rPr>
          <w:szCs w:val="28"/>
        </w:rPr>
        <w:t>R</w:t>
      </w:r>
      <w:r w:rsidR="00FA7164" w:rsidRPr="00FA6AE5">
        <w:rPr>
          <w:szCs w:val="28"/>
        </w:rPr>
        <w:t>.</w:t>
      </w:r>
      <w:r w:rsidR="00FB518F" w:rsidRPr="00FA6AE5">
        <w:rPr>
          <w:szCs w:val="28"/>
        </w:rPr>
        <w:t>S</w:t>
      </w:r>
      <w:r w:rsidR="00FA7164" w:rsidRPr="00FA6AE5">
        <w:rPr>
          <w:szCs w:val="28"/>
        </w:rPr>
        <w:t>.</w:t>
      </w:r>
      <w:r w:rsidR="00FB518F" w:rsidRPr="00FA6AE5">
        <w:rPr>
          <w:szCs w:val="28"/>
        </w:rPr>
        <w:t xml:space="preserve"> §</w:t>
      </w:r>
      <w:r w:rsidR="00CA5EA5" w:rsidRPr="00FA6AE5">
        <w:rPr>
          <w:szCs w:val="28"/>
        </w:rPr>
        <w:t>§</w:t>
      </w:r>
      <w:r w:rsidR="00FB518F" w:rsidRPr="00FA6AE5">
        <w:rPr>
          <w:szCs w:val="28"/>
        </w:rPr>
        <w:t xml:space="preserve"> </w:t>
      </w:r>
      <w:r w:rsidR="004C3D0B" w:rsidRPr="00FA6AE5">
        <w:rPr>
          <w:szCs w:val="28"/>
        </w:rPr>
        <w:t>12-1809</w:t>
      </w:r>
      <w:r w:rsidR="00992654" w:rsidRPr="00FA6AE5">
        <w:rPr>
          <w:szCs w:val="28"/>
        </w:rPr>
        <w:t xml:space="preserve">, 12-1810, and </w:t>
      </w:r>
      <w:r w:rsidR="00FB518F" w:rsidRPr="00FA6AE5">
        <w:rPr>
          <w:szCs w:val="28"/>
        </w:rPr>
        <w:t>13-3602</w:t>
      </w:r>
      <w:r w:rsidR="00C51D77" w:rsidRPr="00FA6AE5">
        <w:rPr>
          <w:szCs w:val="28"/>
        </w:rPr>
        <w:t>. These statutes govern Injunctions Against Harassment, Injunctions Against Workplace Harassment</w:t>
      </w:r>
      <w:r w:rsidR="00CA5EA5" w:rsidRPr="00FA6AE5">
        <w:rPr>
          <w:szCs w:val="28"/>
        </w:rPr>
        <w:t>,</w:t>
      </w:r>
      <w:r w:rsidR="00C51D77" w:rsidRPr="00FA6AE5">
        <w:rPr>
          <w:szCs w:val="28"/>
        </w:rPr>
        <w:t xml:space="preserve"> and Orders of Protection.</w:t>
      </w:r>
      <w:r w:rsidR="00226729" w:rsidRPr="00FA6AE5">
        <w:rPr>
          <w:szCs w:val="28"/>
        </w:rPr>
        <w:t xml:space="preserve"> The amendments</w:t>
      </w:r>
      <w:r w:rsidR="007C03E7" w:rsidRPr="00FA6AE5">
        <w:rPr>
          <w:szCs w:val="28"/>
        </w:rPr>
        <w:t xml:space="preserve"> clarify the Supreme Court’s </w:t>
      </w:r>
      <w:r w:rsidR="006361C7" w:rsidRPr="00FA6AE5">
        <w:rPr>
          <w:szCs w:val="28"/>
        </w:rPr>
        <w:t>obligation</w:t>
      </w:r>
      <w:r w:rsidR="007C03E7" w:rsidRPr="00FA6AE5">
        <w:rPr>
          <w:szCs w:val="28"/>
        </w:rPr>
        <w:t xml:space="preserve"> to maintain a central </w:t>
      </w:r>
      <w:r w:rsidR="00014D5F" w:rsidRPr="00FA6AE5">
        <w:rPr>
          <w:szCs w:val="28"/>
        </w:rPr>
        <w:t xml:space="preserve">protective order </w:t>
      </w:r>
      <w:r w:rsidR="007C03E7" w:rsidRPr="00FA6AE5">
        <w:rPr>
          <w:szCs w:val="28"/>
        </w:rPr>
        <w:t>repository</w:t>
      </w:r>
      <w:r w:rsidR="00C87994" w:rsidRPr="00FA6AE5">
        <w:rPr>
          <w:szCs w:val="28"/>
        </w:rPr>
        <w:t xml:space="preserve">, the </w:t>
      </w:r>
      <w:r w:rsidR="00014D5F" w:rsidRPr="00FA6AE5">
        <w:rPr>
          <w:szCs w:val="28"/>
        </w:rPr>
        <w:t xml:space="preserve">courts’ </w:t>
      </w:r>
      <w:r w:rsidR="006361C7" w:rsidRPr="00FA6AE5">
        <w:rPr>
          <w:szCs w:val="28"/>
        </w:rPr>
        <w:t>responsibility</w:t>
      </w:r>
      <w:r w:rsidR="00C87994" w:rsidRPr="00FA6AE5">
        <w:rPr>
          <w:szCs w:val="28"/>
        </w:rPr>
        <w:t xml:space="preserve"> to enter the </w:t>
      </w:r>
      <w:r w:rsidR="00296E6B" w:rsidRPr="00FA6AE5">
        <w:rPr>
          <w:szCs w:val="28"/>
        </w:rPr>
        <w:t xml:space="preserve">protective </w:t>
      </w:r>
      <w:r w:rsidR="00C87994" w:rsidRPr="00FA6AE5">
        <w:rPr>
          <w:szCs w:val="28"/>
        </w:rPr>
        <w:t>order and proof of service</w:t>
      </w:r>
      <w:r w:rsidR="00114F54" w:rsidRPr="00FA6AE5">
        <w:rPr>
          <w:szCs w:val="28"/>
        </w:rPr>
        <w:t xml:space="preserve"> into the repository, and </w:t>
      </w:r>
      <w:r w:rsidR="009F27AA" w:rsidRPr="00FA6AE5">
        <w:rPr>
          <w:szCs w:val="28"/>
        </w:rPr>
        <w:t>the Supreme Court’s duty to register served protective orders with the National Crime Information Center.</w:t>
      </w:r>
    </w:p>
    <w:p w14:paraId="3454D869" w14:textId="4E691B38" w:rsidR="00855390" w:rsidRPr="00FA6AE5" w:rsidRDefault="00855390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b/>
          <w:szCs w:val="28"/>
        </w:rPr>
        <w:t>II. Contents of the Proposed Rule Amendment.</w:t>
      </w:r>
      <w:r w:rsidRPr="00FA6AE5">
        <w:rPr>
          <w:szCs w:val="28"/>
        </w:rPr>
        <w:t xml:space="preserve"> The proposed rule amendment</w:t>
      </w:r>
      <w:r w:rsidR="0053308B" w:rsidRPr="00FA6AE5">
        <w:rPr>
          <w:szCs w:val="28"/>
        </w:rPr>
        <w:t>s</w:t>
      </w:r>
      <w:r w:rsidRPr="00FA6AE5">
        <w:rPr>
          <w:szCs w:val="28"/>
        </w:rPr>
        <w:t xml:space="preserve"> </w:t>
      </w:r>
      <w:r w:rsidR="0053308B" w:rsidRPr="00FA6AE5">
        <w:rPr>
          <w:szCs w:val="28"/>
        </w:rPr>
        <w:t>will</w:t>
      </w:r>
      <w:r w:rsidRPr="00FA6AE5">
        <w:rPr>
          <w:szCs w:val="28"/>
        </w:rPr>
        <w:t xml:space="preserve"> conform the Rules of Protective Order Procedure with the </w:t>
      </w:r>
      <w:r w:rsidR="00970339" w:rsidRPr="00FA6AE5">
        <w:rPr>
          <w:szCs w:val="28"/>
        </w:rPr>
        <w:t xml:space="preserve">statutory </w:t>
      </w:r>
      <w:r w:rsidRPr="00FA6AE5">
        <w:rPr>
          <w:szCs w:val="28"/>
        </w:rPr>
        <w:t>changes</w:t>
      </w:r>
      <w:r w:rsidR="00970339" w:rsidRPr="00FA6AE5">
        <w:rPr>
          <w:szCs w:val="28"/>
        </w:rPr>
        <w:t xml:space="preserve"> and </w:t>
      </w:r>
      <w:r w:rsidR="00FC5243" w:rsidRPr="00FA6AE5">
        <w:rPr>
          <w:szCs w:val="28"/>
        </w:rPr>
        <w:t xml:space="preserve">address necessary </w:t>
      </w:r>
      <w:r w:rsidR="009C2B9A" w:rsidRPr="00FA6AE5">
        <w:rPr>
          <w:szCs w:val="28"/>
        </w:rPr>
        <w:t>technical amendments.</w:t>
      </w:r>
    </w:p>
    <w:p w14:paraId="6866C9A4" w14:textId="3D436627" w:rsidR="00003589" w:rsidRPr="00FA6AE5" w:rsidRDefault="00003589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  <w:t>Proposals related to legislative changes include:</w:t>
      </w:r>
    </w:p>
    <w:p w14:paraId="76323D01" w14:textId="4E5371F8" w:rsidR="00E627D3" w:rsidRPr="00FA6AE5" w:rsidRDefault="00A9680B" w:rsidP="00205E2C">
      <w:pPr>
        <w:pStyle w:val="BodyText"/>
        <w:numPr>
          <w:ilvl w:val="0"/>
          <w:numId w:val="5"/>
        </w:numPr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>Rule 3(c)</w:t>
      </w:r>
      <w:r>
        <w:rPr>
          <w:szCs w:val="28"/>
        </w:rPr>
        <w:t>—a</w:t>
      </w:r>
      <w:r w:rsidR="00003589" w:rsidRPr="00FA6AE5">
        <w:rPr>
          <w:szCs w:val="28"/>
        </w:rPr>
        <w:t>mend</w:t>
      </w:r>
      <w:r>
        <w:rPr>
          <w:szCs w:val="28"/>
        </w:rPr>
        <w:t xml:space="preserve"> </w:t>
      </w:r>
      <w:r w:rsidR="00003589" w:rsidRPr="00FA6AE5">
        <w:rPr>
          <w:szCs w:val="28"/>
        </w:rPr>
        <w:t>to</w:t>
      </w:r>
      <w:r w:rsidR="006843CB" w:rsidRPr="00FA6AE5">
        <w:rPr>
          <w:szCs w:val="28"/>
        </w:rPr>
        <w:t xml:space="preserve"> add the </w:t>
      </w:r>
      <w:r w:rsidR="00003589" w:rsidRPr="00FA6AE5">
        <w:rPr>
          <w:szCs w:val="28"/>
        </w:rPr>
        <w:t>additional</w:t>
      </w:r>
      <w:r w:rsidR="006843CB" w:rsidRPr="00FA6AE5">
        <w:rPr>
          <w:szCs w:val="28"/>
        </w:rPr>
        <w:t xml:space="preserve"> definition of harassment</w:t>
      </w:r>
      <w:r w:rsidR="00FC5243" w:rsidRPr="00FA6AE5">
        <w:rPr>
          <w:szCs w:val="28"/>
        </w:rPr>
        <w:t xml:space="preserve">, </w:t>
      </w:r>
      <w:r w:rsidR="00D647FE" w:rsidRPr="00FA6AE5">
        <w:rPr>
          <w:szCs w:val="28"/>
        </w:rPr>
        <w:t>allow</w:t>
      </w:r>
      <w:r w:rsidR="003613F0" w:rsidRPr="00FA6AE5">
        <w:rPr>
          <w:szCs w:val="28"/>
        </w:rPr>
        <w:t>ing</w:t>
      </w:r>
      <w:r w:rsidR="00D647FE" w:rsidRPr="00FA6AE5">
        <w:rPr>
          <w:szCs w:val="28"/>
        </w:rPr>
        <w:t xml:space="preserve"> a crime victim to file a petition for an Injunction Against Harassment</w:t>
      </w:r>
      <w:r w:rsidR="00FC5243" w:rsidRPr="00FA6AE5">
        <w:rPr>
          <w:szCs w:val="28"/>
        </w:rPr>
        <w:t xml:space="preserve"> against the person convicted of the crime</w:t>
      </w:r>
      <w:r w:rsidR="003613F0" w:rsidRPr="00FA6AE5">
        <w:rPr>
          <w:szCs w:val="28"/>
        </w:rPr>
        <w:t xml:space="preserve"> as specified in SB 1412</w:t>
      </w:r>
      <w:r w:rsidR="00003589" w:rsidRPr="00FA6AE5">
        <w:rPr>
          <w:szCs w:val="28"/>
        </w:rPr>
        <w:t xml:space="preserve">, and </w:t>
      </w:r>
    </w:p>
    <w:p w14:paraId="43A9C655" w14:textId="6A68399E" w:rsidR="00D647FE" w:rsidRPr="00FA6AE5" w:rsidRDefault="00A603BC" w:rsidP="00205E2C">
      <w:pPr>
        <w:pStyle w:val="BodyText"/>
        <w:numPr>
          <w:ilvl w:val="0"/>
          <w:numId w:val="5"/>
        </w:numPr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lastRenderedPageBreak/>
        <w:t>Rule 32(a)</w:t>
      </w:r>
      <w:r>
        <w:rPr>
          <w:szCs w:val="28"/>
        </w:rPr>
        <w:t>—a</w:t>
      </w:r>
      <w:r w:rsidR="00640471" w:rsidRPr="00FA6AE5">
        <w:rPr>
          <w:szCs w:val="28"/>
        </w:rPr>
        <w:t>mend</w:t>
      </w:r>
      <w:r>
        <w:rPr>
          <w:szCs w:val="28"/>
        </w:rPr>
        <w:t xml:space="preserve"> </w:t>
      </w:r>
      <w:r w:rsidR="00E627D3" w:rsidRPr="00FA6AE5">
        <w:rPr>
          <w:szCs w:val="28"/>
        </w:rPr>
        <w:t>to</w:t>
      </w:r>
      <w:r w:rsidR="00640471" w:rsidRPr="00FA6AE5">
        <w:rPr>
          <w:szCs w:val="28"/>
        </w:rPr>
        <w:t xml:space="preserve"> conform it </w:t>
      </w:r>
      <w:r w:rsidR="002D2687" w:rsidRPr="00FA6AE5">
        <w:rPr>
          <w:szCs w:val="28"/>
        </w:rPr>
        <w:t xml:space="preserve">with the changes </w:t>
      </w:r>
      <w:r w:rsidR="00F637CF" w:rsidRPr="00FA6AE5">
        <w:rPr>
          <w:szCs w:val="28"/>
        </w:rPr>
        <w:t>detailed</w:t>
      </w:r>
      <w:r w:rsidR="002D2687" w:rsidRPr="00FA6AE5">
        <w:rPr>
          <w:szCs w:val="28"/>
        </w:rPr>
        <w:t xml:space="preserve"> in HB</w:t>
      </w:r>
      <w:r w:rsidR="00447E0B" w:rsidRPr="00FA6AE5">
        <w:rPr>
          <w:szCs w:val="28"/>
        </w:rPr>
        <w:t xml:space="preserve"> </w:t>
      </w:r>
      <w:r w:rsidR="002D2687" w:rsidRPr="00FA6AE5">
        <w:rPr>
          <w:szCs w:val="28"/>
        </w:rPr>
        <w:t>2158.</w:t>
      </w:r>
    </w:p>
    <w:p w14:paraId="04DB9280" w14:textId="77777777" w:rsidR="001C693D" w:rsidRPr="00FA6AE5" w:rsidRDefault="002D2687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</w:r>
      <w:r w:rsidR="001C693D" w:rsidRPr="00FA6AE5">
        <w:rPr>
          <w:szCs w:val="28"/>
        </w:rPr>
        <w:t>Technical amendments include:</w:t>
      </w:r>
    </w:p>
    <w:p w14:paraId="51980AA4" w14:textId="756F245F" w:rsidR="005367DC" w:rsidRPr="00FA6AE5" w:rsidRDefault="0087623A" w:rsidP="00205E2C">
      <w:pPr>
        <w:pStyle w:val="BodyText"/>
        <w:numPr>
          <w:ilvl w:val="0"/>
          <w:numId w:val="4"/>
        </w:numPr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>Rule</w:t>
      </w:r>
      <w:r>
        <w:rPr>
          <w:szCs w:val="28"/>
        </w:rPr>
        <w:t>s</w:t>
      </w:r>
      <w:r w:rsidRPr="00FA6AE5">
        <w:rPr>
          <w:szCs w:val="28"/>
        </w:rPr>
        <w:t xml:space="preserve"> 34(a)(2)</w:t>
      </w:r>
      <w:r>
        <w:rPr>
          <w:szCs w:val="28"/>
        </w:rPr>
        <w:t xml:space="preserve"> and 42 to u</w:t>
      </w:r>
      <w:r w:rsidR="005367DC" w:rsidRPr="00FA6AE5">
        <w:rPr>
          <w:szCs w:val="28"/>
        </w:rPr>
        <w:t>pdate statutory references</w:t>
      </w:r>
      <w:r w:rsidR="00947941" w:rsidRPr="00FA6AE5">
        <w:rPr>
          <w:szCs w:val="28"/>
        </w:rPr>
        <w:t>.</w:t>
      </w:r>
    </w:p>
    <w:p w14:paraId="12474B10" w14:textId="4C9615C1" w:rsidR="00855390" w:rsidRPr="00FA6AE5" w:rsidRDefault="00855390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b/>
          <w:szCs w:val="28"/>
        </w:rPr>
        <w:t xml:space="preserve">III. </w:t>
      </w:r>
      <w:r w:rsidR="00C777DD" w:rsidRPr="00FA6AE5">
        <w:rPr>
          <w:b/>
          <w:szCs w:val="28"/>
        </w:rPr>
        <w:t>Preliminary</w:t>
      </w:r>
      <w:r w:rsidRPr="00FA6AE5">
        <w:rPr>
          <w:b/>
          <w:szCs w:val="28"/>
        </w:rPr>
        <w:t xml:space="preserve"> Comments.</w:t>
      </w:r>
      <w:r w:rsidRPr="00FA6AE5">
        <w:rPr>
          <w:szCs w:val="28"/>
        </w:rPr>
        <w:t xml:space="preserve"> </w:t>
      </w:r>
      <w:r w:rsidR="00C777DD" w:rsidRPr="00FA6AE5">
        <w:rPr>
          <w:szCs w:val="28"/>
        </w:rPr>
        <w:t xml:space="preserve">These proposed amendments have </w:t>
      </w:r>
      <w:r w:rsidR="006D2D54" w:rsidRPr="00FA6AE5">
        <w:rPr>
          <w:szCs w:val="28"/>
        </w:rPr>
        <w:t>not</w:t>
      </w:r>
      <w:r w:rsidR="00C777DD" w:rsidRPr="00FA6AE5">
        <w:rPr>
          <w:szCs w:val="28"/>
        </w:rPr>
        <w:t xml:space="preserve"> been widely circulated to the court communities for pre-filing comments because of the short period of time since enactment of the legislation. They have been review</w:t>
      </w:r>
      <w:r w:rsidR="006D2D54" w:rsidRPr="00FA6AE5">
        <w:rPr>
          <w:szCs w:val="28"/>
        </w:rPr>
        <w:t>ed</w:t>
      </w:r>
      <w:r w:rsidR="00C777DD" w:rsidRPr="00FA6AE5">
        <w:rPr>
          <w:szCs w:val="28"/>
        </w:rPr>
        <w:t xml:space="preserve"> by </w:t>
      </w:r>
      <w:r w:rsidR="00AB009B" w:rsidRPr="00FA6AE5">
        <w:rPr>
          <w:szCs w:val="28"/>
        </w:rPr>
        <w:t xml:space="preserve">the Honorable Wendy A. Million, </w:t>
      </w:r>
      <w:r w:rsidR="00C46881" w:rsidRPr="00FA6AE5">
        <w:rPr>
          <w:szCs w:val="28"/>
        </w:rPr>
        <w:t>Magistrate</w:t>
      </w:r>
      <w:r w:rsidR="00AB009B" w:rsidRPr="00FA6AE5">
        <w:rPr>
          <w:szCs w:val="28"/>
        </w:rPr>
        <w:t xml:space="preserve">, Tucson City Court, who chairs the Supreme Court’s Committee on the </w:t>
      </w:r>
      <w:r w:rsidR="00C46881" w:rsidRPr="00FA6AE5">
        <w:rPr>
          <w:szCs w:val="28"/>
        </w:rPr>
        <w:t xml:space="preserve">Impact </w:t>
      </w:r>
      <w:r w:rsidR="00AB009B" w:rsidRPr="00FA6AE5">
        <w:rPr>
          <w:szCs w:val="28"/>
        </w:rPr>
        <w:t>of Domestic Violence and the Courts</w:t>
      </w:r>
      <w:r w:rsidR="006D2D54" w:rsidRPr="00FA6AE5">
        <w:rPr>
          <w:szCs w:val="28"/>
        </w:rPr>
        <w:t xml:space="preserve"> </w:t>
      </w:r>
      <w:r w:rsidR="006D2D54" w:rsidRPr="00FA6AE5">
        <w:rPr>
          <w:szCs w:val="28"/>
        </w:rPr>
        <w:t>(CIDVC)</w:t>
      </w:r>
      <w:r w:rsidR="00AB009B" w:rsidRPr="00FA6AE5">
        <w:rPr>
          <w:szCs w:val="28"/>
        </w:rPr>
        <w:t>.</w:t>
      </w:r>
    </w:p>
    <w:p w14:paraId="1E4F844F" w14:textId="4D40B8B9" w:rsidR="00855390" w:rsidRPr="00FA6AE5" w:rsidRDefault="00855390" w:rsidP="00205E2C">
      <w:pPr>
        <w:pStyle w:val="BodyText"/>
        <w:tabs>
          <w:tab w:val="left" w:pos="720"/>
        </w:tabs>
        <w:spacing w:line="480" w:lineRule="auto"/>
        <w:contextualSpacing/>
        <w:rPr>
          <w:szCs w:val="28"/>
        </w:rPr>
      </w:pPr>
      <w:r w:rsidRPr="00FA6AE5">
        <w:rPr>
          <w:b/>
          <w:szCs w:val="28"/>
        </w:rPr>
        <w:tab/>
        <w:t xml:space="preserve">IV. </w:t>
      </w:r>
      <w:r w:rsidR="006D2D54" w:rsidRPr="00FA6AE5">
        <w:rPr>
          <w:b/>
          <w:szCs w:val="28"/>
        </w:rPr>
        <w:t xml:space="preserve">Request for </w:t>
      </w:r>
      <w:r w:rsidR="00F0222C">
        <w:rPr>
          <w:b/>
          <w:szCs w:val="28"/>
        </w:rPr>
        <w:t xml:space="preserve">Expedited Consideration and </w:t>
      </w:r>
      <w:r w:rsidR="006D2D54" w:rsidRPr="00FA6AE5">
        <w:rPr>
          <w:b/>
          <w:szCs w:val="28"/>
        </w:rPr>
        <w:t>Emergency Adoption.</w:t>
      </w:r>
      <w:r w:rsidRPr="00FA6AE5">
        <w:rPr>
          <w:szCs w:val="28"/>
        </w:rPr>
        <w:t xml:space="preserve"> </w:t>
      </w:r>
      <w:r w:rsidR="006D2D54" w:rsidRPr="00FA6AE5">
        <w:rPr>
          <w:szCs w:val="28"/>
        </w:rPr>
        <w:t>SB 1412 and HB 2158</w:t>
      </w:r>
      <w:r w:rsidRPr="00FA6AE5">
        <w:rPr>
          <w:szCs w:val="28"/>
        </w:rPr>
        <w:t xml:space="preserve"> </w:t>
      </w:r>
      <w:r w:rsidR="003F70D4" w:rsidRPr="00FA6AE5">
        <w:rPr>
          <w:szCs w:val="28"/>
        </w:rPr>
        <w:t>take effect</w:t>
      </w:r>
      <w:r w:rsidRPr="00FA6AE5">
        <w:rPr>
          <w:szCs w:val="28"/>
        </w:rPr>
        <w:t xml:space="preserve"> on</w:t>
      </w:r>
      <w:r w:rsidR="00D86249">
        <w:rPr>
          <w:szCs w:val="28"/>
        </w:rPr>
        <w:t xml:space="preserve"> the General Effective Date, which is anticipated to be sometime in September</w:t>
      </w:r>
      <w:r w:rsidR="001058C8" w:rsidRPr="00FA6AE5">
        <w:rPr>
          <w:szCs w:val="28"/>
        </w:rPr>
        <w:t>. P</w:t>
      </w:r>
      <w:r w:rsidRPr="00FA6AE5">
        <w:rPr>
          <w:szCs w:val="28"/>
        </w:rPr>
        <w:t xml:space="preserve">etitioner </w:t>
      </w:r>
      <w:r w:rsidR="001058C8" w:rsidRPr="00FA6AE5">
        <w:rPr>
          <w:szCs w:val="28"/>
        </w:rPr>
        <w:t xml:space="preserve">therefore </w:t>
      </w:r>
      <w:r w:rsidRPr="00FA6AE5">
        <w:rPr>
          <w:szCs w:val="28"/>
        </w:rPr>
        <w:t xml:space="preserve">requests </w:t>
      </w:r>
      <w:r w:rsidR="001058C8" w:rsidRPr="00FA6AE5">
        <w:rPr>
          <w:szCs w:val="28"/>
        </w:rPr>
        <w:t xml:space="preserve">expedited </w:t>
      </w:r>
      <w:r w:rsidR="008964E8">
        <w:rPr>
          <w:szCs w:val="28"/>
        </w:rPr>
        <w:t xml:space="preserve">consideration and emergency </w:t>
      </w:r>
      <w:r w:rsidR="001058C8" w:rsidRPr="00FA6AE5">
        <w:rPr>
          <w:szCs w:val="28"/>
        </w:rPr>
        <w:t>adoption of the proposed amended rules with a formal comment period to follow, as permitted by Supreme Court Rule 28</w:t>
      </w:r>
      <w:r w:rsidR="00F0222C">
        <w:rPr>
          <w:szCs w:val="28"/>
        </w:rPr>
        <w:t>(H)</w:t>
      </w:r>
      <w:r w:rsidRPr="00FA6AE5">
        <w:rPr>
          <w:szCs w:val="28"/>
        </w:rPr>
        <w:t>.</w:t>
      </w:r>
    </w:p>
    <w:p w14:paraId="6B938225" w14:textId="71FC9E8C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  <w:t xml:space="preserve">RESPECTFULLY SUBMITTED this </w:t>
      </w:r>
      <w:r w:rsidR="006608B5" w:rsidRPr="00EC4A08">
        <w:rPr>
          <w:szCs w:val="28"/>
          <w:u w:val="single"/>
        </w:rPr>
        <w:t>11th</w:t>
      </w:r>
      <w:r w:rsidRPr="00FA6AE5">
        <w:rPr>
          <w:szCs w:val="28"/>
        </w:rPr>
        <w:t xml:space="preserve"> day of </w:t>
      </w:r>
      <w:proofErr w:type="gramStart"/>
      <w:r w:rsidR="006608B5" w:rsidRPr="00EC4A08">
        <w:rPr>
          <w:szCs w:val="28"/>
          <w:u w:val="single"/>
        </w:rPr>
        <w:t>June</w:t>
      </w:r>
      <w:r w:rsidR="00641FE0" w:rsidRPr="00FA6AE5">
        <w:rPr>
          <w:szCs w:val="28"/>
        </w:rPr>
        <w:t>,</w:t>
      </w:r>
      <w:proofErr w:type="gramEnd"/>
      <w:r w:rsidR="00641FE0" w:rsidRPr="00FA6AE5">
        <w:rPr>
          <w:szCs w:val="28"/>
        </w:rPr>
        <w:t xml:space="preserve"> 2021.</w:t>
      </w:r>
    </w:p>
    <w:p w14:paraId="14F4AF2B" w14:textId="77777777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</w:p>
    <w:p w14:paraId="09F0C37D" w14:textId="77777777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</w:p>
    <w:p w14:paraId="3FBB2E9C" w14:textId="44976F85" w:rsidR="00EC4A08" w:rsidRPr="00EC4A08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  <w:t>By</w:t>
      </w:r>
      <w:r w:rsidR="00870A92" w:rsidRPr="00FA6AE5">
        <w:rPr>
          <w:szCs w:val="28"/>
        </w:rPr>
        <w:t xml:space="preserve"> </w:t>
      </w:r>
      <w:r w:rsidR="006608B5" w:rsidRPr="006608B5">
        <w:rPr>
          <w:szCs w:val="28"/>
          <w:u w:val="single"/>
        </w:rPr>
        <w:t>/S/</w:t>
      </w:r>
      <w:r w:rsidR="00EC4A08">
        <w:rPr>
          <w:szCs w:val="28"/>
        </w:rPr>
        <w:t>____________________________</w:t>
      </w:r>
      <w:bookmarkStart w:id="0" w:name="_GoBack"/>
      <w:bookmarkEnd w:id="0"/>
    </w:p>
    <w:p w14:paraId="2D356CE3" w14:textId="06BA9A39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  <w:t>David K. Byers, Administrative Director</w:t>
      </w:r>
    </w:p>
    <w:p w14:paraId="759EFAFB" w14:textId="77777777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  <w:t>Administrative Office the Courts</w:t>
      </w:r>
    </w:p>
    <w:p w14:paraId="6F0F6A10" w14:textId="77777777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  <w:t>1501 W. Washington, Suite 411</w:t>
      </w:r>
    </w:p>
    <w:p w14:paraId="3D64E3D2" w14:textId="795530E2" w:rsidR="00855390" w:rsidRPr="00FA6AE5" w:rsidRDefault="00855390" w:rsidP="00205E2C">
      <w:pPr>
        <w:pStyle w:val="BodyText"/>
        <w:tabs>
          <w:tab w:val="left" w:pos="720"/>
        </w:tabs>
        <w:contextualSpacing/>
        <w:rPr>
          <w:szCs w:val="28"/>
        </w:rPr>
      </w:pP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</w:r>
      <w:r w:rsidRPr="00FA6AE5">
        <w:rPr>
          <w:szCs w:val="28"/>
        </w:rPr>
        <w:tab/>
        <w:t>Phoenix, AZ</w:t>
      </w:r>
      <w:r w:rsidR="00ED64B4" w:rsidRPr="00FA6AE5">
        <w:rPr>
          <w:szCs w:val="28"/>
        </w:rPr>
        <w:t xml:space="preserve"> </w:t>
      </w:r>
      <w:r w:rsidRPr="00FA6AE5">
        <w:rPr>
          <w:szCs w:val="28"/>
        </w:rPr>
        <w:t>85007</w:t>
      </w:r>
    </w:p>
    <w:p w14:paraId="0D2FA83A" w14:textId="6284BA71" w:rsidR="00855390" w:rsidRPr="00FA6AE5" w:rsidRDefault="00855390" w:rsidP="00205E2C">
      <w:pPr>
        <w:contextualSpacing/>
        <w:rPr>
          <w:sz w:val="28"/>
          <w:szCs w:val="28"/>
        </w:rPr>
      </w:pP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</w:r>
      <w:r w:rsidRPr="00FA6AE5">
        <w:rPr>
          <w:sz w:val="28"/>
          <w:szCs w:val="28"/>
        </w:rPr>
        <w:tab/>
        <w:t>(602) 452-3301</w:t>
      </w:r>
    </w:p>
    <w:p w14:paraId="15DE41A1" w14:textId="77777777" w:rsidR="00D86249" w:rsidRPr="00D86249" w:rsidRDefault="00D86249" w:rsidP="00D862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0" w:history="1">
        <w:r w:rsidRPr="00D86249">
          <w:rPr>
            <w:rStyle w:val="Hyperlink"/>
            <w:sz w:val="28"/>
            <w:szCs w:val="28"/>
          </w:rPr>
          <w:t>Projects2@courts.az.gov</w:t>
        </w:r>
      </w:hyperlink>
    </w:p>
    <w:p w14:paraId="07B9E4F2" w14:textId="0A887B4F" w:rsidR="006B7D5C" w:rsidRDefault="006B7D5C" w:rsidP="00205E2C">
      <w:pPr>
        <w:contextualSpacing/>
        <w:rPr>
          <w:sz w:val="28"/>
          <w:szCs w:val="28"/>
        </w:rPr>
      </w:pPr>
    </w:p>
    <w:p w14:paraId="505EB2DA" w14:textId="1AD2157A" w:rsidR="00D86249" w:rsidRPr="00FA6AE5" w:rsidRDefault="00D86249" w:rsidP="00205E2C">
      <w:pPr>
        <w:contextualSpacing/>
        <w:rPr>
          <w:sz w:val="28"/>
          <w:szCs w:val="28"/>
        </w:rPr>
        <w:sectPr w:rsidR="00D86249" w:rsidRPr="00FA6AE5" w:rsidSect="00386927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CDB02C" w14:textId="1919147C" w:rsidR="00855390" w:rsidRPr="00FA6AE5" w:rsidRDefault="00FC0674" w:rsidP="004D3403">
      <w:pPr>
        <w:contextualSpacing/>
        <w:jc w:val="center"/>
        <w:rPr>
          <w:b/>
          <w:bCs/>
          <w:sz w:val="28"/>
          <w:szCs w:val="28"/>
          <w:u w:val="single"/>
        </w:rPr>
      </w:pPr>
      <w:r w:rsidRPr="00FA6AE5">
        <w:rPr>
          <w:b/>
          <w:bCs/>
          <w:sz w:val="28"/>
          <w:szCs w:val="28"/>
          <w:u w:val="single"/>
        </w:rPr>
        <w:lastRenderedPageBreak/>
        <w:t>APPENDIX</w:t>
      </w:r>
    </w:p>
    <w:p w14:paraId="119B5E9A" w14:textId="4957B729" w:rsidR="00FC0674" w:rsidRPr="00FA6AE5" w:rsidRDefault="00FC0674" w:rsidP="004D3403">
      <w:pPr>
        <w:contextualSpacing/>
        <w:jc w:val="center"/>
        <w:rPr>
          <w:sz w:val="28"/>
          <w:szCs w:val="28"/>
        </w:rPr>
      </w:pPr>
      <w:r w:rsidRPr="00FA6AE5">
        <w:rPr>
          <w:sz w:val="28"/>
          <w:szCs w:val="28"/>
        </w:rPr>
        <w:t xml:space="preserve">(Additions are shown by </w:t>
      </w:r>
      <w:r w:rsidRPr="00FA6AE5">
        <w:rPr>
          <w:sz w:val="28"/>
          <w:szCs w:val="28"/>
          <w:u w:val="single"/>
        </w:rPr>
        <w:t>underline</w:t>
      </w:r>
      <w:r w:rsidRPr="00FA6AE5">
        <w:rPr>
          <w:sz w:val="28"/>
          <w:szCs w:val="28"/>
        </w:rPr>
        <w:t xml:space="preserve">; deletions are shown by </w:t>
      </w:r>
      <w:r w:rsidRPr="00FA6AE5">
        <w:rPr>
          <w:strike/>
          <w:sz w:val="28"/>
          <w:szCs w:val="28"/>
        </w:rPr>
        <w:t>strikethrough</w:t>
      </w:r>
      <w:r w:rsidR="00692944" w:rsidRPr="00FA6AE5">
        <w:rPr>
          <w:sz w:val="28"/>
          <w:szCs w:val="28"/>
        </w:rPr>
        <w:t>.)</w:t>
      </w:r>
    </w:p>
    <w:p w14:paraId="2055D526" w14:textId="77777777" w:rsidR="00205E2C" w:rsidRDefault="00205E2C" w:rsidP="004D3403">
      <w:pPr>
        <w:suppressAutoHyphens/>
        <w:contextualSpacing/>
        <w:jc w:val="both"/>
        <w:rPr>
          <w:b/>
          <w:sz w:val="28"/>
          <w:szCs w:val="28"/>
        </w:rPr>
      </w:pPr>
    </w:p>
    <w:p w14:paraId="01CEAFE5" w14:textId="1D5137A9" w:rsidR="009A414B" w:rsidRDefault="009A414B" w:rsidP="009A414B">
      <w:pPr>
        <w:suppressAutoHyphens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ARIZONA RULES OF PROTECTIVE ORDER PROCEDURE</w:t>
      </w:r>
    </w:p>
    <w:p w14:paraId="4FD0FF52" w14:textId="77777777" w:rsidR="009A414B" w:rsidRDefault="009A414B" w:rsidP="009A414B">
      <w:pPr>
        <w:suppressAutoHyphens/>
        <w:contextualSpacing/>
        <w:jc w:val="both"/>
        <w:rPr>
          <w:b/>
          <w:sz w:val="28"/>
          <w:szCs w:val="28"/>
        </w:rPr>
      </w:pPr>
    </w:p>
    <w:p w14:paraId="739BD6D5" w14:textId="44E78B10" w:rsidR="00D379C1" w:rsidRDefault="008C27CA" w:rsidP="009A414B">
      <w:pPr>
        <w:suppressAutoHyphens/>
        <w:contextualSpacing/>
        <w:jc w:val="both"/>
        <w:rPr>
          <w:b/>
          <w:sz w:val="28"/>
          <w:szCs w:val="28"/>
        </w:rPr>
      </w:pPr>
      <w:r w:rsidRPr="00FA6AE5">
        <w:rPr>
          <w:b/>
          <w:sz w:val="28"/>
          <w:szCs w:val="28"/>
        </w:rPr>
        <w:t xml:space="preserve">Rule </w:t>
      </w:r>
      <w:r w:rsidR="00D379C1" w:rsidRPr="00FA6AE5">
        <w:rPr>
          <w:b/>
          <w:sz w:val="28"/>
          <w:szCs w:val="28"/>
        </w:rPr>
        <w:t>3. Definitions</w:t>
      </w:r>
    </w:p>
    <w:p w14:paraId="16294ABA" w14:textId="77777777" w:rsidR="00FB67E6" w:rsidRPr="00FA6AE5" w:rsidRDefault="00FB67E6" w:rsidP="009A414B">
      <w:pPr>
        <w:suppressAutoHyphens/>
        <w:contextualSpacing/>
        <w:jc w:val="both"/>
        <w:rPr>
          <w:b/>
          <w:sz w:val="28"/>
          <w:szCs w:val="28"/>
        </w:rPr>
      </w:pPr>
    </w:p>
    <w:p w14:paraId="3C8DA217" w14:textId="04E9176A" w:rsidR="00D379C1" w:rsidRDefault="00C971A5" w:rsidP="009A414B">
      <w:pPr>
        <w:suppressAutoHyphens/>
        <w:ind w:left="720" w:hanging="360"/>
        <w:contextualSpacing/>
        <w:jc w:val="both"/>
        <w:rPr>
          <w:sz w:val="28"/>
          <w:szCs w:val="28"/>
        </w:rPr>
      </w:pPr>
      <w:r w:rsidRPr="00FA6AE5">
        <w:rPr>
          <w:b/>
          <w:sz w:val="28"/>
          <w:szCs w:val="28"/>
        </w:rPr>
        <w:t>(a)</w:t>
      </w:r>
      <w:r w:rsidRPr="00FA6AE5">
        <w:rPr>
          <w:b/>
          <w:sz w:val="28"/>
          <w:szCs w:val="28"/>
        </w:rPr>
        <w:tab/>
      </w:r>
      <w:r w:rsidR="00D379C1" w:rsidRPr="00FA6AE5">
        <w:rPr>
          <w:b/>
          <w:sz w:val="28"/>
          <w:szCs w:val="28"/>
        </w:rPr>
        <w:t>“Domestic violence”</w:t>
      </w:r>
      <w:r w:rsidR="00D379C1" w:rsidRPr="00FA6AE5">
        <w:rPr>
          <w:i/>
          <w:sz w:val="28"/>
          <w:szCs w:val="28"/>
        </w:rPr>
        <w:t xml:space="preserve"> </w:t>
      </w:r>
      <w:r w:rsidR="00D379C1" w:rsidRPr="00FA6AE5">
        <w:rPr>
          <w:sz w:val="28"/>
          <w:szCs w:val="28"/>
        </w:rPr>
        <w:t>means any act specified in A.R.S. § 13-3601(A) combined with any relationship listed in A.R.S. § 13-3601(A).</w:t>
      </w:r>
    </w:p>
    <w:p w14:paraId="1640C3D2" w14:textId="77777777" w:rsidR="00FB67E6" w:rsidRPr="00FA6AE5" w:rsidRDefault="00FB67E6" w:rsidP="009A414B">
      <w:pPr>
        <w:suppressAutoHyphens/>
        <w:ind w:left="720" w:hanging="360"/>
        <w:contextualSpacing/>
        <w:jc w:val="both"/>
        <w:rPr>
          <w:sz w:val="28"/>
          <w:szCs w:val="28"/>
        </w:rPr>
      </w:pPr>
    </w:p>
    <w:p w14:paraId="209017CF" w14:textId="059165D5" w:rsidR="00D379C1" w:rsidRDefault="00C711D4" w:rsidP="009A414B">
      <w:pPr>
        <w:suppressAutoHyphens/>
        <w:ind w:left="720" w:hanging="360"/>
        <w:contextualSpacing/>
        <w:jc w:val="both"/>
        <w:rPr>
          <w:sz w:val="28"/>
          <w:szCs w:val="28"/>
        </w:rPr>
      </w:pPr>
      <w:r w:rsidRPr="00FA6AE5">
        <w:rPr>
          <w:b/>
          <w:iCs/>
          <w:sz w:val="28"/>
          <w:szCs w:val="28"/>
        </w:rPr>
        <w:t>(b)</w:t>
      </w:r>
      <w:r w:rsidRPr="00FA6AE5">
        <w:rPr>
          <w:b/>
          <w:i/>
          <w:sz w:val="28"/>
          <w:szCs w:val="28"/>
        </w:rPr>
        <w:tab/>
      </w:r>
      <w:r w:rsidR="00D379C1" w:rsidRPr="00FA6AE5">
        <w:rPr>
          <w:b/>
          <w:i/>
          <w:sz w:val="28"/>
          <w:szCs w:val="28"/>
        </w:rPr>
        <w:t>“Ex parte”</w:t>
      </w:r>
      <w:r w:rsidR="00D379C1" w:rsidRPr="00FA6AE5">
        <w:rPr>
          <w:i/>
          <w:sz w:val="28"/>
          <w:szCs w:val="28"/>
        </w:rPr>
        <w:t xml:space="preserve"> </w:t>
      </w:r>
      <w:r w:rsidR="00D379C1" w:rsidRPr="00FA6AE5">
        <w:rPr>
          <w:sz w:val="28"/>
          <w:szCs w:val="28"/>
        </w:rPr>
        <w:t>means a court procedure carried out for the benefit of one party, without notice to or the presence of the other party.</w:t>
      </w:r>
    </w:p>
    <w:p w14:paraId="4E314D55" w14:textId="77777777" w:rsidR="00FB67E6" w:rsidRPr="00FA6AE5" w:rsidRDefault="00FB67E6" w:rsidP="009A414B">
      <w:pPr>
        <w:suppressAutoHyphens/>
        <w:ind w:left="720" w:hanging="360"/>
        <w:contextualSpacing/>
        <w:jc w:val="both"/>
        <w:rPr>
          <w:sz w:val="28"/>
          <w:szCs w:val="28"/>
        </w:rPr>
      </w:pPr>
    </w:p>
    <w:p w14:paraId="52EE36AA" w14:textId="1D2BDACE" w:rsidR="00B369E0" w:rsidRPr="00FA6AE5" w:rsidRDefault="00C711D4" w:rsidP="009A414B">
      <w:pPr>
        <w:suppressAutoHyphens/>
        <w:ind w:left="360"/>
        <w:contextualSpacing/>
        <w:jc w:val="both"/>
        <w:rPr>
          <w:sz w:val="28"/>
          <w:szCs w:val="28"/>
        </w:rPr>
      </w:pPr>
      <w:r w:rsidRPr="00FA6AE5">
        <w:rPr>
          <w:b/>
          <w:sz w:val="28"/>
          <w:szCs w:val="28"/>
        </w:rPr>
        <w:t>(c)</w:t>
      </w:r>
      <w:r w:rsidRPr="00FA6AE5">
        <w:rPr>
          <w:b/>
          <w:sz w:val="28"/>
          <w:szCs w:val="28"/>
        </w:rPr>
        <w:tab/>
      </w:r>
      <w:r w:rsidR="00D379C1" w:rsidRPr="00FA6AE5">
        <w:rPr>
          <w:b/>
          <w:sz w:val="28"/>
          <w:szCs w:val="28"/>
        </w:rPr>
        <w:t>“Harassment,”</w:t>
      </w:r>
      <w:r w:rsidR="00D379C1" w:rsidRPr="00FA6AE5">
        <w:rPr>
          <w:sz w:val="28"/>
          <w:szCs w:val="28"/>
        </w:rPr>
        <w:t xml:space="preserve"> when applicable to an Injunction Against Harassment, means</w:t>
      </w:r>
      <w:r w:rsidR="00B369E0" w:rsidRPr="00FA6AE5">
        <w:rPr>
          <w:sz w:val="28"/>
          <w:szCs w:val="28"/>
        </w:rPr>
        <w:t>:</w:t>
      </w:r>
    </w:p>
    <w:p w14:paraId="4C38F409" w14:textId="77777777" w:rsidR="00FB7B65" w:rsidRDefault="00FB7B65" w:rsidP="009A414B">
      <w:pPr>
        <w:suppressAutoHyphens/>
        <w:ind w:left="720"/>
        <w:contextualSpacing/>
        <w:jc w:val="both"/>
        <w:rPr>
          <w:sz w:val="28"/>
          <w:szCs w:val="28"/>
        </w:rPr>
      </w:pPr>
    </w:p>
    <w:p w14:paraId="17B40921" w14:textId="54FEC0D8" w:rsidR="00D379C1" w:rsidRPr="00FA6AE5" w:rsidRDefault="004149A1" w:rsidP="009A414B">
      <w:pPr>
        <w:suppressAutoHyphens/>
        <w:ind w:left="720"/>
        <w:contextualSpacing/>
        <w:jc w:val="both"/>
        <w:rPr>
          <w:sz w:val="28"/>
          <w:szCs w:val="28"/>
        </w:rPr>
      </w:pPr>
      <w:r w:rsidRPr="00FA6AE5">
        <w:rPr>
          <w:sz w:val="28"/>
          <w:szCs w:val="28"/>
        </w:rPr>
        <w:t xml:space="preserve">(1) </w:t>
      </w:r>
      <w:r w:rsidR="00D379C1" w:rsidRPr="00FA6AE5">
        <w:rPr>
          <w:sz w:val="28"/>
          <w:szCs w:val="28"/>
        </w:rPr>
        <w:t xml:space="preserve">a series of acts over any period of time that are directed at a specific person and that would cause a reasonable person to be seriously alarmed, annoyed, or harassed, and the conduct in fact seriously alarms, annoys, or harasses the person and serves no legitimate purpose. </w:t>
      </w:r>
      <w:r w:rsidR="00D379C1" w:rsidRPr="00FA6AE5">
        <w:rPr>
          <w:i/>
          <w:sz w:val="28"/>
          <w:szCs w:val="28"/>
        </w:rPr>
        <w:t xml:space="preserve">See </w:t>
      </w:r>
      <w:r w:rsidR="00D379C1" w:rsidRPr="00FA6AE5">
        <w:rPr>
          <w:sz w:val="28"/>
          <w:szCs w:val="28"/>
        </w:rPr>
        <w:t>A.R.S. § 12-1809(S)</w:t>
      </w:r>
      <w:r w:rsidR="00B369E0" w:rsidRPr="00FA6AE5">
        <w:rPr>
          <w:sz w:val="28"/>
          <w:szCs w:val="28"/>
        </w:rPr>
        <w:t xml:space="preserve">; </w:t>
      </w:r>
      <w:r w:rsidR="00B369E0" w:rsidRPr="00FA6AE5">
        <w:rPr>
          <w:strike/>
          <w:sz w:val="28"/>
          <w:szCs w:val="28"/>
        </w:rPr>
        <w:t>or</w:t>
      </w:r>
    </w:p>
    <w:p w14:paraId="0563FE81" w14:textId="77777777" w:rsidR="00FB7B65" w:rsidRDefault="00FB7B65" w:rsidP="009A414B">
      <w:pPr>
        <w:suppressAutoHyphens/>
        <w:ind w:left="720"/>
        <w:contextualSpacing/>
        <w:jc w:val="both"/>
        <w:rPr>
          <w:sz w:val="28"/>
          <w:szCs w:val="28"/>
        </w:rPr>
      </w:pPr>
    </w:p>
    <w:p w14:paraId="70FE7CAE" w14:textId="3E6D6261" w:rsidR="00921063" w:rsidRPr="00FA6AE5" w:rsidRDefault="004149A1" w:rsidP="009A414B">
      <w:pPr>
        <w:suppressAutoHyphens/>
        <w:ind w:left="720"/>
        <w:contextualSpacing/>
        <w:jc w:val="both"/>
        <w:rPr>
          <w:sz w:val="28"/>
          <w:szCs w:val="28"/>
        </w:rPr>
      </w:pPr>
      <w:r w:rsidRPr="00FA6AE5">
        <w:rPr>
          <w:sz w:val="28"/>
          <w:szCs w:val="28"/>
        </w:rPr>
        <w:t xml:space="preserve">(2) </w:t>
      </w:r>
      <w:r w:rsidR="00B369E0" w:rsidRPr="00FA6AE5">
        <w:rPr>
          <w:sz w:val="28"/>
          <w:szCs w:val="28"/>
        </w:rPr>
        <w:t>one or more acts of sexual violence as defined in A.R.S. § 23-371</w:t>
      </w:r>
      <w:r w:rsidR="00921063" w:rsidRPr="00FA6AE5">
        <w:rPr>
          <w:sz w:val="28"/>
          <w:szCs w:val="28"/>
          <w:u w:val="single"/>
        </w:rPr>
        <w:t xml:space="preserve">; </w:t>
      </w:r>
      <w:r w:rsidR="00367919" w:rsidRPr="00FA6AE5">
        <w:rPr>
          <w:sz w:val="28"/>
          <w:szCs w:val="28"/>
          <w:u w:val="single"/>
        </w:rPr>
        <w:t>or</w:t>
      </w:r>
      <w:r w:rsidR="00921063" w:rsidRPr="00FA6AE5">
        <w:rPr>
          <w:strike/>
          <w:sz w:val="28"/>
          <w:szCs w:val="28"/>
        </w:rPr>
        <w:t>.</w:t>
      </w:r>
    </w:p>
    <w:p w14:paraId="4853E180" w14:textId="77777777" w:rsidR="00FB7B65" w:rsidRDefault="00FB7B65" w:rsidP="009A414B">
      <w:pPr>
        <w:suppressAutoHyphens/>
        <w:ind w:left="720"/>
        <w:contextualSpacing/>
        <w:jc w:val="both"/>
        <w:rPr>
          <w:sz w:val="28"/>
          <w:szCs w:val="28"/>
          <w:u w:val="single"/>
        </w:rPr>
      </w:pPr>
    </w:p>
    <w:p w14:paraId="7D717593" w14:textId="6827577A" w:rsidR="00FB67E6" w:rsidRDefault="004149A1" w:rsidP="009A414B">
      <w:pPr>
        <w:suppressAutoHyphens/>
        <w:ind w:left="720"/>
        <w:contextualSpacing/>
        <w:jc w:val="both"/>
        <w:rPr>
          <w:sz w:val="28"/>
          <w:szCs w:val="28"/>
          <w:u w:val="single"/>
        </w:rPr>
      </w:pPr>
      <w:r w:rsidRPr="00FA6AE5">
        <w:rPr>
          <w:sz w:val="28"/>
          <w:szCs w:val="28"/>
          <w:u w:val="single"/>
        </w:rPr>
        <w:t xml:space="preserve">(3) </w:t>
      </w:r>
      <w:r w:rsidR="00E238B3" w:rsidRPr="00FA6AE5">
        <w:rPr>
          <w:sz w:val="28"/>
          <w:szCs w:val="28"/>
          <w:u w:val="single"/>
        </w:rPr>
        <w:t>any</w:t>
      </w:r>
      <w:r w:rsidR="00111AF9" w:rsidRPr="00FA6AE5">
        <w:rPr>
          <w:sz w:val="28"/>
          <w:szCs w:val="28"/>
          <w:u w:val="single"/>
        </w:rPr>
        <w:t xml:space="preserve"> contact if the person is the victim of a crime that was committed by the defendant. For purposes of this </w:t>
      </w:r>
      <w:r w:rsidR="00D708B6">
        <w:rPr>
          <w:sz w:val="28"/>
          <w:szCs w:val="28"/>
          <w:u w:val="single"/>
        </w:rPr>
        <w:t>subsection</w:t>
      </w:r>
      <w:r w:rsidR="00111AF9" w:rsidRPr="00FA6AE5">
        <w:rPr>
          <w:sz w:val="28"/>
          <w:szCs w:val="28"/>
          <w:u w:val="single"/>
        </w:rPr>
        <w:t xml:space="preserve">, “crime” means a conviction for an offense, whether completed or preparatory, that is a dangerous offense as defined in A.R.S. § 13-105, a serious offense </w:t>
      </w:r>
      <w:r w:rsidR="000F2385">
        <w:rPr>
          <w:sz w:val="28"/>
          <w:szCs w:val="28"/>
          <w:u w:val="single"/>
        </w:rPr>
        <w:t xml:space="preserve"> or</w:t>
      </w:r>
      <w:r w:rsidR="00111AF9" w:rsidRPr="00FA6AE5">
        <w:rPr>
          <w:sz w:val="28"/>
          <w:szCs w:val="28"/>
          <w:u w:val="single"/>
        </w:rPr>
        <w:t xml:space="preserve"> violent </w:t>
      </w:r>
      <w:r w:rsidR="00111AF9" w:rsidRPr="00FA6AE5">
        <w:rPr>
          <w:sz w:val="28"/>
          <w:szCs w:val="28"/>
          <w:u w:val="single"/>
        </w:rPr>
        <w:t xml:space="preserve">or aggravated felony as defined in A.R.S. § 13-706, or any offense in </w:t>
      </w:r>
      <w:r w:rsidR="008C2756" w:rsidRPr="00FA6AE5">
        <w:rPr>
          <w:sz w:val="28"/>
          <w:szCs w:val="28"/>
          <w:u w:val="single"/>
        </w:rPr>
        <w:t>A.R.S. Title 13, chapter 14 or 35.1.</w:t>
      </w:r>
      <w:r w:rsidR="00E238B3" w:rsidRPr="00FA6AE5">
        <w:rPr>
          <w:sz w:val="28"/>
          <w:szCs w:val="28"/>
          <w:u w:val="single"/>
        </w:rPr>
        <w:t xml:space="preserve"> </w:t>
      </w:r>
    </w:p>
    <w:p w14:paraId="70CEE3A5" w14:textId="04B870B5" w:rsidR="00B369E0" w:rsidRPr="00FA6AE5" w:rsidRDefault="00921063" w:rsidP="009A414B">
      <w:pPr>
        <w:suppressAutoHyphens/>
        <w:ind w:left="720"/>
        <w:contextualSpacing/>
        <w:jc w:val="both"/>
        <w:rPr>
          <w:sz w:val="28"/>
          <w:szCs w:val="28"/>
          <w:u w:val="single"/>
        </w:rPr>
      </w:pPr>
      <w:r w:rsidRPr="00FA6AE5">
        <w:rPr>
          <w:sz w:val="28"/>
          <w:szCs w:val="28"/>
          <w:u w:val="single"/>
        </w:rPr>
        <w:t xml:space="preserve"> </w:t>
      </w:r>
    </w:p>
    <w:p w14:paraId="2A02D6DA" w14:textId="77777777" w:rsidR="00FB67E6" w:rsidRDefault="008C2756" w:rsidP="009A414B">
      <w:pPr>
        <w:suppressAutoHyphens/>
        <w:ind w:left="360"/>
        <w:contextualSpacing/>
        <w:jc w:val="both"/>
        <w:rPr>
          <w:b/>
          <w:sz w:val="28"/>
          <w:szCs w:val="28"/>
        </w:rPr>
      </w:pPr>
      <w:r w:rsidRPr="00FA6AE5">
        <w:rPr>
          <w:b/>
          <w:sz w:val="28"/>
          <w:szCs w:val="28"/>
        </w:rPr>
        <w:t xml:space="preserve">(d) </w:t>
      </w:r>
      <w:r w:rsidR="00A20420" w:rsidRPr="00FA6AE5">
        <w:rPr>
          <w:b/>
          <w:sz w:val="28"/>
          <w:szCs w:val="28"/>
        </w:rPr>
        <w:t>through (g) [no changes]</w:t>
      </w:r>
    </w:p>
    <w:p w14:paraId="4C0014AC" w14:textId="4440EC7E" w:rsidR="00A20420" w:rsidRDefault="00A20420" w:rsidP="009A414B">
      <w:pPr>
        <w:suppressAutoHyphens/>
        <w:ind w:left="360"/>
        <w:contextualSpacing/>
        <w:jc w:val="both"/>
        <w:rPr>
          <w:b/>
          <w:sz w:val="28"/>
          <w:szCs w:val="28"/>
        </w:rPr>
      </w:pPr>
    </w:p>
    <w:p w14:paraId="4DCCC8D2" w14:textId="77777777" w:rsidR="004D3403" w:rsidRPr="00FB7B65" w:rsidRDefault="004D3403" w:rsidP="004D3403">
      <w:pPr>
        <w:suppressAutoHyphens/>
        <w:spacing w:before="240"/>
        <w:ind w:left="360"/>
        <w:contextualSpacing/>
        <w:jc w:val="both"/>
        <w:rPr>
          <w:iCs/>
          <w:sz w:val="28"/>
          <w:szCs w:val="28"/>
        </w:rPr>
      </w:pPr>
    </w:p>
    <w:p w14:paraId="3559E5BD" w14:textId="21244277" w:rsidR="00D379C1" w:rsidRDefault="00E636F8" w:rsidP="009A414B">
      <w:pPr>
        <w:suppressAutoHyphens/>
        <w:contextualSpacing/>
        <w:jc w:val="both"/>
        <w:rPr>
          <w:b/>
          <w:bCs/>
          <w:sz w:val="28"/>
          <w:szCs w:val="28"/>
        </w:rPr>
      </w:pPr>
      <w:bookmarkStart w:id="1" w:name="types"/>
      <w:bookmarkStart w:id="2" w:name="service"/>
      <w:bookmarkEnd w:id="1"/>
      <w:bookmarkEnd w:id="2"/>
      <w:r w:rsidRPr="00FA6AE5">
        <w:rPr>
          <w:b/>
          <w:sz w:val="28"/>
          <w:szCs w:val="28"/>
        </w:rPr>
        <w:t xml:space="preserve">Rule </w:t>
      </w:r>
      <w:r w:rsidR="00D379C1" w:rsidRPr="00FA6AE5">
        <w:rPr>
          <w:b/>
          <w:sz w:val="28"/>
          <w:szCs w:val="28"/>
        </w:rPr>
        <w:t xml:space="preserve">32. </w:t>
      </w:r>
      <w:r w:rsidR="00D379C1" w:rsidRPr="00FA6AE5">
        <w:rPr>
          <w:b/>
          <w:bCs/>
          <w:sz w:val="28"/>
          <w:szCs w:val="28"/>
        </w:rPr>
        <w:t xml:space="preserve">Registration of </w:t>
      </w:r>
      <w:r w:rsidR="00FB7B65">
        <w:rPr>
          <w:b/>
          <w:bCs/>
          <w:sz w:val="28"/>
          <w:szCs w:val="28"/>
        </w:rPr>
        <w:t>P</w:t>
      </w:r>
      <w:r w:rsidR="00D379C1" w:rsidRPr="00FA6AE5">
        <w:rPr>
          <w:b/>
          <w:bCs/>
          <w:sz w:val="28"/>
          <w:szCs w:val="28"/>
        </w:rPr>
        <w:t xml:space="preserve">rotective </w:t>
      </w:r>
      <w:r w:rsidR="00FB7B65">
        <w:rPr>
          <w:b/>
          <w:bCs/>
          <w:sz w:val="28"/>
          <w:szCs w:val="28"/>
        </w:rPr>
        <w:t>O</w:t>
      </w:r>
      <w:r w:rsidR="00D379C1" w:rsidRPr="00FA6AE5">
        <w:rPr>
          <w:b/>
          <w:bCs/>
          <w:sz w:val="28"/>
          <w:szCs w:val="28"/>
        </w:rPr>
        <w:t xml:space="preserve">rder and </w:t>
      </w:r>
      <w:r w:rsidR="00FB7B65">
        <w:rPr>
          <w:b/>
          <w:bCs/>
          <w:sz w:val="28"/>
          <w:szCs w:val="28"/>
        </w:rPr>
        <w:t>P</w:t>
      </w:r>
      <w:r w:rsidR="00D379C1" w:rsidRPr="00FA6AE5">
        <w:rPr>
          <w:b/>
          <w:bCs/>
          <w:sz w:val="28"/>
          <w:szCs w:val="28"/>
        </w:rPr>
        <w:t xml:space="preserve">roof of </w:t>
      </w:r>
      <w:r w:rsidR="00FB7B65">
        <w:rPr>
          <w:b/>
          <w:bCs/>
          <w:sz w:val="28"/>
          <w:szCs w:val="28"/>
        </w:rPr>
        <w:t>S</w:t>
      </w:r>
      <w:r w:rsidR="00D379C1" w:rsidRPr="00FA6AE5">
        <w:rPr>
          <w:b/>
          <w:bCs/>
          <w:sz w:val="28"/>
          <w:szCs w:val="28"/>
        </w:rPr>
        <w:t>ervice</w:t>
      </w:r>
    </w:p>
    <w:p w14:paraId="07169644" w14:textId="77777777" w:rsidR="00FB7B65" w:rsidRPr="00FA6AE5" w:rsidRDefault="00FB7B65" w:rsidP="009A414B">
      <w:pPr>
        <w:suppressAutoHyphens/>
        <w:contextualSpacing/>
        <w:jc w:val="both"/>
        <w:rPr>
          <w:sz w:val="28"/>
          <w:szCs w:val="28"/>
        </w:rPr>
      </w:pPr>
    </w:p>
    <w:p w14:paraId="54CF6584" w14:textId="088F69AD" w:rsidR="00B10AAB" w:rsidRDefault="00531476" w:rsidP="009A414B">
      <w:pPr>
        <w:numPr>
          <w:ilvl w:val="0"/>
          <w:numId w:val="3"/>
        </w:numPr>
        <w:suppressAutoHyphens/>
        <w:contextualSpacing/>
        <w:jc w:val="both"/>
        <w:rPr>
          <w:strike/>
          <w:sz w:val="28"/>
          <w:szCs w:val="28"/>
        </w:rPr>
      </w:pPr>
      <w:r w:rsidRPr="00FA6AE5">
        <w:rPr>
          <w:b/>
          <w:sz w:val="28"/>
          <w:szCs w:val="28"/>
        </w:rPr>
        <w:t>Registration; Central Repository.</w:t>
      </w:r>
      <w:r w:rsidRPr="00FA6AE5">
        <w:rPr>
          <w:sz w:val="28"/>
          <w:szCs w:val="28"/>
        </w:rPr>
        <w:t xml:space="preserve"> </w:t>
      </w:r>
      <w:r w:rsidR="00DD58D0" w:rsidRPr="00FA6AE5">
        <w:rPr>
          <w:sz w:val="28"/>
          <w:szCs w:val="28"/>
          <w:u w:val="single"/>
        </w:rPr>
        <w:t xml:space="preserve">The supreme court will maintain a central repository for </w:t>
      </w:r>
      <w:r w:rsidR="00A91974" w:rsidRPr="00FA6AE5">
        <w:rPr>
          <w:sz w:val="28"/>
          <w:szCs w:val="28"/>
          <w:u w:val="single"/>
        </w:rPr>
        <w:t>Orders of Protection, Injunctions Against Harassment, and Injunctions Against Workplace Harassment</w:t>
      </w:r>
      <w:r w:rsidR="00DD58D0" w:rsidRPr="00FA6AE5">
        <w:rPr>
          <w:sz w:val="28"/>
          <w:szCs w:val="28"/>
          <w:u w:val="single"/>
        </w:rPr>
        <w:t>.</w:t>
      </w:r>
      <w:r w:rsidR="00DD58D0" w:rsidRPr="00FA6AE5">
        <w:rPr>
          <w:sz w:val="28"/>
          <w:szCs w:val="28"/>
        </w:rPr>
        <w:t xml:space="preserve"> </w:t>
      </w:r>
      <w:r w:rsidR="009F47C5" w:rsidRPr="00FA6AE5">
        <w:rPr>
          <w:sz w:val="28"/>
          <w:szCs w:val="28"/>
        </w:rPr>
        <w:t>Within 24 hours of return of service, e</w:t>
      </w:r>
      <w:r w:rsidR="00B10AAB" w:rsidRPr="00FA6AE5">
        <w:rPr>
          <w:sz w:val="28"/>
          <w:szCs w:val="28"/>
        </w:rPr>
        <w:t xml:space="preserve">very </w:t>
      </w:r>
      <w:r w:rsidR="009F47C5" w:rsidRPr="00FA6AE5">
        <w:rPr>
          <w:sz w:val="28"/>
          <w:szCs w:val="28"/>
        </w:rPr>
        <w:t>Order of Protection, Injunction Against Harassment, and Injunction Against Workplace Harassment</w:t>
      </w:r>
      <w:r w:rsidR="00B10AAB" w:rsidRPr="00FA6AE5">
        <w:rPr>
          <w:sz w:val="28"/>
          <w:szCs w:val="28"/>
        </w:rPr>
        <w:t xml:space="preserve"> must be </w:t>
      </w:r>
      <w:r w:rsidR="00DC23E1" w:rsidRPr="00FA6AE5">
        <w:rPr>
          <w:sz w:val="28"/>
          <w:szCs w:val="28"/>
          <w:u w:val="single"/>
        </w:rPr>
        <w:t>entered by the issuing court into the supreme court’s central repository for protective orders.</w:t>
      </w:r>
      <w:r w:rsidR="00DC23E1" w:rsidRPr="00FA6AE5">
        <w:rPr>
          <w:sz w:val="28"/>
          <w:szCs w:val="28"/>
        </w:rPr>
        <w:t xml:space="preserve">  </w:t>
      </w:r>
      <w:r w:rsidR="003B280B" w:rsidRPr="00FA6AE5">
        <w:rPr>
          <w:sz w:val="28"/>
          <w:szCs w:val="28"/>
          <w:u w:val="single"/>
        </w:rPr>
        <w:t>The supreme court must register the served protective order</w:t>
      </w:r>
      <w:r w:rsidR="003B280B" w:rsidRPr="00FA6AE5">
        <w:rPr>
          <w:sz w:val="28"/>
          <w:szCs w:val="28"/>
        </w:rPr>
        <w:t xml:space="preserve"> </w:t>
      </w:r>
      <w:r w:rsidR="00B10AAB" w:rsidRPr="00FA6AE5">
        <w:rPr>
          <w:strike/>
          <w:sz w:val="28"/>
          <w:szCs w:val="28"/>
        </w:rPr>
        <w:t>registered</w:t>
      </w:r>
      <w:r w:rsidR="00A75D3B" w:rsidRPr="00FA6AE5">
        <w:rPr>
          <w:strike/>
          <w:sz w:val="28"/>
          <w:szCs w:val="28"/>
        </w:rPr>
        <w:t xml:space="preserve"> </w:t>
      </w:r>
      <w:r w:rsidR="009F47C5" w:rsidRPr="00FA6AE5">
        <w:rPr>
          <w:strike/>
          <w:sz w:val="28"/>
          <w:szCs w:val="28"/>
        </w:rPr>
        <w:t>by the issuing court</w:t>
      </w:r>
      <w:r w:rsidR="009F47C5" w:rsidRPr="00FA6AE5">
        <w:rPr>
          <w:sz w:val="28"/>
          <w:szCs w:val="28"/>
        </w:rPr>
        <w:t xml:space="preserve"> </w:t>
      </w:r>
      <w:r w:rsidR="00A75D3B" w:rsidRPr="00FA6AE5">
        <w:rPr>
          <w:sz w:val="28"/>
          <w:szCs w:val="28"/>
        </w:rPr>
        <w:t xml:space="preserve">with the National Crime Information </w:t>
      </w:r>
      <w:r w:rsidR="00A75D3B" w:rsidRPr="00FA6AE5">
        <w:rPr>
          <w:sz w:val="28"/>
          <w:szCs w:val="28"/>
        </w:rPr>
        <w:lastRenderedPageBreak/>
        <w:t>Center</w:t>
      </w:r>
      <w:r w:rsidR="009F47C5" w:rsidRPr="00FA6AE5">
        <w:rPr>
          <w:sz w:val="28"/>
          <w:szCs w:val="28"/>
        </w:rPr>
        <w:t xml:space="preserve">. </w:t>
      </w:r>
      <w:r w:rsidR="009F47C5" w:rsidRPr="00FA6AE5">
        <w:rPr>
          <w:strike/>
          <w:sz w:val="28"/>
          <w:szCs w:val="28"/>
        </w:rPr>
        <w:t>The supreme court will maintain a central repository for these types of protective orders.</w:t>
      </w:r>
    </w:p>
    <w:p w14:paraId="00D5C374" w14:textId="77777777" w:rsidR="00FB7B65" w:rsidRPr="00FA6AE5" w:rsidRDefault="00FB7B65" w:rsidP="009A414B">
      <w:pPr>
        <w:suppressAutoHyphens/>
        <w:ind w:left="720"/>
        <w:contextualSpacing/>
        <w:jc w:val="both"/>
        <w:rPr>
          <w:strike/>
          <w:sz w:val="28"/>
          <w:szCs w:val="28"/>
        </w:rPr>
      </w:pPr>
    </w:p>
    <w:p w14:paraId="33765B56" w14:textId="77777777" w:rsidR="00D379C1" w:rsidRPr="00FA6AE5" w:rsidRDefault="00D379C1" w:rsidP="009A414B">
      <w:pPr>
        <w:numPr>
          <w:ilvl w:val="0"/>
          <w:numId w:val="3"/>
        </w:numPr>
        <w:suppressAutoHyphens/>
        <w:contextualSpacing/>
        <w:jc w:val="both"/>
        <w:rPr>
          <w:sz w:val="28"/>
          <w:szCs w:val="28"/>
        </w:rPr>
      </w:pPr>
      <w:r w:rsidRPr="00FA6AE5">
        <w:rPr>
          <w:b/>
          <w:sz w:val="28"/>
          <w:szCs w:val="28"/>
        </w:rPr>
        <w:t xml:space="preserve">Validity. </w:t>
      </w:r>
      <w:r w:rsidRPr="00FA6AE5">
        <w:rPr>
          <w:sz w:val="28"/>
          <w:szCs w:val="28"/>
        </w:rPr>
        <w:t xml:space="preserve">A protective order, </w:t>
      </w:r>
      <w:proofErr w:type="gramStart"/>
      <w:r w:rsidRPr="00FA6AE5">
        <w:rPr>
          <w:sz w:val="28"/>
          <w:szCs w:val="28"/>
        </w:rPr>
        <w:t>whether or not</w:t>
      </w:r>
      <w:proofErr w:type="gramEnd"/>
      <w:r w:rsidRPr="00FA6AE5">
        <w:rPr>
          <w:sz w:val="28"/>
          <w:szCs w:val="28"/>
        </w:rPr>
        <w:t xml:space="preserve"> registered, is a valid court order </w:t>
      </w:r>
      <w:r w:rsidR="00531476" w:rsidRPr="00FA6AE5">
        <w:rPr>
          <w:sz w:val="28"/>
          <w:szCs w:val="28"/>
        </w:rPr>
        <w:t xml:space="preserve">for </w:t>
      </w:r>
      <w:r w:rsidRPr="00FA6AE5">
        <w:rPr>
          <w:sz w:val="28"/>
          <w:szCs w:val="28"/>
        </w:rPr>
        <w:t>one year from the date of service.</w:t>
      </w:r>
    </w:p>
    <w:p w14:paraId="71F7AAAF" w14:textId="77777777" w:rsidR="001042DC" w:rsidRDefault="001042DC" w:rsidP="009A414B">
      <w:pPr>
        <w:suppressAutoHyphens/>
        <w:contextualSpacing/>
        <w:jc w:val="both"/>
        <w:rPr>
          <w:b/>
          <w:sz w:val="28"/>
          <w:szCs w:val="28"/>
        </w:rPr>
      </w:pPr>
      <w:bookmarkStart w:id="3" w:name="family"/>
      <w:bookmarkEnd w:id="3"/>
    </w:p>
    <w:p w14:paraId="431305AF" w14:textId="77777777" w:rsidR="004D3403" w:rsidRPr="00FA6AE5" w:rsidRDefault="004D3403" w:rsidP="009A414B">
      <w:pPr>
        <w:suppressAutoHyphens/>
        <w:contextualSpacing/>
        <w:jc w:val="both"/>
        <w:rPr>
          <w:b/>
          <w:sz w:val="28"/>
          <w:szCs w:val="28"/>
        </w:rPr>
      </w:pPr>
    </w:p>
    <w:p w14:paraId="79BD7BA4" w14:textId="70AD671D" w:rsidR="00D379C1" w:rsidRDefault="00E636F8" w:rsidP="009A414B">
      <w:pPr>
        <w:suppressAutoHyphens/>
        <w:contextualSpacing/>
        <w:jc w:val="both"/>
        <w:rPr>
          <w:b/>
          <w:bCs/>
          <w:sz w:val="28"/>
          <w:szCs w:val="28"/>
        </w:rPr>
      </w:pPr>
      <w:r w:rsidRPr="00FA6AE5">
        <w:rPr>
          <w:b/>
          <w:sz w:val="28"/>
          <w:szCs w:val="28"/>
        </w:rPr>
        <w:t xml:space="preserve">Rule </w:t>
      </w:r>
      <w:r w:rsidR="00D379C1" w:rsidRPr="00FA6AE5">
        <w:rPr>
          <w:b/>
          <w:sz w:val="28"/>
          <w:szCs w:val="28"/>
        </w:rPr>
        <w:t xml:space="preserve">34. </w:t>
      </w:r>
      <w:r w:rsidR="00D379C1" w:rsidRPr="00FA6AE5">
        <w:rPr>
          <w:b/>
          <w:bCs/>
          <w:sz w:val="28"/>
          <w:szCs w:val="28"/>
        </w:rPr>
        <w:t>Jurisdiction</w:t>
      </w:r>
    </w:p>
    <w:p w14:paraId="05CDEF29" w14:textId="77777777" w:rsidR="004D3403" w:rsidRPr="00FA6AE5" w:rsidRDefault="004D3403" w:rsidP="009A414B">
      <w:pPr>
        <w:suppressAutoHyphens/>
        <w:contextualSpacing/>
        <w:jc w:val="both"/>
        <w:rPr>
          <w:sz w:val="28"/>
          <w:szCs w:val="28"/>
        </w:rPr>
      </w:pPr>
    </w:p>
    <w:p w14:paraId="753D3A03" w14:textId="3FF6E7BE" w:rsidR="00D379C1" w:rsidRDefault="00D379C1" w:rsidP="009A414B">
      <w:pPr>
        <w:numPr>
          <w:ilvl w:val="0"/>
          <w:numId w:val="1"/>
        </w:numPr>
        <w:suppressAutoHyphens/>
        <w:contextualSpacing/>
        <w:jc w:val="both"/>
        <w:rPr>
          <w:sz w:val="28"/>
          <w:szCs w:val="28"/>
        </w:rPr>
      </w:pPr>
      <w:r w:rsidRPr="00FA6AE5">
        <w:rPr>
          <w:b/>
          <w:sz w:val="28"/>
          <w:szCs w:val="28"/>
        </w:rPr>
        <w:t xml:space="preserve">Superior Court Jurisdiction. </w:t>
      </w:r>
      <w:r w:rsidRPr="00FA6AE5">
        <w:rPr>
          <w:sz w:val="28"/>
          <w:szCs w:val="28"/>
        </w:rPr>
        <w:t>The superior court has exclusive jurisdiction to issue a protective order when a family law action is pending between the parties. A limited jurisdiction court must refer a plaintiff who has a pending family law action to the superior court. An action is pending if either:</w:t>
      </w:r>
    </w:p>
    <w:p w14:paraId="7E254221" w14:textId="77777777" w:rsidR="00FB7B65" w:rsidRPr="00FA6AE5" w:rsidRDefault="00FB7B65" w:rsidP="009A414B">
      <w:pPr>
        <w:suppressAutoHyphens/>
        <w:ind w:left="720"/>
        <w:contextualSpacing/>
        <w:jc w:val="both"/>
        <w:rPr>
          <w:sz w:val="28"/>
          <w:szCs w:val="28"/>
        </w:rPr>
      </w:pPr>
    </w:p>
    <w:p w14:paraId="48E77EFF" w14:textId="7666F195" w:rsidR="00D379C1" w:rsidRDefault="00D379C1" w:rsidP="009A414B">
      <w:pPr>
        <w:numPr>
          <w:ilvl w:val="1"/>
          <w:numId w:val="2"/>
        </w:numPr>
        <w:suppressAutoHyphens/>
        <w:ind w:left="1080"/>
        <w:contextualSpacing/>
        <w:jc w:val="both"/>
        <w:rPr>
          <w:sz w:val="28"/>
          <w:szCs w:val="28"/>
        </w:rPr>
      </w:pPr>
      <w:r w:rsidRPr="00FA6AE5">
        <w:rPr>
          <w:sz w:val="28"/>
          <w:szCs w:val="28"/>
        </w:rPr>
        <w:t>an action has begun but no final judgment, decree, or order has been entered, or</w:t>
      </w:r>
    </w:p>
    <w:p w14:paraId="664EDC3C" w14:textId="77777777" w:rsidR="00FB7B65" w:rsidRPr="00FA6AE5" w:rsidRDefault="00FB7B65" w:rsidP="009A414B">
      <w:pPr>
        <w:suppressAutoHyphens/>
        <w:ind w:left="1080"/>
        <w:contextualSpacing/>
        <w:jc w:val="both"/>
        <w:rPr>
          <w:sz w:val="28"/>
          <w:szCs w:val="28"/>
        </w:rPr>
      </w:pPr>
    </w:p>
    <w:p w14:paraId="73FFEADA" w14:textId="7A63D46B" w:rsidR="00D379C1" w:rsidRDefault="00D379C1" w:rsidP="009A414B">
      <w:pPr>
        <w:numPr>
          <w:ilvl w:val="1"/>
          <w:numId w:val="2"/>
        </w:numPr>
        <w:suppressAutoHyphens/>
        <w:ind w:left="1080"/>
        <w:contextualSpacing/>
        <w:jc w:val="both"/>
        <w:rPr>
          <w:sz w:val="28"/>
          <w:szCs w:val="28"/>
        </w:rPr>
      </w:pPr>
      <w:r w:rsidRPr="00FA6AE5">
        <w:rPr>
          <w:sz w:val="28"/>
          <w:szCs w:val="28"/>
        </w:rPr>
        <w:t xml:space="preserve">a post-decree proceeding has begun but no final order determining that proceeding has been entered. </w:t>
      </w:r>
      <w:r w:rsidRPr="00FA6AE5">
        <w:rPr>
          <w:i/>
          <w:iCs/>
          <w:sz w:val="28"/>
          <w:szCs w:val="28"/>
        </w:rPr>
        <w:t>See</w:t>
      </w:r>
      <w:r w:rsidRPr="00FA6AE5">
        <w:rPr>
          <w:sz w:val="28"/>
          <w:szCs w:val="28"/>
        </w:rPr>
        <w:t xml:space="preserve"> A.R.S. § 13-3602</w:t>
      </w:r>
      <w:r w:rsidRPr="00FA6AE5">
        <w:rPr>
          <w:strike/>
          <w:sz w:val="28"/>
          <w:szCs w:val="28"/>
        </w:rPr>
        <w:t>(P)</w:t>
      </w:r>
      <w:r w:rsidR="001042DC" w:rsidRPr="00FA6AE5">
        <w:rPr>
          <w:sz w:val="28"/>
          <w:szCs w:val="28"/>
          <w:u w:val="single"/>
        </w:rPr>
        <w:t>(S)</w:t>
      </w:r>
      <w:r w:rsidRPr="00FA6AE5">
        <w:rPr>
          <w:sz w:val="28"/>
          <w:szCs w:val="28"/>
        </w:rPr>
        <w:t>.</w:t>
      </w:r>
    </w:p>
    <w:p w14:paraId="62D8F8EA" w14:textId="77777777" w:rsidR="00FB7B65" w:rsidRPr="00FA6AE5" w:rsidRDefault="00FB7B65" w:rsidP="009A414B">
      <w:pPr>
        <w:suppressAutoHyphens/>
        <w:ind w:left="1080"/>
        <w:contextualSpacing/>
        <w:jc w:val="both"/>
        <w:rPr>
          <w:sz w:val="28"/>
          <w:szCs w:val="28"/>
        </w:rPr>
      </w:pPr>
    </w:p>
    <w:p w14:paraId="016C58D1" w14:textId="45805B76" w:rsidR="00523894" w:rsidRPr="00FA6AE5" w:rsidRDefault="00DF558B" w:rsidP="009A414B">
      <w:pPr>
        <w:suppressAutoHyphens/>
        <w:ind w:left="360"/>
        <w:contextualSpacing/>
        <w:jc w:val="both"/>
        <w:rPr>
          <w:b/>
          <w:sz w:val="28"/>
          <w:szCs w:val="28"/>
        </w:rPr>
      </w:pPr>
      <w:r w:rsidRPr="00FA6AE5">
        <w:rPr>
          <w:b/>
          <w:sz w:val="28"/>
          <w:szCs w:val="28"/>
        </w:rPr>
        <w:t xml:space="preserve">(b) </w:t>
      </w:r>
      <w:r w:rsidR="009A414B">
        <w:rPr>
          <w:b/>
          <w:sz w:val="28"/>
          <w:szCs w:val="28"/>
        </w:rPr>
        <w:t>and</w:t>
      </w:r>
      <w:r w:rsidRPr="00FA6AE5">
        <w:rPr>
          <w:b/>
          <w:sz w:val="28"/>
          <w:szCs w:val="28"/>
        </w:rPr>
        <w:t xml:space="preserve"> </w:t>
      </w:r>
      <w:r w:rsidR="00523894" w:rsidRPr="00FA6AE5">
        <w:rPr>
          <w:b/>
          <w:sz w:val="28"/>
          <w:szCs w:val="28"/>
        </w:rPr>
        <w:t>(c) [no changes]</w:t>
      </w:r>
    </w:p>
    <w:p w14:paraId="03487533" w14:textId="77777777" w:rsidR="00205E2C" w:rsidRDefault="00205E2C" w:rsidP="009A414B">
      <w:pPr>
        <w:suppressAutoHyphens/>
        <w:contextualSpacing/>
        <w:jc w:val="both"/>
        <w:rPr>
          <w:b/>
          <w:sz w:val="28"/>
          <w:szCs w:val="28"/>
        </w:rPr>
      </w:pPr>
    </w:p>
    <w:p w14:paraId="2591B3E9" w14:textId="77777777" w:rsidR="004D3403" w:rsidRDefault="004D3403" w:rsidP="009A414B">
      <w:pPr>
        <w:suppressAutoHyphens/>
        <w:contextualSpacing/>
        <w:jc w:val="both"/>
        <w:rPr>
          <w:b/>
          <w:sz w:val="28"/>
          <w:szCs w:val="28"/>
        </w:rPr>
      </w:pPr>
    </w:p>
    <w:p w14:paraId="12A31F55" w14:textId="485CA779" w:rsidR="00D379C1" w:rsidRDefault="00E636F8" w:rsidP="009A414B">
      <w:pPr>
        <w:suppressAutoHyphens/>
        <w:contextualSpacing/>
        <w:jc w:val="both"/>
        <w:rPr>
          <w:b/>
          <w:sz w:val="28"/>
          <w:szCs w:val="28"/>
        </w:rPr>
      </w:pPr>
      <w:r w:rsidRPr="00FA6AE5">
        <w:rPr>
          <w:b/>
          <w:sz w:val="28"/>
          <w:szCs w:val="28"/>
        </w:rPr>
        <w:t xml:space="preserve">Rule </w:t>
      </w:r>
      <w:r w:rsidR="00D379C1" w:rsidRPr="00FA6AE5">
        <w:rPr>
          <w:b/>
          <w:sz w:val="28"/>
          <w:szCs w:val="28"/>
        </w:rPr>
        <w:t>42. Appeals</w:t>
      </w:r>
    </w:p>
    <w:p w14:paraId="56D7BE9A" w14:textId="77777777" w:rsidR="004D3403" w:rsidRPr="00FA6AE5" w:rsidRDefault="004D3403" w:rsidP="004D3403">
      <w:pPr>
        <w:suppressAutoHyphens/>
        <w:spacing w:before="240"/>
        <w:contextualSpacing/>
        <w:jc w:val="both"/>
        <w:rPr>
          <w:b/>
          <w:sz w:val="28"/>
          <w:szCs w:val="28"/>
        </w:rPr>
      </w:pPr>
    </w:p>
    <w:p w14:paraId="28232120" w14:textId="00F7FE68" w:rsidR="00D379C1" w:rsidRPr="00FA6AE5" w:rsidRDefault="00D379C1" w:rsidP="004D3403">
      <w:pPr>
        <w:suppressAutoHyphens/>
        <w:spacing w:before="240"/>
        <w:ind w:left="360"/>
        <w:contextualSpacing/>
        <w:jc w:val="both"/>
        <w:rPr>
          <w:sz w:val="28"/>
          <w:szCs w:val="28"/>
        </w:rPr>
      </w:pPr>
      <w:r w:rsidRPr="00FA6AE5">
        <w:rPr>
          <w:b/>
          <w:bCs/>
          <w:sz w:val="28"/>
          <w:szCs w:val="28"/>
        </w:rPr>
        <w:t>(a)</w:t>
      </w:r>
      <w:r w:rsidRPr="00FA6AE5">
        <w:rPr>
          <w:b/>
          <w:bCs/>
          <w:sz w:val="28"/>
          <w:szCs w:val="28"/>
        </w:rPr>
        <w:tab/>
      </w:r>
      <w:r w:rsidR="009A414B">
        <w:rPr>
          <w:b/>
          <w:bCs/>
          <w:sz w:val="28"/>
          <w:szCs w:val="28"/>
        </w:rPr>
        <w:t>and</w:t>
      </w:r>
      <w:r w:rsidR="00B53B93" w:rsidRPr="00FA6AE5">
        <w:rPr>
          <w:b/>
          <w:bCs/>
          <w:sz w:val="28"/>
          <w:szCs w:val="28"/>
        </w:rPr>
        <w:t xml:space="preserve"> (b) [no changes]</w:t>
      </w:r>
    </w:p>
    <w:p w14:paraId="66BA85EA" w14:textId="77777777" w:rsidR="00D379C1" w:rsidRPr="00FA6AE5" w:rsidRDefault="00D379C1" w:rsidP="004D3403">
      <w:pPr>
        <w:suppressAutoHyphens/>
        <w:spacing w:before="240"/>
        <w:contextualSpacing/>
        <w:jc w:val="center"/>
        <w:rPr>
          <w:b/>
          <w:bCs/>
          <w:sz w:val="28"/>
          <w:szCs w:val="28"/>
        </w:rPr>
      </w:pPr>
      <w:r w:rsidRPr="00FA6AE5">
        <w:rPr>
          <w:b/>
          <w:bCs/>
          <w:sz w:val="28"/>
          <w:szCs w:val="28"/>
        </w:rPr>
        <w:t>COMMENT</w:t>
      </w:r>
    </w:p>
    <w:p w14:paraId="1CB0522E" w14:textId="14AD5BFF" w:rsidR="00D379C1" w:rsidRPr="00FA6AE5" w:rsidRDefault="00D379C1" w:rsidP="009A414B">
      <w:pPr>
        <w:suppressAutoHyphens/>
        <w:ind w:left="720" w:right="720"/>
        <w:contextualSpacing/>
        <w:jc w:val="both"/>
        <w:rPr>
          <w:sz w:val="28"/>
          <w:szCs w:val="28"/>
        </w:rPr>
      </w:pPr>
      <w:r w:rsidRPr="00FA6AE5">
        <w:rPr>
          <w:sz w:val="28"/>
          <w:szCs w:val="28"/>
        </w:rPr>
        <w:t xml:space="preserve">A protective order entered by a limited jurisdiction court after a hearing at which both parties had an opportunity to appear may be appealed to the superior court. </w:t>
      </w:r>
      <w:r w:rsidRPr="00FA6AE5">
        <w:rPr>
          <w:i/>
          <w:iCs/>
          <w:sz w:val="28"/>
          <w:szCs w:val="28"/>
        </w:rPr>
        <w:t>See</w:t>
      </w:r>
      <w:r w:rsidRPr="00FA6AE5">
        <w:rPr>
          <w:sz w:val="28"/>
          <w:szCs w:val="28"/>
        </w:rPr>
        <w:t xml:space="preserve"> A.R.S. §§ 13-3602</w:t>
      </w:r>
      <w:r w:rsidRPr="00FA6AE5">
        <w:rPr>
          <w:strike/>
          <w:sz w:val="28"/>
          <w:szCs w:val="28"/>
        </w:rPr>
        <w:t>(P)</w:t>
      </w:r>
      <w:r w:rsidR="00117B02" w:rsidRPr="00FA6AE5">
        <w:rPr>
          <w:sz w:val="28"/>
          <w:szCs w:val="28"/>
          <w:u w:val="single"/>
        </w:rPr>
        <w:t>(S)</w:t>
      </w:r>
      <w:r w:rsidRPr="00FA6AE5">
        <w:rPr>
          <w:sz w:val="28"/>
          <w:szCs w:val="28"/>
        </w:rPr>
        <w:t xml:space="preserve">, 12-1809(O), and 12-1810(O). The procedures to be followed are set forth in A.R.S. § 22-261 for justice courts, are made applicable to municipal courts by A.R.S. § </w:t>
      </w:r>
      <w:proofErr w:type="gramStart"/>
      <w:r w:rsidRPr="00FA6AE5">
        <w:rPr>
          <w:sz w:val="28"/>
          <w:szCs w:val="28"/>
        </w:rPr>
        <w:t>22-425, and</w:t>
      </w:r>
      <w:proofErr w:type="gramEnd"/>
      <w:r w:rsidRPr="00FA6AE5">
        <w:rPr>
          <w:sz w:val="28"/>
          <w:szCs w:val="28"/>
        </w:rPr>
        <w:t xml:space="preserve"> are governed by the </w:t>
      </w:r>
      <w:r w:rsidRPr="00FA6AE5">
        <w:rPr>
          <w:i/>
          <w:sz w:val="28"/>
          <w:szCs w:val="28"/>
        </w:rPr>
        <w:t>Superior Court Rules on Appellate Procedure-Civil</w:t>
      </w:r>
      <w:r w:rsidRPr="00FA6AE5">
        <w:rPr>
          <w:sz w:val="28"/>
          <w:szCs w:val="28"/>
        </w:rPr>
        <w:t>.</w:t>
      </w:r>
    </w:p>
    <w:sectPr w:rsidR="00D379C1" w:rsidRPr="00FA6AE5" w:rsidSect="005D1098">
      <w:footerReference w:type="default" r:id="rId12"/>
      <w:footerReference w:type="first" r:id="rId13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9977" w14:textId="77777777" w:rsidR="00693151" w:rsidRDefault="00693151" w:rsidP="00976726">
      <w:r>
        <w:separator/>
      </w:r>
    </w:p>
  </w:endnote>
  <w:endnote w:type="continuationSeparator" w:id="0">
    <w:p w14:paraId="64BDB9A6" w14:textId="77777777" w:rsidR="00693151" w:rsidRDefault="00693151" w:rsidP="00976726">
      <w:r>
        <w:continuationSeparator/>
      </w:r>
    </w:p>
  </w:endnote>
  <w:endnote w:type="continuationNotice" w:id="1">
    <w:p w14:paraId="47100085" w14:textId="77777777" w:rsidR="00693151" w:rsidRDefault="0069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371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A3B5C" w14:textId="20DFB864" w:rsidR="001252E7" w:rsidRDefault="00125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4732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56410527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99C608C" w14:textId="6B4EC096" w:rsidR="00300A46" w:rsidRDefault="00300A46" w:rsidP="00300A46">
            <w:pPr>
              <w:pStyle w:val="Footer"/>
              <w:jc w:val="center"/>
            </w:pPr>
            <w:r>
              <w:t xml:space="preserve">Appendix A – 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122586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62E4A" w14:textId="208F2F86" w:rsidR="009B3A24" w:rsidRPr="002E7ECC" w:rsidRDefault="00300A46" w:rsidP="00CA71A5">
        <w:pPr>
          <w:pStyle w:val="Footer"/>
          <w:jc w:val="center"/>
          <w:rPr>
            <w:szCs w:val="24"/>
          </w:rPr>
        </w:pPr>
        <w:r w:rsidRPr="002E7ECC">
          <w:rPr>
            <w:szCs w:val="24"/>
          </w:rPr>
          <w:t xml:space="preserve">Appendix A – Page </w:t>
        </w:r>
        <w:r w:rsidRPr="002E7ECC">
          <w:rPr>
            <w:szCs w:val="24"/>
          </w:rPr>
          <w:fldChar w:fldCharType="begin"/>
        </w:r>
        <w:r w:rsidRPr="002E7ECC">
          <w:rPr>
            <w:szCs w:val="24"/>
          </w:rPr>
          <w:instrText xml:space="preserve"> PAGE   \* MERGEFORMAT </w:instrText>
        </w:r>
        <w:r w:rsidRPr="002E7ECC">
          <w:rPr>
            <w:szCs w:val="24"/>
          </w:rPr>
          <w:fldChar w:fldCharType="separate"/>
        </w:r>
        <w:r w:rsidRPr="002E7ECC">
          <w:rPr>
            <w:szCs w:val="24"/>
          </w:rPr>
          <w:t>1</w:t>
        </w:r>
        <w:r w:rsidRPr="002E7ECC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F4E3" w14:textId="77777777" w:rsidR="00693151" w:rsidRDefault="00693151" w:rsidP="00976726">
      <w:r>
        <w:separator/>
      </w:r>
    </w:p>
  </w:footnote>
  <w:footnote w:type="continuationSeparator" w:id="0">
    <w:p w14:paraId="4A1BBF1C" w14:textId="77777777" w:rsidR="00693151" w:rsidRDefault="00693151" w:rsidP="00976726">
      <w:r>
        <w:continuationSeparator/>
      </w:r>
    </w:p>
  </w:footnote>
  <w:footnote w:type="continuationNotice" w:id="1">
    <w:p w14:paraId="28143242" w14:textId="77777777" w:rsidR="00693151" w:rsidRDefault="00693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40CC3"/>
    <w:multiLevelType w:val="hybridMultilevel"/>
    <w:tmpl w:val="EDDCAB26"/>
    <w:lvl w:ilvl="0" w:tplc="8228BA2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22EAD"/>
    <w:multiLevelType w:val="hybridMultilevel"/>
    <w:tmpl w:val="A7260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80CEC"/>
    <w:multiLevelType w:val="hybridMultilevel"/>
    <w:tmpl w:val="2BEEB852"/>
    <w:lvl w:ilvl="0" w:tplc="A88CB13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72D0"/>
    <w:multiLevelType w:val="hybridMultilevel"/>
    <w:tmpl w:val="BDF85870"/>
    <w:lvl w:ilvl="0" w:tplc="70363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D3EBD6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F0B5C"/>
    <w:multiLevelType w:val="hybridMultilevel"/>
    <w:tmpl w:val="EC18E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DA"/>
    <w:rsid w:val="00003589"/>
    <w:rsid w:val="00003E30"/>
    <w:rsid w:val="000055CF"/>
    <w:rsid w:val="00010605"/>
    <w:rsid w:val="000147DB"/>
    <w:rsid w:val="00014D5F"/>
    <w:rsid w:val="00021CB8"/>
    <w:rsid w:val="00027183"/>
    <w:rsid w:val="0003117A"/>
    <w:rsid w:val="000412D4"/>
    <w:rsid w:val="00042876"/>
    <w:rsid w:val="0004326F"/>
    <w:rsid w:val="00043FEA"/>
    <w:rsid w:val="00053ED5"/>
    <w:rsid w:val="000566BA"/>
    <w:rsid w:val="00056955"/>
    <w:rsid w:val="0005773C"/>
    <w:rsid w:val="0006464C"/>
    <w:rsid w:val="00064E80"/>
    <w:rsid w:val="00073D45"/>
    <w:rsid w:val="000766E6"/>
    <w:rsid w:val="000768A4"/>
    <w:rsid w:val="00095774"/>
    <w:rsid w:val="000A1BFC"/>
    <w:rsid w:val="000A1E6C"/>
    <w:rsid w:val="000A27B9"/>
    <w:rsid w:val="000B0F9B"/>
    <w:rsid w:val="000B1CAF"/>
    <w:rsid w:val="000B2B1A"/>
    <w:rsid w:val="000E7029"/>
    <w:rsid w:val="000F10BA"/>
    <w:rsid w:val="000F2385"/>
    <w:rsid w:val="001042DC"/>
    <w:rsid w:val="001058C8"/>
    <w:rsid w:val="00105E9D"/>
    <w:rsid w:val="00111AF9"/>
    <w:rsid w:val="00114F54"/>
    <w:rsid w:val="00117B02"/>
    <w:rsid w:val="00117D2B"/>
    <w:rsid w:val="001252E7"/>
    <w:rsid w:val="001332F7"/>
    <w:rsid w:val="00142009"/>
    <w:rsid w:val="00151465"/>
    <w:rsid w:val="001514C1"/>
    <w:rsid w:val="00152379"/>
    <w:rsid w:val="00152536"/>
    <w:rsid w:val="001547F7"/>
    <w:rsid w:val="00160EA4"/>
    <w:rsid w:val="001731F5"/>
    <w:rsid w:val="00174DFB"/>
    <w:rsid w:val="0017601D"/>
    <w:rsid w:val="00185ED0"/>
    <w:rsid w:val="00187B2F"/>
    <w:rsid w:val="001910BA"/>
    <w:rsid w:val="001942FC"/>
    <w:rsid w:val="0019590E"/>
    <w:rsid w:val="001B4380"/>
    <w:rsid w:val="001C693D"/>
    <w:rsid w:val="001E2092"/>
    <w:rsid w:val="001E2B22"/>
    <w:rsid w:val="001E71B7"/>
    <w:rsid w:val="001F0D92"/>
    <w:rsid w:val="001F2DBE"/>
    <w:rsid w:val="001F779A"/>
    <w:rsid w:val="00205E2C"/>
    <w:rsid w:val="00213125"/>
    <w:rsid w:val="002134AF"/>
    <w:rsid w:val="00214B4B"/>
    <w:rsid w:val="00226729"/>
    <w:rsid w:val="002300E0"/>
    <w:rsid w:val="00242D62"/>
    <w:rsid w:val="00253F5D"/>
    <w:rsid w:val="00275D1D"/>
    <w:rsid w:val="002766A3"/>
    <w:rsid w:val="00277EBC"/>
    <w:rsid w:val="002814EE"/>
    <w:rsid w:val="002817A3"/>
    <w:rsid w:val="00281A06"/>
    <w:rsid w:val="00281AAD"/>
    <w:rsid w:val="00281BF8"/>
    <w:rsid w:val="002869CB"/>
    <w:rsid w:val="002914AB"/>
    <w:rsid w:val="00291C4D"/>
    <w:rsid w:val="00295569"/>
    <w:rsid w:val="00296E6B"/>
    <w:rsid w:val="002A0D60"/>
    <w:rsid w:val="002A69F6"/>
    <w:rsid w:val="002B0E0B"/>
    <w:rsid w:val="002B1DB3"/>
    <w:rsid w:val="002C7CDA"/>
    <w:rsid w:val="002D2687"/>
    <w:rsid w:val="002E7ECC"/>
    <w:rsid w:val="002F4F0C"/>
    <w:rsid w:val="00300A46"/>
    <w:rsid w:val="00302180"/>
    <w:rsid w:val="003059F5"/>
    <w:rsid w:val="00311163"/>
    <w:rsid w:val="00313032"/>
    <w:rsid w:val="00313A01"/>
    <w:rsid w:val="00316C69"/>
    <w:rsid w:val="00317036"/>
    <w:rsid w:val="0031762A"/>
    <w:rsid w:val="00333213"/>
    <w:rsid w:val="003362B8"/>
    <w:rsid w:val="00337BCE"/>
    <w:rsid w:val="00346D89"/>
    <w:rsid w:val="0035420A"/>
    <w:rsid w:val="003571CF"/>
    <w:rsid w:val="003613F0"/>
    <w:rsid w:val="00367919"/>
    <w:rsid w:val="00380947"/>
    <w:rsid w:val="00381098"/>
    <w:rsid w:val="003855D9"/>
    <w:rsid w:val="00386927"/>
    <w:rsid w:val="00396C0E"/>
    <w:rsid w:val="003B280B"/>
    <w:rsid w:val="003C25F5"/>
    <w:rsid w:val="003C4825"/>
    <w:rsid w:val="003E11DB"/>
    <w:rsid w:val="003E1D54"/>
    <w:rsid w:val="003F70D4"/>
    <w:rsid w:val="00403869"/>
    <w:rsid w:val="0040586C"/>
    <w:rsid w:val="004145F2"/>
    <w:rsid w:val="004149A1"/>
    <w:rsid w:val="00425659"/>
    <w:rsid w:val="00425D02"/>
    <w:rsid w:val="0042795F"/>
    <w:rsid w:val="00444038"/>
    <w:rsid w:val="00444395"/>
    <w:rsid w:val="00447E0B"/>
    <w:rsid w:val="004502A0"/>
    <w:rsid w:val="00454128"/>
    <w:rsid w:val="00457CBA"/>
    <w:rsid w:val="00457D61"/>
    <w:rsid w:val="004707E1"/>
    <w:rsid w:val="004719F5"/>
    <w:rsid w:val="00472366"/>
    <w:rsid w:val="00472757"/>
    <w:rsid w:val="00481DA6"/>
    <w:rsid w:val="004859A3"/>
    <w:rsid w:val="00492C41"/>
    <w:rsid w:val="004955E1"/>
    <w:rsid w:val="00497CD3"/>
    <w:rsid w:val="004A18E8"/>
    <w:rsid w:val="004A529B"/>
    <w:rsid w:val="004C0A38"/>
    <w:rsid w:val="004C1CA7"/>
    <w:rsid w:val="004C3D0B"/>
    <w:rsid w:val="004C6319"/>
    <w:rsid w:val="004D0BF7"/>
    <w:rsid w:val="004D2AD8"/>
    <w:rsid w:val="004D3403"/>
    <w:rsid w:val="004D5DF6"/>
    <w:rsid w:val="004D62D2"/>
    <w:rsid w:val="004E4B75"/>
    <w:rsid w:val="004F7B5B"/>
    <w:rsid w:val="005019DA"/>
    <w:rsid w:val="005042BA"/>
    <w:rsid w:val="00505C7E"/>
    <w:rsid w:val="00507032"/>
    <w:rsid w:val="00510AF5"/>
    <w:rsid w:val="00515D70"/>
    <w:rsid w:val="00523894"/>
    <w:rsid w:val="00531476"/>
    <w:rsid w:val="0053308B"/>
    <w:rsid w:val="00533EDB"/>
    <w:rsid w:val="005367DC"/>
    <w:rsid w:val="00542F1A"/>
    <w:rsid w:val="00551CE1"/>
    <w:rsid w:val="00560134"/>
    <w:rsid w:val="00572521"/>
    <w:rsid w:val="0057431B"/>
    <w:rsid w:val="005857BA"/>
    <w:rsid w:val="00596BA6"/>
    <w:rsid w:val="005A5CCA"/>
    <w:rsid w:val="005D1098"/>
    <w:rsid w:val="005E3EB6"/>
    <w:rsid w:val="005F1101"/>
    <w:rsid w:val="005F497D"/>
    <w:rsid w:val="005F5A92"/>
    <w:rsid w:val="00603258"/>
    <w:rsid w:val="00604707"/>
    <w:rsid w:val="00605BD1"/>
    <w:rsid w:val="006069CD"/>
    <w:rsid w:val="00607CEC"/>
    <w:rsid w:val="006106F1"/>
    <w:rsid w:val="006361C7"/>
    <w:rsid w:val="00640471"/>
    <w:rsid w:val="00641FE0"/>
    <w:rsid w:val="00643999"/>
    <w:rsid w:val="0065036C"/>
    <w:rsid w:val="006526D8"/>
    <w:rsid w:val="00653487"/>
    <w:rsid w:val="006608B5"/>
    <w:rsid w:val="00664E4C"/>
    <w:rsid w:val="00671ECE"/>
    <w:rsid w:val="006763DC"/>
    <w:rsid w:val="00676F61"/>
    <w:rsid w:val="006843CB"/>
    <w:rsid w:val="00692944"/>
    <w:rsid w:val="00693151"/>
    <w:rsid w:val="006943E5"/>
    <w:rsid w:val="006B1D8A"/>
    <w:rsid w:val="006B1F49"/>
    <w:rsid w:val="006B7D5C"/>
    <w:rsid w:val="006D2D54"/>
    <w:rsid w:val="006F4101"/>
    <w:rsid w:val="006F603A"/>
    <w:rsid w:val="00703AF1"/>
    <w:rsid w:val="00711FDC"/>
    <w:rsid w:val="00716C09"/>
    <w:rsid w:val="00726387"/>
    <w:rsid w:val="00727318"/>
    <w:rsid w:val="0075021C"/>
    <w:rsid w:val="007555A6"/>
    <w:rsid w:val="00762C33"/>
    <w:rsid w:val="00783774"/>
    <w:rsid w:val="00796295"/>
    <w:rsid w:val="007A25D8"/>
    <w:rsid w:val="007A4C18"/>
    <w:rsid w:val="007B0F64"/>
    <w:rsid w:val="007B3BCE"/>
    <w:rsid w:val="007C03E7"/>
    <w:rsid w:val="007C6811"/>
    <w:rsid w:val="007D23DA"/>
    <w:rsid w:val="007E4080"/>
    <w:rsid w:val="007F001A"/>
    <w:rsid w:val="00810EDC"/>
    <w:rsid w:val="00813D23"/>
    <w:rsid w:val="00816F9B"/>
    <w:rsid w:val="00820B9F"/>
    <w:rsid w:val="0082579F"/>
    <w:rsid w:val="00845051"/>
    <w:rsid w:val="008465D1"/>
    <w:rsid w:val="008542F2"/>
    <w:rsid w:val="00855390"/>
    <w:rsid w:val="008617F1"/>
    <w:rsid w:val="00861FCE"/>
    <w:rsid w:val="00867BA8"/>
    <w:rsid w:val="00870A92"/>
    <w:rsid w:val="0087335E"/>
    <w:rsid w:val="0087623A"/>
    <w:rsid w:val="00890785"/>
    <w:rsid w:val="008908D6"/>
    <w:rsid w:val="008934A7"/>
    <w:rsid w:val="008964E8"/>
    <w:rsid w:val="008A37EE"/>
    <w:rsid w:val="008A7051"/>
    <w:rsid w:val="008B0C84"/>
    <w:rsid w:val="008B2312"/>
    <w:rsid w:val="008B2BAE"/>
    <w:rsid w:val="008C2756"/>
    <w:rsid w:val="008C27CA"/>
    <w:rsid w:val="008D68CA"/>
    <w:rsid w:val="009104E2"/>
    <w:rsid w:val="009106F2"/>
    <w:rsid w:val="00920C1C"/>
    <w:rsid w:val="00921063"/>
    <w:rsid w:val="009211AD"/>
    <w:rsid w:val="00927AF9"/>
    <w:rsid w:val="00927E23"/>
    <w:rsid w:val="009367A3"/>
    <w:rsid w:val="00947941"/>
    <w:rsid w:val="00956056"/>
    <w:rsid w:val="00960ED8"/>
    <w:rsid w:val="0096457C"/>
    <w:rsid w:val="00964598"/>
    <w:rsid w:val="00964CDD"/>
    <w:rsid w:val="00965212"/>
    <w:rsid w:val="00970339"/>
    <w:rsid w:val="009754C6"/>
    <w:rsid w:val="00976726"/>
    <w:rsid w:val="00983C01"/>
    <w:rsid w:val="00987252"/>
    <w:rsid w:val="00992654"/>
    <w:rsid w:val="009934C1"/>
    <w:rsid w:val="00995273"/>
    <w:rsid w:val="00997FE0"/>
    <w:rsid w:val="009A0457"/>
    <w:rsid w:val="009A3052"/>
    <w:rsid w:val="009A343C"/>
    <w:rsid w:val="009A414B"/>
    <w:rsid w:val="009B037E"/>
    <w:rsid w:val="009B1B64"/>
    <w:rsid w:val="009B3A24"/>
    <w:rsid w:val="009B6899"/>
    <w:rsid w:val="009C2B9A"/>
    <w:rsid w:val="009D5671"/>
    <w:rsid w:val="009D5B4F"/>
    <w:rsid w:val="009D5FF6"/>
    <w:rsid w:val="009E690E"/>
    <w:rsid w:val="009E6B97"/>
    <w:rsid w:val="009F27AA"/>
    <w:rsid w:val="009F47C5"/>
    <w:rsid w:val="00A11F75"/>
    <w:rsid w:val="00A16165"/>
    <w:rsid w:val="00A20420"/>
    <w:rsid w:val="00A2173B"/>
    <w:rsid w:val="00A24567"/>
    <w:rsid w:val="00A25FCE"/>
    <w:rsid w:val="00A26CAC"/>
    <w:rsid w:val="00A40539"/>
    <w:rsid w:val="00A41F0B"/>
    <w:rsid w:val="00A42AFA"/>
    <w:rsid w:val="00A457AF"/>
    <w:rsid w:val="00A467D3"/>
    <w:rsid w:val="00A532AA"/>
    <w:rsid w:val="00A5444E"/>
    <w:rsid w:val="00A603BC"/>
    <w:rsid w:val="00A633F4"/>
    <w:rsid w:val="00A64627"/>
    <w:rsid w:val="00A72783"/>
    <w:rsid w:val="00A75D3B"/>
    <w:rsid w:val="00A87AB4"/>
    <w:rsid w:val="00A91974"/>
    <w:rsid w:val="00A93524"/>
    <w:rsid w:val="00A9680B"/>
    <w:rsid w:val="00AB009B"/>
    <w:rsid w:val="00AC4D24"/>
    <w:rsid w:val="00AC634B"/>
    <w:rsid w:val="00AD3C59"/>
    <w:rsid w:val="00AD405B"/>
    <w:rsid w:val="00AD414C"/>
    <w:rsid w:val="00AD6DCF"/>
    <w:rsid w:val="00AE0980"/>
    <w:rsid w:val="00AE1FA2"/>
    <w:rsid w:val="00AF510C"/>
    <w:rsid w:val="00AF536A"/>
    <w:rsid w:val="00B02CD2"/>
    <w:rsid w:val="00B10AAB"/>
    <w:rsid w:val="00B11C0E"/>
    <w:rsid w:val="00B214AC"/>
    <w:rsid w:val="00B25D76"/>
    <w:rsid w:val="00B34049"/>
    <w:rsid w:val="00B36811"/>
    <w:rsid w:val="00B369E0"/>
    <w:rsid w:val="00B36E2D"/>
    <w:rsid w:val="00B3791B"/>
    <w:rsid w:val="00B5050B"/>
    <w:rsid w:val="00B53B93"/>
    <w:rsid w:val="00B67CB8"/>
    <w:rsid w:val="00B75779"/>
    <w:rsid w:val="00B76405"/>
    <w:rsid w:val="00B818DE"/>
    <w:rsid w:val="00B830E0"/>
    <w:rsid w:val="00B83DBF"/>
    <w:rsid w:val="00BA1A10"/>
    <w:rsid w:val="00BA2C24"/>
    <w:rsid w:val="00BB69D4"/>
    <w:rsid w:val="00BC2D5D"/>
    <w:rsid w:val="00BF2E7B"/>
    <w:rsid w:val="00BF432C"/>
    <w:rsid w:val="00C07DE2"/>
    <w:rsid w:val="00C12A35"/>
    <w:rsid w:val="00C13B9D"/>
    <w:rsid w:val="00C2066A"/>
    <w:rsid w:val="00C2478D"/>
    <w:rsid w:val="00C3126D"/>
    <w:rsid w:val="00C326F3"/>
    <w:rsid w:val="00C34DEB"/>
    <w:rsid w:val="00C41077"/>
    <w:rsid w:val="00C42B30"/>
    <w:rsid w:val="00C45F8F"/>
    <w:rsid w:val="00C46881"/>
    <w:rsid w:val="00C51D77"/>
    <w:rsid w:val="00C53DD6"/>
    <w:rsid w:val="00C54BBF"/>
    <w:rsid w:val="00C57070"/>
    <w:rsid w:val="00C57F6D"/>
    <w:rsid w:val="00C711D4"/>
    <w:rsid w:val="00C72E7A"/>
    <w:rsid w:val="00C777DD"/>
    <w:rsid w:val="00C87994"/>
    <w:rsid w:val="00C971A5"/>
    <w:rsid w:val="00CA53A5"/>
    <w:rsid w:val="00CA58FF"/>
    <w:rsid w:val="00CA5EA5"/>
    <w:rsid w:val="00CA5FDF"/>
    <w:rsid w:val="00CA71A5"/>
    <w:rsid w:val="00CA7D04"/>
    <w:rsid w:val="00CB6809"/>
    <w:rsid w:val="00CC048D"/>
    <w:rsid w:val="00CC1901"/>
    <w:rsid w:val="00CC5636"/>
    <w:rsid w:val="00CC7DFA"/>
    <w:rsid w:val="00CD29DF"/>
    <w:rsid w:val="00CD3A91"/>
    <w:rsid w:val="00CE6720"/>
    <w:rsid w:val="00D12859"/>
    <w:rsid w:val="00D12C99"/>
    <w:rsid w:val="00D150F8"/>
    <w:rsid w:val="00D23DAA"/>
    <w:rsid w:val="00D2570C"/>
    <w:rsid w:val="00D301D9"/>
    <w:rsid w:val="00D379C1"/>
    <w:rsid w:val="00D405CB"/>
    <w:rsid w:val="00D435E0"/>
    <w:rsid w:val="00D461C5"/>
    <w:rsid w:val="00D505E3"/>
    <w:rsid w:val="00D5153A"/>
    <w:rsid w:val="00D565A3"/>
    <w:rsid w:val="00D647FE"/>
    <w:rsid w:val="00D67407"/>
    <w:rsid w:val="00D67617"/>
    <w:rsid w:val="00D708B6"/>
    <w:rsid w:val="00D71366"/>
    <w:rsid w:val="00D77179"/>
    <w:rsid w:val="00D86249"/>
    <w:rsid w:val="00DA5801"/>
    <w:rsid w:val="00DB55A1"/>
    <w:rsid w:val="00DC0AD2"/>
    <w:rsid w:val="00DC23E1"/>
    <w:rsid w:val="00DC2FDB"/>
    <w:rsid w:val="00DD48B6"/>
    <w:rsid w:val="00DD58D0"/>
    <w:rsid w:val="00DD6222"/>
    <w:rsid w:val="00DE6BBC"/>
    <w:rsid w:val="00DF0AC0"/>
    <w:rsid w:val="00DF2AE3"/>
    <w:rsid w:val="00DF2CE6"/>
    <w:rsid w:val="00DF558B"/>
    <w:rsid w:val="00E1491F"/>
    <w:rsid w:val="00E17807"/>
    <w:rsid w:val="00E238B3"/>
    <w:rsid w:val="00E25C06"/>
    <w:rsid w:val="00E3039B"/>
    <w:rsid w:val="00E371E4"/>
    <w:rsid w:val="00E434B2"/>
    <w:rsid w:val="00E52F0E"/>
    <w:rsid w:val="00E55B96"/>
    <w:rsid w:val="00E578FA"/>
    <w:rsid w:val="00E627D3"/>
    <w:rsid w:val="00E636F8"/>
    <w:rsid w:val="00E64893"/>
    <w:rsid w:val="00E84099"/>
    <w:rsid w:val="00E92D2E"/>
    <w:rsid w:val="00E93365"/>
    <w:rsid w:val="00E95697"/>
    <w:rsid w:val="00E95FE5"/>
    <w:rsid w:val="00E97EE1"/>
    <w:rsid w:val="00EB0049"/>
    <w:rsid w:val="00EB3243"/>
    <w:rsid w:val="00EC03CF"/>
    <w:rsid w:val="00EC4A08"/>
    <w:rsid w:val="00ED5BA3"/>
    <w:rsid w:val="00ED64B4"/>
    <w:rsid w:val="00ED69CB"/>
    <w:rsid w:val="00EE5FD7"/>
    <w:rsid w:val="00EF7CBB"/>
    <w:rsid w:val="00EF7DD1"/>
    <w:rsid w:val="00EF7FE0"/>
    <w:rsid w:val="00F003BD"/>
    <w:rsid w:val="00F01FFD"/>
    <w:rsid w:val="00F0222C"/>
    <w:rsid w:val="00F04DED"/>
    <w:rsid w:val="00F107E8"/>
    <w:rsid w:val="00F14369"/>
    <w:rsid w:val="00F33626"/>
    <w:rsid w:val="00F3504B"/>
    <w:rsid w:val="00F41825"/>
    <w:rsid w:val="00F42B1E"/>
    <w:rsid w:val="00F4640E"/>
    <w:rsid w:val="00F537A3"/>
    <w:rsid w:val="00F57205"/>
    <w:rsid w:val="00F637CF"/>
    <w:rsid w:val="00F64460"/>
    <w:rsid w:val="00F70E6A"/>
    <w:rsid w:val="00F81EF4"/>
    <w:rsid w:val="00F82C2C"/>
    <w:rsid w:val="00F90EE2"/>
    <w:rsid w:val="00F96823"/>
    <w:rsid w:val="00FA6AE5"/>
    <w:rsid w:val="00FA7164"/>
    <w:rsid w:val="00FB3D0B"/>
    <w:rsid w:val="00FB4635"/>
    <w:rsid w:val="00FB518F"/>
    <w:rsid w:val="00FB67E6"/>
    <w:rsid w:val="00FB7B65"/>
    <w:rsid w:val="00FC0674"/>
    <w:rsid w:val="00FC5243"/>
    <w:rsid w:val="00FE53F6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0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0E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C7CDA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7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C7CDA"/>
    <w:pPr>
      <w:keepNext/>
      <w:jc w:val="both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7CDA"/>
    <w:rPr>
      <w:rFonts w:ascii="Arial" w:eastAsia="Times New Roman" w:hAnsi="Arial"/>
      <w:b/>
      <w:szCs w:val="20"/>
    </w:rPr>
  </w:style>
  <w:style w:type="character" w:customStyle="1" w:styleId="Heading7Char">
    <w:name w:val="Heading 7 Char"/>
    <w:link w:val="Heading7"/>
    <w:rsid w:val="002C7CDA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C7C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7CDA"/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059F5"/>
    <w:pPr>
      <w:jc w:val="both"/>
    </w:pPr>
    <w:rPr>
      <w:sz w:val="28"/>
    </w:rPr>
  </w:style>
  <w:style w:type="character" w:customStyle="1" w:styleId="BodyTextChar">
    <w:name w:val="Body Text Char"/>
    <w:link w:val="BodyText"/>
    <w:rsid w:val="003059F5"/>
    <w:rPr>
      <w:rFonts w:eastAsia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425D02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976726"/>
    <w:rPr>
      <w:rFonts w:ascii="Cambria" w:eastAsia="Times New Roman" w:hAnsi="Cambria" w:cs="Times New Roman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726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76726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9767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5C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5C7E"/>
    <w:rPr>
      <w:rFonts w:eastAsia="Times New Roman"/>
      <w:sz w:val="24"/>
    </w:rPr>
  </w:style>
  <w:style w:type="character" w:styleId="Hyperlink">
    <w:name w:val="Hyperlink"/>
    <w:uiPriority w:val="99"/>
    <w:unhideWhenUsed/>
    <w:rsid w:val="006B1D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62C3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11D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9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379C1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379C1"/>
    <w:rPr>
      <w:rFonts w:ascii="Calibri" w:eastAsia="Times New Roman" w:hAnsi="Calibri"/>
    </w:rPr>
  </w:style>
  <w:style w:type="character" w:styleId="PlaceholderText">
    <w:name w:val="Placeholder Text"/>
    <w:uiPriority w:val="99"/>
    <w:semiHidden/>
    <w:rsid w:val="00D379C1"/>
    <w:rPr>
      <w:color w:val="808080"/>
    </w:rPr>
  </w:style>
  <w:style w:type="character" w:styleId="CommentReference">
    <w:name w:val="annotation reference"/>
    <w:uiPriority w:val="99"/>
    <w:semiHidden/>
    <w:unhideWhenUsed/>
    <w:rsid w:val="00D379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C1"/>
    <w:pPr>
      <w:spacing w:after="160"/>
    </w:pPr>
    <w:rPr>
      <w:rFonts w:ascii="Times New Roman" w:eastAsia="Calibri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9C1"/>
    <w:rPr>
      <w:rFonts w:ascii="Calibri" w:eastAsia="Times New Roman" w:hAnsi="Calibr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79C1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D379C1"/>
    <w:rPr>
      <w:rFonts w:ascii="Calibri" w:hAnsi="Calibri" w:cs="Consolas"/>
      <w:sz w:val="24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7236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16C0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B0049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EB004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jects2@courts.az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Projects2@courts.az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F0A29F-FA19-4C80-802A-81277DD9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2021-06-11T16:43:00Z</dcterms:created>
  <dcterms:modified xsi:type="dcterms:W3CDTF">2021-06-11T16:49:00Z</dcterms:modified>
</cp:coreProperties>
</file>