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C18EE" w14:textId="7759326F" w:rsidR="00827D7F" w:rsidRPr="00E6160D" w:rsidRDefault="00EF66E4" w:rsidP="001477A4">
      <w:pPr>
        <w:jc w:val="both"/>
        <w:rPr>
          <w:sz w:val="28"/>
          <w:szCs w:val="28"/>
        </w:rPr>
      </w:pPr>
      <w:bookmarkStart w:id="0" w:name="_Hlk532889440"/>
      <w:bookmarkStart w:id="1" w:name="_Hlk532825433"/>
      <w:r w:rsidRPr="00E6160D">
        <w:rPr>
          <w:sz w:val="28"/>
          <w:szCs w:val="28"/>
        </w:rPr>
        <w:t>Kevin Kane</w:t>
      </w:r>
      <w:r w:rsidR="005A64AD">
        <w:rPr>
          <w:sz w:val="28"/>
          <w:szCs w:val="28"/>
        </w:rPr>
        <w:t>, AZ State Bar #014498</w:t>
      </w:r>
    </w:p>
    <w:p w14:paraId="690538DA" w14:textId="12CAB694" w:rsidR="00827D7F" w:rsidRPr="00E6160D" w:rsidRDefault="00EF66E4" w:rsidP="001477A4">
      <w:pPr>
        <w:jc w:val="both"/>
        <w:rPr>
          <w:sz w:val="28"/>
          <w:szCs w:val="28"/>
        </w:rPr>
      </w:pPr>
      <w:r w:rsidRPr="00E6160D">
        <w:rPr>
          <w:sz w:val="28"/>
          <w:szCs w:val="28"/>
        </w:rPr>
        <w:t>Presiding Judge, Tempe Municipal Court</w:t>
      </w:r>
    </w:p>
    <w:p w14:paraId="05CB1221" w14:textId="31D3C9E3" w:rsidR="00DF4A9D" w:rsidRPr="00E6160D" w:rsidRDefault="0079572B" w:rsidP="001477A4">
      <w:pPr>
        <w:jc w:val="both"/>
        <w:rPr>
          <w:sz w:val="28"/>
          <w:szCs w:val="28"/>
        </w:rPr>
      </w:pPr>
      <w:r>
        <w:rPr>
          <w:sz w:val="28"/>
          <w:szCs w:val="28"/>
        </w:rPr>
        <w:t>LJC Forms Subcommittee Chair</w:t>
      </w:r>
    </w:p>
    <w:p w14:paraId="0862ED99" w14:textId="741BF9C8" w:rsidR="00827D7F" w:rsidRPr="00E6160D" w:rsidRDefault="00EF66E4" w:rsidP="001477A4">
      <w:pPr>
        <w:jc w:val="both"/>
        <w:rPr>
          <w:sz w:val="28"/>
          <w:szCs w:val="28"/>
        </w:rPr>
      </w:pPr>
      <w:r w:rsidRPr="00E6160D">
        <w:rPr>
          <w:sz w:val="28"/>
          <w:szCs w:val="28"/>
        </w:rPr>
        <w:t>140 E. 5</w:t>
      </w:r>
      <w:r w:rsidRPr="00E6160D">
        <w:rPr>
          <w:sz w:val="28"/>
          <w:szCs w:val="28"/>
          <w:vertAlign w:val="superscript"/>
        </w:rPr>
        <w:t>th</w:t>
      </w:r>
      <w:r w:rsidRPr="00E6160D">
        <w:rPr>
          <w:sz w:val="28"/>
          <w:szCs w:val="28"/>
        </w:rPr>
        <w:t xml:space="preserve"> Street</w:t>
      </w:r>
    </w:p>
    <w:p w14:paraId="5641B75C" w14:textId="5F302F4A" w:rsidR="00827D7F" w:rsidRDefault="00EF66E4" w:rsidP="001477A4">
      <w:pPr>
        <w:jc w:val="both"/>
        <w:rPr>
          <w:sz w:val="28"/>
          <w:szCs w:val="28"/>
        </w:rPr>
      </w:pPr>
      <w:r w:rsidRPr="00E6160D">
        <w:rPr>
          <w:sz w:val="28"/>
          <w:szCs w:val="28"/>
        </w:rPr>
        <w:t>Tempe, AZ 85280</w:t>
      </w:r>
      <w:r w:rsidR="009F3CDF">
        <w:rPr>
          <w:sz w:val="28"/>
          <w:szCs w:val="28"/>
        </w:rPr>
        <w:tab/>
      </w:r>
      <w:r w:rsidR="009F3CDF">
        <w:rPr>
          <w:sz w:val="28"/>
          <w:szCs w:val="28"/>
        </w:rPr>
        <w:br/>
        <w:t>Fax #: (480) 350-8581</w:t>
      </w:r>
    </w:p>
    <w:p w14:paraId="56931F72" w14:textId="5FE8FF94" w:rsidR="00144372" w:rsidRPr="00E6160D" w:rsidRDefault="00144372" w:rsidP="001477A4">
      <w:pPr>
        <w:jc w:val="both"/>
        <w:rPr>
          <w:sz w:val="28"/>
          <w:szCs w:val="28"/>
        </w:rPr>
      </w:pPr>
      <w:r>
        <w:rPr>
          <w:sz w:val="28"/>
          <w:szCs w:val="28"/>
        </w:rPr>
        <w:t>Kevin_Kane@tempe.gov</w:t>
      </w:r>
    </w:p>
    <w:p w14:paraId="7DBB8736" w14:textId="28288797" w:rsidR="00B31C62" w:rsidRDefault="005A64AD" w:rsidP="001477A4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Joining:</w:t>
      </w:r>
      <w:r w:rsidR="009D262B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Brett Eisele</w:t>
      </w:r>
      <w:r w:rsidR="00F855F6">
        <w:rPr>
          <w:sz w:val="28"/>
          <w:szCs w:val="28"/>
        </w:rPr>
        <w:tab/>
      </w:r>
      <w:r w:rsidR="00F855F6">
        <w:rPr>
          <w:sz w:val="28"/>
          <w:szCs w:val="28"/>
        </w:rPr>
        <w:br/>
      </w:r>
      <w:r w:rsidR="00603CBD">
        <w:rPr>
          <w:sz w:val="28"/>
          <w:szCs w:val="28"/>
        </w:rPr>
        <w:t>Justice of the Peac</w:t>
      </w:r>
      <w:r w:rsidR="00F855F6">
        <w:rPr>
          <w:sz w:val="28"/>
          <w:szCs w:val="28"/>
        </w:rPr>
        <w:t xml:space="preserve">e, </w:t>
      </w:r>
      <w:r w:rsidR="00FE5EE9">
        <w:rPr>
          <w:sz w:val="28"/>
          <w:szCs w:val="28"/>
        </w:rPr>
        <w:t>Precinct 3</w:t>
      </w:r>
      <w:r w:rsidR="00FA680C">
        <w:rPr>
          <w:sz w:val="28"/>
          <w:szCs w:val="28"/>
        </w:rPr>
        <w:tab/>
      </w:r>
      <w:r w:rsidR="00FA680C">
        <w:rPr>
          <w:sz w:val="28"/>
          <w:szCs w:val="28"/>
        </w:rPr>
        <w:br/>
      </w:r>
      <w:r w:rsidR="00FE5EE9">
        <w:rPr>
          <w:sz w:val="28"/>
          <w:szCs w:val="28"/>
        </w:rPr>
        <w:t>Central Pinal Justice Court</w:t>
      </w:r>
      <w:r w:rsidR="00FE5EE9">
        <w:rPr>
          <w:sz w:val="28"/>
          <w:szCs w:val="28"/>
        </w:rPr>
        <w:tab/>
      </w:r>
      <w:r w:rsidR="00FE5EE9">
        <w:rPr>
          <w:sz w:val="28"/>
          <w:szCs w:val="28"/>
        </w:rPr>
        <w:br/>
        <w:t>Member of LJC</w:t>
      </w:r>
      <w:r w:rsidR="00FE5EE9">
        <w:rPr>
          <w:sz w:val="28"/>
          <w:szCs w:val="28"/>
        </w:rPr>
        <w:tab/>
      </w:r>
      <w:r w:rsidR="00FE5EE9">
        <w:rPr>
          <w:sz w:val="28"/>
          <w:szCs w:val="28"/>
        </w:rPr>
        <w:tab/>
      </w:r>
      <w:r w:rsidR="00FE5EE9">
        <w:rPr>
          <w:sz w:val="28"/>
          <w:szCs w:val="28"/>
        </w:rPr>
        <w:br/>
      </w:r>
      <w:r w:rsidR="00FE5EE9">
        <w:rPr>
          <w:sz w:val="28"/>
          <w:szCs w:val="28"/>
        </w:rPr>
        <w:br/>
        <w:t>Laine McDonald</w:t>
      </w:r>
      <w:r w:rsidR="00FE5EE9">
        <w:rPr>
          <w:sz w:val="28"/>
          <w:szCs w:val="28"/>
        </w:rPr>
        <w:tab/>
      </w:r>
      <w:r w:rsidR="00FE5EE9">
        <w:rPr>
          <w:sz w:val="28"/>
          <w:szCs w:val="28"/>
        </w:rPr>
        <w:br/>
        <w:t>Town Magistrate</w:t>
      </w:r>
      <w:r w:rsidR="0030250C">
        <w:rPr>
          <w:sz w:val="28"/>
          <w:szCs w:val="28"/>
        </w:rPr>
        <w:t>, Town of Marana</w:t>
      </w:r>
      <w:r w:rsidR="0030250C">
        <w:rPr>
          <w:sz w:val="28"/>
          <w:szCs w:val="28"/>
        </w:rPr>
        <w:tab/>
      </w:r>
      <w:r w:rsidR="0030250C">
        <w:rPr>
          <w:sz w:val="28"/>
          <w:szCs w:val="28"/>
        </w:rPr>
        <w:br/>
        <w:t>Member of LJC</w:t>
      </w:r>
    </w:p>
    <w:p w14:paraId="7433A5F9" w14:textId="77777777" w:rsidR="00B31C62" w:rsidRPr="00E6160D" w:rsidRDefault="00B31C62" w:rsidP="001477A4">
      <w:pPr>
        <w:jc w:val="both"/>
        <w:rPr>
          <w:sz w:val="28"/>
          <w:szCs w:val="28"/>
        </w:rPr>
      </w:pPr>
    </w:p>
    <w:p w14:paraId="13A8D056" w14:textId="77777777" w:rsidR="00827D7F" w:rsidRPr="00E6160D" w:rsidRDefault="00827D7F" w:rsidP="001477A4">
      <w:pPr>
        <w:jc w:val="both"/>
        <w:rPr>
          <w:sz w:val="28"/>
          <w:szCs w:val="28"/>
        </w:rPr>
      </w:pPr>
    </w:p>
    <w:p w14:paraId="4E4D3E05" w14:textId="77777777" w:rsidR="00827D7F" w:rsidRPr="00E6160D" w:rsidRDefault="00827D7F" w:rsidP="0018604C">
      <w:pPr>
        <w:spacing w:line="480" w:lineRule="auto"/>
        <w:jc w:val="center"/>
        <w:rPr>
          <w:sz w:val="28"/>
          <w:szCs w:val="28"/>
        </w:rPr>
      </w:pPr>
      <w:r w:rsidRPr="00E6160D">
        <w:rPr>
          <w:sz w:val="28"/>
          <w:szCs w:val="28"/>
        </w:rPr>
        <w:t>IN THE SUPREME COURT</w:t>
      </w:r>
    </w:p>
    <w:p w14:paraId="04512A4D" w14:textId="77777777" w:rsidR="00827D7F" w:rsidRPr="00E6160D" w:rsidRDefault="00827D7F" w:rsidP="0018604C">
      <w:pPr>
        <w:spacing w:line="480" w:lineRule="auto"/>
        <w:jc w:val="center"/>
        <w:rPr>
          <w:sz w:val="28"/>
          <w:szCs w:val="28"/>
        </w:rPr>
      </w:pPr>
      <w:r w:rsidRPr="00E6160D">
        <w:rPr>
          <w:sz w:val="28"/>
          <w:szCs w:val="28"/>
        </w:rPr>
        <w:t>STATE OF ARIZONA</w:t>
      </w:r>
    </w:p>
    <w:p w14:paraId="38D06F57" w14:textId="77777777" w:rsidR="00827D7F" w:rsidRPr="00E6160D" w:rsidRDefault="00827D7F" w:rsidP="001477A4">
      <w:pPr>
        <w:tabs>
          <w:tab w:val="left" w:pos="4320"/>
          <w:tab w:val="left" w:pos="5040"/>
        </w:tabs>
        <w:jc w:val="both"/>
        <w:rPr>
          <w:sz w:val="28"/>
          <w:szCs w:val="28"/>
        </w:rPr>
      </w:pPr>
    </w:p>
    <w:p w14:paraId="208ED147" w14:textId="53124C55" w:rsidR="008908FB" w:rsidRPr="00E6160D" w:rsidRDefault="001477A4" w:rsidP="001477A4">
      <w:pPr>
        <w:tabs>
          <w:tab w:val="left" w:pos="4320"/>
          <w:tab w:val="left" w:pos="5040"/>
        </w:tabs>
        <w:jc w:val="both"/>
        <w:rPr>
          <w:sz w:val="28"/>
          <w:szCs w:val="28"/>
        </w:rPr>
      </w:pPr>
      <w:r w:rsidRPr="00E6160D">
        <w:rPr>
          <w:sz w:val="28"/>
          <w:szCs w:val="28"/>
        </w:rPr>
        <w:t xml:space="preserve">PETITION TO AMEND RULE </w:t>
      </w:r>
      <w:r w:rsidR="00EF66E4" w:rsidRPr="00E6160D">
        <w:rPr>
          <w:sz w:val="28"/>
          <w:szCs w:val="28"/>
        </w:rPr>
        <w:t>FORM 5</w:t>
      </w:r>
      <w:r w:rsidR="00F01C37" w:rsidRPr="00E6160D">
        <w:rPr>
          <w:sz w:val="28"/>
          <w:szCs w:val="28"/>
        </w:rPr>
        <w:t>,</w:t>
      </w:r>
      <w:r w:rsidR="00827D7F" w:rsidRPr="00E6160D">
        <w:rPr>
          <w:sz w:val="28"/>
          <w:szCs w:val="28"/>
        </w:rPr>
        <w:tab/>
      </w:r>
      <w:r w:rsidR="00482405" w:rsidRPr="00E6160D">
        <w:rPr>
          <w:sz w:val="28"/>
          <w:szCs w:val="28"/>
        </w:rPr>
        <w:t xml:space="preserve">)  </w:t>
      </w:r>
      <w:r w:rsidR="00827D7F" w:rsidRPr="00E6160D">
        <w:rPr>
          <w:sz w:val="28"/>
          <w:szCs w:val="28"/>
        </w:rPr>
        <w:t xml:space="preserve">  No. R-</w:t>
      </w:r>
      <w:r w:rsidR="00F01C37" w:rsidRPr="00E6160D">
        <w:rPr>
          <w:sz w:val="28"/>
          <w:szCs w:val="28"/>
        </w:rPr>
        <w:t>2</w:t>
      </w:r>
      <w:r w:rsidR="001735D8">
        <w:rPr>
          <w:sz w:val="28"/>
          <w:szCs w:val="28"/>
        </w:rPr>
        <w:t>1</w:t>
      </w:r>
      <w:r w:rsidR="00F01C37" w:rsidRPr="00E6160D">
        <w:rPr>
          <w:sz w:val="28"/>
          <w:szCs w:val="28"/>
        </w:rPr>
        <w:t>-</w:t>
      </w:r>
    </w:p>
    <w:p w14:paraId="00833541" w14:textId="0D029872" w:rsidR="00827D7F" w:rsidRPr="00E6160D" w:rsidRDefault="001477A4" w:rsidP="001477A4">
      <w:pPr>
        <w:tabs>
          <w:tab w:val="left" w:pos="4320"/>
          <w:tab w:val="left" w:pos="5040"/>
        </w:tabs>
        <w:jc w:val="both"/>
        <w:rPr>
          <w:sz w:val="28"/>
          <w:szCs w:val="28"/>
        </w:rPr>
      </w:pPr>
      <w:r w:rsidRPr="00E6160D">
        <w:rPr>
          <w:sz w:val="28"/>
          <w:szCs w:val="28"/>
        </w:rPr>
        <w:t>ARIZONA RULES OF</w:t>
      </w:r>
      <w:r w:rsidR="008908FB" w:rsidRPr="00E6160D">
        <w:rPr>
          <w:sz w:val="28"/>
          <w:szCs w:val="28"/>
        </w:rPr>
        <w:t xml:space="preserve"> CRIMINAL</w:t>
      </w:r>
      <w:r w:rsidRPr="00E6160D">
        <w:rPr>
          <w:sz w:val="28"/>
          <w:szCs w:val="28"/>
        </w:rPr>
        <w:tab/>
      </w:r>
      <w:r w:rsidRPr="00E6160D">
        <w:rPr>
          <w:sz w:val="28"/>
          <w:szCs w:val="28"/>
        </w:rPr>
        <w:tab/>
        <w:t>)</w:t>
      </w:r>
    </w:p>
    <w:p w14:paraId="286C221B" w14:textId="720D3F58" w:rsidR="008908FB" w:rsidRPr="00E6160D" w:rsidRDefault="008908FB" w:rsidP="001477A4">
      <w:pPr>
        <w:tabs>
          <w:tab w:val="left" w:pos="4320"/>
          <w:tab w:val="left" w:pos="5040"/>
        </w:tabs>
        <w:jc w:val="both"/>
        <w:rPr>
          <w:sz w:val="28"/>
          <w:szCs w:val="28"/>
        </w:rPr>
      </w:pPr>
      <w:r w:rsidRPr="00E6160D">
        <w:rPr>
          <w:sz w:val="28"/>
          <w:szCs w:val="28"/>
        </w:rPr>
        <w:t>PROCEDURE</w:t>
      </w:r>
      <w:r w:rsidR="00307552" w:rsidRPr="00E6160D">
        <w:rPr>
          <w:sz w:val="28"/>
          <w:szCs w:val="28"/>
        </w:rPr>
        <w:t>,</w:t>
      </w:r>
      <w:r w:rsidRPr="00E6160D">
        <w:rPr>
          <w:sz w:val="28"/>
          <w:szCs w:val="28"/>
        </w:rPr>
        <w:t xml:space="preserve"> </w:t>
      </w:r>
      <w:r w:rsidR="00EF66E4" w:rsidRPr="00E6160D">
        <w:rPr>
          <w:sz w:val="28"/>
          <w:szCs w:val="28"/>
        </w:rPr>
        <w:t xml:space="preserve">TO ADD </w:t>
      </w:r>
      <w:r w:rsidR="001B4A8E">
        <w:rPr>
          <w:sz w:val="28"/>
          <w:szCs w:val="28"/>
        </w:rPr>
        <w:t xml:space="preserve">FOR LIMITED </w:t>
      </w:r>
      <w:r w:rsidR="001B4A8E">
        <w:rPr>
          <w:sz w:val="28"/>
          <w:szCs w:val="28"/>
        </w:rPr>
        <w:tab/>
      </w:r>
      <w:r w:rsidR="00915D64" w:rsidRPr="00E6160D">
        <w:rPr>
          <w:sz w:val="28"/>
          <w:szCs w:val="28"/>
        </w:rPr>
        <w:t>)</w:t>
      </w:r>
      <w:r w:rsidR="001160F8">
        <w:rPr>
          <w:sz w:val="28"/>
          <w:szCs w:val="28"/>
        </w:rPr>
        <w:br/>
        <w:t xml:space="preserve">JURISDICTION COURT USE, </w:t>
      </w:r>
      <w:r w:rsidRPr="00E6160D">
        <w:rPr>
          <w:sz w:val="28"/>
          <w:szCs w:val="28"/>
        </w:rPr>
        <w:tab/>
      </w:r>
      <w:r w:rsidR="00915D64">
        <w:rPr>
          <w:sz w:val="28"/>
          <w:szCs w:val="28"/>
        </w:rPr>
        <w:tab/>
      </w:r>
      <w:r w:rsidRPr="00E6160D">
        <w:rPr>
          <w:sz w:val="28"/>
          <w:szCs w:val="28"/>
        </w:rPr>
        <w:t>)</w:t>
      </w:r>
      <w:r w:rsidR="006937E5" w:rsidRPr="00E6160D">
        <w:rPr>
          <w:sz w:val="28"/>
          <w:szCs w:val="28"/>
        </w:rPr>
        <w:tab/>
        <w:t xml:space="preserve">Expedited Consideration and </w:t>
      </w:r>
    </w:p>
    <w:p w14:paraId="5E3FA0EE" w14:textId="3A157151" w:rsidR="008908FB" w:rsidRPr="00E6160D" w:rsidRDefault="00EF66E4" w:rsidP="001477A4">
      <w:pPr>
        <w:tabs>
          <w:tab w:val="left" w:pos="4320"/>
          <w:tab w:val="left" w:pos="5040"/>
        </w:tabs>
        <w:jc w:val="both"/>
        <w:rPr>
          <w:sz w:val="28"/>
          <w:szCs w:val="28"/>
        </w:rPr>
      </w:pPr>
      <w:r w:rsidRPr="00E6160D">
        <w:rPr>
          <w:sz w:val="28"/>
          <w:szCs w:val="28"/>
        </w:rPr>
        <w:t>FORM 5(c), DEFENDANT’S FINANCIAL</w:t>
      </w:r>
      <w:r w:rsidR="008908FB" w:rsidRPr="00E6160D">
        <w:rPr>
          <w:sz w:val="28"/>
          <w:szCs w:val="28"/>
        </w:rPr>
        <w:tab/>
        <w:t>)</w:t>
      </w:r>
      <w:r w:rsidR="006937E5" w:rsidRPr="00E6160D">
        <w:rPr>
          <w:sz w:val="28"/>
          <w:szCs w:val="28"/>
        </w:rPr>
        <w:tab/>
        <w:t>Expedited Adoption Requested</w:t>
      </w:r>
    </w:p>
    <w:p w14:paraId="246EA2F7" w14:textId="5381E79F" w:rsidR="008908FB" w:rsidRPr="00E6160D" w:rsidRDefault="00EF66E4" w:rsidP="001477A4">
      <w:pPr>
        <w:tabs>
          <w:tab w:val="left" w:pos="4320"/>
          <w:tab w:val="left" w:pos="5040"/>
        </w:tabs>
        <w:jc w:val="both"/>
        <w:rPr>
          <w:sz w:val="28"/>
          <w:szCs w:val="28"/>
        </w:rPr>
      </w:pPr>
      <w:r w:rsidRPr="00E6160D">
        <w:rPr>
          <w:sz w:val="28"/>
          <w:szCs w:val="28"/>
        </w:rPr>
        <w:t xml:space="preserve">STATEMENT AND </w:t>
      </w:r>
      <w:r w:rsidR="00474A91" w:rsidRPr="00E6160D">
        <w:rPr>
          <w:sz w:val="28"/>
          <w:szCs w:val="28"/>
        </w:rPr>
        <w:t>REQUEST FOR</w:t>
      </w:r>
      <w:r w:rsidR="008908FB" w:rsidRPr="00E6160D">
        <w:rPr>
          <w:sz w:val="28"/>
          <w:szCs w:val="28"/>
        </w:rPr>
        <w:tab/>
      </w:r>
      <w:r w:rsidR="00DF4A9D" w:rsidRPr="00E6160D">
        <w:rPr>
          <w:sz w:val="28"/>
          <w:szCs w:val="28"/>
        </w:rPr>
        <w:tab/>
      </w:r>
      <w:r w:rsidR="008908FB" w:rsidRPr="00E6160D">
        <w:rPr>
          <w:sz w:val="28"/>
          <w:szCs w:val="28"/>
        </w:rPr>
        <w:t>)</w:t>
      </w:r>
    </w:p>
    <w:p w14:paraId="449EC040" w14:textId="09A3B680" w:rsidR="00827D7F" w:rsidRPr="00E6160D" w:rsidRDefault="00EF66E4" w:rsidP="001477A4">
      <w:pPr>
        <w:tabs>
          <w:tab w:val="left" w:pos="4320"/>
          <w:tab w:val="left" w:pos="5040"/>
        </w:tabs>
        <w:jc w:val="both"/>
        <w:rPr>
          <w:sz w:val="28"/>
          <w:szCs w:val="28"/>
        </w:rPr>
      </w:pPr>
      <w:r w:rsidRPr="00E6160D">
        <w:rPr>
          <w:sz w:val="28"/>
          <w:szCs w:val="28"/>
        </w:rPr>
        <w:t>COURT-APPOINTED</w:t>
      </w:r>
      <w:r w:rsidR="00474A91" w:rsidRPr="00E6160D">
        <w:rPr>
          <w:sz w:val="28"/>
          <w:szCs w:val="28"/>
        </w:rPr>
        <w:t xml:space="preserve"> ATTORNEY</w:t>
      </w:r>
      <w:r w:rsidR="00474A91" w:rsidRPr="00E6160D">
        <w:rPr>
          <w:sz w:val="28"/>
          <w:szCs w:val="28"/>
        </w:rPr>
        <w:tab/>
      </w:r>
      <w:r w:rsidR="00827D7F" w:rsidRPr="00E6160D">
        <w:rPr>
          <w:sz w:val="28"/>
          <w:szCs w:val="28"/>
        </w:rPr>
        <w:tab/>
        <w:t>)</w:t>
      </w:r>
    </w:p>
    <w:p w14:paraId="19423597" w14:textId="3AF34B83" w:rsidR="00827D7F" w:rsidRPr="00E6160D" w:rsidRDefault="00827D7F" w:rsidP="001477A4">
      <w:pPr>
        <w:tabs>
          <w:tab w:val="left" w:pos="4320"/>
          <w:tab w:val="left" w:pos="5040"/>
        </w:tabs>
        <w:jc w:val="both"/>
        <w:rPr>
          <w:sz w:val="28"/>
          <w:szCs w:val="28"/>
        </w:rPr>
      </w:pPr>
    </w:p>
    <w:p w14:paraId="1C0E94BC" w14:textId="77777777" w:rsidR="00827D7F" w:rsidRPr="00E6160D" w:rsidRDefault="00827D7F" w:rsidP="001477A4">
      <w:pPr>
        <w:ind w:firstLine="720"/>
        <w:jc w:val="both"/>
        <w:rPr>
          <w:sz w:val="28"/>
          <w:szCs w:val="28"/>
        </w:rPr>
      </w:pPr>
    </w:p>
    <w:p w14:paraId="45924472" w14:textId="41D2743B" w:rsidR="000A2FD3" w:rsidRPr="00E6160D" w:rsidRDefault="00827D7F" w:rsidP="004F1C54">
      <w:pPr>
        <w:spacing w:line="480" w:lineRule="auto"/>
        <w:ind w:firstLine="720"/>
        <w:jc w:val="both"/>
        <w:rPr>
          <w:sz w:val="28"/>
          <w:szCs w:val="28"/>
        </w:rPr>
      </w:pPr>
      <w:r w:rsidRPr="00E6160D">
        <w:rPr>
          <w:sz w:val="28"/>
          <w:szCs w:val="28"/>
        </w:rPr>
        <w:t xml:space="preserve">Pursuant to Rule 28, Rules of the Supreme Court, Petitioner requests the Court to amend </w:t>
      </w:r>
      <w:r w:rsidR="00474A91" w:rsidRPr="00E6160D">
        <w:rPr>
          <w:sz w:val="28"/>
          <w:szCs w:val="28"/>
        </w:rPr>
        <w:t xml:space="preserve">Form 5, Arizona Rules of Criminal Procedure, </w:t>
      </w:r>
      <w:r w:rsidR="004F1C54" w:rsidRPr="00E6160D">
        <w:rPr>
          <w:sz w:val="28"/>
          <w:szCs w:val="28"/>
        </w:rPr>
        <w:t>by</w:t>
      </w:r>
      <w:r w:rsidR="00474A91" w:rsidRPr="00E6160D">
        <w:rPr>
          <w:sz w:val="28"/>
          <w:szCs w:val="28"/>
        </w:rPr>
        <w:t xml:space="preserve"> add</w:t>
      </w:r>
      <w:r w:rsidR="004F1C54" w:rsidRPr="00E6160D">
        <w:rPr>
          <w:sz w:val="28"/>
          <w:szCs w:val="28"/>
        </w:rPr>
        <w:t>ing</w:t>
      </w:r>
      <w:r w:rsidR="00474A91" w:rsidRPr="00E6160D">
        <w:rPr>
          <w:sz w:val="28"/>
          <w:szCs w:val="28"/>
        </w:rPr>
        <w:t xml:space="preserve"> </w:t>
      </w:r>
      <w:r w:rsidR="001A65F1">
        <w:rPr>
          <w:sz w:val="28"/>
          <w:szCs w:val="28"/>
        </w:rPr>
        <w:t xml:space="preserve">for Limited Jurisdiction Court (LJC) use, </w:t>
      </w:r>
      <w:r w:rsidR="00474A91" w:rsidRPr="00E6160D">
        <w:rPr>
          <w:sz w:val="28"/>
          <w:szCs w:val="28"/>
        </w:rPr>
        <w:t xml:space="preserve">the proposed Form 5(c), </w:t>
      </w:r>
      <w:r w:rsidR="00474A91" w:rsidRPr="00E6160D">
        <w:rPr>
          <w:i/>
          <w:iCs/>
          <w:sz w:val="28"/>
          <w:szCs w:val="28"/>
        </w:rPr>
        <w:t>Defendant’s Financial Statement and Request for A Court-Appointed Attorney</w:t>
      </w:r>
      <w:r w:rsidR="00FE5E76" w:rsidRPr="00E6160D">
        <w:rPr>
          <w:i/>
          <w:iCs/>
          <w:sz w:val="28"/>
          <w:szCs w:val="28"/>
        </w:rPr>
        <w:t xml:space="preserve"> </w:t>
      </w:r>
      <w:r w:rsidR="00FE5E76" w:rsidRPr="00E6160D">
        <w:rPr>
          <w:sz w:val="28"/>
          <w:szCs w:val="28"/>
        </w:rPr>
        <w:t>(attached as Appendix A)</w:t>
      </w:r>
      <w:r w:rsidR="00474A91" w:rsidRPr="00E6160D">
        <w:rPr>
          <w:sz w:val="28"/>
          <w:szCs w:val="28"/>
        </w:rPr>
        <w:t xml:space="preserve">. </w:t>
      </w:r>
      <w:r w:rsidR="006937E5" w:rsidRPr="00E6160D">
        <w:rPr>
          <w:sz w:val="28"/>
          <w:szCs w:val="28"/>
        </w:rPr>
        <w:lastRenderedPageBreak/>
        <w:t>Petitioner requests the Court’s expedited adoption of this petition</w:t>
      </w:r>
      <w:r w:rsidR="00431024" w:rsidRPr="00E6160D">
        <w:rPr>
          <w:sz w:val="28"/>
          <w:szCs w:val="28"/>
        </w:rPr>
        <w:t xml:space="preserve"> on an </w:t>
      </w:r>
      <w:r w:rsidR="00336E36">
        <w:rPr>
          <w:sz w:val="28"/>
          <w:szCs w:val="28"/>
        </w:rPr>
        <w:t xml:space="preserve">emergency </w:t>
      </w:r>
      <w:r w:rsidR="00431024" w:rsidRPr="00E6160D">
        <w:rPr>
          <w:sz w:val="28"/>
          <w:szCs w:val="28"/>
        </w:rPr>
        <w:t>interim basis to allow for immediate use of the proposed Form</w:t>
      </w:r>
      <w:r w:rsidR="006937E5" w:rsidRPr="00E6160D">
        <w:rPr>
          <w:sz w:val="28"/>
          <w:szCs w:val="28"/>
        </w:rPr>
        <w:t xml:space="preserve">, and expedited </w:t>
      </w:r>
      <w:r w:rsidR="00431024" w:rsidRPr="00E6160D">
        <w:rPr>
          <w:sz w:val="28"/>
          <w:szCs w:val="28"/>
        </w:rPr>
        <w:t xml:space="preserve">comment and final </w:t>
      </w:r>
      <w:r w:rsidR="006937E5" w:rsidRPr="00E6160D">
        <w:rPr>
          <w:sz w:val="28"/>
          <w:szCs w:val="28"/>
        </w:rPr>
        <w:t>adoption of the proposed amendment</w:t>
      </w:r>
      <w:r w:rsidR="00474A91" w:rsidRPr="00E6160D">
        <w:rPr>
          <w:sz w:val="28"/>
          <w:szCs w:val="28"/>
        </w:rPr>
        <w:t xml:space="preserve"> in order to provide </w:t>
      </w:r>
      <w:r w:rsidR="00431024" w:rsidRPr="00E6160D">
        <w:rPr>
          <w:sz w:val="28"/>
          <w:szCs w:val="28"/>
        </w:rPr>
        <w:t xml:space="preserve">immediate </w:t>
      </w:r>
      <w:r w:rsidR="004716FD">
        <w:rPr>
          <w:sz w:val="28"/>
          <w:szCs w:val="28"/>
        </w:rPr>
        <w:t xml:space="preserve">and prospective long-term </w:t>
      </w:r>
      <w:r w:rsidR="00431024" w:rsidRPr="00E6160D">
        <w:rPr>
          <w:sz w:val="28"/>
          <w:szCs w:val="28"/>
        </w:rPr>
        <w:t xml:space="preserve">relief with the </w:t>
      </w:r>
      <w:r w:rsidR="00FC3659" w:rsidRPr="00E6160D">
        <w:rPr>
          <w:sz w:val="28"/>
          <w:szCs w:val="28"/>
        </w:rPr>
        <w:t xml:space="preserve">processing </w:t>
      </w:r>
      <w:r w:rsidR="00431024" w:rsidRPr="00E6160D">
        <w:rPr>
          <w:sz w:val="28"/>
          <w:szCs w:val="28"/>
        </w:rPr>
        <w:t>of applications</w:t>
      </w:r>
      <w:r w:rsidR="00FC3659" w:rsidRPr="00E6160D">
        <w:rPr>
          <w:sz w:val="28"/>
          <w:szCs w:val="28"/>
        </w:rPr>
        <w:t xml:space="preserve"> </w:t>
      </w:r>
      <w:r w:rsidR="00431024" w:rsidRPr="00E6160D">
        <w:rPr>
          <w:sz w:val="28"/>
          <w:szCs w:val="28"/>
        </w:rPr>
        <w:t xml:space="preserve">for court-appointed attorneys </w:t>
      </w:r>
      <w:r w:rsidR="00FC3659" w:rsidRPr="00E6160D">
        <w:rPr>
          <w:sz w:val="28"/>
          <w:szCs w:val="28"/>
        </w:rPr>
        <w:t xml:space="preserve">and </w:t>
      </w:r>
      <w:r w:rsidR="00431024" w:rsidRPr="00E6160D">
        <w:rPr>
          <w:sz w:val="28"/>
          <w:szCs w:val="28"/>
        </w:rPr>
        <w:t xml:space="preserve">their </w:t>
      </w:r>
      <w:r w:rsidR="004F1C54" w:rsidRPr="00E6160D">
        <w:rPr>
          <w:sz w:val="28"/>
          <w:szCs w:val="28"/>
        </w:rPr>
        <w:t>review</w:t>
      </w:r>
      <w:r w:rsidR="00431024" w:rsidRPr="00E6160D">
        <w:rPr>
          <w:sz w:val="28"/>
          <w:szCs w:val="28"/>
        </w:rPr>
        <w:t xml:space="preserve"> by</w:t>
      </w:r>
      <w:r w:rsidR="004F1C54" w:rsidRPr="00E6160D">
        <w:rPr>
          <w:sz w:val="28"/>
          <w:szCs w:val="28"/>
        </w:rPr>
        <w:t xml:space="preserve"> </w:t>
      </w:r>
      <w:r w:rsidR="004716FD">
        <w:rPr>
          <w:sz w:val="28"/>
          <w:szCs w:val="28"/>
        </w:rPr>
        <w:t>LJC</w:t>
      </w:r>
      <w:r w:rsidR="00FC3659" w:rsidRPr="00E6160D">
        <w:rPr>
          <w:sz w:val="28"/>
          <w:szCs w:val="28"/>
        </w:rPr>
        <w:t xml:space="preserve"> </w:t>
      </w:r>
      <w:r w:rsidR="004F1C54" w:rsidRPr="00E6160D">
        <w:rPr>
          <w:sz w:val="28"/>
          <w:szCs w:val="28"/>
        </w:rPr>
        <w:t>judges</w:t>
      </w:r>
      <w:r w:rsidR="00FC3659" w:rsidRPr="00E6160D">
        <w:rPr>
          <w:sz w:val="28"/>
          <w:szCs w:val="28"/>
        </w:rPr>
        <w:t xml:space="preserve">. </w:t>
      </w:r>
      <w:r w:rsidR="004F1C54" w:rsidRPr="00E6160D">
        <w:rPr>
          <w:sz w:val="28"/>
          <w:szCs w:val="28"/>
        </w:rPr>
        <w:t xml:space="preserve">As explained further below, current Form 5(a) </w:t>
      </w:r>
      <w:r w:rsidR="00FE5E76" w:rsidRPr="00E6160D">
        <w:rPr>
          <w:sz w:val="28"/>
          <w:szCs w:val="28"/>
        </w:rPr>
        <w:t xml:space="preserve">(attached as Appendix B) </w:t>
      </w:r>
      <w:r w:rsidR="004F1C54" w:rsidRPr="00E6160D">
        <w:rPr>
          <w:sz w:val="28"/>
          <w:szCs w:val="28"/>
        </w:rPr>
        <w:t xml:space="preserve">often </w:t>
      </w:r>
      <w:r w:rsidR="004B6F39">
        <w:rPr>
          <w:sz w:val="28"/>
          <w:szCs w:val="28"/>
        </w:rPr>
        <w:t xml:space="preserve">requires </w:t>
      </w:r>
      <w:r w:rsidR="004F1C54" w:rsidRPr="00E6160D">
        <w:rPr>
          <w:sz w:val="28"/>
          <w:szCs w:val="28"/>
        </w:rPr>
        <w:t>significant time</w:t>
      </w:r>
      <w:r w:rsidR="004B6F39">
        <w:rPr>
          <w:sz w:val="28"/>
          <w:szCs w:val="28"/>
        </w:rPr>
        <w:t xml:space="preserve"> for defendants</w:t>
      </w:r>
      <w:r w:rsidR="004F1C54" w:rsidRPr="00E6160D">
        <w:rPr>
          <w:sz w:val="28"/>
          <w:szCs w:val="28"/>
        </w:rPr>
        <w:t xml:space="preserve"> to complete in the courtroom or requires a return to court, resulting in delays in the application and review process. This </w:t>
      </w:r>
      <w:r w:rsidR="00431024" w:rsidRPr="00E6160D">
        <w:rPr>
          <w:sz w:val="28"/>
          <w:szCs w:val="28"/>
        </w:rPr>
        <w:t xml:space="preserve">problem </w:t>
      </w:r>
      <w:r w:rsidR="004F1C54" w:rsidRPr="00E6160D">
        <w:rPr>
          <w:sz w:val="28"/>
          <w:szCs w:val="28"/>
        </w:rPr>
        <w:t xml:space="preserve">is especially consequential </w:t>
      </w:r>
      <w:r w:rsidR="00431024" w:rsidRPr="00E6160D">
        <w:rPr>
          <w:sz w:val="28"/>
          <w:szCs w:val="28"/>
        </w:rPr>
        <w:t xml:space="preserve">with the current state of the </w:t>
      </w:r>
      <w:r w:rsidR="001735D8" w:rsidRPr="00E6160D">
        <w:rPr>
          <w:sz w:val="28"/>
          <w:szCs w:val="28"/>
        </w:rPr>
        <w:t>economy,</w:t>
      </w:r>
      <w:r w:rsidR="00431024" w:rsidRPr="00E6160D">
        <w:rPr>
          <w:sz w:val="28"/>
          <w:szCs w:val="28"/>
        </w:rPr>
        <w:t xml:space="preserve"> </w:t>
      </w:r>
      <w:r w:rsidR="00627E46" w:rsidRPr="00E6160D">
        <w:rPr>
          <w:sz w:val="28"/>
          <w:szCs w:val="28"/>
        </w:rPr>
        <w:t>which is presenting</w:t>
      </w:r>
      <w:r w:rsidR="004F1C54" w:rsidRPr="00E6160D">
        <w:rPr>
          <w:sz w:val="28"/>
          <w:szCs w:val="28"/>
        </w:rPr>
        <w:t xml:space="preserve"> increased financial challenges</w:t>
      </w:r>
      <w:r w:rsidR="00C563EA">
        <w:rPr>
          <w:sz w:val="28"/>
          <w:szCs w:val="28"/>
        </w:rPr>
        <w:t>, and thus indigency,</w:t>
      </w:r>
      <w:r w:rsidR="004F1C54" w:rsidRPr="00E6160D">
        <w:rPr>
          <w:sz w:val="28"/>
          <w:szCs w:val="28"/>
        </w:rPr>
        <w:t xml:space="preserve"> </w:t>
      </w:r>
      <w:r w:rsidR="00627E46" w:rsidRPr="00E6160D">
        <w:rPr>
          <w:sz w:val="28"/>
          <w:szCs w:val="28"/>
        </w:rPr>
        <w:t>for many</w:t>
      </w:r>
      <w:r w:rsidR="004F1C54" w:rsidRPr="00E6160D">
        <w:rPr>
          <w:sz w:val="28"/>
          <w:szCs w:val="28"/>
        </w:rPr>
        <w:t xml:space="preserve"> </w:t>
      </w:r>
      <w:r w:rsidR="001750FE">
        <w:rPr>
          <w:sz w:val="28"/>
          <w:szCs w:val="28"/>
        </w:rPr>
        <w:t xml:space="preserve">LJC </w:t>
      </w:r>
      <w:r w:rsidR="004F1C54" w:rsidRPr="00E6160D">
        <w:rPr>
          <w:sz w:val="28"/>
          <w:szCs w:val="28"/>
        </w:rPr>
        <w:t>defendants</w:t>
      </w:r>
      <w:r w:rsidR="005D7B23">
        <w:rPr>
          <w:sz w:val="28"/>
          <w:szCs w:val="28"/>
        </w:rPr>
        <w:t>.  This</w:t>
      </w:r>
      <w:r w:rsidR="00627E46" w:rsidRPr="00E6160D">
        <w:rPr>
          <w:sz w:val="28"/>
          <w:szCs w:val="28"/>
        </w:rPr>
        <w:t xml:space="preserve"> in turn is</w:t>
      </w:r>
      <w:r w:rsidR="004F1C54" w:rsidRPr="00E6160D">
        <w:rPr>
          <w:sz w:val="28"/>
          <w:szCs w:val="28"/>
        </w:rPr>
        <w:t xml:space="preserve"> leading to a</w:t>
      </w:r>
      <w:r w:rsidR="00C043F9">
        <w:rPr>
          <w:sz w:val="28"/>
          <w:szCs w:val="28"/>
        </w:rPr>
        <w:t xml:space="preserve">n increased </w:t>
      </w:r>
      <w:r w:rsidR="004F1C54" w:rsidRPr="00E6160D">
        <w:rPr>
          <w:sz w:val="28"/>
          <w:szCs w:val="28"/>
        </w:rPr>
        <w:t xml:space="preserve">volume of applications </w:t>
      </w:r>
      <w:r w:rsidR="00627E46" w:rsidRPr="00E6160D">
        <w:rPr>
          <w:sz w:val="28"/>
          <w:szCs w:val="28"/>
        </w:rPr>
        <w:t>for court-appointed attorney</w:t>
      </w:r>
      <w:r w:rsidR="001735D8">
        <w:rPr>
          <w:sz w:val="28"/>
          <w:szCs w:val="28"/>
        </w:rPr>
        <w:t>s</w:t>
      </w:r>
      <w:bookmarkStart w:id="2" w:name="_GoBack"/>
      <w:bookmarkEnd w:id="2"/>
      <w:r w:rsidR="00040EE5">
        <w:rPr>
          <w:sz w:val="28"/>
          <w:szCs w:val="28"/>
        </w:rPr>
        <w:t xml:space="preserve"> in LJC cases</w:t>
      </w:r>
      <w:r w:rsidR="0079196E">
        <w:rPr>
          <w:sz w:val="28"/>
          <w:szCs w:val="28"/>
        </w:rPr>
        <w:t>,</w:t>
      </w:r>
      <w:r w:rsidR="00627E46" w:rsidRPr="00E6160D">
        <w:rPr>
          <w:sz w:val="28"/>
          <w:szCs w:val="28"/>
        </w:rPr>
        <w:t xml:space="preserve"> thus </w:t>
      </w:r>
      <w:r w:rsidR="004F1C54" w:rsidRPr="00E6160D">
        <w:rPr>
          <w:sz w:val="28"/>
          <w:szCs w:val="28"/>
        </w:rPr>
        <w:t xml:space="preserve">contributing to </w:t>
      </w:r>
      <w:r w:rsidR="00431024" w:rsidRPr="00E6160D">
        <w:rPr>
          <w:sz w:val="28"/>
          <w:szCs w:val="28"/>
        </w:rPr>
        <w:t xml:space="preserve">further </w:t>
      </w:r>
      <w:r w:rsidR="004F1C54" w:rsidRPr="00E6160D">
        <w:rPr>
          <w:sz w:val="28"/>
          <w:szCs w:val="28"/>
        </w:rPr>
        <w:t xml:space="preserve">case delays already </w:t>
      </w:r>
      <w:r w:rsidR="00040EE5">
        <w:rPr>
          <w:sz w:val="28"/>
          <w:szCs w:val="28"/>
        </w:rPr>
        <w:t>experienced</w:t>
      </w:r>
      <w:r w:rsidR="0079196E">
        <w:rPr>
          <w:sz w:val="28"/>
          <w:szCs w:val="28"/>
        </w:rPr>
        <w:t>,</w:t>
      </w:r>
      <w:r w:rsidR="004F1C54" w:rsidRPr="00E6160D">
        <w:rPr>
          <w:sz w:val="28"/>
          <w:szCs w:val="28"/>
        </w:rPr>
        <w:t xml:space="preserve"> in part</w:t>
      </w:r>
      <w:r w:rsidR="0079196E">
        <w:rPr>
          <w:sz w:val="28"/>
          <w:szCs w:val="28"/>
        </w:rPr>
        <w:t>,</w:t>
      </w:r>
      <w:r w:rsidR="004F1C54" w:rsidRPr="00E6160D">
        <w:rPr>
          <w:sz w:val="28"/>
          <w:szCs w:val="28"/>
        </w:rPr>
        <w:t xml:space="preserve"> by </w:t>
      </w:r>
      <w:r w:rsidR="00040EE5">
        <w:rPr>
          <w:sz w:val="28"/>
          <w:szCs w:val="28"/>
        </w:rPr>
        <w:t>the con</w:t>
      </w:r>
      <w:r w:rsidR="00483868">
        <w:rPr>
          <w:sz w:val="28"/>
          <w:szCs w:val="28"/>
        </w:rPr>
        <w:t xml:space="preserve">sequences of </w:t>
      </w:r>
      <w:r w:rsidR="004F1C54" w:rsidRPr="00E6160D">
        <w:rPr>
          <w:sz w:val="28"/>
          <w:szCs w:val="28"/>
        </w:rPr>
        <w:t>COVID-1</w:t>
      </w:r>
      <w:r w:rsidR="00483868">
        <w:rPr>
          <w:sz w:val="28"/>
          <w:szCs w:val="28"/>
        </w:rPr>
        <w:t>9</w:t>
      </w:r>
      <w:r w:rsidR="004F1C54" w:rsidRPr="00E6160D">
        <w:rPr>
          <w:sz w:val="28"/>
          <w:szCs w:val="28"/>
        </w:rPr>
        <w:t>.</w:t>
      </w:r>
    </w:p>
    <w:p w14:paraId="063B82AA" w14:textId="341059D3" w:rsidR="000A2FD3" w:rsidRPr="00E6160D" w:rsidRDefault="000A2FD3" w:rsidP="000A2FD3">
      <w:pPr>
        <w:jc w:val="both"/>
        <w:rPr>
          <w:sz w:val="28"/>
          <w:szCs w:val="28"/>
        </w:rPr>
      </w:pPr>
    </w:p>
    <w:p w14:paraId="6B77D230" w14:textId="0396BAFC" w:rsidR="000A2FD3" w:rsidRPr="00E6160D" w:rsidRDefault="001945D8" w:rsidP="001945D8">
      <w:pPr>
        <w:spacing w:line="480" w:lineRule="auto"/>
        <w:jc w:val="both"/>
        <w:rPr>
          <w:sz w:val="28"/>
          <w:szCs w:val="28"/>
        </w:rPr>
      </w:pPr>
      <w:r w:rsidRPr="00E6160D">
        <w:rPr>
          <w:b/>
          <w:sz w:val="28"/>
          <w:szCs w:val="28"/>
        </w:rPr>
        <w:t>(</w:t>
      </w:r>
      <w:proofErr w:type="spellStart"/>
      <w:r w:rsidRPr="00E6160D">
        <w:rPr>
          <w:b/>
          <w:sz w:val="28"/>
          <w:szCs w:val="28"/>
        </w:rPr>
        <w:t>i</w:t>
      </w:r>
      <w:proofErr w:type="spellEnd"/>
      <w:r w:rsidRPr="00E6160D">
        <w:rPr>
          <w:b/>
          <w:sz w:val="28"/>
          <w:szCs w:val="28"/>
        </w:rPr>
        <w:t xml:space="preserve">). </w:t>
      </w:r>
      <w:r w:rsidR="00095596" w:rsidRPr="00E6160D">
        <w:rPr>
          <w:b/>
          <w:sz w:val="28"/>
          <w:szCs w:val="28"/>
        </w:rPr>
        <w:t xml:space="preserve"> </w:t>
      </w:r>
      <w:r w:rsidR="000A2FD3" w:rsidRPr="00E6160D">
        <w:rPr>
          <w:b/>
          <w:sz w:val="28"/>
          <w:szCs w:val="28"/>
          <w:u w:val="single"/>
        </w:rPr>
        <w:t>Need for Rule Amendment.</w:t>
      </w:r>
      <w:r w:rsidR="000A2FD3" w:rsidRPr="00E6160D">
        <w:rPr>
          <w:b/>
          <w:sz w:val="28"/>
          <w:szCs w:val="28"/>
        </w:rPr>
        <w:t xml:space="preserve">  </w:t>
      </w:r>
    </w:p>
    <w:p w14:paraId="7C5D90D1" w14:textId="4B0E6A4C" w:rsidR="00203D4C" w:rsidRPr="00E6160D" w:rsidRDefault="00095596" w:rsidP="001945D8">
      <w:pPr>
        <w:spacing w:line="480" w:lineRule="auto"/>
        <w:ind w:firstLine="720"/>
        <w:jc w:val="both"/>
        <w:rPr>
          <w:sz w:val="28"/>
          <w:szCs w:val="28"/>
        </w:rPr>
      </w:pPr>
      <w:r w:rsidRPr="00E6160D">
        <w:rPr>
          <w:sz w:val="28"/>
          <w:szCs w:val="28"/>
        </w:rPr>
        <w:t xml:space="preserve">Form 5(a) </w:t>
      </w:r>
      <w:r w:rsidR="00627E46" w:rsidRPr="00E6160D">
        <w:rPr>
          <w:sz w:val="28"/>
          <w:szCs w:val="28"/>
        </w:rPr>
        <w:t xml:space="preserve">is four pages long and has three sections that call for </w:t>
      </w:r>
      <w:r w:rsidR="0079196E">
        <w:rPr>
          <w:sz w:val="28"/>
          <w:szCs w:val="28"/>
        </w:rPr>
        <w:t xml:space="preserve">detailed </w:t>
      </w:r>
      <w:r w:rsidR="00627E46" w:rsidRPr="00E6160D">
        <w:rPr>
          <w:sz w:val="28"/>
          <w:szCs w:val="28"/>
        </w:rPr>
        <w:t>amounts to be totaled in each section</w:t>
      </w:r>
      <w:r w:rsidR="00203D4C" w:rsidRPr="00E6160D">
        <w:rPr>
          <w:sz w:val="28"/>
          <w:szCs w:val="28"/>
        </w:rPr>
        <w:t xml:space="preserve">. The Form </w:t>
      </w:r>
      <w:r w:rsidR="00627E46" w:rsidRPr="00E6160D">
        <w:rPr>
          <w:sz w:val="28"/>
          <w:szCs w:val="28"/>
        </w:rPr>
        <w:t xml:space="preserve">asks for </w:t>
      </w:r>
      <w:r w:rsidR="00097284">
        <w:rPr>
          <w:sz w:val="28"/>
          <w:szCs w:val="28"/>
        </w:rPr>
        <w:t>inconsequential</w:t>
      </w:r>
      <w:r w:rsidR="00627E46" w:rsidRPr="00E6160D">
        <w:rPr>
          <w:sz w:val="28"/>
          <w:szCs w:val="28"/>
        </w:rPr>
        <w:t xml:space="preserve"> </w:t>
      </w:r>
      <w:r w:rsidR="00203D4C" w:rsidRPr="00E6160D">
        <w:rPr>
          <w:sz w:val="28"/>
          <w:szCs w:val="28"/>
        </w:rPr>
        <w:t xml:space="preserve">financial </w:t>
      </w:r>
      <w:r w:rsidR="00627E46" w:rsidRPr="00E6160D">
        <w:rPr>
          <w:sz w:val="28"/>
          <w:szCs w:val="28"/>
        </w:rPr>
        <w:t>details that defendants do not have readily available to them</w:t>
      </w:r>
      <w:r w:rsidR="00203D4C" w:rsidRPr="00E6160D">
        <w:rPr>
          <w:sz w:val="28"/>
          <w:szCs w:val="28"/>
        </w:rPr>
        <w:t>.</w:t>
      </w:r>
      <w:r w:rsidR="00627E46" w:rsidRPr="00E6160D">
        <w:rPr>
          <w:sz w:val="28"/>
          <w:szCs w:val="28"/>
        </w:rPr>
        <w:t xml:space="preserve">  </w:t>
      </w:r>
      <w:r w:rsidR="00203D4C" w:rsidRPr="00E6160D">
        <w:rPr>
          <w:sz w:val="28"/>
          <w:szCs w:val="28"/>
        </w:rPr>
        <w:t>These</w:t>
      </w:r>
      <w:r w:rsidRPr="00E6160D">
        <w:rPr>
          <w:sz w:val="28"/>
          <w:szCs w:val="28"/>
        </w:rPr>
        <w:t xml:space="preserve"> financial details </w:t>
      </w:r>
      <w:r w:rsidR="00203D4C" w:rsidRPr="00E6160D">
        <w:rPr>
          <w:sz w:val="28"/>
          <w:szCs w:val="28"/>
        </w:rPr>
        <w:t xml:space="preserve">are routinely </w:t>
      </w:r>
      <w:r w:rsidRPr="00E6160D">
        <w:rPr>
          <w:sz w:val="28"/>
          <w:szCs w:val="28"/>
        </w:rPr>
        <w:t xml:space="preserve">not </w:t>
      </w:r>
      <w:r w:rsidR="001945D8" w:rsidRPr="00E6160D">
        <w:rPr>
          <w:sz w:val="28"/>
          <w:szCs w:val="28"/>
        </w:rPr>
        <w:t>independently</w:t>
      </w:r>
      <w:r w:rsidR="00627E46" w:rsidRPr="00E6160D">
        <w:rPr>
          <w:sz w:val="28"/>
          <w:szCs w:val="28"/>
        </w:rPr>
        <w:t xml:space="preserve"> </w:t>
      </w:r>
      <w:r w:rsidRPr="00E6160D">
        <w:rPr>
          <w:sz w:val="28"/>
          <w:szCs w:val="28"/>
        </w:rPr>
        <w:t xml:space="preserve">relied upon by </w:t>
      </w:r>
      <w:r w:rsidR="00097284">
        <w:rPr>
          <w:sz w:val="28"/>
          <w:szCs w:val="28"/>
        </w:rPr>
        <w:t>LJC</w:t>
      </w:r>
      <w:r w:rsidR="00B75404" w:rsidRPr="00E6160D">
        <w:rPr>
          <w:sz w:val="28"/>
          <w:szCs w:val="28"/>
        </w:rPr>
        <w:t xml:space="preserve"> </w:t>
      </w:r>
      <w:r w:rsidRPr="00E6160D">
        <w:rPr>
          <w:sz w:val="28"/>
          <w:szCs w:val="28"/>
        </w:rPr>
        <w:t xml:space="preserve">judges in making </w:t>
      </w:r>
      <w:r w:rsidR="00B75404" w:rsidRPr="00E6160D">
        <w:rPr>
          <w:sz w:val="28"/>
          <w:szCs w:val="28"/>
        </w:rPr>
        <w:t xml:space="preserve">subjective attorney </w:t>
      </w:r>
      <w:r w:rsidRPr="00E6160D">
        <w:rPr>
          <w:sz w:val="28"/>
          <w:szCs w:val="28"/>
        </w:rPr>
        <w:t xml:space="preserve">appointment </w:t>
      </w:r>
      <w:r w:rsidR="00627E46" w:rsidRPr="00E6160D">
        <w:rPr>
          <w:sz w:val="28"/>
          <w:szCs w:val="28"/>
        </w:rPr>
        <w:t xml:space="preserve">and contribution </w:t>
      </w:r>
      <w:r w:rsidRPr="00E6160D">
        <w:rPr>
          <w:sz w:val="28"/>
          <w:szCs w:val="28"/>
        </w:rPr>
        <w:t>decision</w:t>
      </w:r>
      <w:r w:rsidR="00627E46" w:rsidRPr="00E6160D">
        <w:rPr>
          <w:sz w:val="28"/>
          <w:szCs w:val="28"/>
        </w:rPr>
        <w:t>s</w:t>
      </w:r>
      <w:r w:rsidR="00B75404" w:rsidRPr="00E6160D">
        <w:rPr>
          <w:sz w:val="28"/>
          <w:szCs w:val="28"/>
        </w:rPr>
        <w:t>. This required detail</w:t>
      </w:r>
      <w:r w:rsidRPr="00E6160D">
        <w:rPr>
          <w:sz w:val="28"/>
          <w:szCs w:val="28"/>
        </w:rPr>
        <w:t xml:space="preserve"> </w:t>
      </w:r>
      <w:r w:rsidR="00B530C1" w:rsidRPr="00E6160D">
        <w:rPr>
          <w:sz w:val="28"/>
          <w:szCs w:val="28"/>
        </w:rPr>
        <w:t xml:space="preserve">often </w:t>
      </w:r>
      <w:r w:rsidRPr="00E6160D">
        <w:rPr>
          <w:sz w:val="28"/>
          <w:szCs w:val="28"/>
        </w:rPr>
        <w:t>delay</w:t>
      </w:r>
      <w:r w:rsidR="00B75404" w:rsidRPr="00E6160D">
        <w:rPr>
          <w:sz w:val="28"/>
          <w:szCs w:val="28"/>
        </w:rPr>
        <w:t>s</w:t>
      </w:r>
      <w:r w:rsidRPr="00E6160D">
        <w:rPr>
          <w:sz w:val="28"/>
          <w:szCs w:val="28"/>
        </w:rPr>
        <w:t xml:space="preserve"> completion of the </w:t>
      </w:r>
      <w:r w:rsidR="0042351D">
        <w:rPr>
          <w:sz w:val="28"/>
          <w:szCs w:val="28"/>
        </w:rPr>
        <w:t>F</w:t>
      </w:r>
      <w:r w:rsidRPr="00E6160D">
        <w:rPr>
          <w:sz w:val="28"/>
          <w:szCs w:val="28"/>
        </w:rPr>
        <w:t xml:space="preserve">orm by defendants who are </w:t>
      </w:r>
      <w:r w:rsidR="00FD7861">
        <w:rPr>
          <w:sz w:val="28"/>
          <w:szCs w:val="28"/>
        </w:rPr>
        <w:t>completing</w:t>
      </w:r>
      <w:r w:rsidRPr="00E6160D">
        <w:rPr>
          <w:sz w:val="28"/>
          <w:szCs w:val="28"/>
        </w:rPr>
        <w:t xml:space="preserve"> </w:t>
      </w:r>
      <w:r w:rsidR="00627E46" w:rsidRPr="00E6160D">
        <w:rPr>
          <w:sz w:val="28"/>
          <w:szCs w:val="28"/>
        </w:rPr>
        <w:t xml:space="preserve">the Form </w:t>
      </w:r>
      <w:r w:rsidRPr="00E6160D">
        <w:rPr>
          <w:sz w:val="28"/>
          <w:szCs w:val="28"/>
        </w:rPr>
        <w:t xml:space="preserve">in the courtroom and </w:t>
      </w:r>
      <w:r w:rsidR="00B63C9B" w:rsidRPr="00E6160D">
        <w:rPr>
          <w:sz w:val="28"/>
          <w:szCs w:val="28"/>
        </w:rPr>
        <w:t xml:space="preserve">having to </w:t>
      </w:r>
      <w:r w:rsidRPr="00E6160D">
        <w:rPr>
          <w:sz w:val="28"/>
          <w:szCs w:val="28"/>
        </w:rPr>
        <w:t>confirm the information under oath.</w:t>
      </w:r>
      <w:r w:rsidR="00B63C9B" w:rsidRPr="00E6160D">
        <w:rPr>
          <w:sz w:val="28"/>
          <w:szCs w:val="28"/>
        </w:rPr>
        <w:t xml:space="preserve"> </w:t>
      </w:r>
      <w:r w:rsidR="001945D8" w:rsidRPr="00E6160D">
        <w:rPr>
          <w:sz w:val="28"/>
          <w:szCs w:val="28"/>
        </w:rPr>
        <w:t>Form 5(a)</w:t>
      </w:r>
      <w:r w:rsidR="00B63C9B" w:rsidRPr="00E6160D">
        <w:rPr>
          <w:sz w:val="28"/>
          <w:szCs w:val="28"/>
        </w:rPr>
        <w:t>, under</w:t>
      </w:r>
      <w:r w:rsidR="00627E46" w:rsidRPr="00E6160D">
        <w:rPr>
          <w:sz w:val="28"/>
          <w:szCs w:val="28"/>
        </w:rPr>
        <w:t xml:space="preserve"> the INCOME section, </w:t>
      </w:r>
      <w:r w:rsidR="00203D4C" w:rsidRPr="00E6160D">
        <w:rPr>
          <w:sz w:val="28"/>
          <w:szCs w:val="28"/>
        </w:rPr>
        <w:t xml:space="preserve">for example, </w:t>
      </w:r>
      <w:r w:rsidR="00627E46" w:rsidRPr="00E6160D">
        <w:rPr>
          <w:sz w:val="28"/>
          <w:szCs w:val="28"/>
        </w:rPr>
        <w:t>asks for monthly payroll deductions</w:t>
      </w:r>
      <w:r w:rsidR="00203D4C" w:rsidRPr="00E6160D">
        <w:rPr>
          <w:sz w:val="28"/>
          <w:szCs w:val="28"/>
        </w:rPr>
        <w:t xml:space="preserve"> </w:t>
      </w:r>
      <w:r w:rsidR="00627E46" w:rsidRPr="00E6160D">
        <w:rPr>
          <w:sz w:val="28"/>
          <w:szCs w:val="28"/>
        </w:rPr>
        <w:t xml:space="preserve">rather than simply asking for total monthly take-home pay. Under </w:t>
      </w:r>
      <w:r w:rsidR="00B63C9B" w:rsidRPr="00E6160D">
        <w:rPr>
          <w:sz w:val="28"/>
          <w:szCs w:val="28"/>
        </w:rPr>
        <w:t>EXPENSES,</w:t>
      </w:r>
      <w:r w:rsidR="001945D8" w:rsidRPr="00E6160D">
        <w:rPr>
          <w:sz w:val="28"/>
          <w:szCs w:val="28"/>
        </w:rPr>
        <w:t xml:space="preserve"> </w:t>
      </w:r>
      <w:r w:rsidR="00B63C9B" w:rsidRPr="00E6160D">
        <w:rPr>
          <w:sz w:val="28"/>
          <w:szCs w:val="28"/>
        </w:rPr>
        <w:t xml:space="preserve">for example, </w:t>
      </w:r>
      <w:r w:rsidR="00203D4C" w:rsidRPr="00E6160D">
        <w:rPr>
          <w:sz w:val="28"/>
          <w:szCs w:val="28"/>
        </w:rPr>
        <w:t xml:space="preserve">the Form </w:t>
      </w:r>
      <w:r w:rsidR="001945D8" w:rsidRPr="00E6160D">
        <w:rPr>
          <w:sz w:val="28"/>
          <w:szCs w:val="28"/>
        </w:rPr>
        <w:t>asks for total cost of food</w:t>
      </w:r>
      <w:r w:rsidR="00B63C9B" w:rsidRPr="00E6160D">
        <w:rPr>
          <w:sz w:val="28"/>
          <w:szCs w:val="28"/>
        </w:rPr>
        <w:t>;</w:t>
      </w:r>
      <w:r w:rsidR="001945D8" w:rsidRPr="00E6160D">
        <w:rPr>
          <w:sz w:val="28"/>
          <w:szCs w:val="28"/>
        </w:rPr>
        <w:t xml:space="preserve"> union dues</w:t>
      </w:r>
      <w:r w:rsidR="00B63C9B" w:rsidRPr="00E6160D">
        <w:rPr>
          <w:sz w:val="28"/>
          <w:szCs w:val="28"/>
        </w:rPr>
        <w:t xml:space="preserve">; medical care costs; </w:t>
      </w:r>
      <w:r w:rsidR="001945D8" w:rsidRPr="00E6160D">
        <w:rPr>
          <w:sz w:val="28"/>
          <w:szCs w:val="28"/>
        </w:rPr>
        <w:t>motor vehicle insurance, maintenance and gas</w:t>
      </w:r>
      <w:r w:rsidR="00B63C9B" w:rsidRPr="00E6160D">
        <w:rPr>
          <w:sz w:val="28"/>
          <w:szCs w:val="28"/>
        </w:rPr>
        <w:t>; and charge account payment</w:t>
      </w:r>
      <w:r w:rsidR="001945D8" w:rsidRPr="00E6160D">
        <w:rPr>
          <w:sz w:val="28"/>
          <w:szCs w:val="28"/>
        </w:rPr>
        <w:t>s</w:t>
      </w:r>
      <w:r w:rsidR="00FD7861">
        <w:rPr>
          <w:sz w:val="28"/>
          <w:szCs w:val="28"/>
        </w:rPr>
        <w:t xml:space="preserve"> rather than simply asking for total monthly expenses.</w:t>
      </w:r>
      <w:r w:rsidR="001945D8" w:rsidRPr="00E6160D">
        <w:rPr>
          <w:sz w:val="28"/>
          <w:szCs w:val="28"/>
        </w:rPr>
        <w:t xml:space="preserve"> </w:t>
      </w:r>
    </w:p>
    <w:p w14:paraId="0AF4CDFE" w14:textId="22645121" w:rsidR="00E91086" w:rsidRPr="00E6160D" w:rsidRDefault="001945D8" w:rsidP="001945D8">
      <w:pPr>
        <w:spacing w:line="480" w:lineRule="auto"/>
        <w:ind w:firstLine="720"/>
        <w:jc w:val="both"/>
        <w:rPr>
          <w:sz w:val="28"/>
          <w:szCs w:val="28"/>
        </w:rPr>
      </w:pPr>
      <w:r w:rsidRPr="00E6160D">
        <w:rPr>
          <w:sz w:val="28"/>
          <w:szCs w:val="28"/>
        </w:rPr>
        <w:t>Typically</w:t>
      </w:r>
      <w:r w:rsidR="00B63C9B" w:rsidRPr="00E6160D">
        <w:rPr>
          <w:sz w:val="28"/>
          <w:szCs w:val="28"/>
        </w:rPr>
        <w:t>,</w:t>
      </w:r>
      <w:r w:rsidRPr="00E6160D">
        <w:rPr>
          <w:sz w:val="28"/>
          <w:szCs w:val="28"/>
        </w:rPr>
        <w:t xml:space="preserve"> a</w:t>
      </w:r>
      <w:r w:rsidR="00E15AF6">
        <w:rPr>
          <w:sz w:val="28"/>
          <w:szCs w:val="28"/>
        </w:rPr>
        <w:t>n LJC</w:t>
      </w:r>
      <w:r w:rsidRPr="00E6160D">
        <w:rPr>
          <w:sz w:val="28"/>
          <w:szCs w:val="28"/>
        </w:rPr>
        <w:t xml:space="preserve"> judge needs only </w:t>
      </w:r>
      <w:r w:rsidR="00B530C1" w:rsidRPr="00E6160D">
        <w:rPr>
          <w:sz w:val="28"/>
          <w:szCs w:val="28"/>
        </w:rPr>
        <w:t xml:space="preserve">a defendant’s </w:t>
      </w:r>
      <w:r w:rsidRPr="00E6160D">
        <w:rPr>
          <w:sz w:val="28"/>
          <w:szCs w:val="28"/>
        </w:rPr>
        <w:t xml:space="preserve">approximate total monthly expenses compared to </w:t>
      </w:r>
      <w:r w:rsidR="00F4065C">
        <w:rPr>
          <w:sz w:val="28"/>
          <w:szCs w:val="28"/>
        </w:rPr>
        <w:t xml:space="preserve">approximate </w:t>
      </w:r>
      <w:r w:rsidRPr="00E6160D">
        <w:rPr>
          <w:sz w:val="28"/>
          <w:szCs w:val="28"/>
        </w:rPr>
        <w:t>monthly net income and</w:t>
      </w:r>
      <w:r w:rsidR="00F4065C">
        <w:rPr>
          <w:sz w:val="28"/>
          <w:szCs w:val="28"/>
        </w:rPr>
        <w:t xml:space="preserve"> approximate</w:t>
      </w:r>
      <w:r w:rsidRPr="00E6160D">
        <w:rPr>
          <w:sz w:val="28"/>
          <w:szCs w:val="28"/>
        </w:rPr>
        <w:t xml:space="preserve"> value of liquid asset</w:t>
      </w:r>
      <w:r w:rsidR="00E15AF6">
        <w:rPr>
          <w:sz w:val="28"/>
          <w:szCs w:val="28"/>
        </w:rPr>
        <w:t>s</w:t>
      </w:r>
      <w:r w:rsidRPr="00E6160D">
        <w:rPr>
          <w:sz w:val="28"/>
          <w:szCs w:val="28"/>
        </w:rPr>
        <w:t xml:space="preserve"> to make an informed decision </w:t>
      </w:r>
      <w:r w:rsidR="00B75404" w:rsidRPr="00E6160D">
        <w:rPr>
          <w:sz w:val="28"/>
          <w:szCs w:val="28"/>
        </w:rPr>
        <w:t>about</w:t>
      </w:r>
      <w:r w:rsidRPr="00E6160D">
        <w:rPr>
          <w:sz w:val="28"/>
          <w:szCs w:val="28"/>
        </w:rPr>
        <w:t xml:space="preserve"> indigency and financial ability to afford an attorney. </w:t>
      </w:r>
      <w:r w:rsidR="00B75404" w:rsidRPr="00E6160D">
        <w:rPr>
          <w:sz w:val="28"/>
          <w:szCs w:val="28"/>
        </w:rPr>
        <w:t>Requiring the</w:t>
      </w:r>
      <w:r w:rsidRPr="00E6160D">
        <w:rPr>
          <w:sz w:val="28"/>
          <w:szCs w:val="28"/>
        </w:rPr>
        <w:t xml:space="preserve"> additional detailed </w:t>
      </w:r>
      <w:r w:rsidR="00B63C9B" w:rsidRPr="00E6160D">
        <w:rPr>
          <w:sz w:val="28"/>
          <w:szCs w:val="28"/>
        </w:rPr>
        <w:t>listing</w:t>
      </w:r>
      <w:r w:rsidR="00B75404" w:rsidRPr="00E6160D">
        <w:rPr>
          <w:sz w:val="28"/>
          <w:szCs w:val="28"/>
        </w:rPr>
        <w:t>s</w:t>
      </w:r>
      <w:r w:rsidR="00095596" w:rsidRPr="00E6160D">
        <w:rPr>
          <w:sz w:val="28"/>
          <w:szCs w:val="28"/>
        </w:rPr>
        <w:t xml:space="preserve"> often significantly delays the application and review process. </w:t>
      </w:r>
      <w:r w:rsidR="00B63C9B" w:rsidRPr="00E6160D">
        <w:rPr>
          <w:sz w:val="28"/>
          <w:szCs w:val="28"/>
        </w:rPr>
        <w:t xml:space="preserve">Defendants are understandably reluctant to sign under oath without verifying </w:t>
      </w:r>
      <w:r w:rsidR="00B75404" w:rsidRPr="00E6160D">
        <w:rPr>
          <w:sz w:val="28"/>
          <w:szCs w:val="28"/>
        </w:rPr>
        <w:t xml:space="preserve">detailed </w:t>
      </w:r>
      <w:r w:rsidR="00B63C9B" w:rsidRPr="00E6160D">
        <w:rPr>
          <w:sz w:val="28"/>
          <w:szCs w:val="28"/>
        </w:rPr>
        <w:t>information</w:t>
      </w:r>
      <w:r w:rsidR="00B75404" w:rsidRPr="00E6160D">
        <w:rPr>
          <w:sz w:val="28"/>
          <w:szCs w:val="28"/>
        </w:rPr>
        <w:t xml:space="preserve">, </w:t>
      </w:r>
      <w:r w:rsidR="00B63C9B" w:rsidRPr="00E6160D">
        <w:rPr>
          <w:sz w:val="28"/>
          <w:szCs w:val="28"/>
        </w:rPr>
        <w:t>which may require phone calls</w:t>
      </w:r>
      <w:r w:rsidR="00B75404" w:rsidRPr="00E6160D">
        <w:rPr>
          <w:sz w:val="28"/>
          <w:szCs w:val="28"/>
        </w:rPr>
        <w:t xml:space="preserve"> </w:t>
      </w:r>
      <w:r w:rsidR="00B63C9B" w:rsidRPr="00E6160D">
        <w:rPr>
          <w:sz w:val="28"/>
          <w:szCs w:val="28"/>
        </w:rPr>
        <w:t>and checking bank records</w:t>
      </w:r>
      <w:r w:rsidR="00A94A11">
        <w:rPr>
          <w:sz w:val="28"/>
          <w:szCs w:val="28"/>
        </w:rPr>
        <w:t>,</w:t>
      </w:r>
      <w:r w:rsidR="00B63C9B" w:rsidRPr="00E6160D">
        <w:rPr>
          <w:sz w:val="28"/>
          <w:szCs w:val="28"/>
        </w:rPr>
        <w:t xml:space="preserve"> billing statements</w:t>
      </w:r>
      <w:r w:rsidR="00253263">
        <w:rPr>
          <w:sz w:val="28"/>
          <w:szCs w:val="28"/>
        </w:rPr>
        <w:t xml:space="preserve"> and pay stubs</w:t>
      </w:r>
      <w:r w:rsidR="00B63C9B" w:rsidRPr="00E6160D">
        <w:rPr>
          <w:sz w:val="28"/>
          <w:szCs w:val="28"/>
        </w:rPr>
        <w:t xml:space="preserve">. </w:t>
      </w:r>
      <w:r w:rsidR="00095596" w:rsidRPr="00E6160D">
        <w:rPr>
          <w:sz w:val="28"/>
          <w:szCs w:val="28"/>
        </w:rPr>
        <w:t xml:space="preserve">The proposed </w:t>
      </w:r>
      <w:r w:rsidR="00FE5E76" w:rsidRPr="00E6160D">
        <w:rPr>
          <w:sz w:val="28"/>
          <w:szCs w:val="28"/>
        </w:rPr>
        <w:t xml:space="preserve">FORM 5(c) </w:t>
      </w:r>
      <w:r w:rsidR="00095596" w:rsidRPr="00E6160D">
        <w:rPr>
          <w:sz w:val="28"/>
          <w:szCs w:val="28"/>
        </w:rPr>
        <w:t xml:space="preserve">provides a </w:t>
      </w:r>
      <w:r w:rsidR="00B63C9B" w:rsidRPr="00E6160D">
        <w:rPr>
          <w:sz w:val="28"/>
          <w:szCs w:val="28"/>
        </w:rPr>
        <w:t xml:space="preserve">simplified </w:t>
      </w:r>
      <w:r w:rsidR="00095596" w:rsidRPr="00E6160D">
        <w:rPr>
          <w:sz w:val="28"/>
          <w:szCs w:val="28"/>
        </w:rPr>
        <w:t>one-pag</w:t>
      </w:r>
      <w:r w:rsidR="00B63C9B" w:rsidRPr="00E6160D">
        <w:rPr>
          <w:sz w:val="28"/>
          <w:szCs w:val="28"/>
        </w:rPr>
        <w:t>e</w:t>
      </w:r>
      <w:r w:rsidR="00095596" w:rsidRPr="00E6160D">
        <w:rPr>
          <w:sz w:val="28"/>
          <w:szCs w:val="28"/>
        </w:rPr>
        <w:t xml:space="preserve"> </w:t>
      </w:r>
      <w:r w:rsidR="00BE7571">
        <w:rPr>
          <w:sz w:val="28"/>
          <w:szCs w:val="28"/>
        </w:rPr>
        <w:t>application option for LJC defendants</w:t>
      </w:r>
      <w:r w:rsidR="00B63C9B" w:rsidRPr="00E6160D">
        <w:rPr>
          <w:sz w:val="28"/>
          <w:szCs w:val="28"/>
        </w:rPr>
        <w:t>, with check</w:t>
      </w:r>
      <w:r w:rsidR="00AA74DE">
        <w:rPr>
          <w:sz w:val="28"/>
          <w:szCs w:val="28"/>
        </w:rPr>
        <w:t>-</w:t>
      </w:r>
      <w:r w:rsidR="00B63C9B" w:rsidRPr="00E6160D">
        <w:rPr>
          <w:sz w:val="28"/>
          <w:szCs w:val="28"/>
        </w:rPr>
        <w:t>box options</w:t>
      </w:r>
      <w:r w:rsidR="00B530C1" w:rsidRPr="00E6160D">
        <w:rPr>
          <w:sz w:val="28"/>
          <w:szCs w:val="28"/>
        </w:rPr>
        <w:t xml:space="preserve"> and abbreviated financial summaries</w:t>
      </w:r>
      <w:r w:rsidR="00596D11">
        <w:rPr>
          <w:sz w:val="28"/>
          <w:szCs w:val="28"/>
        </w:rPr>
        <w:t>, which also does not require a math calculator</w:t>
      </w:r>
      <w:r w:rsidR="00FE5E76" w:rsidRPr="00E6160D">
        <w:rPr>
          <w:sz w:val="28"/>
          <w:szCs w:val="28"/>
        </w:rPr>
        <w:t xml:space="preserve"> to complete</w:t>
      </w:r>
      <w:r w:rsidR="00984375">
        <w:rPr>
          <w:sz w:val="28"/>
          <w:szCs w:val="28"/>
        </w:rPr>
        <w:t>, this allows a defendant to expeditiously complete the form in the courtroom without further delay</w:t>
      </w:r>
      <w:r w:rsidR="00B63C9B" w:rsidRPr="00E6160D">
        <w:rPr>
          <w:sz w:val="28"/>
          <w:szCs w:val="28"/>
        </w:rPr>
        <w:t>.</w:t>
      </w:r>
      <w:r w:rsidR="00095596" w:rsidRPr="00E6160D">
        <w:rPr>
          <w:sz w:val="28"/>
          <w:szCs w:val="28"/>
        </w:rPr>
        <w:t xml:space="preserve"> </w:t>
      </w:r>
    </w:p>
    <w:p w14:paraId="3842F610" w14:textId="77777777" w:rsidR="00B75404" w:rsidRPr="00E6160D" w:rsidRDefault="00B75404" w:rsidP="00B75404">
      <w:pPr>
        <w:spacing w:line="480" w:lineRule="auto"/>
        <w:ind w:left="720"/>
        <w:jc w:val="both"/>
        <w:rPr>
          <w:sz w:val="28"/>
          <w:szCs w:val="28"/>
        </w:rPr>
      </w:pPr>
    </w:p>
    <w:p w14:paraId="5996DD33" w14:textId="4FFB42F1" w:rsidR="00B75404" w:rsidRPr="00E6160D" w:rsidRDefault="00B75404" w:rsidP="00D573F8">
      <w:p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E6160D">
        <w:rPr>
          <w:b/>
          <w:bCs/>
          <w:sz w:val="28"/>
          <w:szCs w:val="28"/>
          <w:u w:val="single"/>
        </w:rPr>
        <w:t xml:space="preserve">(ii). </w:t>
      </w:r>
      <w:r w:rsidR="00D573F8" w:rsidRPr="00E6160D">
        <w:rPr>
          <w:b/>
          <w:bCs/>
          <w:sz w:val="28"/>
          <w:szCs w:val="28"/>
          <w:u w:val="single"/>
        </w:rPr>
        <w:t xml:space="preserve">Proposed </w:t>
      </w:r>
      <w:r w:rsidRPr="00E6160D">
        <w:rPr>
          <w:b/>
          <w:bCs/>
          <w:sz w:val="28"/>
          <w:szCs w:val="28"/>
          <w:u w:val="single"/>
        </w:rPr>
        <w:t>Alternative Form</w:t>
      </w:r>
      <w:r w:rsidR="00D573F8" w:rsidRPr="00E6160D">
        <w:rPr>
          <w:b/>
          <w:bCs/>
          <w:sz w:val="28"/>
          <w:szCs w:val="28"/>
          <w:u w:val="single"/>
        </w:rPr>
        <w:t xml:space="preserve"> 5(c) has been </w:t>
      </w:r>
      <w:r w:rsidR="00FE5E76" w:rsidRPr="00E6160D">
        <w:rPr>
          <w:b/>
          <w:bCs/>
          <w:sz w:val="28"/>
          <w:szCs w:val="28"/>
          <w:u w:val="single"/>
        </w:rPr>
        <w:t xml:space="preserve">peer </w:t>
      </w:r>
      <w:r w:rsidR="00D573F8" w:rsidRPr="00E6160D">
        <w:rPr>
          <w:b/>
          <w:bCs/>
          <w:sz w:val="28"/>
          <w:szCs w:val="28"/>
          <w:u w:val="single"/>
        </w:rPr>
        <w:t>reviewed</w:t>
      </w:r>
    </w:p>
    <w:p w14:paraId="2964CC4E" w14:textId="74522044" w:rsidR="00B31C62" w:rsidRPr="00B31C62" w:rsidRDefault="00C03FAA" w:rsidP="00B31C62">
      <w:pPr>
        <w:spacing w:line="480" w:lineRule="auto"/>
        <w:ind w:firstLine="360"/>
        <w:jc w:val="both"/>
        <w:rPr>
          <w:sz w:val="28"/>
          <w:szCs w:val="28"/>
        </w:rPr>
      </w:pPr>
      <w:r w:rsidRPr="00E6160D">
        <w:rPr>
          <w:sz w:val="28"/>
          <w:szCs w:val="28"/>
        </w:rPr>
        <w:t xml:space="preserve">The proposed amendment </w:t>
      </w:r>
      <w:r w:rsidR="00D573F8" w:rsidRPr="00E6160D">
        <w:rPr>
          <w:sz w:val="28"/>
          <w:szCs w:val="28"/>
        </w:rPr>
        <w:t xml:space="preserve">was created by a subcommittee of the </w:t>
      </w:r>
      <w:r w:rsidR="004B29C6">
        <w:rPr>
          <w:sz w:val="28"/>
          <w:szCs w:val="28"/>
        </w:rPr>
        <w:t>LJC</w:t>
      </w:r>
      <w:r w:rsidR="00D573F8" w:rsidRPr="00E6160D">
        <w:rPr>
          <w:sz w:val="28"/>
          <w:szCs w:val="28"/>
        </w:rPr>
        <w:t xml:space="preserve"> Committee</w:t>
      </w:r>
      <w:r w:rsidR="00FE5E76" w:rsidRPr="00E6160D">
        <w:rPr>
          <w:sz w:val="28"/>
          <w:szCs w:val="28"/>
        </w:rPr>
        <w:t>,</w:t>
      </w:r>
      <w:r w:rsidR="00B530C1" w:rsidRPr="00E6160D">
        <w:rPr>
          <w:sz w:val="28"/>
          <w:szCs w:val="28"/>
        </w:rPr>
        <w:t xml:space="preserve"> specifically formed to address the issues raised by this Petition</w:t>
      </w:r>
      <w:r w:rsidR="00FE5E76" w:rsidRPr="00E6160D">
        <w:rPr>
          <w:sz w:val="28"/>
          <w:szCs w:val="28"/>
        </w:rPr>
        <w:t xml:space="preserve">. This subcommittee, </w:t>
      </w:r>
      <w:r w:rsidR="00D573F8" w:rsidRPr="00E6160D">
        <w:rPr>
          <w:sz w:val="28"/>
          <w:szCs w:val="28"/>
        </w:rPr>
        <w:t>consisting of judges from various jurisdiction in the state, including Pima, Pinal and Maricopa Counties</w:t>
      </w:r>
      <w:r w:rsidR="00FE5E76" w:rsidRPr="00E6160D">
        <w:rPr>
          <w:sz w:val="28"/>
          <w:szCs w:val="28"/>
        </w:rPr>
        <w:t>, further inquired of judicial colleagues who have</w:t>
      </w:r>
      <w:r w:rsidR="00087268">
        <w:rPr>
          <w:sz w:val="28"/>
          <w:szCs w:val="28"/>
        </w:rPr>
        <w:t xml:space="preserve"> uniformly </w:t>
      </w:r>
      <w:r w:rsidR="00FE5E76" w:rsidRPr="00E6160D">
        <w:rPr>
          <w:sz w:val="28"/>
          <w:szCs w:val="28"/>
        </w:rPr>
        <w:t xml:space="preserve">expressed support </w:t>
      </w:r>
      <w:r w:rsidR="00A94A11">
        <w:rPr>
          <w:sz w:val="28"/>
          <w:szCs w:val="28"/>
        </w:rPr>
        <w:t>for</w:t>
      </w:r>
      <w:r w:rsidR="00FE5E76" w:rsidRPr="00E6160D">
        <w:rPr>
          <w:sz w:val="28"/>
          <w:szCs w:val="28"/>
        </w:rPr>
        <w:t xml:space="preserve"> a simplified form</w:t>
      </w:r>
      <w:r w:rsidR="00B530C1" w:rsidRPr="00E6160D">
        <w:rPr>
          <w:sz w:val="28"/>
          <w:szCs w:val="28"/>
        </w:rPr>
        <w:t>. T</w:t>
      </w:r>
      <w:r w:rsidR="00D573F8" w:rsidRPr="00E6160D">
        <w:rPr>
          <w:sz w:val="28"/>
          <w:szCs w:val="28"/>
        </w:rPr>
        <w:t xml:space="preserve">he Petition has been formally </w:t>
      </w:r>
      <w:r w:rsidR="002563E6" w:rsidRPr="00E6160D">
        <w:rPr>
          <w:sz w:val="28"/>
          <w:szCs w:val="28"/>
        </w:rPr>
        <w:t>reviewed</w:t>
      </w:r>
      <w:r w:rsidR="00D573F8" w:rsidRPr="00E6160D">
        <w:rPr>
          <w:sz w:val="28"/>
          <w:szCs w:val="28"/>
        </w:rPr>
        <w:t xml:space="preserve"> and is supported by the LJC </w:t>
      </w:r>
      <w:r w:rsidR="00963030">
        <w:rPr>
          <w:sz w:val="28"/>
          <w:szCs w:val="28"/>
        </w:rPr>
        <w:t xml:space="preserve">Committee </w:t>
      </w:r>
      <w:r w:rsidR="00D573F8" w:rsidRPr="00E6160D">
        <w:rPr>
          <w:sz w:val="28"/>
          <w:szCs w:val="28"/>
        </w:rPr>
        <w:t xml:space="preserve">as well as by a </w:t>
      </w:r>
      <w:r w:rsidR="00FE5E76" w:rsidRPr="00E6160D">
        <w:rPr>
          <w:sz w:val="28"/>
          <w:szCs w:val="28"/>
        </w:rPr>
        <w:t>conference</w:t>
      </w:r>
      <w:r w:rsidR="00D573F8" w:rsidRPr="00E6160D">
        <w:rPr>
          <w:sz w:val="28"/>
          <w:szCs w:val="28"/>
        </w:rPr>
        <w:t xml:space="preserve"> of the Maricopa County </w:t>
      </w:r>
      <w:r w:rsidR="00963030">
        <w:rPr>
          <w:sz w:val="28"/>
          <w:szCs w:val="28"/>
        </w:rPr>
        <w:t>LJC</w:t>
      </w:r>
      <w:r w:rsidR="00D573F8" w:rsidRPr="00E6160D">
        <w:rPr>
          <w:sz w:val="28"/>
          <w:szCs w:val="28"/>
        </w:rPr>
        <w:t xml:space="preserve"> Presiding Judges.</w:t>
      </w:r>
      <w:r w:rsidR="00287BCE">
        <w:rPr>
          <w:sz w:val="28"/>
          <w:szCs w:val="28"/>
        </w:rPr>
        <w:tab/>
      </w:r>
      <w:r w:rsidR="00287BCE">
        <w:rPr>
          <w:sz w:val="28"/>
          <w:szCs w:val="28"/>
        </w:rPr>
        <w:br/>
      </w:r>
    </w:p>
    <w:p w14:paraId="48CF8708" w14:textId="33464228" w:rsidR="00B530C1" w:rsidRPr="00E6160D" w:rsidRDefault="00D573F8" w:rsidP="00D573F8">
      <w:p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E6160D">
        <w:rPr>
          <w:b/>
          <w:bCs/>
          <w:sz w:val="28"/>
          <w:szCs w:val="28"/>
          <w:u w:val="single"/>
        </w:rPr>
        <w:t xml:space="preserve">(iii). </w:t>
      </w:r>
      <w:r w:rsidR="00B530C1" w:rsidRPr="00E6160D">
        <w:rPr>
          <w:b/>
          <w:bCs/>
          <w:sz w:val="28"/>
          <w:szCs w:val="28"/>
          <w:u w:val="single"/>
        </w:rPr>
        <w:t>Proposed Changes to Current Rule Forms</w:t>
      </w:r>
    </w:p>
    <w:p w14:paraId="634F5F1A" w14:textId="6A1715B2" w:rsidR="00A7636A" w:rsidRPr="00E6160D" w:rsidRDefault="00DE04C5" w:rsidP="00A7636A">
      <w:pPr>
        <w:spacing w:line="480" w:lineRule="auto"/>
        <w:jc w:val="both"/>
        <w:rPr>
          <w:sz w:val="28"/>
          <w:szCs w:val="28"/>
        </w:rPr>
      </w:pPr>
      <w:r w:rsidRPr="00E6160D">
        <w:rPr>
          <w:sz w:val="28"/>
          <w:szCs w:val="28"/>
        </w:rPr>
        <w:t xml:space="preserve"> </w:t>
      </w:r>
      <w:r w:rsidR="00203D4C" w:rsidRPr="00E6160D">
        <w:rPr>
          <w:sz w:val="28"/>
          <w:szCs w:val="28"/>
        </w:rPr>
        <w:tab/>
      </w:r>
      <w:r w:rsidRPr="00E6160D">
        <w:rPr>
          <w:sz w:val="28"/>
          <w:szCs w:val="28"/>
        </w:rPr>
        <w:t xml:space="preserve">The </w:t>
      </w:r>
      <w:r w:rsidR="00F33520" w:rsidRPr="00E6160D">
        <w:rPr>
          <w:sz w:val="28"/>
          <w:szCs w:val="28"/>
        </w:rPr>
        <w:t xml:space="preserve">proposed rule </w:t>
      </w:r>
      <w:r w:rsidR="00B530C1" w:rsidRPr="00E6160D">
        <w:rPr>
          <w:sz w:val="28"/>
          <w:szCs w:val="28"/>
        </w:rPr>
        <w:t xml:space="preserve">amendment would not change current Rule Forms 5(a) and 5(b). The new Form 5(c) would be added </w:t>
      </w:r>
      <w:r w:rsidR="00A7636A" w:rsidRPr="00E6160D">
        <w:rPr>
          <w:sz w:val="28"/>
          <w:szCs w:val="28"/>
        </w:rPr>
        <w:t xml:space="preserve">to the </w:t>
      </w:r>
      <w:r w:rsidR="0068443B">
        <w:rPr>
          <w:sz w:val="28"/>
          <w:szCs w:val="28"/>
        </w:rPr>
        <w:t>r</w:t>
      </w:r>
      <w:r w:rsidR="00A7636A" w:rsidRPr="00E6160D">
        <w:rPr>
          <w:sz w:val="28"/>
          <w:szCs w:val="28"/>
        </w:rPr>
        <w:t xml:space="preserve">ule </w:t>
      </w:r>
      <w:r w:rsidR="0068443B">
        <w:rPr>
          <w:sz w:val="28"/>
          <w:szCs w:val="28"/>
        </w:rPr>
        <w:t>f</w:t>
      </w:r>
      <w:r w:rsidR="00A7636A" w:rsidRPr="00E6160D">
        <w:rPr>
          <w:sz w:val="28"/>
          <w:szCs w:val="28"/>
        </w:rPr>
        <w:t xml:space="preserve">orms </w:t>
      </w:r>
      <w:r w:rsidR="00B530C1" w:rsidRPr="00E6160D">
        <w:rPr>
          <w:sz w:val="28"/>
          <w:szCs w:val="28"/>
        </w:rPr>
        <w:t xml:space="preserve">only as an approved combined alternative to </w:t>
      </w:r>
      <w:r w:rsidR="0068443B">
        <w:rPr>
          <w:sz w:val="28"/>
          <w:szCs w:val="28"/>
        </w:rPr>
        <w:t xml:space="preserve">Forms </w:t>
      </w:r>
      <w:r w:rsidR="00B530C1" w:rsidRPr="00E6160D">
        <w:rPr>
          <w:sz w:val="28"/>
          <w:szCs w:val="28"/>
        </w:rPr>
        <w:t>5(a) and 5(b)</w:t>
      </w:r>
      <w:r w:rsidR="0068443B">
        <w:rPr>
          <w:sz w:val="28"/>
          <w:szCs w:val="28"/>
        </w:rPr>
        <w:t xml:space="preserve"> for LJC use</w:t>
      </w:r>
      <w:r w:rsidR="00B530C1" w:rsidRPr="00E6160D">
        <w:rPr>
          <w:sz w:val="28"/>
          <w:szCs w:val="28"/>
        </w:rPr>
        <w:t>.</w:t>
      </w:r>
      <w:r w:rsidR="00FE5E76" w:rsidRPr="00E6160D">
        <w:rPr>
          <w:sz w:val="28"/>
          <w:szCs w:val="28"/>
        </w:rPr>
        <w:t xml:space="preserve"> </w:t>
      </w:r>
      <w:r w:rsidR="008E2BEF">
        <w:rPr>
          <w:sz w:val="28"/>
          <w:szCs w:val="28"/>
        </w:rPr>
        <w:t>Anecdotally, s</w:t>
      </w:r>
      <w:r w:rsidR="00FE5E76" w:rsidRPr="00E6160D">
        <w:rPr>
          <w:sz w:val="28"/>
          <w:szCs w:val="28"/>
        </w:rPr>
        <w:t xml:space="preserve">ome courts have created abbreviated </w:t>
      </w:r>
      <w:r w:rsidR="00FD1BB8">
        <w:rPr>
          <w:sz w:val="28"/>
          <w:szCs w:val="28"/>
        </w:rPr>
        <w:t xml:space="preserve">financial </w:t>
      </w:r>
      <w:r w:rsidR="00FE5E76" w:rsidRPr="00E6160D">
        <w:rPr>
          <w:sz w:val="28"/>
          <w:szCs w:val="28"/>
        </w:rPr>
        <w:t xml:space="preserve">forms </w:t>
      </w:r>
      <w:r w:rsidR="00FD1BB8">
        <w:rPr>
          <w:sz w:val="28"/>
          <w:szCs w:val="28"/>
        </w:rPr>
        <w:t>for</w:t>
      </w:r>
      <w:r w:rsidR="00FE5E76" w:rsidRPr="00E6160D">
        <w:rPr>
          <w:sz w:val="28"/>
          <w:szCs w:val="28"/>
        </w:rPr>
        <w:t xml:space="preserve"> use within their jurisdictions as a</w:t>
      </w:r>
      <w:r w:rsidR="006A0D88">
        <w:rPr>
          <w:sz w:val="28"/>
          <w:szCs w:val="28"/>
        </w:rPr>
        <w:t xml:space="preserve"> practical </w:t>
      </w:r>
      <w:r w:rsidR="00FE5E76" w:rsidRPr="00E6160D">
        <w:rPr>
          <w:sz w:val="28"/>
          <w:szCs w:val="28"/>
        </w:rPr>
        <w:t>substitute for F</w:t>
      </w:r>
      <w:r w:rsidR="00B61887" w:rsidRPr="00E6160D">
        <w:rPr>
          <w:sz w:val="28"/>
          <w:szCs w:val="28"/>
        </w:rPr>
        <w:t>orm 5(a)</w:t>
      </w:r>
      <w:r w:rsidR="006A0D88">
        <w:rPr>
          <w:sz w:val="28"/>
          <w:szCs w:val="28"/>
        </w:rPr>
        <w:t>,</w:t>
      </w:r>
      <w:r w:rsidR="00B61887" w:rsidRPr="00E6160D">
        <w:rPr>
          <w:sz w:val="28"/>
          <w:szCs w:val="28"/>
        </w:rPr>
        <w:t xml:space="preserve"> to address the concerns raised herein</w:t>
      </w:r>
      <w:r w:rsidR="006A0D88">
        <w:rPr>
          <w:sz w:val="28"/>
          <w:szCs w:val="28"/>
        </w:rPr>
        <w:t xml:space="preserve">.  </w:t>
      </w:r>
      <w:r w:rsidR="00F56F18">
        <w:rPr>
          <w:sz w:val="28"/>
          <w:szCs w:val="28"/>
        </w:rPr>
        <w:t>In such cases, these courts have had to discontinue use of such forms after</w:t>
      </w:r>
      <w:r w:rsidR="0053417B">
        <w:rPr>
          <w:sz w:val="28"/>
          <w:szCs w:val="28"/>
        </w:rPr>
        <w:t xml:space="preserve"> being</w:t>
      </w:r>
      <w:r w:rsidR="00B61887" w:rsidRPr="00E6160D">
        <w:rPr>
          <w:sz w:val="28"/>
          <w:szCs w:val="28"/>
        </w:rPr>
        <w:t xml:space="preserve"> advised by the Administrative Office of the Courts that such forms constitute non-conforming use of the </w:t>
      </w:r>
      <w:r w:rsidR="0053417B">
        <w:rPr>
          <w:sz w:val="28"/>
          <w:szCs w:val="28"/>
        </w:rPr>
        <w:t>r</w:t>
      </w:r>
      <w:r w:rsidR="00B61887" w:rsidRPr="00E6160D">
        <w:rPr>
          <w:sz w:val="28"/>
          <w:szCs w:val="28"/>
        </w:rPr>
        <w:t xml:space="preserve">ules </w:t>
      </w:r>
      <w:r w:rsidR="0053417B">
        <w:rPr>
          <w:sz w:val="28"/>
          <w:szCs w:val="28"/>
        </w:rPr>
        <w:t>f</w:t>
      </w:r>
      <w:r w:rsidR="00B61887" w:rsidRPr="00E6160D">
        <w:rPr>
          <w:sz w:val="28"/>
          <w:szCs w:val="28"/>
        </w:rPr>
        <w:t xml:space="preserve">orms and would not </w:t>
      </w:r>
      <w:r w:rsidR="00EC79FB">
        <w:rPr>
          <w:sz w:val="28"/>
          <w:szCs w:val="28"/>
        </w:rPr>
        <w:t>meet</w:t>
      </w:r>
      <w:r w:rsidR="00B61887" w:rsidRPr="00E6160D">
        <w:rPr>
          <w:sz w:val="28"/>
          <w:szCs w:val="28"/>
        </w:rPr>
        <w:t xml:space="preserve"> operational review standards.</w:t>
      </w:r>
    </w:p>
    <w:p w14:paraId="7BBB9BC8" w14:textId="77777777" w:rsidR="00A7636A" w:rsidRPr="00E6160D" w:rsidRDefault="00A7636A" w:rsidP="00A7636A">
      <w:pPr>
        <w:spacing w:line="480" w:lineRule="auto"/>
        <w:jc w:val="both"/>
        <w:rPr>
          <w:sz w:val="28"/>
          <w:szCs w:val="28"/>
        </w:rPr>
      </w:pPr>
    </w:p>
    <w:p w14:paraId="338E12B3" w14:textId="77777777" w:rsidR="00A7636A" w:rsidRPr="00E6160D" w:rsidRDefault="00827D7F" w:rsidP="00A7636A">
      <w:pPr>
        <w:spacing w:line="480" w:lineRule="auto"/>
        <w:jc w:val="both"/>
        <w:rPr>
          <w:sz w:val="28"/>
          <w:szCs w:val="28"/>
        </w:rPr>
      </w:pPr>
      <w:r w:rsidRPr="00E6160D">
        <w:rPr>
          <w:b/>
          <w:sz w:val="28"/>
          <w:szCs w:val="28"/>
          <w:u w:val="single"/>
        </w:rPr>
        <w:t>Conclusion</w:t>
      </w:r>
      <w:r w:rsidRPr="00E6160D">
        <w:rPr>
          <w:sz w:val="28"/>
          <w:szCs w:val="28"/>
        </w:rPr>
        <w:t xml:space="preserve">  </w:t>
      </w:r>
    </w:p>
    <w:p w14:paraId="5BD38A38" w14:textId="679BFF78" w:rsidR="00827D7F" w:rsidRPr="00E6160D" w:rsidRDefault="00827D7F" w:rsidP="00B61887">
      <w:pPr>
        <w:spacing w:line="480" w:lineRule="auto"/>
        <w:ind w:firstLine="360"/>
        <w:jc w:val="both"/>
        <w:rPr>
          <w:sz w:val="28"/>
          <w:szCs w:val="28"/>
        </w:rPr>
      </w:pPr>
      <w:r w:rsidRPr="00E6160D">
        <w:rPr>
          <w:sz w:val="28"/>
          <w:szCs w:val="28"/>
        </w:rPr>
        <w:t xml:space="preserve">Petitioner </w:t>
      </w:r>
      <w:r w:rsidR="00947CF9" w:rsidRPr="00E6160D">
        <w:rPr>
          <w:sz w:val="28"/>
          <w:szCs w:val="28"/>
        </w:rPr>
        <w:t xml:space="preserve">accordingly </w:t>
      </w:r>
      <w:r w:rsidRPr="00E6160D">
        <w:rPr>
          <w:sz w:val="28"/>
          <w:szCs w:val="28"/>
        </w:rPr>
        <w:t xml:space="preserve">requests the </w:t>
      </w:r>
      <w:r w:rsidR="00DE04C5" w:rsidRPr="00E6160D">
        <w:rPr>
          <w:sz w:val="28"/>
          <w:szCs w:val="28"/>
        </w:rPr>
        <w:t xml:space="preserve">Court </w:t>
      </w:r>
      <w:r w:rsidR="006937E5" w:rsidRPr="00E6160D">
        <w:rPr>
          <w:sz w:val="28"/>
          <w:szCs w:val="28"/>
        </w:rPr>
        <w:t xml:space="preserve">to </w:t>
      </w:r>
      <w:r w:rsidR="00F33520" w:rsidRPr="00E6160D">
        <w:rPr>
          <w:sz w:val="28"/>
          <w:szCs w:val="28"/>
        </w:rPr>
        <w:t xml:space="preserve">adopt </w:t>
      </w:r>
      <w:r w:rsidR="00A7636A" w:rsidRPr="00E6160D">
        <w:rPr>
          <w:sz w:val="28"/>
          <w:szCs w:val="28"/>
        </w:rPr>
        <w:t>the</w:t>
      </w:r>
      <w:r w:rsidR="00EC79FB">
        <w:rPr>
          <w:sz w:val="28"/>
          <w:szCs w:val="28"/>
        </w:rPr>
        <w:t xml:space="preserve"> proposed</w:t>
      </w:r>
      <w:r w:rsidR="00A7636A" w:rsidRPr="00E6160D">
        <w:rPr>
          <w:sz w:val="28"/>
          <w:szCs w:val="28"/>
        </w:rPr>
        <w:t xml:space="preserve"> </w:t>
      </w:r>
      <w:r w:rsidR="00F33520" w:rsidRPr="00E6160D">
        <w:rPr>
          <w:sz w:val="28"/>
          <w:szCs w:val="28"/>
        </w:rPr>
        <w:t>amendmen</w:t>
      </w:r>
      <w:r w:rsidR="00A7636A" w:rsidRPr="00E6160D">
        <w:rPr>
          <w:sz w:val="28"/>
          <w:szCs w:val="28"/>
        </w:rPr>
        <w:t>t</w:t>
      </w:r>
      <w:r w:rsidR="00F33520" w:rsidRPr="00E6160D">
        <w:rPr>
          <w:sz w:val="28"/>
          <w:szCs w:val="28"/>
        </w:rPr>
        <w:t xml:space="preserve"> </w:t>
      </w:r>
      <w:r w:rsidR="00A7636A" w:rsidRPr="00E6160D">
        <w:rPr>
          <w:sz w:val="28"/>
          <w:szCs w:val="28"/>
        </w:rPr>
        <w:t>to Rule Form 5 by adding the Form 5(c)</w:t>
      </w:r>
      <w:r w:rsidR="0053417B">
        <w:rPr>
          <w:sz w:val="28"/>
          <w:szCs w:val="28"/>
        </w:rPr>
        <w:t xml:space="preserve"> for LJC use</w:t>
      </w:r>
      <w:r w:rsidR="00F33520" w:rsidRPr="00E6160D">
        <w:rPr>
          <w:sz w:val="28"/>
          <w:szCs w:val="28"/>
        </w:rPr>
        <w:t>.  Petitioner asks the Court to adopt th</w:t>
      </w:r>
      <w:r w:rsidR="00A7636A" w:rsidRPr="00E6160D">
        <w:rPr>
          <w:sz w:val="28"/>
          <w:szCs w:val="28"/>
        </w:rPr>
        <w:t xml:space="preserve">is </w:t>
      </w:r>
      <w:r w:rsidR="00F33520" w:rsidRPr="00E6160D">
        <w:rPr>
          <w:sz w:val="28"/>
          <w:szCs w:val="28"/>
        </w:rPr>
        <w:t xml:space="preserve">amendment on an expedited </w:t>
      </w:r>
      <w:r w:rsidR="0053417B">
        <w:rPr>
          <w:sz w:val="28"/>
          <w:szCs w:val="28"/>
        </w:rPr>
        <w:t xml:space="preserve">emergency </w:t>
      </w:r>
      <w:r w:rsidR="00A7636A" w:rsidRPr="00E6160D">
        <w:rPr>
          <w:sz w:val="28"/>
          <w:szCs w:val="28"/>
        </w:rPr>
        <w:t xml:space="preserve">interim </w:t>
      </w:r>
      <w:r w:rsidR="00F33520" w:rsidRPr="00E6160D">
        <w:rPr>
          <w:sz w:val="28"/>
          <w:szCs w:val="28"/>
        </w:rPr>
        <w:t xml:space="preserve">basis and prescribe an </w:t>
      </w:r>
      <w:r w:rsidR="00A7636A" w:rsidRPr="00E6160D">
        <w:rPr>
          <w:sz w:val="28"/>
          <w:szCs w:val="28"/>
        </w:rPr>
        <w:t xml:space="preserve">appropriate interim </w:t>
      </w:r>
      <w:r w:rsidR="00F33520" w:rsidRPr="00E6160D">
        <w:rPr>
          <w:sz w:val="28"/>
          <w:szCs w:val="28"/>
        </w:rPr>
        <w:t xml:space="preserve">effective date </w:t>
      </w:r>
      <w:r w:rsidR="00A7636A" w:rsidRPr="00E6160D">
        <w:rPr>
          <w:sz w:val="28"/>
          <w:szCs w:val="28"/>
        </w:rPr>
        <w:t xml:space="preserve">and </w:t>
      </w:r>
      <w:r w:rsidR="00B61887" w:rsidRPr="00E6160D">
        <w:rPr>
          <w:sz w:val="28"/>
          <w:szCs w:val="28"/>
        </w:rPr>
        <w:t>invite</w:t>
      </w:r>
      <w:r w:rsidR="00A7636A" w:rsidRPr="00E6160D">
        <w:rPr>
          <w:sz w:val="28"/>
          <w:szCs w:val="28"/>
        </w:rPr>
        <w:t xml:space="preserve"> later public comment</w:t>
      </w:r>
      <w:r w:rsidR="00B61887" w:rsidRPr="00E6160D">
        <w:rPr>
          <w:sz w:val="28"/>
          <w:szCs w:val="28"/>
        </w:rPr>
        <w:t xml:space="preserve"> before</w:t>
      </w:r>
      <w:r w:rsidR="00EC79FB">
        <w:rPr>
          <w:sz w:val="28"/>
          <w:szCs w:val="28"/>
        </w:rPr>
        <w:t xml:space="preserve"> consideration of</w:t>
      </w:r>
      <w:r w:rsidR="00B61887" w:rsidRPr="00E6160D">
        <w:rPr>
          <w:sz w:val="28"/>
          <w:szCs w:val="28"/>
        </w:rPr>
        <w:t xml:space="preserve"> final </w:t>
      </w:r>
      <w:r w:rsidR="00EC79FB">
        <w:rPr>
          <w:sz w:val="28"/>
          <w:szCs w:val="28"/>
        </w:rPr>
        <w:t xml:space="preserve">formal </w:t>
      </w:r>
      <w:r w:rsidR="00B61887" w:rsidRPr="00E6160D">
        <w:rPr>
          <w:sz w:val="28"/>
          <w:szCs w:val="28"/>
        </w:rPr>
        <w:t>adoption</w:t>
      </w:r>
      <w:r w:rsidR="001A4E40" w:rsidRPr="00E6160D">
        <w:rPr>
          <w:sz w:val="28"/>
          <w:szCs w:val="28"/>
        </w:rPr>
        <w:t>.</w:t>
      </w:r>
    </w:p>
    <w:p w14:paraId="02BEC5D5" w14:textId="33A11131" w:rsidR="00B61887" w:rsidRDefault="00514C3D" w:rsidP="00B61887">
      <w:pPr>
        <w:shd w:val="clear" w:color="auto" w:fill="FFFFFF"/>
        <w:spacing w:line="480" w:lineRule="auto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br/>
      </w:r>
    </w:p>
    <w:p w14:paraId="451D4EFB" w14:textId="77777777" w:rsidR="00A83017" w:rsidRPr="00E6160D" w:rsidRDefault="00A83017" w:rsidP="00B61887">
      <w:pPr>
        <w:shd w:val="clear" w:color="auto" w:fill="FFFFFF"/>
        <w:spacing w:line="480" w:lineRule="auto"/>
        <w:jc w:val="both"/>
        <w:rPr>
          <w:color w:val="252525"/>
          <w:sz w:val="28"/>
          <w:szCs w:val="28"/>
        </w:rPr>
      </w:pPr>
    </w:p>
    <w:p w14:paraId="5D6A627F" w14:textId="63FC15DE" w:rsidR="00827D7F" w:rsidRPr="00E6160D" w:rsidRDefault="00EE050D" w:rsidP="00B61887">
      <w:pPr>
        <w:shd w:val="clear" w:color="auto" w:fill="FFFFFF"/>
        <w:spacing w:line="480" w:lineRule="auto"/>
        <w:jc w:val="both"/>
        <w:rPr>
          <w:color w:val="252525"/>
          <w:sz w:val="28"/>
          <w:szCs w:val="28"/>
        </w:rPr>
      </w:pPr>
      <w:r w:rsidRPr="00E6160D">
        <w:rPr>
          <w:color w:val="252525"/>
          <w:sz w:val="28"/>
          <w:szCs w:val="28"/>
        </w:rPr>
        <w:t xml:space="preserve">RESPECTFULLY SUBMITTED this </w:t>
      </w:r>
      <w:r w:rsidR="002563E6">
        <w:rPr>
          <w:color w:val="252525"/>
          <w:sz w:val="28"/>
          <w:szCs w:val="28"/>
        </w:rPr>
        <w:t>2</w:t>
      </w:r>
      <w:r w:rsidR="009F2719">
        <w:rPr>
          <w:color w:val="252525"/>
          <w:sz w:val="28"/>
          <w:szCs w:val="28"/>
        </w:rPr>
        <w:t>8</w:t>
      </w:r>
      <w:r w:rsidR="002563E6" w:rsidRPr="002563E6">
        <w:rPr>
          <w:color w:val="252525"/>
          <w:sz w:val="28"/>
          <w:szCs w:val="28"/>
          <w:vertAlign w:val="superscript"/>
        </w:rPr>
        <w:t>th</w:t>
      </w:r>
      <w:r w:rsidR="002563E6">
        <w:rPr>
          <w:color w:val="252525"/>
          <w:sz w:val="28"/>
          <w:szCs w:val="28"/>
        </w:rPr>
        <w:t xml:space="preserve"> </w:t>
      </w:r>
      <w:r w:rsidRPr="00E6160D">
        <w:rPr>
          <w:color w:val="252525"/>
          <w:sz w:val="28"/>
          <w:szCs w:val="28"/>
        </w:rPr>
        <w:t xml:space="preserve">day of </w:t>
      </w:r>
      <w:r w:rsidR="00A7636A" w:rsidRPr="00E6160D">
        <w:rPr>
          <w:color w:val="252525"/>
          <w:sz w:val="28"/>
          <w:szCs w:val="28"/>
        </w:rPr>
        <w:t>May</w:t>
      </w:r>
      <w:r w:rsidR="002E4A3A" w:rsidRPr="00E6160D">
        <w:rPr>
          <w:color w:val="252525"/>
          <w:sz w:val="28"/>
          <w:szCs w:val="28"/>
        </w:rPr>
        <w:t xml:space="preserve"> 202</w:t>
      </w:r>
      <w:r w:rsidR="00A7636A" w:rsidRPr="00E6160D">
        <w:rPr>
          <w:color w:val="252525"/>
          <w:sz w:val="28"/>
          <w:szCs w:val="28"/>
        </w:rPr>
        <w:t>1</w:t>
      </w:r>
      <w:r w:rsidRPr="00E6160D">
        <w:rPr>
          <w:color w:val="252525"/>
          <w:sz w:val="28"/>
          <w:szCs w:val="28"/>
        </w:rPr>
        <w:t>.</w:t>
      </w:r>
    </w:p>
    <w:p w14:paraId="55517CB9" w14:textId="02B32E47" w:rsidR="00827D7F" w:rsidRPr="00E6160D" w:rsidRDefault="00827D7F" w:rsidP="001477A4">
      <w:pPr>
        <w:shd w:val="clear" w:color="auto" w:fill="FFFFFF"/>
        <w:spacing w:line="432" w:lineRule="atLeast"/>
        <w:jc w:val="both"/>
        <w:rPr>
          <w:color w:val="252525"/>
          <w:sz w:val="28"/>
          <w:szCs w:val="28"/>
        </w:rPr>
      </w:pPr>
    </w:p>
    <w:p w14:paraId="150E125C" w14:textId="2F031D4E" w:rsidR="00AF76EE" w:rsidRPr="00E6160D" w:rsidRDefault="005B37F6" w:rsidP="001477A4">
      <w:pPr>
        <w:ind w:left="3946" w:firstLine="5054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 wp14:anchorId="647ADF2A" wp14:editId="2D8BB5CC">
            <wp:simplePos x="0" y="0"/>
            <wp:positionH relativeFrom="column">
              <wp:posOffset>2514600</wp:posOffset>
            </wp:positionH>
            <wp:positionV relativeFrom="paragraph">
              <wp:posOffset>12065</wp:posOffset>
            </wp:positionV>
            <wp:extent cx="1885950" cy="9239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09B0AC" w14:textId="77777777" w:rsidR="003E0CEA" w:rsidRDefault="00EE050D" w:rsidP="001477A4">
      <w:pPr>
        <w:ind w:left="3946" w:firstLine="5054"/>
        <w:contextualSpacing/>
        <w:jc w:val="both"/>
        <w:rPr>
          <w:rFonts w:eastAsia="Calibri"/>
          <w:sz w:val="28"/>
          <w:szCs w:val="28"/>
        </w:rPr>
      </w:pPr>
      <w:r w:rsidRPr="00E6160D">
        <w:rPr>
          <w:rFonts w:eastAsia="Calibri"/>
          <w:sz w:val="28"/>
          <w:szCs w:val="28"/>
        </w:rPr>
        <w:t xml:space="preserve"> </w:t>
      </w:r>
    </w:p>
    <w:p w14:paraId="60611257" w14:textId="77777777" w:rsidR="003E0CEA" w:rsidRDefault="003E0CEA" w:rsidP="001477A4">
      <w:pPr>
        <w:ind w:left="3946" w:firstLine="5054"/>
        <w:contextualSpacing/>
        <w:jc w:val="both"/>
        <w:rPr>
          <w:rFonts w:eastAsia="Calibri"/>
          <w:sz w:val="28"/>
          <w:szCs w:val="28"/>
        </w:rPr>
      </w:pPr>
    </w:p>
    <w:p w14:paraId="322AB633" w14:textId="329D26EF" w:rsidR="00EE050D" w:rsidRPr="00AB6181" w:rsidRDefault="00AB6181" w:rsidP="001477A4">
      <w:pPr>
        <w:ind w:left="3946" w:firstLine="5054"/>
        <w:contextualSpacing/>
        <w:jc w:val="both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ab/>
      </w:r>
      <w:r w:rsidR="00EE050D" w:rsidRPr="00E6160D">
        <w:rPr>
          <w:rFonts w:eastAsia="Calibri"/>
          <w:sz w:val="28"/>
          <w:szCs w:val="28"/>
          <w:u w:val="single"/>
        </w:rPr>
        <w:t>_</w:t>
      </w:r>
      <w:r w:rsidRPr="00AB6181">
        <w:rPr>
          <w:rFonts w:eastAsia="Calibri"/>
          <w:b/>
          <w:bCs/>
          <w:sz w:val="28"/>
          <w:szCs w:val="28"/>
          <w:u w:val="single"/>
        </w:rPr>
        <w:tab/>
      </w:r>
      <w:r w:rsidRPr="00AB6181">
        <w:rPr>
          <w:rFonts w:eastAsia="Calibri"/>
          <w:b/>
          <w:bCs/>
          <w:sz w:val="28"/>
          <w:szCs w:val="28"/>
          <w:u w:val="single"/>
        </w:rPr>
        <w:tab/>
      </w:r>
      <w:r w:rsidRPr="00AB6181">
        <w:rPr>
          <w:rFonts w:eastAsia="Calibri"/>
          <w:b/>
          <w:bCs/>
          <w:sz w:val="28"/>
          <w:szCs w:val="28"/>
          <w:u w:val="single"/>
        </w:rPr>
        <w:tab/>
      </w:r>
      <w:r w:rsidRPr="00AB6181">
        <w:rPr>
          <w:rFonts w:eastAsia="Calibri"/>
          <w:b/>
          <w:bCs/>
          <w:sz w:val="28"/>
          <w:szCs w:val="28"/>
          <w:u w:val="single"/>
        </w:rPr>
        <w:tab/>
      </w:r>
      <w:r w:rsidRPr="00AB6181">
        <w:rPr>
          <w:rFonts w:eastAsia="Calibri"/>
          <w:b/>
          <w:bCs/>
          <w:sz w:val="28"/>
          <w:szCs w:val="28"/>
          <w:u w:val="single"/>
        </w:rPr>
        <w:tab/>
      </w:r>
      <w:r w:rsidRPr="00AB6181">
        <w:rPr>
          <w:rFonts w:eastAsia="Calibri"/>
          <w:b/>
          <w:bCs/>
          <w:sz w:val="28"/>
          <w:szCs w:val="28"/>
          <w:u w:val="single"/>
        </w:rPr>
        <w:tab/>
      </w:r>
      <w:r w:rsidRPr="00AB6181">
        <w:rPr>
          <w:rFonts w:eastAsia="Calibri"/>
          <w:b/>
          <w:bCs/>
          <w:sz w:val="28"/>
          <w:szCs w:val="28"/>
          <w:u w:val="single"/>
        </w:rPr>
        <w:tab/>
      </w:r>
      <w:r w:rsidR="005B37F6">
        <w:rPr>
          <w:rFonts w:eastAsia="Calibri"/>
          <w:b/>
          <w:bCs/>
          <w:sz w:val="28"/>
          <w:szCs w:val="28"/>
          <w:u w:val="single"/>
        </w:rPr>
        <w:tab/>
      </w:r>
      <w:r w:rsidR="005B37F6">
        <w:rPr>
          <w:rFonts w:eastAsia="Calibri"/>
          <w:b/>
          <w:bCs/>
          <w:sz w:val="28"/>
          <w:szCs w:val="28"/>
          <w:u w:val="single"/>
        </w:rPr>
        <w:tab/>
      </w:r>
      <w:r w:rsidR="005B37F6">
        <w:rPr>
          <w:rFonts w:eastAsia="Calibri"/>
          <w:b/>
          <w:bCs/>
          <w:sz w:val="28"/>
          <w:szCs w:val="28"/>
          <w:u w:val="single"/>
        </w:rPr>
        <w:tab/>
      </w:r>
      <w:r w:rsidR="005B37F6">
        <w:rPr>
          <w:rFonts w:eastAsia="Calibri"/>
          <w:b/>
          <w:bCs/>
          <w:sz w:val="28"/>
          <w:szCs w:val="28"/>
          <w:u w:val="single"/>
        </w:rPr>
        <w:tab/>
      </w:r>
      <w:r w:rsidR="005B37F6">
        <w:rPr>
          <w:rFonts w:eastAsia="Calibri"/>
          <w:b/>
          <w:bCs/>
          <w:sz w:val="28"/>
          <w:szCs w:val="28"/>
          <w:u w:val="single"/>
        </w:rPr>
        <w:tab/>
      </w:r>
      <w:r w:rsidR="005B37F6">
        <w:rPr>
          <w:rFonts w:eastAsia="Calibri"/>
          <w:b/>
          <w:bCs/>
          <w:sz w:val="28"/>
          <w:szCs w:val="28"/>
          <w:u w:val="single"/>
        </w:rPr>
        <w:tab/>
      </w:r>
      <w:r w:rsidR="005B37F6">
        <w:rPr>
          <w:rFonts w:eastAsia="Calibri"/>
          <w:b/>
          <w:bCs/>
          <w:sz w:val="28"/>
          <w:szCs w:val="28"/>
          <w:u w:val="single"/>
        </w:rPr>
        <w:tab/>
      </w:r>
      <w:r w:rsidR="005B37F6">
        <w:rPr>
          <w:rFonts w:eastAsia="Calibri"/>
          <w:b/>
          <w:bCs/>
          <w:sz w:val="28"/>
          <w:szCs w:val="28"/>
          <w:u w:val="single"/>
        </w:rPr>
        <w:tab/>
      </w:r>
    </w:p>
    <w:p w14:paraId="2B9C9912" w14:textId="50CF7711" w:rsidR="00EE050D" w:rsidRPr="00AB6181" w:rsidRDefault="00A7636A" w:rsidP="001477A4">
      <w:pPr>
        <w:ind w:left="3946"/>
        <w:jc w:val="both"/>
        <w:rPr>
          <w:rFonts w:eastAsia="Calibri"/>
          <w:sz w:val="28"/>
          <w:szCs w:val="28"/>
        </w:rPr>
      </w:pPr>
      <w:r w:rsidRPr="00AB6181">
        <w:rPr>
          <w:rFonts w:eastAsia="Calibri"/>
          <w:sz w:val="28"/>
          <w:szCs w:val="28"/>
        </w:rPr>
        <w:t>Kevin Kane</w:t>
      </w:r>
    </w:p>
    <w:p w14:paraId="55E4436E" w14:textId="77777777" w:rsidR="005B37F6" w:rsidRDefault="00A7636A" w:rsidP="00E867D6">
      <w:pPr>
        <w:ind w:left="3946"/>
        <w:jc w:val="both"/>
        <w:rPr>
          <w:rFonts w:eastAsia="Calibri"/>
          <w:sz w:val="28"/>
          <w:szCs w:val="28"/>
        </w:rPr>
      </w:pPr>
      <w:r w:rsidRPr="00E6160D">
        <w:rPr>
          <w:rFonts w:eastAsia="Calibri"/>
          <w:sz w:val="28"/>
          <w:szCs w:val="28"/>
        </w:rPr>
        <w:t>Presiding Judge, Tempe Municipal Court</w:t>
      </w:r>
      <w:r w:rsidR="0079572B">
        <w:rPr>
          <w:rFonts w:eastAsia="Calibri"/>
          <w:sz w:val="28"/>
          <w:szCs w:val="28"/>
        </w:rPr>
        <w:tab/>
      </w:r>
      <w:r w:rsidR="0079572B">
        <w:rPr>
          <w:rFonts w:eastAsia="Calibri"/>
          <w:sz w:val="28"/>
          <w:szCs w:val="28"/>
        </w:rPr>
        <w:br/>
      </w:r>
      <w:r w:rsidR="00EC79FB">
        <w:rPr>
          <w:rFonts w:eastAsia="Calibri"/>
          <w:sz w:val="28"/>
          <w:szCs w:val="28"/>
        </w:rPr>
        <w:t>LJC Forms Subcommittee Chair</w:t>
      </w:r>
      <w:r w:rsidR="00E867D6">
        <w:rPr>
          <w:rFonts w:eastAsia="Calibri"/>
          <w:sz w:val="28"/>
          <w:szCs w:val="28"/>
        </w:rPr>
        <w:tab/>
      </w:r>
      <w:r w:rsidR="00E867D6">
        <w:rPr>
          <w:rFonts w:eastAsia="Calibri"/>
          <w:sz w:val="28"/>
          <w:szCs w:val="28"/>
        </w:rPr>
        <w:br/>
      </w:r>
      <w:r w:rsidR="00E867D6">
        <w:rPr>
          <w:rFonts w:eastAsia="Calibri"/>
          <w:sz w:val="28"/>
          <w:szCs w:val="28"/>
        </w:rPr>
        <w:br/>
      </w:r>
    </w:p>
    <w:p w14:paraId="5C9C4B82" w14:textId="5F3AE1CC" w:rsidR="003E0CEA" w:rsidRDefault="00E867D6" w:rsidP="00E867D6">
      <w:pPr>
        <w:ind w:left="394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br/>
      </w:r>
      <w:r w:rsidR="00AB6181" w:rsidRPr="00664054">
        <w:rPr>
          <w:rFonts w:eastAsia="Calibri"/>
          <w:i/>
          <w:iCs/>
          <w:sz w:val="28"/>
          <w:szCs w:val="28"/>
          <w:u w:val="single"/>
        </w:rPr>
        <w:t xml:space="preserve"> </w:t>
      </w:r>
      <w:r w:rsidR="00746565" w:rsidRPr="00664054">
        <w:rPr>
          <w:rFonts w:eastAsia="Calibri"/>
          <w:i/>
          <w:iCs/>
          <w:sz w:val="28"/>
          <w:szCs w:val="28"/>
          <w:u w:val="single"/>
        </w:rPr>
        <w:t>/s/</w:t>
      </w:r>
      <w:r w:rsidR="00664054" w:rsidRPr="00664054">
        <w:rPr>
          <w:rFonts w:eastAsia="Calibri"/>
          <w:i/>
          <w:iCs/>
          <w:sz w:val="28"/>
          <w:szCs w:val="28"/>
          <w:u w:val="single"/>
        </w:rPr>
        <w:t xml:space="preserve"> Brett Eisele</w:t>
      </w:r>
      <w:r w:rsidR="00AB6181" w:rsidRPr="00664054">
        <w:rPr>
          <w:rFonts w:eastAsia="Calibri"/>
          <w:i/>
          <w:i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>
        <w:rPr>
          <w:rFonts w:eastAsia="Calibri"/>
          <w:b/>
          <w:bCs/>
          <w:sz w:val="28"/>
          <w:szCs w:val="28"/>
          <w:u w:val="single"/>
        </w:rPr>
        <w:tab/>
      </w:r>
      <w:r w:rsidR="00AB6181">
        <w:rPr>
          <w:rFonts w:eastAsia="Calibri"/>
          <w:b/>
          <w:bCs/>
          <w:sz w:val="28"/>
          <w:szCs w:val="28"/>
          <w:u w:val="single"/>
        </w:rPr>
        <w:tab/>
      </w:r>
      <w:r w:rsidRPr="00AB6181">
        <w:rPr>
          <w:rFonts w:eastAsia="Calibri"/>
          <w:sz w:val="28"/>
          <w:szCs w:val="28"/>
        </w:rPr>
        <w:br/>
      </w:r>
      <w:r w:rsidR="00AB5C04">
        <w:rPr>
          <w:sz w:val="28"/>
          <w:szCs w:val="28"/>
        </w:rPr>
        <w:t>Brett Eisele</w:t>
      </w:r>
      <w:r w:rsidR="00AB5C04">
        <w:rPr>
          <w:sz w:val="28"/>
          <w:szCs w:val="28"/>
        </w:rPr>
        <w:tab/>
      </w:r>
      <w:r w:rsidR="00AB5C04">
        <w:rPr>
          <w:sz w:val="28"/>
          <w:szCs w:val="28"/>
        </w:rPr>
        <w:br/>
        <w:t>Justice of the Peace, Precinct 3</w:t>
      </w:r>
      <w:r w:rsidR="00AB5C04">
        <w:rPr>
          <w:sz w:val="28"/>
          <w:szCs w:val="28"/>
        </w:rPr>
        <w:tab/>
      </w:r>
      <w:r w:rsidR="00AB5C04">
        <w:rPr>
          <w:sz w:val="28"/>
          <w:szCs w:val="28"/>
        </w:rPr>
        <w:br/>
        <w:t>Central Pinal Justice Court</w:t>
      </w:r>
      <w:r w:rsidR="00AB5C04">
        <w:rPr>
          <w:sz w:val="28"/>
          <w:szCs w:val="28"/>
        </w:rPr>
        <w:tab/>
      </w:r>
      <w:r w:rsidR="00AB5C04">
        <w:rPr>
          <w:sz w:val="28"/>
          <w:szCs w:val="28"/>
        </w:rPr>
        <w:br/>
        <w:t>Member of LJC</w:t>
      </w:r>
      <w:r w:rsidR="00AB5C04">
        <w:rPr>
          <w:sz w:val="28"/>
          <w:szCs w:val="28"/>
        </w:rPr>
        <w:tab/>
      </w:r>
      <w:r w:rsidR="00AB5C04">
        <w:rPr>
          <w:sz w:val="28"/>
          <w:szCs w:val="28"/>
        </w:rPr>
        <w:tab/>
      </w:r>
    </w:p>
    <w:p w14:paraId="40B04FBE" w14:textId="44DBA6AB" w:rsidR="00514C3D" w:rsidRPr="00E867D6" w:rsidRDefault="003E0CEA" w:rsidP="00E867D6">
      <w:pPr>
        <w:ind w:left="3946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19B50C01" wp14:editId="62D3B3B1">
            <wp:simplePos x="0" y="0"/>
            <wp:positionH relativeFrom="column">
              <wp:posOffset>2514600</wp:posOffset>
            </wp:positionH>
            <wp:positionV relativeFrom="paragraph">
              <wp:posOffset>97855</wp:posOffset>
            </wp:positionV>
            <wp:extent cx="1552575" cy="6920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67" cy="69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181">
        <w:rPr>
          <w:rFonts w:eastAsia="Calibri"/>
          <w:sz w:val="28"/>
          <w:szCs w:val="28"/>
        </w:rPr>
        <w:br/>
      </w:r>
      <w:r w:rsidR="00AB6181">
        <w:rPr>
          <w:rFonts w:eastAsia="Calibri"/>
          <w:sz w:val="28"/>
          <w:szCs w:val="28"/>
        </w:rPr>
        <w:br/>
      </w:r>
      <w:r w:rsidR="00AB6181">
        <w:rPr>
          <w:rFonts w:eastAsia="Calibri"/>
          <w:sz w:val="28"/>
          <w:szCs w:val="28"/>
        </w:rPr>
        <w:br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 xml:space="preserve"> </w:t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b/>
          <w:bCs/>
          <w:sz w:val="28"/>
          <w:szCs w:val="28"/>
          <w:u w:val="single"/>
        </w:rPr>
        <w:tab/>
      </w:r>
      <w:r w:rsidR="00AB6181">
        <w:rPr>
          <w:rFonts w:eastAsia="Calibri"/>
          <w:b/>
          <w:bCs/>
          <w:sz w:val="28"/>
          <w:szCs w:val="28"/>
          <w:u w:val="single"/>
        </w:rPr>
        <w:tab/>
      </w:r>
      <w:r w:rsidR="00AB6181">
        <w:rPr>
          <w:rFonts w:eastAsia="Calibri"/>
          <w:b/>
          <w:bCs/>
          <w:sz w:val="28"/>
          <w:szCs w:val="28"/>
          <w:u w:val="single"/>
        </w:rPr>
        <w:tab/>
      </w:r>
      <w:r w:rsidR="00AB6181" w:rsidRPr="00AB6181">
        <w:rPr>
          <w:rFonts w:eastAsia="Calibri"/>
          <w:sz w:val="28"/>
          <w:szCs w:val="28"/>
        </w:rPr>
        <w:br/>
      </w:r>
      <w:r w:rsidR="00C721FB">
        <w:rPr>
          <w:rFonts w:eastAsia="Calibri"/>
          <w:sz w:val="28"/>
          <w:szCs w:val="28"/>
        </w:rPr>
        <w:t>Laine McDonald</w:t>
      </w:r>
      <w:r w:rsidR="00AB6181">
        <w:rPr>
          <w:rFonts w:eastAsia="Calibri"/>
          <w:sz w:val="28"/>
          <w:szCs w:val="28"/>
        </w:rPr>
        <w:tab/>
      </w:r>
      <w:r w:rsidR="00AB6181">
        <w:rPr>
          <w:rFonts w:eastAsia="Calibri"/>
          <w:sz w:val="28"/>
          <w:szCs w:val="28"/>
        </w:rPr>
        <w:br/>
      </w:r>
      <w:r w:rsidR="00C721FB">
        <w:rPr>
          <w:rFonts w:eastAsia="Calibri"/>
          <w:sz w:val="28"/>
          <w:szCs w:val="28"/>
        </w:rPr>
        <w:t>Town Magistrate, Town of Marana</w:t>
      </w:r>
      <w:r w:rsidR="00AB6181">
        <w:rPr>
          <w:rFonts w:eastAsia="Calibri"/>
          <w:sz w:val="28"/>
          <w:szCs w:val="28"/>
        </w:rPr>
        <w:tab/>
      </w:r>
      <w:r w:rsidR="00AB6181">
        <w:rPr>
          <w:rFonts w:eastAsia="Calibri"/>
          <w:sz w:val="28"/>
          <w:szCs w:val="28"/>
        </w:rPr>
        <w:br/>
        <w:t>Member of LJC</w:t>
      </w:r>
      <w:r w:rsidR="00AB6181">
        <w:rPr>
          <w:rFonts w:eastAsia="Calibri"/>
          <w:sz w:val="28"/>
          <w:szCs w:val="28"/>
        </w:rPr>
        <w:tab/>
      </w:r>
      <w:r w:rsidR="00AB6181">
        <w:rPr>
          <w:rFonts w:eastAsia="Calibri"/>
          <w:sz w:val="28"/>
          <w:szCs w:val="28"/>
        </w:rPr>
        <w:br/>
      </w:r>
      <w:r w:rsidR="00AB6181">
        <w:rPr>
          <w:rFonts w:eastAsia="Calibri"/>
          <w:sz w:val="28"/>
          <w:szCs w:val="28"/>
        </w:rPr>
        <w:br/>
      </w:r>
      <w:r w:rsidR="00AB6181">
        <w:rPr>
          <w:rFonts w:eastAsia="Calibri"/>
          <w:sz w:val="28"/>
          <w:szCs w:val="28"/>
        </w:rPr>
        <w:br/>
      </w:r>
    </w:p>
    <w:p w14:paraId="7428B0D2" w14:textId="58146EC9" w:rsidR="00BE62F2" w:rsidRDefault="00BE62F2" w:rsidP="0074664A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148627EF" w14:textId="79B6C181" w:rsidR="00BE62F2" w:rsidRDefault="00BE62F2" w:rsidP="002563E6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7AFDB797" w14:textId="677E3EFD" w:rsidR="00287BCE" w:rsidRDefault="00844571" w:rsidP="00287BCE">
      <w:pPr>
        <w:contextualSpacing/>
        <w:jc w:val="center"/>
        <w:rPr>
          <w:b/>
          <w:bCs/>
          <w:color w:val="252525"/>
          <w:sz w:val="28"/>
          <w:szCs w:val="28"/>
        </w:rPr>
      </w:pPr>
      <w:r>
        <w:rPr>
          <w:b/>
          <w:bCs/>
          <w:noProof/>
          <w:color w:val="252525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57B59FD" wp14:editId="4EC8390E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6734175" cy="8714857"/>
            <wp:effectExtent l="0" t="0" r="0" b="0"/>
            <wp:wrapNone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8714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887" w:rsidRPr="00E6160D">
        <w:rPr>
          <w:b/>
          <w:bCs/>
          <w:color w:val="252525"/>
          <w:sz w:val="28"/>
          <w:szCs w:val="28"/>
        </w:rPr>
        <w:t>APPENDIX A</w:t>
      </w:r>
    </w:p>
    <w:p w14:paraId="79DA9BAD" w14:textId="59C14B9A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77FA354" w14:textId="20A31123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FD6B980" w14:textId="79DA4601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8549E69" w14:textId="6A999F8C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4431D74" w14:textId="5572C25B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E96FD1E" w14:textId="0A21110B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8617FE7" w14:textId="6BDF37B7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78F2416" w14:textId="587ACEAA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F172852" w14:textId="695B9276" w:rsidR="001435C3" w:rsidRPr="00E6160D" w:rsidRDefault="001435C3" w:rsidP="003A7D13">
      <w:pPr>
        <w:ind w:left="3946"/>
        <w:contextualSpacing/>
        <w:jc w:val="center"/>
        <w:rPr>
          <w:b/>
          <w:bCs/>
          <w:color w:val="252525"/>
          <w:sz w:val="28"/>
          <w:szCs w:val="28"/>
        </w:rPr>
      </w:pPr>
    </w:p>
    <w:p w14:paraId="28CC5E4F" w14:textId="5B402CF2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F08F315" w14:textId="0640A9D0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9BF5292" w14:textId="6B7CAB99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8CFF230" w14:textId="1B586E58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A8DF1A6" w14:textId="73805BFF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E563A3A" w14:textId="5B7B4F84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4A65611" w14:textId="5968AB2E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F7BD95B" w14:textId="1C25F5C0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7519306" w14:textId="341B9592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145D297" w14:textId="4CE9907A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7587395" w14:textId="63465376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BFCB088" w14:textId="6D43821A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1E30CB1" w14:textId="08992D26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765B789" w14:textId="5F1E12C3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7B30B70" w14:textId="3ACAA0A1" w:rsidR="001435C3" w:rsidRPr="00E6160D" w:rsidRDefault="001435C3" w:rsidP="001435C3">
      <w:pPr>
        <w:contextualSpacing/>
        <w:jc w:val="both"/>
        <w:rPr>
          <w:b/>
          <w:bCs/>
          <w:color w:val="252525"/>
          <w:sz w:val="28"/>
          <w:szCs w:val="28"/>
          <w:u w:val="single"/>
        </w:rPr>
      </w:pPr>
    </w:p>
    <w:p w14:paraId="02C183B6" w14:textId="7F890752" w:rsidR="000A2807" w:rsidRPr="00E6160D" w:rsidRDefault="000A2807" w:rsidP="000A2807">
      <w:pPr>
        <w:autoSpaceDE w:val="0"/>
        <w:autoSpaceDN w:val="0"/>
        <w:adjustRightInd w:val="0"/>
        <w:ind w:left="-720"/>
        <w:jc w:val="both"/>
        <w:rPr>
          <w:spacing w:val="-2"/>
          <w:sz w:val="28"/>
          <w:szCs w:val="28"/>
        </w:rPr>
      </w:pP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  <w:r w:rsidRPr="00E6160D">
        <w:rPr>
          <w:spacing w:val="-2"/>
          <w:sz w:val="28"/>
          <w:szCs w:val="28"/>
          <w:u w:val="single"/>
        </w:rPr>
        <w:tab/>
      </w:r>
    </w:p>
    <w:p w14:paraId="6319B08C" w14:textId="47B62B82" w:rsidR="001435C3" w:rsidRPr="00E6160D" w:rsidRDefault="001435C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2AFFB7C" w14:textId="06D04C03" w:rsidR="00B61887" w:rsidRPr="00E6160D" w:rsidRDefault="00B61887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000B11D" w14:textId="17405EFA" w:rsidR="00B61887" w:rsidRPr="00E6160D" w:rsidRDefault="00B61887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B88614F" w14:textId="09E14B1E" w:rsidR="00B61887" w:rsidRPr="00E6160D" w:rsidRDefault="00B61887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30B6982" w14:textId="0DCC8D30" w:rsidR="00B61887" w:rsidRPr="00E6160D" w:rsidRDefault="00B61887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B512853" w14:textId="08720D4E" w:rsidR="00B61887" w:rsidRPr="00E6160D" w:rsidRDefault="00B61887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A751ACB" w14:textId="7F5CD62F" w:rsidR="00B61887" w:rsidRPr="00E6160D" w:rsidRDefault="00B61887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54FC9BF" w14:textId="0D04E104" w:rsidR="00B61887" w:rsidRDefault="00B61887" w:rsidP="00B42524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0F38FD0B" w14:textId="51F07A5F" w:rsidR="00591AE9" w:rsidRDefault="00591AE9" w:rsidP="00B42524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1193788A" w14:textId="6183FA6E" w:rsidR="00591AE9" w:rsidRDefault="00591AE9" w:rsidP="00B42524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1F2B45EC" w14:textId="5A264127" w:rsidR="00591AE9" w:rsidRDefault="00591AE9" w:rsidP="00B42524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70457A65" w14:textId="53E03F4F" w:rsidR="00591AE9" w:rsidRDefault="00591AE9" w:rsidP="00B42524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5CE99F13" w14:textId="77777777" w:rsidR="00591AE9" w:rsidRPr="00E6160D" w:rsidRDefault="00591AE9" w:rsidP="00B42524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31DCD3E0" w14:textId="77777777" w:rsidR="00B31C62" w:rsidRDefault="00B31C62" w:rsidP="00B42524">
      <w:pPr>
        <w:contextualSpacing/>
        <w:jc w:val="center"/>
        <w:rPr>
          <w:b/>
          <w:bCs/>
          <w:color w:val="252525"/>
          <w:sz w:val="28"/>
          <w:szCs w:val="28"/>
        </w:rPr>
      </w:pPr>
    </w:p>
    <w:p w14:paraId="321644A1" w14:textId="77777777" w:rsidR="00287BCE" w:rsidRDefault="00287BCE" w:rsidP="00B42524">
      <w:pPr>
        <w:contextualSpacing/>
        <w:jc w:val="center"/>
        <w:rPr>
          <w:b/>
          <w:bCs/>
          <w:color w:val="252525"/>
          <w:sz w:val="28"/>
          <w:szCs w:val="28"/>
        </w:rPr>
      </w:pPr>
    </w:p>
    <w:p w14:paraId="238CE8EE" w14:textId="44C0C36F" w:rsidR="00B61887" w:rsidRPr="00E6160D" w:rsidRDefault="00B61887" w:rsidP="00B42524">
      <w:pPr>
        <w:contextualSpacing/>
        <w:jc w:val="center"/>
        <w:rPr>
          <w:b/>
          <w:bCs/>
          <w:color w:val="252525"/>
          <w:sz w:val="28"/>
          <w:szCs w:val="28"/>
        </w:rPr>
      </w:pPr>
      <w:r w:rsidRPr="00E6160D">
        <w:rPr>
          <w:b/>
          <w:bCs/>
          <w:color w:val="252525"/>
          <w:sz w:val="28"/>
          <w:szCs w:val="28"/>
        </w:rPr>
        <w:t>APPENDIX B</w:t>
      </w:r>
      <w:bookmarkEnd w:id="0"/>
      <w:bookmarkEnd w:id="1"/>
    </w:p>
    <w:p w14:paraId="71765243" w14:textId="2DF7544B" w:rsidR="00B42524" w:rsidRPr="00E6160D" w:rsidRDefault="00ED4054" w:rsidP="00B42524">
      <w:pPr>
        <w:contextualSpacing/>
        <w:jc w:val="center"/>
        <w:rPr>
          <w:b/>
          <w:bCs/>
          <w:color w:val="2525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E5B82C" wp14:editId="4B2265E5">
            <wp:simplePos x="0" y="0"/>
            <wp:positionH relativeFrom="margin">
              <wp:align>center</wp:align>
            </wp:positionH>
            <wp:positionV relativeFrom="paragraph">
              <wp:posOffset>290830</wp:posOffset>
            </wp:positionV>
            <wp:extent cx="6885915" cy="7229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91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5CF69" w14:textId="18B3AADB" w:rsidR="00D95D0C" w:rsidRPr="00E6160D" w:rsidRDefault="00D95D0C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028DC9C" w14:textId="47AE225F" w:rsidR="00D95D0C" w:rsidRPr="00E6160D" w:rsidRDefault="00D95D0C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E2AF7F6" w14:textId="7E4011C5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3EB6D5F" w14:textId="59CFBB90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15B77C1" w14:textId="7D0DE4ED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91452AF" w14:textId="3BB4BD58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FD0B489" w14:textId="2C9C5604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07847E3" w14:textId="616AA64E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37AEC2E" w14:textId="2DC3857E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0E4F203" w14:textId="2A25429F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27985F5" w14:textId="3B14EAAF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C7C1DF5" w14:textId="3FDD48D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681C6A4" w14:textId="3BAE2DC9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41F584E" w14:textId="618B6B78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CA6D135" w14:textId="66B4A655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B5E010B" w14:textId="55097D60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5A95403" w14:textId="5C08DFD7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B801265" w14:textId="5B4E9DFB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20F9899" w14:textId="00DFAF42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2362BDF" w14:textId="333DEDF8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9DF0268" w14:textId="40BC92B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2514A3B" w14:textId="33999C7D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7154659" w14:textId="76387D20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02528B0" w14:textId="5C96CFB6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0AB68FD" w14:textId="26B54BD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B402C17" w14:textId="77E85E12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86DD213" w14:textId="468BB8C3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264EF87" w14:textId="0D806941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3A47461" w14:textId="2FB3914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7F34ADE" w14:textId="40DA337B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3E1D9C3" w14:textId="5EFD772B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01B322B" w14:textId="0E608D97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8129831" w14:textId="7C6592FF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FC542EF" w14:textId="2DA5C63C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BB2A57E" w14:textId="1F83A75F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8B89DC3" w14:textId="7D8908CB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D23547A" w14:textId="1F6C8232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0CB82A5" w14:textId="3A5FBC8C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5D12114" w14:textId="0EC10999" w:rsidR="005A3103" w:rsidRPr="00E6160D" w:rsidRDefault="005A3103" w:rsidP="00ED4054">
      <w:pPr>
        <w:contextualSpacing/>
        <w:jc w:val="center"/>
        <w:rPr>
          <w:b/>
          <w:bCs/>
          <w:color w:val="252525"/>
          <w:sz w:val="28"/>
          <w:szCs w:val="28"/>
        </w:rPr>
      </w:pPr>
    </w:p>
    <w:p w14:paraId="581871DE" w14:textId="782D14DA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D3C3AAE" w14:textId="5BBC48C5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8AFB057" w14:textId="77777777" w:rsidR="0044584A" w:rsidRDefault="0044584A" w:rsidP="00F33520">
      <w:pPr>
        <w:ind w:left="3946"/>
        <w:contextualSpacing/>
        <w:jc w:val="both"/>
        <w:rPr>
          <w:noProof/>
        </w:rPr>
      </w:pPr>
    </w:p>
    <w:p w14:paraId="30376A80" w14:textId="146F9B90" w:rsidR="005A3103" w:rsidRPr="00E6160D" w:rsidRDefault="00ED4054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560E19" wp14:editId="142C3592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7210260" cy="5952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" r="1797"/>
                    <a:stretch/>
                  </pic:blipFill>
                  <pic:spPr bwMode="auto">
                    <a:xfrm>
                      <a:off x="0" y="0"/>
                      <a:ext cx="7210260" cy="595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8D27E" w14:textId="0E371F28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13728E5" w14:textId="77BCFA79" w:rsidR="00FF6F2B" w:rsidRPr="00E6160D" w:rsidRDefault="00FF6F2B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1AFCE5C" w14:textId="4FD7A483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9458361" w14:textId="1D6D6808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9C09CCA" w14:textId="4DFDCC3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734C596" w14:textId="7F6EA89C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7A10C1C" w14:textId="7363066B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2ADA63A" w14:textId="7ACEB1A5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681F815" w14:textId="23172242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98A15A4" w14:textId="516D2259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2CB8E24" w14:textId="3618E4C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40E719F" w14:textId="6929E93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7E46741" w14:textId="5C571BD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465789E" w14:textId="73D1342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BCA34E7" w14:textId="575C441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9AC9C05" w14:textId="3A6D0F96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95D9650" w14:textId="765C6D7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2E0C92C" w14:textId="14926D89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080DE5C" w14:textId="7ADF5519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4D08C94" w14:textId="28B4A9F1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D1881F2" w14:textId="6E70589F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5874741" w14:textId="5FC9B4A1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60996C2" w14:textId="581A1D7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56E2C7F" w14:textId="4108F23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398FE6A" w14:textId="2F368217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8CBA193" w14:textId="37026C8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30B49A4" w14:textId="1315126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A702D79" w14:textId="2C8D40F1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2012A0E" w14:textId="2A773EB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9543DDA" w14:textId="1FD5AC77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34603A8" w14:textId="1007273D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D791584" w14:textId="293B584C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4B73273" w14:textId="3C5FCE9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0EFDF8B" w14:textId="5D5F96BC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7268FD3" w14:textId="5D687036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AA5AA4D" w14:textId="108307EB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4C677C2" w14:textId="27CAFB42" w:rsidR="009C43A0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5C62DDF" w14:textId="50B292C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EDBDFEF" w14:textId="44CB7008" w:rsidR="007228D8" w:rsidRDefault="0044584A" w:rsidP="0044584A">
      <w:pPr>
        <w:contextualSpacing/>
        <w:jc w:val="center"/>
        <w:rPr>
          <w:b/>
          <w:bCs/>
          <w:color w:val="2525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12E197" wp14:editId="09A20983">
            <wp:simplePos x="0" y="0"/>
            <wp:positionH relativeFrom="margin">
              <wp:align>center</wp:align>
            </wp:positionH>
            <wp:positionV relativeFrom="paragraph">
              <wp:posOffset>247978</wp:posOffset>
            </wp:positionV>
            <wp:extent cx="7214326" cy="540067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" r="1999"/>
                    <a:stretch/>
                  </pic:blipFill>
                  <pic:spPr bwMode="auto">
                    <a:xfrm>
                      <a:off x="0" y="0"/>
                      <a:ext cx="7214326" cy="540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625FD" w14:textId="6CDBBC15" w:rsidR="0044584A" w:rsidRDefault="0044584A" w:rsidP="00F33520">
      <w:pPr>
        <w:ind w:left="3946"/>
        <w:contextualSpacing/>
        <w:jc w:val="both"/>
        <w:rPr>
          <w:noProof/>
        </w:rPr>
      </w:pPr>
    </w:p>
    <w:p w14:paraId="4599F5D1" w14:textId="204991E7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27CD6D6" w14:textId="2A4A8D2F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9171BD2" w14:textId="5692EF4D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DF336A9" w14:textId="5684DB7E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1E55268" w14:textId="15972D43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3B00FC5" w14:textId="7459EDC0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902E240" w14:textId="3EAE82B3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7D8D183" w14:textId="63EA692D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2D1D457" w14:textId="36CBE42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6FC57C7" w14:textId="59C03C31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ED207E8" w14:textId="1A861C89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60171AA" w14:textId="20723B9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9649F24" w14:textId="043A0405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0B8E26C" w14:textId="0FD32254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1D8A2DE" w14:textId="5EECFAE2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461A0F2" w14:textId="70682C84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780C487" w14:textId="5200638E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3F829BB" w14:textId="1265E16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984C046" w14:textId="24D11C71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53CDAD2" w14:textId="0AA34D82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5E135F1" w14:textId="1BDF1D7E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97B346D" w14:textId="669728A4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FFEFCC2" w14:textId="04338EDF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8FCC62C" w14:textId="244B5290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8AB2A36" w14:textId="597F59E5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5A87ED6" w14:textId="2C1686A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7385CE7" w14:textId="4850F883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55A9753" w14:textId="5F6C2DE8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42A068E" w14:textId="6B4A574A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E03ACB1" w14:textId="0E04D10E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9D4B5E3" w14:textId="2052C153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1CF4A4C" w14:textId="2862017B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2DF842E" w14:textId="63DEB0E6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1355FBD" w14:textId="27A6BCFD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2ACFBF8" w14:textId="014B2C91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BF9777D" w14:textId="6C69D4D2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50BEFDE" w14:textId="5A5215F6" w:rsidR="00A61E18" w:rsidRDefault="00A61E18" w:rsidP="00A61E18">
      <w:pPr>
        <w:contextualSpacing/>
        <w:jc w:val="center"/>
        <w:rPr>
          <w:noProof/>
        </w:rPr>
      </w:pPr>
    </w:p>
    <w:p w14:paraId="33165C80" w14:textId="3FA3DB4C" w:rsidR="007228D8" w:rsidRDefault="007228D8" w:rsidP="00A61E18">
      <w:pPr>
        <w:contextualSpacing/>
        <w:jc w:val="center"/>
        <w:rPr>
          <w:b/>
          <w:bCs/>
          <w:color w:val="252525"/>
          <w:sz w:val="28"/>
          <w:szCs w:val="28"/>
        </w:rPr>
      </w:pPr>
    </w:p>
    <w:p w14:paraId="74F4B27D" w14:textId="7A1B4110" w:rsidR="007228D8" w:rsidRDefault="007228D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24528D1" w14:textId="1A216C37" w:rsidR="007228D8" w:rsidRPr="00E6160D" w:rsidRDefault="00A61E18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BB38ABF" wp14:editId="0F413866">
            <wp:simplePos x="0" y="0"/>
            <wp:positionH relativeFrom="margin">
              <wp:align>center</wp:align>
            </wp:positionH>
            <wp:positionV relativeFrom="paragraph">
              <wp:posOffset>229826</wp:posOffset>
            </wp:positionV>
            <wp:extent cx="7089053" cy="3524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r="1923"/>
                    <a:stretch/>
                  </pic:blipFill>
                  <pic:spPr bwMode="auto">
                    <a:xfrm>
                      <a:off x="0" y="0"/>
                      <a:ext cx="7089053" cy="352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86EE6" w14:textId="67133BED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7EEF326" w14:textId="54F2E2E7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4F7998E" w14:textId="29CA83B3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92B3CD2" w14:textId="6AC9397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4AEDA75" w14:textId="02FF8BF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20A8D421" w14:textId="07DEAA38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434E19E" w14:textId="7BC01182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26CA164" w14:textId="6C7821DD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7B7FF63" w14:textId="48CD6C94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BCB4E06" w14:textId="213F0D3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01368F61" w14:textId="252731D0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BAECD88" w14:textId="624ED841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31F241C" w14:textId="0CB94075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39EA8CC4" w14:textId="762700E2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5159DB75" w14:textId="7F44ECF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1244D625" w14:textId="75D8054E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7B50868E" w14:textId="5B46F44A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C169AB7" w14:textId="1A3A4489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4863FE61" w14:textId="77777777" w:rsidR="009C43A0" w:rsidRPr="00E6160D" w:rsidRDefault="009C43A0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p w14:paraId="65943A5A" w14:textId="77777777" w:rsidR="00FF6F2B" w:rsidRPr="00E6160D" w:rsidRDefault="00FF6F2B" w:rsidP="00FF6F2B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40200082" w14:textId="51B63D39" w:rsidR="005A3103" w:rsidRPr="00E6160D" w:rsidRDefault="005A3103" w:rsidP="00F33520">
      <w:pPr>
        <w:ind w:left="3946"/>
        <w:contextualSpacing/>
        <w:jc w:val="both"/>
        <w:rPr>
          <w:b/>
          <w:bCs/>
          <w:color w:val="252525"/>
          <w:sz w:val="28"/>
          <w:szCs w:val="28"/>
        </w:rPr>
      </w:pPr>
    </w:p>
    <w:sectPr w:rsidR="005A3103" w:rsidRPr="00E6160D" w:rsidSect="00B31C62">
      <w:footerReference w:type="default" r:id="rId18"/>
      <w:pgSz w:w="12240" w:h="15840"/>
      <w:pgMar w:top="1440" w:right="1440" w:bottom="1080" w:left="1440" w:header="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799C7" w14:textId="77777777" w:rsidR="009D267D" w:rsidRDefault="009D267D">
      <w:r>
        <w:separator/>
      </w:r>
    </w:p>
  </w:endnote>
  <w:endnote w:type="continuationSeparator" w:id="0">
    <w:p w14:paraId="51FA8529" w14:textId="77777777" w:rsidR="009D267D" w:rsidRDefault="009D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747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80A97" w14:textId="33F93745" w:rsidR="001348ED" w:rsidRDefault="001348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919D7" w14:textId="77777777" w:rsidR="001348ED" w:rsidRDefault="00134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5581A" w14:textId="77777777" w:rsidR="009D267D" w:rsidRDefault="009D267D">
      <w:r>
        <w:separator/>
      </w:r>
    </w:p>
  </w:footnote>
  <w:footnote w:type="continuationSeparator" w:id="0">
    <w:p w14:paraId="75B5265F" w14:textId="77777777" w:rsidR="009D267D" w:rsidRDefault="009D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1068"/>
    <w:multiLevelType w:val="hybridMultilevel"/>
    <w:tmpl w:val="79CAC4BA"/>
    <w:lvl w:ilvl="0" w:tplc="A138748C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6B64AE"/>
    <w:multiLevelType w:val="hybridMultilevel"/>
    <w:tmpl w:val="D2D4A582"/>
    <w:lvl w:ilvl="0" w:tplc="DAC4283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31B9"/>
    <w:multiLevelType w:val="hybridMultilevel"/>
    <w:tmpl w:val="638EC49A"/>
    <w:lvl w:ilvl="0" w:tplc="35DA6080">
      <w:start w:val="3"/>
      <w:numFmt w:val="lowerRoman"/>
      <w:lvlText w:val="(%1.)"/>
      <w:lvlJc w:val="left"/>
      <w:pPr>
        <w:ind w:left="144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4957"/>
    <w:multiLevelType w:val="hybridMultilevel"/>
    <w:tmpl w:val="32B47B4C"/>
    <w:lvl w:ilvl="0" w:tplc="9E20D5C8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57EA3"/>
    <w:multiLevelType w:val="hybridMultilevel"/>
    <w:tmpl w:val="5E660BBC"/>
    <w:lvl w:ilvl="0" w:tplc="73A63DF8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C36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933177"/>
    <w:multiLevelType w:val="hybridMultilevel"/>
    <w:tmpl w:val="33C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E5F7E"/>
    <w:multiLevelType w:val="hybridMultilevel"/>
    <w:tmpl w:val="F694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3AC"/>
    <w:multiLevelType w:val="hybridMultilevel"/>
    <w:tmpl w:val="9C54E47E"/>
    <w:lvl w:ilvl="0" w:tplc="578E3728">
      <w:start w:val="1"/>
      <w:numFmt w:val="lowerLetter"/>
      <w:lvlText w:val="(%1)"/>
      <w:lvlJc w:val="left"/>
      <w:pPr>
        <w:ind w:left="7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5EEB214A"/>
    <w:multiLevelType w:val="multilevel"/>
    <w:tmpl w:val="91D8B0D0"/>
    <w:lvl w:ilvl="0">
      <w:start w:val="1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6025301F"/>
    <w:multiLevelType w:val="hybridMultilevel"/>
    <w:tmpl w:val="C586296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8AB284F"/>
    <w:multiLevelType w:val="hybridMultilevel"/>
    <w:tmpl w:val="495A8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578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2964C6"/>
    <w:multiLevelType w:val="hybridMultilevel"/>
    <w:tmpl w:val="94EEE004"/>
    <w:lvl w:ilvl="0" w:tplc="642C57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9"/>
  </w:num>
  <w:num w:numId="8">
    <w:abstractNumId w:val="13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70"/>
    <w:rsid w:val="000155F9"/>
    <w:rsid w:val="000301ED"/>
    <w:rsid w:val="00040EE5"/>
    <w:rsid w:val="00044915"/>
    <w:rsid w:val="0005619A"/>
    <w:rsid w:val="00087268"/>
    <w:rsid w:val="00090A06"/>
    <w:rsid w:val="00095596"/>
    <w:rsid w:val="00097284"/>
    <w:rsid w:val="000A2807"/>
    <w:rsid w:val="000A2FD3"/>
    <w:rsid w:val="000C1979"/>
    <w:rsid w:val="000D494D"/>
    <w:rsid w:val="000F1557"/>
    <w:rsid w:val="0010286B"/>
    <w:rsid w:val="001160F8"/>
    <w:rsid w:val="00122FEC"/>
    <w:rsid w:val="001348ED"/>
    <w:rsid w:val="0014358B"/>
    <w:rsid w:val="001435C3"/>
    <w:rsid w:val="00144372"/>
    <w:rsid w:val="001477A4"/>
    <w:rsid w:val="001538AF"/>
    <w:rsid w:val="001576FA"/>
    <w:rsid w:val="001735D8"/>
    <w:rsid w:val="001750FE"/>
    <w:rsid w:val="0018604C"/>
    <w:rsid w:val="00193AE7"/>
    <w:rsid w:val="001945D8"/>
    <w:rsid w:val="001A4E40"/>
    <w:rsid w:val="001A65F1"/>
    <w:rsid w:val="001B1240"/>
    <w:rsid w:val="001B4A8E"/>
    <w:rsid w:val="001C68AB"/>
    <w:rsid w:val="001E3D56"/>
    <w:rsid w:val="00203D4C"/>
    <w:rsid w:val="0023498F"/>
    <w:rsid w:val="0024032F"/>
    <w:rsid w:val="0024155F"/>
    <w:rsid w:val="00253263"/>
    <w:rsid w:val="002539F8"/>
    <w:rsid w:val="002563E6"/>
    <w:rsid w:val="00256F88"/>
    <w:rsid w:val="002714E7"/>
    <w:rsid w:val="0027694C"/>
    <w:rsid w:val="00287BCE"/>
    <w:rsid w:val="002972DA"/>
    <w:rsid w:val="002C30AC"/>
    <w:rsid w:val="002D62A9"/>
    <w:rsid w:val="002E4A3A"/>
    <w:rsid w:val="002E59B8"/>
    <w:rsid w:val="002E7728"/>
    <w:rsid w:val="0030250C"/>
    <w:rsid w:val="00304D65"/>
    <w:rsid w:val="00307552"/>
    <w:rsid w:val="003340F2"/>
    <w:rsid w:val="00336E36"/>
    <w:rsid w:val="00337A9B"/>
    <w:rsid w:val="00342FA6"/>
    <w:rsid w:val="00367928"/>
    <w:rsid w:val="00375707"/>
    <w:rsid w:val="0038658D"/>
    <w:rsid w:val="003A428A"/>
    <w:rsid w:val="003A7D13"/>
    <w:rsid w:val="003B1484"/>
    <w:rsid w:val="003E0CEA"/>
    <w:rsid w:val="003E0D66"/>
    <w:rsid w:val="004133AA"/>
    <w:rsid w:val="00421B32"/>
    <w:rsid w:val="0042351D"/>
    <w:rsid w:val="00424ACD"/>
    <w:rsid w:val="00425FB4"/>
    <w:rsid w:val="00431024"/>
    <w:rsid w:val="0044584A"/>
    <w:rsid w:val="00461C32"/>
    <w:rsid w:val="004716FD"/>
    <w:rsid w:val="00474A91"/>
    <w:rsid w:val="00474AB1"/>
    <w:rsid w:val="00474D4C"/>
    <w:rsid w:val="00480096"/>
    <w:rsid w:val="00482405"/>
    <w:rsid w:val="00483868"/>
    <w:rsid w:val="004858A9"/>
    <w:rsid w:val="00493104"/>
    <w:rsid w:val="004A0C68"/>
    <w:rsid w:val="004A481B"/>
    <w:rsid w:val="004B29C6"/>
    <w:rsid w:val="004B5C78"/>
    <w:rsid w:val="004B5E9D"/>
    <w:rsid w:val="004B6F39"/>
    <w:rsid w:val="004C6B9F"/>
    <w:rsid w:val="004D10D6"/>
    <w:rsid w:val="004D4ABE"/>
    <w:rsid w:val="004F1C54"/>
    <w:rsid w:val="00514C3D"/>
    <w:rsid w:val="00521A7D"/>
    <w:rsid w:val="0053417B"/>
    <w:rsid w:val="00556A95"/>
    <w:rsid w:val="00556E5D"/>
    <w:rsid w:val="00557F4D"/>
    <w:rsid w:val="00571E0C"/>
    <w:rsid w:val="00591AE9"/>
    <w:rsid w:val="00596D11"/>
    <w:rsid w:val="005A3103"/>
    <w:rsid w:val="005A64AD"/>
    <w:rsid w:val="005B37F6"/>
    <w:rsid w:val="005C358C"/>
    <w:rsid w:val="005D7B23"/>
    <w:rsid w:val="005F5200"/>
    <w:rsid w:val="00603CBD"/>
    <w:rsid w:val="00605508"/>
    <w:rsid w:val="0060747D"/>
    <w:rsid w:val="006161D9"/>
    <w:rsid w:val="00627400"/>
    <w:rsid w:val="00627E46"/>
    <w:rsid w:val="00664054"/>
    <w:rsid w:val="00674B79"/>
    <w:rsid w:val="0068443B"/>
    <w:rsid w:val="00691FA9"/>
    <w:rsid w:val="006937E5"/>
    <w:rsid w:val="006A0D88"/>
    <w:rsid w:val="00711202"/>
    <w:rsid w:val="007228D8"/>
    <w:rsid w:val="00740BCD"/>
    <w:rsid w:val="00746565"/>
    <w:rsid w:val="0074664A"/>
    <w:rsid w:val="007761A7"/>
    <w:rsid w:val="00781957"/>
    <w:rsid w:val="007849FD"/>
    <w:rsid w:val="0079196E"/>
    <w:rsid w:val="0079572B"/>
    <w:rsid w:val="007B5029"/>
    <w:rsid w:val="007C0149"/>
    <w:rsid w:val="007D3E81"/>
    <w:rsid w:val="007E53AC"/>
    <w:rsid w:val="007F160C"/>
    <w:rsid w:val="00807BEB"/>
    <w:rsid w:val="0082050E"/>
    <w:rsid w:val="00827D7F"/>
    <w:rsid w:val="00844571"/>
    <w:rsid w:val="00850D49"/>
    <w:rsid w:val="008908FB"/>
    <w:rsid w:val="0089467E"/>
    <w:rsid w:val="008D2270"/>
    <w:rsid w:val="008E2BEF"/>
    <w:rsid w:val="008E482D"/>
    <w:rsid w:val="00902D4E"/>
    <w:rsid w:val="00915D64"/>
    <w:rsid w:val="0093760A"/>
    <w:rsid w:val="009379BC"/>
    <w:rsid w:val="00942A64"/>
    <w:rsid w:val="00947CF9"/>
    <w:rsid w:val="00963030"/>
    <w:rsid w:val="00974D70"/>
    <w:rsid w:val="00984375"/>
    <w:rsid w:val="009A44ED"/>
    <w:rsid w:val="009C43A0"/>
    <w:rsid w:val="009C6EE3"/>
    <w:rsid w:val="009D262B"/>
    <w:rsid w:val="009D267D"/>
    <w:rsid w:val="009F2719"/>
    <w:rsid w:val="009F3CDF"/>
    <w:rsid w:val="009F5B51"/>
    <w:rsid w:val="009F7E91"/>
    <w:rsid w:val="00A24397"/>
    <w:rsid w:val="00A30A5E"/>
    <w:rsid w:val="00A464A1"/>
    <w:rsid w:val="00A61E18"/>
    <w:rsid w:val="00A6576E"/>
    <w:rsid w:val="00A72AF3"/>
    <w:rsid w:val="00A7636A"/>
    <w:rsid w:val="00A83017"/>
    <w:rsid w:val="00A94A11"/>
    <w:rsid w:val="00AA21E9"/>
    <w:rsid w:val="00AA74DE"/>
    <w:rsid w:val="00AA7CD8"/>
    <w:rsid w:val="00AB5C04"/>
    <w:rsid w:val="00AB6181"/>
    <w:rsid w:val="00AD1AE0"/>
    <w:rsid w:val="00AE244E"/>
    <w:rsid w:val="00AF76EE"/>
    <w:rsid w:val="00B20E6F"/>
    <w:rsid w:val="00B31C62"/>
    <w:rsid w:val="00B365CF"/>
    <w:rsid w:val="00B42524"/>
    <w:rsid w:val="00B530C1"/>
    <w:rsid w:val="00B61887"/>
    <w:rsid w:val="00B634BB"/>
    <w:rsid w:val="00B6360C"/>
    <w:rsid w:val="00B63C9B"/>
    <w:rsid w:val="00B65849"/>
    <w:rsid w:val="00B75404"/>
    <w:rsid w:val="00B775A1"/>
    <w:rsid w:val="00B812BF"/>
    <w:rsid w:val="00BA2F58"/>
    <w:rsid w:val="00BA307A"/>
    <w:rsid w:val="00BE62F2"/>
    <w:rsid w:val="00BE7571"/>
    <w:rsid w:val="00BF4CE9"/>
    <w:rsid w:val="00C03FAA"/>
    <w:rsid w:val="00C043F9"/>
    <w:rsid w:val="00C0446E"/>
    <w:rsid w:val="00C06123"/>
    <w:rsid w:val="00C15D06"/>
    <w:rsid w:val="00C4558D"/>
    <w:rsid w:val="00C559C2"/>
    <w:rsid w:val="00C563EA"/>
    <w:rsid w:val="00C7118C"/>
    <w:rsid w:val="00C721FB"/>
    <w:rsid w:val="00CE5ADF"/>
    <w:rsid w:val="00D01F0A"/>
    <w:rsid w:val="00D12058"/>
    <w:rsid w:val="00D51DAD"/>
    <w:rsid w:val="00D573F8"/>
    <w:rsid w:val="00D61859"/>
    <w:rsid w:val="00D730D8"/>
    <w:rsid w:val="00D75FAC"/>
    <w:rsid w:val="00D774F1"/>
    <w:rsid w:val="00D830CE"/>
    <w:rsid w:val="00D95D0C"/>
    <w:rsid w:val="00DB0B89"/>
    <w:rsid w:val="00DC40F3"/>
    <w:rsid w:val="00DC5E66"/>
    <w:rsid w:val="00DC6736"/>
    <w:rsid w:val="00DE04C5"/>
    <w:rsid w:val="00DE09D3"/>
    <w:rsid w:val="00DF4A9D"/>
    <w:rsid w:val="00E12AD9"/>
    <w:rsid w:val="00E15AF6"/>
    <w:rsid w:val="00E17091"/>
    <w:rsid w:val="00E269D1"/>
    <w:rsid w:val="00E6160D"/>
    <w:rsid w:val="00E6411F"/>
    <w:rsid w:val="00E72049"/>
    <w:rsid w:val="00E776E6"/>
    <w:rsid w:val="00E867D6"/>
    <w:rsid w:val="00E91086"/>
    <w:rsid w:val="00EA1ED7"/>
    <w:rsid w:val="00EA672D"/>
    <w:rsid w:val="00EC79FB"/>
    <w:rsid w:val="00ED4054"/>
    <w:rsid w:val="00EE050D"/>
    <w:rsid w:val="00EF66E4"/>
    <w:rsid w:val="00F01C37"/>
    <w:rsid w:val="00F155CC"/>
    <w:rsid w:val="00F33520"/>
    <w:rsid w:val="00F375A8"/>
    <w:rsid w:val="00F4065C"/>
    <w:rsid w:val="00F56F18"/>
    <w:rsid w:val="00F63C70"/>
    <w:rsid w:val="00F855F6"/>
    <w:rsid w:val="00FA680C"/>
    <w:rsid w:val="00FB1C8F"/>
    <w:rsid w:val="00FC3659"/>
    <w:rsid w:val="00FD1BB8"/>
    <w:rsid w:val="00FD7861"/>
    <w:rsid w:val="00FE5E76"/>
    <w:rsid w:val="00FE5EE9"/>
    <w:rsid w:val="00FF34D2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DA6DE"/>
  <w15:chartTrackingRefBased/>
  <w15:docId w15:val="{AC6A3409-431C-4711-B74D-12C17EDF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framePr w:w="3142" w:h="1297" w:hSpace="180" w:wrap="around" w:vAnchor="text" w:hAnchor="page" w:x="940" w:y="511"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500"/>
        <w:tab w:val="left" w:pos="7380"/>
        <w:tab w:val="left" w:pos="8370"/>
        <w:tab w:val="left" w:pos="9450"/>
      </w:tabs>
      <w:ind w:right="1710"/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3870"/>
      </w:tabs>
    </w:pPr>
    <w:rPr>
      <w:sz w:val="24"/>
    </w:rPr>
  </w:style>
  <w:style w:type="paragraph" w:styleId="BodyText2">
    <w:name w:val="Body Text 2"/>
    <w:basedOn w:val="Normal"/>
    <w:pPr>
      <w:framePr w:w="2329" w:h="1297" w:hRule="exact" w:hSpace="180" w:wrap="around" w:vAnchor="text" w:hAnchor="page" w:x="8428" w:y="85"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jc w:val="center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4500"/>
        <w:tab w:val="left" w:pos="7380"/>
        <w:tab w:val="left" w:pos="8370"/>
        <w:tab w:val="left" w:pos="9450"/>
      </w:tabs>
      <w:ind w:right="1170"/>
    </w:pPr>
    <w:rPr>
      <w:sz w:val="24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 w:hanging="360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B6360C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27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D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D7F"/>
  </w:style>
  <w:style w:type="character" w:customStyle="1" w:styleId="HeaderChar">
    <w:name w:val="Header Char"/>
    <w:basedOn w:val="DefaultParagraphFont"/>
    <w:link w:val="Header"/>
    <w:rsid w:val="0014358B"/>
  </w:style>
  <w:style w:type="character" w:customStyle="1" w:styleId="FooterChar">
    <w:name w:val="Footer Char"/>
    <w:basedOn w:val="DefaultParagraphFont"/>
    <w:link w:val="Footer"/>
    <w:uiPriority w:val="99"/>
    <w:rsid w:val="0014358B"/>
  </w:style>
  <w:style w:type="paragraph" w:styleId="NoSpacing">
    <w:name w:val="No Spacing"/>
    <w:uiPriority w:val="1"/>
    <w:qFormat/>
    <w:rsid w:val="00304D65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E8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E81"/>
  </w:style>
  <w:style w:type="character" w:styleId="FootnoteReference">
    <w:name w:val="footnote reference"/>
    <w:basedOn w:val="DefaultParagraphFont"/>
    <w:uiPriority w:val="99"/>
    <w:semiHidden/>
    <w:unhideWhenUsed/>
    <w:rsid w:val="007D3E8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B8"/>
    <w:rPr>
      <w:b/>
      <w:bCs/>
    </w:rPr>
  </w:style>
  <w:style w:type="paragraph" w:styleId="Revision">
    <w:name w:val="Revision"/>
    <w:hidden/>
    <w:uiPriority w:val="99"/>
    <w:semiHidden/>
    <w:rsid w:val="002E59B8"/>
  </w:style>
  <w:style w:type="table" w:styleId="TableGrid">
    <w:name w:val="Table Grid"/>
    <w:basedOn w:val="TableNormal"/>
    <w:uiPriority w:val="39"/>
    <w:rsid w:val="00D774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96688C55A6249BBB1AA5DE86EED47" ma:contentTypeVersion="12" ma:contentTypeDescription="Create a new document." ma:contentTypeScope="" ma:versionID="37f92267970f173936e216e2fed76943">
  <xsd:schema xmlns:xsd="http://www.w3.org/2001/XMLSchema" xmlns:xs="http://www.w3.org/2001/XMLSchema" xmlns:p="http://schemas.microsoft.com/office/2006/metadata/properties" xmlns:ns3="0ffb37f9-1bcf-4e3e-b04f-292b64b553dd" xmlns:ns4="2faf882e-cf03-4e57-aa22-f5e1bb7445d8" targetNamespace="http://schemas.microsoft.com/office/2006/metadata/properties" ma:root="true" ma:fieldsID="af9c375af1539baa03173762a43d0a8b" ns3:_="" ns4:_="">
    <xsd:import namespace="0ffb37f9-1bcf-4e3e-b04f-292b64b553dd"/>
    <xsd:import namespace="2faf882e-cf03-4e57-aa22-f5e1bb7445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882e-cf03-4e57-aa22-f5e1bb744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C21F-E73C-4259-AD71-FC4CC2F9E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F94480-8AE8-4695-9E52-AEC0AA805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79BC2-D22F-49B5-9DB4-28E9E82B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b37f9-1bcf-4e3e-b04f-292b64b553dd"/>
    <ds:schemaRef ds:uri="2faf882e-cf03-4e57-aa22-f5e1bb74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5624E-252B-49A9-9474-2F471C0F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Form 28 Guilty No Contest Plea Proceeding</vt:lpstr>
    </vt:vector>
  </TitlesOfParts>
  <Company>City of Phoenix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Form 28 Guilty No Contest Plea Proceeding</dc:title>
  <dc:subject/>
  <dc:creator>Kevin Kane</dc:creator>
  <cp:keywords/>
  <dc:description>Rev. 5/2/06, 12/04</dc:description>
  <cp:lastModifiedBy>Graber, Julie</cp:lastModifiedBy>
  <cp:revision>2</cp:revision>
  <cp:lastPrinted>2021-05-28T17:44:00Z</cp:lastPrinted>
  <dcterms:created xsi:type="dcterms:W3CDTF">2021-05-28T17:51:00Z</dcterms:created>
  <dcterms:modified xsi:type="dcterms:W3CDTF">2021-05-28T17:51:00Z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0x01010051096688C55A6249BBB1AA5DE86EED47</vt:lpwstr>
  </property>
</Properties>
</file>