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6DD2C6" w14:textId="3322C858" w:rsidR="00924D48" w:rsidRPr="004E5958" w:rsidRDefault="00C26970" w:rsidP="007461CB">
      <w:pPr>
        <w:spacing w:after="0" w:line="240" w:lineRule="auto"/>
        <w:jc w:val="center"/>
        <w:rPr>
          <w:rFonts w:ascii="Times New Roman" w:eastAsia="Times New Roman" w:hAnsi="Times New Roman" w:cs="Times New Roman"/>
          <w:b/>
          <w:bCs/>
          <w:sz w:val="28"/>
          <w:szCs w:val="28"/>
        </w:rPr>
      </w:pPr>
      <w:r w:rsidRPr="004E5958">
        <w:rPr>
          <w:rFonts w:ascii="Times New Roman" w:eastAsia="Times New Roman" w:hAnsi="Times New Roman" w:cs="Times New Roman"/>
          <w:b/>
          <w:bCs/>
          <w:sz w:val="28"/>
          <w:szCs w:val="28"/>
        </w:rPr>
        <w:t>Exhibit 1</w:t>
      </w:r>
    </w:p>
    <w:p w14:paraId="7C3BF095" w14:textId="77777777" w:rsidR="00924D48" w:rsidRPr="004E5958" w:rsidRDefault="00924D48" w:rsidP="007461CB">
      <w:pPr>
        <w:spacing w:after="0" w:line="240" w:lineRule="auto"/>
        <w:jc w:val="both"/>
        <w:rPr>
          <w:rFonts w:ascii="Times New Roman" w:eastAsia="Times New Roman" w:hAnsi="Times New Roman" w:cs="Times New Roman"/>
          <w:sz w:val="28"/>
          <w:szCs w:val="28"/>
        </w:rPr>
      </w:pPr>
    </w:p>
    <w:p w14:paraId="22899198" w14:textId="19C6A08B" w:rsidR="00924D48" w:rsidRPr="004E5958" w:rsidRDefault="00924D48" w:rsidP="007461CB">
      <w:pPr>
        <w:spacing w:after="0" w:line="240" w:lineRule="auto"/>
        <w:jc w:val="both"/>
        <w:rPr>
          <w:rFonts w:ascii="Times New Roman" w:eastAsia="Times New Roman" w:hAnsi="Times New Roman" w:cs="Times New Roman"/>
          <w:b/>
          <w:sz w:val="28"/>
          <w:szCs w:val="28"/>
        </w:rPr>
      </w:pPr>
      <w:r w:rsidRPr="004E5958">
        <w:rPr>
          <w:rFonts w:ascii="Times New Roman" w:eastAsia="Times New Roman" w:hAnsi="Times New Roman" w:cs="Times New Roman"/>
          <w:b/>
          <w:sz w:val="28"/>
          <w:szCs w:val="28"/>
        </w:rPr>
        <w:t xml:space="preserve">Amend existing Rule </w:t>
      </w:r>
      <w:r w:rsidR="00E4554F">
        <w:rPr>
          <w:rFonts w:ascii="Times New Roman" w:eastAsia="Times New Roman" w:hAnsi="Times New Roman" w:cs="Times New Roman"/>
          <w:b/>
          <w:sz w:val="28"/>
          <w:szCs w:val="28"/>
        </w:rPr>
        <w:t>64(f)(B)</w:t>
      </w:r>
      <w:r w:rsidRPr="004E5958">
        <w:rPr>
          <w:rFonts w:ascii="Times New Roman" w:eastAsia="Times New Roman" w:hAnsi="Times New Roman" w:cs="Times New Roman"/>
          <w:b/>
          <w:sz w:val="28"/>
          <w:szCs w:val="28"/>
        </w:rPr>
        <w:t xml:space="preserve"> by the addition of </w:t>
      </w:r>
      <w:r w:rsidR="00E4554F">
        <w:rPr>
          <w:rFonts w:ascii="Times New Roman" w:eastAsia="Times New Roman" w:hAnsi="Times New Roman" w:cs="Times New Roman"/>
          <w:b/>
          <w:sz w:val="28"/>
          <w:szCs w:val="28"/>
        </w:rPr>
        <w:t>additional language</w:t>
      </w:r>
      <w:r w:rsidRPr="004E5958">
        <w:rPr>
          <w:rFonts w:ascii="Times New Roman" w:eastAsia="Times New Roman" w:hAnsi="Times New Roman" w:cs="Times New Roman"/>
          <w:b/>
          <w:sz w:val="28"/>
          <w:szCs w:val="28"/>
        </w:rPr>
        <w:t xml:space="preserve"> as follows:</w:t>
      </w:r>
    </w:p>
    <w:p w14:paraId="12A34BAA" w14:textId="77777777" w:rsidR="00924D48" w:rsidRPr="004E5958" w:rsidRDefault="00924D48" w:rsidP="007461CB">
      <w:pPr>
        <w:spacing w:after="0" w:line="240" w:lineRule="auto"/>
        <w:jc w:val="both"/>
        <w:rPr>
          <w:rFonts w:ascii="Times New Roman" w:eastAsia="Times New Roman" w:hAnsi="Times New Roman" w:cs="Times New Roman"/>
          <w:sz w:val="28"/>
          <w:szCs w:val="28"/>
        </w:rPr>
      </w:pPr>
    </w:p>
    <w:p w14:paraId="1D9A6B43" w14:textId="70B4C50F" w:rsidR="00A8644E" w:rsidRPr="004E5958" w:rsidRDefault="00B07BDA" w:rsidP="007461CB">
      <w:pPr>
        <w:ind w:left="360"/>
        <w:jc w:val="both"/>
        <w:rPr>
          <w:rFonts w:ascii="Times New Roman" w:hAnsi="Times New Roman" w:cs="Times New Roman"/>
          <w:sz w:val="28"/>
          <w:szCs w:val="28"/>
        </w:rPr>
      </w:pPr>
      <w:r w:rsidRPr="004E5958">
        <w:rPr>
          <w:rFonts w:ascii="Times New Roman" w:hAnsi="Times New Roman" w:cs="Times New Roman"/>
          <w:sz w:val="28"/>
          <w:szCs w:val="28"/>
        </w:rPr>
        <w:t xml:space="preserve">Rule </w:t>
      </w:r>
      <w:r w:rsidR="00E4554F">
        <w:rPr>
          <w:rFonts w:ascii="Times New Roman" w:hAnsi="Times New Roman" w:cs="Times New Roman"/>
          <w:sz w:val="28"/>
          <w:szCs w:val="28"/>
        </w:rPr>
        <w:t>64</w:t>
      </w:r>
      <w:r w:rsidRPr="004E5958">
        <w:rPr>
          <w:rFonts w:ascii="Times New Roman" w:hAnsi="Times New Roman" w:cs="Times New Roman"/>
          <w:sz w:val="28"/>
          <w:szCs w:val="28"/>
        </w:rPr>
        <w:t xml:space="preserve">. </w:t>
      </w:r>
      <w:r w:rsidR="00E4554F">
        <w:rPr>
          <w:rFonts w:ascii="Times New Roman" w:hAnsi="Times New Roman" w:cs="Times New Roman"/>
          <w:sz w:val="28"/>
          <w:szCs w:val="28"/>
        </w:rPr>
        <w:t>Reinstatement Eligibility</w:t>
      </w:r>
    </w:p>
    <w:p w14:paraId="4811AD26" w14:textId="5E9F0ACA" w:rsidR="00B07BDA" w:rsidRPr="004E5958" w:rsidRDefault="00233A28" w:rsidP="00233A28">
      <w:pPr>
        <w:ind w:left="360"/>
        <w:jc w:val="both"/>
        <w:rPr>
          <w:rFonts w:ascii="Times New Roman" w:hAnsi="Times New Roman" w:cs="Times New Roman"/>
          <w:sz w:val="28"/>
          <w:szCs w:val="28"/>
        </w:rPr>
      </w:pPr>
      <w:r>
        <w:rPr>
          <w:rFonts w:ascii="Times New Roman" w:hAnsi="Times New Roman" w:cs="Times New Roman"/>
          <w:sz w:val="28"/>
          <w:szCs w:val="28"/>
        </w:rPr>
        <w:t>(a) through (e) [no changes]</w:t>
      </w:r>
    </w:p>
    <w:p w14:paraId="692C7367" w14:textId="2F076E25" w:rsidR="00B07BDA" w:rsidRDefault="00D51601" w:rsidP="00233A28">
      <w:pPr>
        <w:spacing w:after="0" w:line="240" w:lineRule="auto"/>
        <w:ind w:left="360"/>
        <w:jc w:val="both"/>
        <w:rPr>
          <w:rFonts w:ascii="Times New Roman" w:hAnsi="Times New Roman" w:cs="Times New Roman"/>
          <w:sz w:val="28"/>
          <w:szCs w:val="28"/>
        </w:rPr>
      </w:pPr>
      <w:r w:rsidRPr="004E5958">
        <w:rPr>
          <w:rFonts w:ascii="Times New Roman" w:hAnsi="Times New Roman" w:cs="Times New Roman"/>
          <w:sz w:val="28"/>
          <w:szCs w:val="28"/>
        </w:rPr>
        <w:t>(</w:t>
      </w:r>
      <w:r w:rsidR="00E4554F">
        <w:rPr>
          <w:rFonts w:ascii="Times New Roman" w:hAnsi="Times New Roman" w:cs="Times New Roman"/>
          <w:sz w:val="28"/>
          <w:szCs w:val="28"/>
        </w:rPr>
        <w:t>f</w:t>
      </w:r>
      <w:r w:rsidRPr="004E5958">
        <w:rPr>
          <w:rFonts w:ascii="Times New Roman" w:hAnsi="Times New Roman" w:cs="Times New Roman"/>
          <w:sz w:val="28"/>
          <w:szCs w:val="28"/>
        </w:rPr>
        <w:t xml:space="preserve">) </w:t>
      </w:r>
      <w:r w:rsidR="00E4554F">
        <w:rPr>
          <w:rFonts w:ascii="Times New Roman" w:hAnsi="Times New Roman" w:cs="Times New Roman"/>
          <w:sz w:val="28"/>
          <w:szCs w:val="28"/>
        </w:rPr>
        <w:t>Reinstatement After Summary Suspension by the Board of Governors; Resignation in Lieu of Reinstatement</w:t>
      </w:r>
      <w:r w:rsidR="00B07BDA" w:rsidRPr="004E5958">
        <w:rPr>
          <w:rFonts w:ascii="Times New Roman" w:hAnsi="Times New Roman" w:cs="Times New Roman"/>
          <w:sz w:val="28"/>
          <w:szCs w:val="28"/>
        </w:rPr>
        <w:t xml:space="preserve">.  </w:t>
      </w:r>
    </w:p>
    <w:p w14:paraId="4F5F6984" w14:textId="77777777" w:rsidR="00233A28" w:rsidRDefault="00233A28" w:rsidP="00233A28">
      <w:pPr>
        <w:spacing w:line="240" w:lineRule="auto"/>
        <w:ind w:left="360"/>
        <w:jc w:val="both"/>
        <w:rPr>
          <w:rFonts w:ascii="Times New Roman" w:hAnsi="Times New Roman" w:cs="Times New Roman"/>
          <w:sz w:val="28"/>
          <w:szCs w:val="28"/>
        </w:rPr>
      </w:pPr>
    </w:p>
    <w:p w14:paraId="4B195489" w14:textId="0DF6C7E6" w:rsidR="00E4554F" w:rsidRPr="004E5958" w:rsidRDefault="00E4554F" w:rsidP="00233A28">
      <w:pPr>
        <w:spacing w:line="240" w:lineRule="auto"/>
        <w:ind w:left="360"/>
        <w:jc w:val="both"/>
        <w:rPr>
          <w:rFonts w:ascii="Times New Roman" w:hAnsi="Times New Roman" w:cs="Times New Roman"/>
          <w:sz w:val="28"/>
          <w:szCs w:val="28"/>
        </w:rPr>
      </w:pPr>
      <w:r>
        <w:rPr>
          <w:rFonts w:ascii="Times New Roman" w:hAnsi="Times New Roman" w:cs="Times New Roman"/>
          <w:sz w:val="28"/>
          <w:szCs w:val="28"/>
        </w:rPr>
        <w:t>(1) Reinstatement After Summary Suspension.</w:t>
      </w:r>
    </w:p>
    <w:p w14:paraId="69542622" w14:textId="1A5FD82E" w:rsidR="00B07BDA" w:rsidRPr="004E5958" w:rsidRDefault="00233A28" w:rsidP="00233A28">
      <w:pPr>
        <w:spacing w:after="0" w:line="240" w:lineRule="auto"/>
        <w:ind w:left="360"/>
        <w:jc w:val="both"/>
        <w:rPr>
          <w:rFonts w:ascii="Times New Roman" w:hAnsi="Times New Roman" w:cs="Times New Roman"/>
          <w:sz w:val="28"/>
          <w:szCs w:val="28"/>
        </w:rPr>
      </w:pPr>
      <w:r>
        <w:rPr>
          <w:rFonts w:ascii="Times New Roman" w:hAnsi="Times New Roman" w:cs="Times New Roman"/>
          <w:sz w:val="28"/>
          <w:szCs w:val="28"/>
        </w:rPr>
        <w:t>(A) [no changes]</w:t>
      </w:r>
    </w:p>
    <w:p w14:paraId="00DE96F7" w14:textId="77777777" w:rsidR="00233A28" w:rsidRDefault="00233A28" w:rsidP="00233A28">
      <w:pPr>
        <w:spacing w:after="0" w:line="240" w:lineRule="auto"/>
        <w:ind w:left="360"/>
        <w:jc w:val="both"/>
        <w:rPr>
          <w:rFonts w:ascii="Times New Roman" w:hAnsi="Times New Roman" w:cs="Times New Roman"/>
          <w:sz w:val="28"/>
          <w:szCs w:val="28"/>
        </w:rPr>
      </w:pPr>
    </w:p>
    <w:p w14:paraId="7F75F25C" w14:textId="7C1E51F8" w:rsidR="00E4554F" w:rsidRDefault="00E4554F" w:rsidP="00233A28">
      <w:pPr>
        <w:spacing w:after="0" w:line="240" w:lineRule="auto"/>
        <w:ind w:left="360"/>
        <w:jc w:val="both"/>
        <w:rPr>
          <w:rFonts w:ascii="Times New Roman" w:eastAsia="Times New Roman" w:hAnsi="Times New Roman" w:cs="Times New Roman"/>
          <w:sz w:val="28"/>
          <w:szCs w:val="28"/>
        </w:rPr>
      </w:pPr>
      <w:r>
        <w:rPr>
          <w:rFonts w:ascii="Times New Roman" w:hAnsi="Times New Roman" w:cs="Times New Roman"/>
          <w:sz w:val="28"/>
          <w:szCs w:val="28"/>
        </w:rPr>
        <w:t xml:space="preserve">(B) </w:t>
      </w:r>
      <w:r w:rsidRPr="00E4554F">
        <w:rPr>
          <w:rFonts w:ascii="Times New Roman" w:eastAsia="Times New Roman" w:hAnsi="Times New Roman" w:cs="Times New Roman"/>
          <w:color w:val="212121"/>
          <w:sz w:val="28"/>
          <w:szCs w:val="28"/>
        </w:rPr>
        <w:t xml:space="preserve">After Two (2) Years. If an application is not filed within two years from the effective date of suspension, the reinstatement procedure set forth in </w:t>
      </w:r>
      <w:hyperlink r:id="rId7" w:history="1">
        <w:r w:rsidRPr="00E4554F">
          <w:rPr>
            <w:rFonts w:ascii="Times New Roman" w:eastAsia="Times New Roman" w:hAnsi="Times New Roman" w:cs="Times New Roman"/>
            <w:sz w:val="28"/>
            <w:szCs w:val="28"/>
          </w:rPr>
          <w:t>Rule 65</w:t>
        </w:r>
      </w:hyperlink>
      <w:r w:rsidRPr="00E4554F">
        <w:rPr>
          <w:rFonts w:ascii="Times New Roman" w:eastAsia="Times New Roman" w:hAnsi="Times New Roman" w:cs="Times New Roman"/>
          <w:sz w:val="28"/>
          <w:szCs w:val="28"/>
        </w:rPr>
        <w:t xml:space="preserve"> of these rules shall apply. </w:t>
      </w:r>
      <w:r w:rsidRPr="00E4554F">
        <w:rPr>
          <w:rFonts w:ascii="Times New Roman" w:eastAsia="Times New Roman" w:hAnsi="Times New Roman" w:cs="Times New Roman"/>
          <w:color w:val="212121"/>
          <w:sz w:val="28"/>
          <w:szCs w:val="28"/>
          <w:shd w:val="clear" w:color="auto" w:fill="FFFFFF"/>
        </w:rPr>
        <w:t>If the suspension is based solely on failure to pay annual dues and/or failure to maintain required MCLE, the applicant need not demonstrate rehabilitation; the applicant need only prove compliance with all rules, fitness to practice and competence under Rule 65(b)(2).</w:t>
      </w:r>
      <w:r w:rsidRPr="00E4554F">
        <w:rPr>
          <w:rFonts w:ascii="Arial" w:eastAsia="Times New Roman" w:hAnsi="Arial" w:cs="Arial"/>
          <w:color w:val="212121"/>
          <w:sz w:val="24"/>
          <w:szCs w:val="24"/>
          <w:shd w:val="clear" w:color="auto" w:fill="FFFFFF"/>
        </w:rPr>
        <w:t> </w:t>
      </w:r>
      <w:r w:rsidRPr="00E4554F">
        <w:rPr>
          <w:rFonts w:ascii="Times New Roman" w:eastAsia="Times New Roman" w:hAnsi="Times New Roman" w:cs="Times New Roman"/>
          <w:sz w:val="28"/>
          <w:szCs w:val="28"/>
          <w:u w:val="single"/>
        </w:rPr>
        <w:t xml:space="preserve">An applicant without the prior discipline of suspension or disbarment shall file a Rule 65(a) compliant application and have paid all required fees and payments required under Rule 65(a)(3). If such an applicant seeks reinstatement due to resignation in good standing or failure to pay annual dues and/or failure to maintain required MCLE, that applicant may enter an agreement for reinstatement with the State Bar without having to comply with Rule 65(b)(1), and (3).  After the State Bar has completed its investigation and provided that the State Bar supports reinstatement, the parties may file a written agreement for reinstatement signed by the parties. The agreement must contain stipulated conclusions of law that applicant is fit to practice law, competent, has complied with all discipline rules, met all requirements for reinstatement to the practice of law, and is qualified to be reinstated as an active member of the State </w:t>
      </w:r>
      <w:r w:rsidR="00233A28">
        <w:rPr>
          <w:rFonts w:ascii="Times New Roman" w:eastAsia="Times New Roman" w:hAnsi="Times New Roman" w:cs="Times New Roman"/>
          <w:sz w:val="28"/>
          <w:szCs w:val="28"/>
          <w:u w:val="single"/>
        </w:rPr>
        <w:t xml:space="preserve">Bar </w:t>
      </w:r>
      <w:r w:rsidRPr="00E4554F">
        <w:rPr>
          <w:rFonts w:ascii="Times New Roman" w:eastAsia="Times New Roman" w:hAnsi="Times New Roman" w:cs="Times New Roman"/>
          <w:sz w:val="28"/>
          <w:szCs w:val="28"/>
          <w:u w:val="single"/>
        </w:rPr>
        <w:t xml:space="preserve">of Arizona. Such conclusions shall be supported by a stipulation of facts and exhibits. Within thirty (30) days, the presiding disciplinary judge shall file a decision with the disciplinary clerk and serve a copy on the parties. The decision shall accept, reject, or recommend modification of the proposed agreement. The decision shall incorporate all or portions of the agreement. If the agreement is accepted, the presiding disciplinary judge shall enter an order of reinstatement.  If a modification is recommended, the presiding disciplinary judge shall state the nature and substance of the proposed </w:t>
      </w:r>
      <w:r w:rsidRPr="00E4554F">
        <w:rPr>
          <w:rFonts w:ascii="Times New Roman" w:eastAsia="Times New Roman" w:hAnsi="Times New Roman" w:cs="Times New Roman"/>
          <w:sz w:val="28"/>
          <w:szCs w:val="28"/>
          <w:u w:val="single"/>
        </w:rPr>
        <w:lastRenderedPageBreak/>
        <w:t xml:space="preserve">modifications and give the parties thirty days to accept any proposed modification or file a modified agreement for consideration. If the parties fail to accept any proposed modification or file a modified agreement, the application shall be set for </w:t>
      </w:r>
      <w:r w:rsidRPr="00E4554F">
        <w:rPr>
          <w:rFonts w:ascii="Times New Roman" w:eastAsia="Times New Roman" w:hAnsi="Times New Roman" w:cs="Times New Roman"/>
          <w:sz w:val="28"/>
          <w:szCs w:val="28"/>
          <w:u w:val="single"/>
        </w:rPr>
        <w:t>hearing before a hearing panel. If the agreement is rejected, the presiding disciplinary judge shall state the reasons for rejection, and the application will be set for hearing before a hearing panel.</w:t>
      </w:r>
      <w:r w:rsidRPr="00E4554F">
        <w:rPr>
          <w:rFonts w:ascii="Times New Roman" w:eastAsia="Times New Roman" w:hAnsi="Times New Roman" w:cs="Times New Roman"/>
          <w:sz w:val="28"/>
          <w:szCs w:val="28"/>
        </w:rPr>
        <w:t xml:space="preserve"> </w:t>
      </w:r>
      <w:r w:rsidRPr="00E871ED">
        <w:rPr>
          <w:rFonts w:ascii="Times New Roman" w:eastAsia="Times New Roman" w:hAnsi="Times New Roman" w:cs="Times New Roman"/>
          <w:sz w:val="28"/>
          <w:szCs w:val="28"/>
        </w:rPr>
        <w:t xml:space="preserve">Notwithstanding </w:t>
      </w:r>
      <w:r w:rsidRPr="00E871ED">
        <w:rPr>
          <w:rFonts w:ascii="Times New Roman" w:eastAsia="Times New Roman" w:hAnsi="Times New Roman" w:cs="Times New Roman"/>
          <w:strike/>
          <w:sz w:val="28"/>
          <w:szCs w:val="28"/>
        </w:rPr>
        <w:t xml:space="preserve">this </w:t>
      </w:r>
      <w:r w:rsidRPr="00E871ED">
        <w:rPr>
          <w:rFonts w:ascii="Times New Roman" w:eastAsia="Times New Roman" w:hAnsi="Times New Roman" w:cs="Times New Roman"/>
          <w:sz w:val="28"/>
          <w:szCs w:val="28"/>
          <w:u w:val="single"/>
        </w:rPr>
        <w:t>these</w:t>
      </w:r>
      <w:r w:rsidRPr="00E871ED">
        <w:rPr>
          <w:rFonts w:ascii="Times New Roman" w:eastAsia="Times New Roman" w:hAnsi="Times New Roman" w:cs="Times New Roman"/>
          <w:sz w:val="28"/>
          <w:szCs w:val="28"/>
        </w:rPr>
        <w:t xml:space="preserve"> provision</w:t>
      </w:r>
      <w:r w:rsidRPr="00E871ED">
        <w:rPr>
          <w:rFonts w:ascii="Times New Roman" w:eastAsia="Times New Roman" w:hAnsi="Times New Roman" w:cs="Times New Roman"/>
          <w:sz w:val="28"/>
          <w:szCs w:val="28"/>
          <w:u w:val="single"/>
        </w:rPr>
        <w:t>s</w:t>
      </w:r>
      <w:r>
        <w:rPr>
          <w:rFonts w:ascii="Times New Roman" w:eastAsia="Times New Roman" w:hAnsi="Times New Roman" w:cs="Times New Roman"/>
          <w:sz w:val="28"/>
          <w:szCs w:val="28"/>
        </w:rPr>
        <w:t xml:space="preserve"> </w:t>
      </w:r>
      <w:r w:rsidRPr="00E4554F">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suspended member may apply for reinstatement under the provisions of paragraph (f)(1)(A) as set forth above by </w:t>
      </w:r>
      <w:r w:rsidR="000A5192">
        <w:rPr>
          <w:rFonts w:ascii="Times New Roman" w:eastAsia="Times New Roman" w:hAnsi="Times New Roman" w:cs="Times New Roman"/>
          <w:sz w:val="28"/>
          <w:szCs w:val="28"/>
        </w:rPr>
        <w:t xml:space="preserve">submitting </w:t>
      </w:r>
      <w:r>
        <w:rPr>
          <w:rFonts w:ascii="Times New Roman" w:eastAsia="Times New Roman" w:hAnsi="Times New Roman" w:cs="Times New Roman"/>
          <w:sz w:val="28"/>
          <w:szCs w:val="28"/>
        </w:rPr>
        <w:t>proof that the suspended member:</w:t>
      </w:r>
    </w:p>
    <w:p w14:paraId="6A51CCA8" w14:textId="77777777" w:rsidR="00E871ED" w:rsidRDefault="00E871ED" w:rsidP="00E871ED">
      <w:pPr>
        <w:spacing w:after="0" w:line="240" w:lineRule="auto"/>
        <w:jc w:val="both"/>
        <w:rPr>
          <w:rFonts w:ascii="Times New Roman" w:eastAsia="Times New Roman" w:hAnsi="Times New Roman" w:cs="Times New Roman"/>
          <w:sz w:val="28"/>
          <w:szCs w:val="28"/>
        </w:rPr>
      </w:pPr>
    </w:p>
    <w:p w14:paraId="4AF9CB89" w14:textId="29B044F2" w:rsidR="00FB69A1" w:rsidRDefault="00233A28" w:rsidP="00E871ED">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proofErr w:type="spellStart"/>
      <w:r>
        <w:rPr>
          <w:rFonts w:ascii="Times New Roman" w:eastAsia="Times New Roman" w:hAnsi="Times New Roman" w:cs="Times New Roman"/>
          <w:sz w:val="28"/>
          <w:szCs w:val="28"/>
        </w:rPr>
        <w:t>i</w:t>
      </w:r>
      <w:proofErr w:type="spellEnd"/>
      <w:r>
        <w:rPr>
          <w:rFonts w:ascii="Times New Roman" w:eastAsia="Times New Roman" w:hAnsi="Times New Roman" w:cs="Times New Roman"/>
          <w:sz w:val="28"/>
          <w:szCs w:val="28"/>
        </w:rPr>
        <w:t>) through (iv)[no changes]</w:t>
      </w:r>
      <w:bookmarkStart w:id="0" w:name="_GoBack"/>
      <w:bookmarkEnd w:id="0"/>
    </w:p>
    <w:p w14:paraId="1BFF4998" w14:textId="77777777" w:rsidR="00E871ED" w:rsidRDefault="00E871ED" w:rsidP="00E871ED">
      <w:pPr>
        <w:spacing w:after="0" w:line="240" w:lineRule="auto"/>
        <w:jc w:val="both"/>
        <w:rPr>
          <w:rFonts w:ascii="Times New Roman" w:eastAsia="Times New Roman" w:hAnsi="Times New Roman" w:cs="Times New Roman"/>
          <w:sz w:val="28"/>
          <w:szCs w:val="28"/>
        </w:rPr>
      </w:pPr>
    </w:p>
    <w:p w14:paraId="334B4C8A" w14:textId="38291B0B" w:rsidR="0068141F" w:rsidRDefault="0068141F" w:rsidP="00E871ED">
      <w:pPr>
        <w:spacing w:after="0" w:line="240" w:lineRule="auto"/>
        <w:ind w:left="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Upon verification of compliance, the board shall enter an order of reinstatement.</w:t>
      </w:r>
    </w:p>
    <w:p w14:paraId="19CE919E" w14:textId="77777777" w:rsidR="00233A28" w:rsidRDefault="00233A28" w:rsidP="00233A28">
      <w:pPr>
        <w:spacing w:after="0" w:line="240" w:lineRule="auto"/>
        <w:ind w:left="360"/>
        <w:jc w:val="both"/>
        <w:rPr>
          <w:rFonts w:ascii="Times New Roman" w:eastAsia="Times New Roman" w:hAnsi="Times New Roman" w:cs="Times New Roman"/>
          <w:sz w:val="28"/>
          <w:szCs w:val="28"/>
        </w:rPr>
      </w:pPr>
    </w:p>
    <w:p w14:paraId="34BF8675" w14:textId="53577E8F" w:rsidR="00233A28" w:rsidRPr="004E5958" w:rsidRDefault="00233A28" w:rsidP="00233A28">
      <w:pPr>
        <w:ind w:firstLine="270"/>
        <w:jc w:val="both"/>
        <w:rPr>
          <w:rFonts w:ascii="Times New Roman" w:hAnsi="Times New Roman" w:cs="Times New Roman"/>
          <w:sz w:val="28"/>
          <w:szCs w:val="28"/>
        </w:rPr>
      </w:pPr>
      <w:r>
        <w:rPr>
          <w:rFonts w:ascii="Times New Roman" w:eastAsia="Times New Roman" w:hAnsi="Times New Roman" w:cs="Times New Roman"/>
          <w:sz w:val="28"/>
          <w:szCs w:val="28"/>
        </w:rPr>
        <w:t>2. [no changes]</w:t>
      </w:r>
    </w:p>
    <w:sectPr w:rsidR="00233A28" w:rsidRPr="004E5958" w:rsidSect="007461CB">
      <w:footerReference w:type="default" r:id="rId8"/>
      <w:pgSz w:w="12240" w:h="15840"/>
      <w:pgMar w:top="1440" w:right="1260" w:bottom="1350" w:left="144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3B0242" w14:textId="77777777" w:rsidR="006D0880" w:rsidRDefault="006D0880" w:rsidP="00427DE6">
      <w:pPr>
        <w:spacing w:after="0" w:line="240" w:lineRule="auto"/>
      </w:pPr>
      <w:r>
        <w:separator/>
      </w:r>
    </w:p>
  </w:endnote>
  <w:endnote w:type="continuationSeparator" w:id="0">
    <w:p w14:paraId="260C2172" w14:textId="77777777" w:rsidR="006D0880" w:rsidRDefault="006D0880" w:rsidP="00427D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98764570"/>
      <w:docPartObj>
        <w:docPartGallery w:val="Page Numbers (Bottom of Page)"/>
        <w:docPartUnique/>
      </w:docPartObj>
    </w:sdtPr>
    <w:sdtEndPr>
      <w:rPr>
        <w:noProof/>
      </w:rPr>
    </w:sdtEndPr>
    <w:sdtContent>
      <w:p w14:paraId="25D37D7C" w14:textId="77777777" w:rsidR="001E56AF" w:rsidRDefault="001E56AF">
        <w:pPr>
          <w:pStyle w:val="Footer"/>
          <w:jc w:val="center"/>
        </w:pPr>
        <w:r>
          <w:fldChar w:fldCharType="begin"/>
        </w:r>
        <w:r>
          <w:instrText xml:space="preserve"> PAGE   \* MERGEFORMAT </w:instrText>
        </w:r>
        <w:r>
          <w:fldChar w:fldCharType="separate"/>
        </w:r>
        <w:r w:rsidR="0078639F">
          <w:rPr>
            <w:noProof/>
          </w:rPr>
          <w:t>- 3 -</w:t>
        </w:r>
        <w:r>
          <w:rPr>
            <w:noProof/>
          </w:rPr>
          <w:fldChar w:fldCharType="end"/>
        </w:r>
      </w:p>
    </w:sdtContent>
  </w:sdt>
  <w:p w14:paraId="3D81D317" w14:textId="77777777" w:rsidR="001E56AF" w:rsidRDefault="001E56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782BB8" w14:textId="77777777" w:rsidR="006D0880" w:rsidRDefault="006D0880" w:rsidP="00427DE6">
      <w:pPr>
        <w:spacing w:after="0" w:line="240" w:lineRule="auto"/>
      </w:pPr>
      <w:r>
        <w:separator/>
      </w:r>
    </w:p>
  </w:footnote>
  <w:footnote w:type="continuationSeparator" w:id="0">
    <w:p w14:paraId="2B5051C0" w14:textId="77777777" w:rsidR="006D0880" w:rsidRDefault="006D0880" w:rsidP="00427D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4D1AF1"/>
    <w:multiLevelType w:val="hybridMultilevel"/>
    <w:tmpl w:val="9C54F332"/>
    <w:lvl w:ilvl="0" w:tplc="F2F089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97029D"/>
    <w:multiLevelType w:val="hybridMultilevel"/>
    <w:tmpl w:val="A7283908"/>
    <w:lvl w:ilvl="0" w:tplc="4A46B52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49B34A1"/>
    <w:multiLevelType w:val="hybridMultilevel"/>
    <w:tmpl w:val="885000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93B25A4"/>
    <w:multiLevelType w:val="hybridMultilevel"/>
    <w:tmpl w:val="C416FC44"/>
    <w:lvl w:ilvl="0" w:tplc="8C98253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000CAB"/>
    <w:multiLevelType w:val="hybridMultilevel"/>
    <w:tmpl w:val="D9AEA882"/>
    <w:lvl w:ilvl="0" w:tplc="F16074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69D62E8"/>
    <w:multiLevelType w:val="hybridMultilevel"/>
    <w:tmpl w:val="8F226D0A"/>
    <w:lvl w:ilvl="0" w:tplc="406A7E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32E6B25"/>
    <w:multiLevelType w:val="hybridMultilevel"/>
    <w:tmpl w:val="97C4DE42"/>
    <w:lvl w:ilvl="0" w:tplc="9258ADF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744D0E31"/>
    <w:multiLevelType w:val="hybridMultilevel"/>
    <w:tmpl w:val="F2146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7A55607"/>
    <w:multiLevelType w:val="hybridMultilevel"/>
    <w:tmpl w:val="6D9458C0"/>
    <w:lvl w:ilvl="0" w:tplc="F06E642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8"/>
  </w:num>
  <w:num w:numId="4">
    <w:abstractNumId w:val="4"/>
  </w:num>
  <w:num w:numId="5">
    <w:abstractNumId w:val="5"/>
  </w:num>
  <w:num w:numId="6">
    <w:abstractNumId w:val="0"/>
  </w:num>
  <w:num w:numId="7">
    <w:abstractNumId w:val="1"/>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A40"/>
    <w:rsid w:val="000824C9"/>
    <w:rsid w:val="000A5192"/>
    <w:rsid w:val="000A6F57"/>
    <w:rsid w:val="000B5346"/>
    <w:rsid w:val="00150FA5"/>
    <w:rsid w:val="00166657"/>
    <w:rsid w:val="00170030"/>
    <w:rsid w:val="0017169A"/>
    <w:rsid w:val="001B631C"/>
    <w:rsid w:val="001E56AF"/>
    <w:rsid w:val="00216F6C"/>
    <w:rsid w:val="00233A28"/>
    <w:rsid w:val="00254F04"/>
    <w:rsid w:val="002757C4"/>
    <w:rsid w:val="002A4153"/>
    <w:rsid w:val="002B0CB5"/>
    <w:rsid w:val="002E6F9E"/>
    <w:rsid w:val="003C0147"/>
    <w:rsid w:val="003C728A"/>
    <w:rsid w:val="00414721"/>
    <w:rsid w:val="00420744"/>
    <w:rsid w:val="00427DE6"/>
    <w:rsid w:val="00442AC1"/>
    <w:rsid w:val="00463332"/>
    <w:rsid w:val="004A5064"/>
    <w:rsid w:val="004B7AF1"/>
    <w:rsid w:val="004C2E67"/>
    <w:rsid w:val="004D25E7"/>
    <w:rsid w:val="004E5958"/>
    <w:rsid w:val="004F1F6F"/>
    <w:rsid w:val="0053335C"/>
    <w:rsid w:val="00545426"/>
    <w:rsid w:val="0055781B"/>
    <w:rsid w:val="00571A18"/>
    <w:rsid w:val="005C038B"/>
    <w:rsid w:val="005D7EE7"/>
    <w:rsid w:val="005E19F4"/>
    <w:rsid w:val="005F1F73"/>
    <w:rsid w:val="005F5876"/>
    <w:rsid w:val="0066338E"/>
    <w:rsid w:val="0068141F"/>
    <w:rsid w:val="006D0880"/>
    <w:rsid w:val="006F1E70"/>
    <w:rsid w:val="00720B53"/>
    <w:rsid w:val="0073177B"/>
    <w:rsid w:val="007461CB"/>
    <w:rsid w:val="00750B9A"/>
    <w:rsid w:val="00755CC3"/>
    <w:rsid w:val="0078639F"/>
    <w:rsid w:val="007C2C48"/>
    <w:rsid w:val="007D7276"/>
    <w:rsid w:val="007F25DC"/>
    <w:rsid w:val="00804BA5"/>
    <w:rsid w:val="00807DE5"/>
    <w:rsid w:val="00821B35"/>
    <w:rsid w:val="00897952"/>
    <w:rsid w:val="008A7F2C"/>
    <w:rsid w:val="008B553D"/>
    <w:rsid w:val="00924D48"/>
    <w:rsid w:val="0093129E"/>
    <w:rsid w:val="00932766"/>
    <w:rsid w:val="00957EDD"/>
    <w:rsid w:val="00967CD5"/>
    <w:rsid w:val="009A41E1"/>
    <w:rsid w:val="009E38F2"/>
    <w:rsid w:val="009F00DA"/>
    <w:rsid w:val="00A3383B"/>
    <w:rsid w:val="00A37824"/>
    <w:rsid w:val="00A8644E"/>
    <w:rsid w:val="00A912B3"/>
    <w:rsid w:val="00AD77B3"/>
    <w:rsid w:val="00AD7B3D"/>
    <w:rsid w:val="00AE3CCD"/>
    <w:rsid w:val="00AE7AD3"/>
    <w:rsid w:val="00AF4884"/>
    <w:rsid w:val="00AF6C43"/>
    <w:rsid w:val="00B07BDA"/>
    <w:rsid w:val="00B14729"/>
    <w:rsid w:val="00B67823"/>
    <w:rsid w:val="00B96063"/>
    <w:rsid w:val="00BA0292"/>
    <w:rsid w:val="00BA198C"/>
    <w:rsid w:val="00C26970"/>
    <w:rsid w:val="00C30B7F"/>
    <w:rsid w:val="00CD3D70"/>
    <w:rsid w:val="00CF2E51"/>
    <w:rsid w:val="00D2191A"/>
    <w:rsid w:val="00D51601"/>
    <w:rsid w:val="00D62D1F"/>
    <w:rsid w:val="00D64CCC"/>
    <w:rsid w:val="00D74C7B"/>
    <w:rsid w:val="00DA3249"/>
    <w:rsid w:val="00DD0C92"/>
    <w:rsid w:val="00E4554F"/>
    <w:rsid w:val="00E610A6"/>
    <w:rsid w:val="00E61A40"/>
    <w:rsid w:val="00E61FD8"/>
    <w:rsid w:val="00E871ED"/>
    <w:rsid w:val="00E9005B"/>
    <w:rsid w:val="00EA1BE8"/>
    <w:rsid w:val="00EB275A"/>
    <w:rsid w:val="00EC4C46"/>
    <w:rsid w:val="00EE4F8E"/>
    <w:rsid w:val="00FB69A1"/>
    <w:rsid w:val="00FC75D3"/>
    <w:rsid w:val="00FD4D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DC0C69"/>
  <w15:docId w15:val="{60A8B51B-8B29-4885-9CB7-BB60D830D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F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1FD8"/>
    <w:rPr>
      <w:rFonts w:ascii="Tahoma" w:hAnsi="Tahoma" w:cs="Tahoma"/>
      <w:sz w:val="16"/>
      <w:szCs w:val="16"/>
    </w:rPr>
  </w:style>
  <w:style w:type="paragraph" w:styleId="Header">
    <w:name w:val="header"/>
    <w:basedOn w:val="Normal"/>
    <w:link w:val="HeaderChar"/>
    <w:uiPriority w:val="99"/>
    <w:unhideWhenUsed/>
    <w:rsid w:val="00427D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7DE6"/>
  </w:style>
  <w:style w:type="paragraph" w:styleId="Footer">
    <w:name w:val="footer"/>
    <w:basedOn w:val="Normal"/>
    <w:link w:val="FooterChar"/>
    <w:uiPriority w:val="99"/>
    <w:unhideWhenUsed/>
    <w:rsid w:val="00427D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7DE6"/>
  </w:style>
  <w:style w:type="paragraph" w:styleId="ListParagraph">
    <w:name w:val="List Paragraph"/>
    <w:basedOn w:val="Normal"/>
    <w:uiPriority w:val="34"/>
    <w:qFormat/>
    <w:rsid w:val="00924D48"/>
    <w:pPr>
      <w:ind w:left="720"/>
      <w:contextualSpacing/>
    </w:pPr>
  </w:style>
  <w:style w:type="character" w:styleId="CommentReference">
    <w:name w:val="annotation reference"/>
    <w:basedOn w:val="DefaultParagraphFont"/>
    <w:uiPriority w:val="99"/>
    <w:semiHidden/>
    <w:unhideWhenUsed/>
    <w:rsid w:val="0068141F"/>
    <w:rPr>
      <w:sz w:val="16"/>
      <w:szCs w:val="16"/>
    </w:rPr>
  </w:style>
  <w:style w:type="paragraph" w:styleId="CommentText">
    <w:name w:val="annotation text"/>
    <w:basedOn w:val="Normal"/>
    <w:link w:val="CommentTextChar"/>
    <w:uiPriority w:val="99"/>
    <w:semiHidden/>
    <w:unhideWhenUsed/>
    <w:rsid w:val="0068141F"/>
    <w:pPr>
      <w:spacing w:line="240" w:lineRule="auto"/>
    </w:pPr>
    <w:rPr>
      <w:sz w:val="20"/>
      <w:szCs w:val="20"/>
    </w:rPr>
  </w:style>
  <w:style w:type="character" w:customStyle="1" w:styleId="CommentTextChar">
    <w:name w:val="Comment Text Char"/>
    <w:basedOn w:val="DefaultParagraphFont"/>
    <w:link w:val="CommentText"/>
    <w:uiPriority w:val="99"/>
    <w:semiHidden/>
    <w:rsid w:val="0068141F"/>
    <w:rPr>
      <w:sz w:val="20"/>
      <w:szCs w:val="20"/>
    </w:rPr>
  </w:style>
  <w:style w:type="paragraph" w:styleId="CommentSubject">
    <w:name w:val="annotation subject"/>
    <w:basedOn w:val="CommentText"/>
    <w:next w:val="CommentText"/>
    <w:link w:val="CommentSubjectChar"/>
    <w:uiPriority w:val="99"/>
    <w:semiHidden/>
    <w:unhideWhenUsed/>
    <w:rsid w:val="0068141F"/>
    <w:rPr>
      <w:b/>
      <w:bCs/>
    </w:rPr>
  </w:style>
  <w:style w:type="character" w:customStyle="1" w:styleId="CommentSubjectChar">
    <w:name w:val="Comment Subject Char"/>
    <w:basedOn w:val="CommentTextChar"/>
    <w:link w:val="CommentSubject"/>
    <w:uiPriority w:val="99"/>
    <w:semiHidden/>
    <w:rsid w:val="0068141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5300850">
      <w:bodyDiv w:val="1"/>
      <w:marLeft w:val="0"/>
      <w:marRight w:val="0"/>
      <w:marTop w:val="0"/>
      <w:marBottom w:val="0"/>
      <w:divBdr>
        <w:top w:val="none" w:sz="0" w:space="0" w:color="auto"/>
        <w:left w:val="none" w:sz="0" w:space="0" w:color="auto"/>
        <w:bottom w:val="none" w:sz="0" w:space="0" w:color="auto"/>
        <w:right w:val="none" w:sz="0" w:space="0" w:color="auto"/>
      </w:divBdr>
    </w:div>
    <w:div w:id="1709640654">
      <w:bodyDiv w:val="1"/>
      <w:marLeft w:val="0"/>
      <w:marRight w:val="0"/>
      <w:marTop w:val="0"/>
      <w:marBottom w:val="0"/>
      <w:divBdr>
        <w:top w:val="none" w:sz="0" w:space="0" w:color="auto"/>
        <w:left w:val="none" w:sz="0" w:space="0" w:color="auto"/>
        <w:bottom w:val="none" w:sz="0" w:space="0" w:color="auto"/>
        <w:right w:val="none" w:sz="0" w:space="0" w:color="auto"/>
      </w:divBdr>
      <w:divsChild>
        <w:div w:id="325674292">
          <w:marLeft w:val="0"/>
          <w:marRight w:val="0"/>
          <w:marTop w:val="0"/>
          <w:marBottom w:val="0"/>
          <w:divBdr>
            <w:top w:val="none" w:sz="0" w:space="0" w:color="auto"/>
            <w:left w:val="none" w:sz="0" w:space="0" w:color="auto"/>
            <w:bottom w:val="none" w:sz="0" w:space="0" w:color="auto"/>
            <w:right w:val="none" w:sz="0" w:space="0" w:color="auto"/>
          </w:divBdr>
        </w:div>
        <w:div w:id="463037776">
          <w:marLeft w:val="0"/>
          <w:marRight w:val="0"/>
          <w:marTop w:val="0"/>
          <w:marBottom w:val="0"/>
          <w:divBdr>
            <w:top w:val="none" w:sz="0" w:space="0" w:color="auto"/>
            <w:left w:val="none" w:sz="0" w:space="0" w:color="auto"/>
            <w:bottom w:val="none" w:sz="0" w:space="0" w:color="auto"/>
            <w:right w:val="none" w:sz="0" w:space="0" w:color="auto"/>
          </w:divBdr>
          <w:divsChild>
            <w:div w:id="3959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47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1.next.westlaw.com/Link/Document/FullText?findType=L&amp;pubNum=1003575&amp;cite=AZSCTR65&amp;originatingDoc=NED8F98F0961A11DD86F49F8874280CEA&amp;refType=LQ&amp;originationContext=document&amp;transitionType=DocumentItem&amp;contextData=(sc.Documen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Chuck</dc:creator>
  <cp:lastModifiedBy>Greene, Jennifer</cp:lastModifiedBy>
  <cp:revision>2</cp:revision>
  <cp:lastPrinted>2020-03-18T21:52:00Z</cp:lastPrinted>
  <dcterms:created xsi:type="dcterms:W3CDTF">2021-05-27T18:25:00Z</dcterms:created>
  <dcterms:modified xsi:type="dcterms:W3CDTF">2021-05-27T18:25:00Z</dcterms:modified>
</cp:coreProperties>
</file>