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2452F0" w14:paraId="5288ADF7" w14:textId="77777777" w:rsidTr="006F63FD">
        <w:trPr>
          <w:cantSplit/>
          <w:trHeight w:val="1987"/>
        </w:trPr>
        <w:tc>
          <w:tcPr>
            <w:tcW w:w="4836" w:type="dxa"/>
          </w:tcPr>
          <w:p w14:paraId="6E9DB00B" w14:textId="77777777" w:rsidR="00000C35" w:rsidRPr="002452F0" w:rsidRDefault="00F850BE" w:rsidP="00000C35">
            <w:pPr>
              <w:pStyle w:val="FirmInformation"/>
              <w:spacing w:line="240" w:lineRule="auto"/>
              <w:rPr>
                <w:sz w:val="28"/>
                <w:szCs w:val="28"/>
              </w:rPr>
            </w:pPr>
            <w:r w:rsidRPr="002452F0">
              <w:rPr>
                <w:sz w:val="28"/>
                <w:szCs w:val="28"/>
              </w:rPr>
              <w:t>Lisa M. Panahi</w:t>
            </w:r>
            <w:r w:rsidR="00732169" w:rsidRPr="002452F0">
              <w:rPr>
                <w:sz w:val="28"/>
                <w:szCs w:val="28"/>
              </w:rPr>
              <w:t xml:space="preserve">, </w:t>
            </w:r>
            <w:r w:rsidRPr="002452F0">
              <w:rPr>
                <w:sz w:val="28"/>
                <w:szCs w:val="28"/>
              </w:rPr>
              <w:t>Bar No. 023421</w:t>
            </w:r>
            <w:r w:rsidR="00732169" w:rsidRPr="002452F0">
              <w:rPr>
                <w:sz w:val="28"/>
                <w:szCs w:val="28"/>
              </w:rPr>
              <w:br/>
            </w:r>
            <w:r w:rsidR="006F63FD" w:rsidRPr="002452F0">
              <w:rPr>
                <w:sz w:val="28"/>
                <w:szCs w:val="28"/>
              </w:rPr>
              <w:t>General Counsel</w:t>
            </w:r>
          </w:p>
          <w:p w14:paraId="327788CA" w14:textId="77777777" w:rsidR="00494BDF" w:rsidRPr="002452F0" w:rsidRDefault="00494BDF" w:rsidP="00000C35">
            <w:pPr>
              <w:pStyle w:val="FirmInformation"/>
              <w:spacing w:line="240" w:lineRule="auto"/>
              <w:rPr>
                <w:sz w:val="28"/>
                <w:szCs w:val="28"/>
              </w:rPr>
            </w:pPr>
            <w:r w:rsidRPr="002452F0">
              <w:rPr>
                <w:sz w:val="28"/>
                <w:szCs w:val="28"/>
              </w:rPr>
              <w:t>State Bar of Arizona</w:t>
            </w:r>
          </w:p>
          <w:p w14:paraId="2EC76B5A" w14:textId="77777777" w:rsidR="00357F4D" w:rsidRPr="002452F0" w:rsidRDefault="00357F4D" w:rsidP="00000C35">
            <w:pPr>
              <w:pStyle w:val="FirmInformation"/>
              <w:spacing w:line="240" w:lineRule="auto"/>
              <w:rPr>
                <w:sz w:val="28"/>
                <w:szCs w:val="28"/>
              </w:rPr>
            </w:pPr>
            <w:r w:rsidRPr="002452F0">
              <w:rPr>
                <w:sz w:val="28"/>
                <w:szCs w:val="28"/>
              </w:rPr>
              <w:t>4201 N. 24th Street, Suite 100</w:t>
            </w:r>
          </w:p>
          <w:p w14:paraId="336E177D" w14:textId="77777777" w:rsidR="00357F4D" w:rsidRPr="002452F0" w:rsidRDefault="00357F4D" w:rsidP="00000C35">
            <w:pPr>
              <w:pStyle w:val="FirmInformation"/>
              <w:spacing w:line="240" w:lineRule="auto"/>
              <w:rPr>
                <w:sz w:val="28"/>
                <w:szCs w:val="28"/>
              </w:rPr>
            </w:pPr>
            <w:r w:rsidRPr="002452F0">
              <w:rPr>
                <w:sz w:val="28"/>
                <w:szCs w:val="28"/>
              </w:rPr>
              <w:t>Phoenix, AZ  85016-6288</w:t>
            </w:r>
          </w:p>
          <w:p w14:paraId="2187EE4E" w14:textId="77777777" w:rsidR="006F63FD" w:rsidRPr="002452F0" w:rsidRDefault="00352347" w:rsidP="00735659">
            <w:pPr>
              <w:pStyle w:val="FirmInformation"/>
              <w:spacing w:line="240" w:lineRule="auto"/>
              <w:rPr>
                <w:sz w:val="28"/>
                <w:szCs w:val="28"/>
              </w:rPr>
            </w:pPr>
            <w:r w:rsidRPr="002452F0">
              <w:rPr>
                <w:sz w:val="28"/>
                <w:szCs w:val="28"/>
              </w:rPr>
              <w:t>(602) 340-7236</w:t>
            </w:r>
          </w:p>
        </w:tc>
        <w:tc>
          <w:tcPr>
            <w:tcW w:w="4200" w:type="dxa"/>
          </w:tcPr>
          <w:p w14:paraId="76CDDC48" w14:textId="77777777" w:rsidR="00357F4D" w:rsidRPr="002452F0" w:rsidRDefault="00357F4D" w:rsidP="00000C35">
            <w:pPr>
              <w:ind w:left="113" w:right="113"/>
              <w:rPr>
                <w:sz w:val="28"/>
                <w:szCs w:val="28"/>
              </w:rPr>
            </w:pPr>
          </w:p>
        </w:tc>
      </w:tr>
    </w:tbl>
    <w:p w14:paraId="74D60EDD" w14:textId="77777777" w:rsidR="00C56683" w:rsidRDefault="00C56683" w:rsidP="00000C35">
      <w:pPr>
        <w:pStyle w:val="Court"/>
        <w:spacing w:line="240" w:lineRule="auto"/>
        <w:rPr>
          <w:b/>
          <w:sz w:val="28"/>
          <w:szCs w:val="28"/>
        </w:rPr>
      </w:pPr>
    </w:p>
    <w:p w14:paraId="2DA6333A" w14:textId="6D0F08EB" w:rsidR="000C48A9" w:rsidRPr="002452F0" w:rsidRDefault="000F7A7F" w:rsidP="00000C35">
      <w:pPr>
        <w:pStyle w:val="Court"/>
        <w:spacing w:line="240" w:lineRule="auto"/>
        <w:rPr>
          <w:b/>
          <w:sz w:val="28"/>
          <w:szCs w:val="28"/>
        </w:rPr>
      </w:pPr>
      <w:r w:rsidRPr="002452F0">
        <w:rPr>
          <w:b/>
          <w:sz w:val="28"/>
          <w:szCs w:val="28"/>
        </w:rPr>
        <w:t>IN THE SUPREME COURT</w:t>
      </w:r>
      <w:r w:rsidRPr="002452F0">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2452F0" w14:paraId="03D4465D" w14:textId="77777777" w:rsidTr="004331B2">
        <w:tc>
          <w:tcPr>
            <w:tcW w:w="4680" w:type="dxa"/>
            <w:tcBorders>
              <w:top w:val="nil"/>
              <w:bottom w:val="single" w:sz="4" w:space="0" w:color="auto"/>
              <w:right w:val="single" w:sz="4" w:space="0" w:color="auto"/>
            </w:tcBorders>
            <w:shd w:val="clear" w:color="auto" w:fill="auto"/>
          </w:tcPr>
          <w:p w14:paraId="5C07FE94" w14:textId="77777777" w:rsidR="00357F4D" w:rsidRPr="002452F0" w:rsidRDefault="00357F4D" w:rsidP="00E321C5">
            <w:pPr>
              <w:pStyle w:val="Caption"/>
              <w:spacing w:before="240" w:line="260" w:lineRule="exact"/>
              <w:rPr>
                <w:sz w:val="28"/>
                <w:szCs w:val="28"/>
              </w:rPr>
            </w:pPr>
            <w:r w:rsidRPr="002452F0">
              <w:rPr>
                <w:sz w:val="28"/>
                <w:szCs w:val="28"/>
              </w:rPr>
              <w:t>In the Matter of:</w:t>
            </w:r>
          </w:p>
          <w:p w14:paraId="1C7F176C" w14:textId="77777777" w:rsidR="002452F0" w:rsidRDefault="00E67511" w:rsidP="002452F0">
            <w:pPr>
              <w:pStyle w:val="Caption"/>
              <w:spacing w:before="240" w:line="260" w:lineRule="exact"/>
              <w:rPr>
                <w:b/>
                <w:sz w:val="28"/>
                <w:szCs w:val="28"/>
              </w:rPr>
            </w:pPr>
            <w:r w:rsidRPr="002452F0">
              <w:rPr>
                <w:b/>
                <w:sz w:val="28"/>
                <w:szCs w:val="28"/>
              </w:rPr>
              <w:t xml:space="preserve">PETITION TO </w:t>
            </w:r>
            <w:r w:rsidR="002452F0">
              <w:rPr>
                <w:b/>
                <w:sz w:val="28"/>
                <w:szCs w:val="28"/>
              </w:rPr>
              <w:t>AMEND RULES 4.1 AND 4.2 OF THE ARIZONA RULES OF CIVIL PROCEDURE</w:t>
            </w:r>
          </w:p>
          <w:p w14:paraId="5443EA06" w14:textId="52B23A43" w:rsidR="00357F4D" w:rsidRPr="002452F0" w:rsidRDefault="00357F4D" w:rsidP="002452F0">
            <w:pPr>
              <w:pStyle w:val="Caption"/>
              <w:spacing w:before="240" w:line="260" w:lineRule="exact"/>
              <w:rPr>
                <w:b/>
                <w:sz w:val="28"/>
                <w:szCs w:val="28"/>
              </w:rPr>
            </w:pPr>
          </w:p>
        </w:tc>
        <w:tc>
          <w:tcPr>
            <w:tcW w:w="4524" w:type="dxa"/>
            <w:tcBorders>
              <w:top w:val="nil"/>
              <w:left w:val="single" w:sz="4" w:space="0" w:color="auto"/>
            </w:tcBorders>
            <w:shd w:val="clear" w:color="auto" w:fill="auto"/>
          </w:tcPr>
          <w:p w14:paraId="4C75C8D6" w14:textId="70793A72" w:rsidR="00357F4D" w:rsidRPr="002452F0" w:rsidRDefault="00357F4D" w:rsidP="00E321C5">
            <w:pPr>
              <w:pStyle w:val="Caption"/>
              <w:tabs>
                <w:tab w:val="left" w:pos="1238"/>
              </w:tabs>
              <w:spacing w:before="240" w:after="240"/>
              <w:ind w:left="259" w:right="115"/>
              <w:rPr>
                <w:sz w:val="28"/>
                <w:szCs w:val="28"/>
              </w:rPr>
            </w:pPr>
            <w:r w:rsidRPr="002452F0">
              <w:rPr>
                <w:sz w:val="28"/>
                <w:szCs w:val="28"/>
              </w:rPr>
              <w:t>Supreme Court No. R-</w:t>
            </w:r>
            <w:r w:rsidR="008A4EB3" w:rsidRPr="002452F0">
              <w:rPr>
                <w:sz w:val="28"/>
                <w:szCs w:val="28"/>
              </w:rPr>
              <w:t>2</w:t>
            </w:r>
            <w:r w:rsidR="00A058A5" w:rsidRPr="002452F0">
              <w:rPr>
                <w:sz w:val="28"/>
                <w:szCs w:val="28"/>
              </w:rPr>
              <w:t>1</w:t>
            </w:r>
            <w:r w:rsidR="00F850BE" w:rsidRPr="002452F0">
              <w:rPr>
                <w:sz w:val="28"/>
                <w:szCs w:val="28"/>
              </w:rPr>
              <w:t>-</w:t>
            </w:r>
            <w:r w:rsidR="0045040D">
              <w:rPr>
                <w:sz w:val="28"/>
                <w:szCs w:val="28"/>
              </w:rPr>
              <w:t>0021</w:t>
            </w:r>
          </w:p>
          <w:p w14:paraId="321958F6" w14:textId="77777777" w:rsidR="00B176BF" w:rsidRDefault="00B176BF" w:rsidP="000F7A7F">
            <w:pPr>
              <w:pStyle w:val="Caption"/>
              <w:tabs>
                <w:tab w:val="left" w:pos="1238"/>
              </w:tabs>
              <w:spacing w:line="260" w:lineRule="exact"/>
              <w:ind w:right="115"/>
              <w:jc w:val="center"/>
              <w:rPr>
                <w:b/>
                <w:sz w:val="28"/>
                <w:szCs w:val="28"/>
              </w:rPr>
            </w:pPr>
            <w:r>
              <w:rPr>
                <w:b/>
                <w:sz w:val="28"/>
                <w:szCs w:val="28"/>
              </w:rPr>
              <w:t xml:space="preserve">REPLY OF THE </w:t>
            </w:r>
          </w:p>
          <w:p w14:paraId="5DA69FB8" w14:textId="52917A9A" w:rsidR="00357F4D" w:rsidRPr="002452F0" w:rsidRDefault="0045040D" w:rsidP="000F7A7F">
            <w:pPr>
              <w:pStyle w:val="Caption"/>
              <w:tabs>
                <w:tab w:val="left" w:pos="1238"/>
              </w:tabs>
              <w:spacing w:line="260" w:lineRule="exact"/>
              <w:ind w:right="115"/>
              <w:jc w:val="center"/>
              <w:rPr>
                <w:b/>
                <w:sz w:val="28"/>
                <w:szCs w:val="28"/>
              </w:rPr>
            </w:pPr>
            <w:r>
              <w:rPr>
                <w:b/>
                <w:sz w:val="28"/>
                <w:szCs w:val="28"/>
              </w:rPr>
              <w:t xml:space="preserve">STATE BAR OF ARIZONA </w:t>
            </w:r>
          </w:p>
          <w:p w14:paraId="5C4A37D9" w14:textId="77777777" w:rsidR="00357F4D" w:rsidRPr="002452F0" w:rsidRDefault="00357F4D" w:rsidP="00E321C5">
            <w:pPr>
              <w:pStyle w:val="DocumentTitle"/>
              <w:rPr>
                <w:sz w:val="28"/>
                <w:szCs w:val="28"/>
              </w:rPr>
            </w:pPr>
          </w:p>
          <w:p w14:paraId="264D7027" w14:textId="77777777" w:rsidR="00357F4D" w:rsidRPr="002452F0" w:rsidRDefault="00357F4D" w:rsidP="00E321C5">
            <w:pPr>
              <w:pStyle w:val="Caption"/>
              <w:ind w:left="1512" w:right="115" w:hanging="1253"/>
              <w:rPr>
                <w:sz w:val="28"/>
                <w:szCs w:val="28"/>
              </w:rPr>
            </w:pPr>
          </w:p>
        </w:tc>
      </w:tr>
    </w:tbl>
    <w:p w14:paraId="3B846517" w14:textId="77777777" w:rsidR="005D205B" w:rsidRDefault="005D205B" w:rsidP="005D205B">
      <w:pPr>
        <w:pStyle w:val="MemoSignatureSub"/>
        <w:spacing w:after="0"/>
        <w:ind w:left="0" w:firstLine="720"/>
        <w:jc w:val="both"/>
        <w:rPr>
          <w:sz w:val="28"/>
          <w:szCs w:val="28"/>
        </w:rPr>
      </w:pPr>
    </w:p>
    <w:p w14:paraId="2D2B6445" w14:textId="1855ECC8" w:rsidR="002452F0" w:rsidRPr="000A0A1D" w:rsidRDefault="0008003D" w:rsidP="005D205B">
      <w:pPr>
        <w:pStyle w:val="MemoSignatureSub"/>
        <w:spacing w:after="0" w:line="480" w:lineRule="auto"/>
        <w:ind w:left="0" w:firstLine="720"/>
        <w:jc w:val="both"/>
        <w:rPr>
          <w:sz w:val="28"/>
          <w:szCs w:val="28"/>
        </w:rPr>
      </w:pPr>
      <w:r w:rsidRPr="002452F0">
        <w:rPr>
          <w:sz w:val="28"/>
          <w:szCs w:val="28"/>
        </w:rPr>
        <w:t>Pursuant to Rule 28(</w:t>
      </w:r>
      <w:r w:rsidR="0045040D">
        <w:rPr>
          <w:sz w:val="28"/>
          <w:szCs w:val="28"/>
        </w:rPr>
        <w:t>e</w:t>
      </w:r>
      <w:r w:rsidRPr="002452F0">
        <w:rPr>
          <w:sz w:val="28"/>
          <w:szCs w:val="28"/>
        </w:rPr>
        <w:t>)</w:t>
      </w:r>
      <w:r w:rsidR="0045040D">
        <w:rPr>
          <w:sz w:val="28"/>
          <w:szCs w:val="28"/>
        </w:rPr>
        <w:t>(5)</w:t>
      </w:r>
      <w:r w:rsidRPr="002452F0">
        <w:rPr>
          <w:sz w:val="28"/>
          <w:szCs w:val="28"/>
        </w:rPr>
        <w:t xml:space="preserve"> </w:t>
      </w:r>
      <w:r w:rsidR="00B176BF" w:rsidRPr="002452F0">
        <w:rPr>
          <w:sz w:val="28"/>
          <w:szCs w:val="28"/>
        </w:rPr>
        <w:t xml:space="preserve">of </w:t>
      </w:r>
      <w:r w:rsidR="00B176BF">
        <w:rPr>
          <w:sz w:val="28"/>
          <w:szCs w:val="28"/>
        </w:rPr>
        <w:t>this</w:t>
      </w:r>
      <w:r w:rsidRPr="002452F0">
        <w:rPr>
          <w:sz w:val="28"/>
          <w:szCs w:val="28"/>
        </w:rPr>
        <w:t xml:space="preserve"> Court</w:t>
      </w:r>
      <w:r w:rsidR="00064954">
        <w:rPr>
          <w:sz w:val="28"/>
          <w:szCs w:val="28"/>
        </w:rPr>
        <w:t>’s Rules</w:t>
      </w:r>
      <w:r w:rsidRPr="002452F0">
        <w:rPr>
          <w:sz w:val="28"/>
          <w:szCs w:val="28"/>
        </w:rPr>
        <w:t xml:space="preserve">, the State Bar of Arizona (the “State Bar”) </w:t>
      </w:r>
      <w:r w:rsidR="00A27BEF">
        <w:rPr>
          <w:sz w:val="28"/>
          <w:szCs w:val="28"/>
        </w:rPr>
        <w:t>replies in support of its Petition</w:t>
      </w:r>
      <w:r w:rsidR="005845AE" w:rsidRPr="002452F0">
        <w:rPr>
          <w:sz w:val="28"/>
          <w:szCs w:val="28"/>
        </w:rPr>
        <w:t xml:space="preserve"> to amend</w:t>
      </w:r>
      <w:r w:rsidR="002452F0" w:rsidRPr="002452F0">
        <w:rPr>
          <w:sz w:val="28"/>
          <w:szCs w:val="28"/>
        </w:rPr>
        <w:t xml:space="preserve"> Arizona Rules of Civil Procedure (the “Ariz. R. Civ. P.”) 4.1(</w:t>
      </w:r>
      <w:r w:rsidR="002452F0" w:rsidRPr="00CF695F">
        <w:rPr>
          <w:i/>
          <w:iCs/>
          <w:sz w:val="28"/>
          <w:szCs w:val="28"/>
        </w:rPr>
        <w:t>l</w:t>
      </w:r>
      <w:r w:rsidR="002452F0" w:rsidRPr="002452F0">
        <w:rPr>
          <w:sz w:val="28"/>
          <w:szCs w:val="28"/>
        </w:rPr>
        <w:t>) and 4.2(</w:t>
      </w:r>
      <w:r w:rsidR="002452F0" w:rsidRPr="008C3DBB">
        <w:rPr>
          <w:sz w:val="28"/>
          <w:szCs w:val="28"/>
        </w:rPr>
        <w:t>f</w:t>
      </w:r>
      <w:r w:rsidR="002452F0" w:rsidRPr="002452F0">
        <w:rPr>
          <w:sz w:val="28"/>
          <w:szCs w:val="28"/>
        </w:rPr>
        <w:t xml:space="preserve">). </w:t>
      </w:r>
    </w:p>
    <w:p w14:paraId="69C104AF" w14:textId="77777777" w:rsidR="005D205B" w:rsidRDefault="0060286A" w:rsidP="00D42D9D">
      <w:pPr>
        <w:pStyle w:val="MemoSignatureSub"/>
        <w:spacing w:after="0" w:line="480" w:lineRule="auto"/>
        <w:ind w:left="0" w:firstLine="720"/>
        <w:jc w:val="both"/>
        <w:rPr>
          <w:sz w:val="28"/>
          <w:szCs w:val="28"/>
        </w:rPr>
      </w:pPr>
      <w:r>
        <w:rPr>
          <w:sz w:val="28"/>
          <w:szCs w:val="28"/>
        </w:rPr>
        <w:t>The well taken and considered comment of the Judges of the Mohave County Superior Court, filed April 30, 2021, unanimously supports adoption of the Petition’s proposed changes without modification and notes that a vast majority of other jurisdictions already have similar rules. The Mohave County Superior Court Judges also correctly note th</w:t>
      </w:r>
      <w:r w:rsidR="00E647FC">
        <w:rPr>
          <w:sz w:val="28"/>
          <w:szCs w:val="28"/>
        </w:rPr>
        <w:t>at the Petition’s</w:t>
      </w:r>
      <w:r>
        <w:rPr>
          <w:sz w:val="28"/>
          <w:szCs w:val="28"/>
        </w:rPr>
        <w:t xml:space="preserve"> proposed amendments further not only due process but also judicial economy.</w:t>
      </w:r>
      <w:r w:rsidR="00FA38B6">
        <w:rPr>
          <w:sz w:val="28"/>
          <w:szCs w:val="28"/>
        </w:rPr>
        <w:t xml:space="preserve"> This is true for all types of cases subject to the civil rules on service.</w:t>
      </w:r>
      <w:r>
        <w:rPr>
          <w:sz w:val="28"/>
          <w:szCs w:val="28"/>
        </w:rPr>
        <w:t xml:space="preserve"> This Reply, then, addresses the concerns raised by counsel for </w:t>
      </w:r>
      <w:r>
        <w:rPr>
          <w:sz w:val="28"/>
          <w:szCs w:val="28"/>
        </w:rPr>
        <w:lastRenderedPageBreak/>
        <w:t xml:space="preserve">the Department of Child Safety (“DCS” or “Commenter”) in the Department’s comment also filed April 30, 2021. </w:t>
      </w:r>
    </w:p>
    <w:p w14:paraId="2466E288" w14:textId="41C2D062" w:rsidR="000F62B7" w:rsidRPr="002452F0" w:rsidRDefault="0060286A" w:rsidP="00D42D9D">
      <w:pPr>
        <w:pStyle w:val="MemoSignatureSub"/>
        <w:spacing w:after="0" w:line="480" w:lineRule="auto"/>
        <w:ind w:left="0" w:firstLine="720"/>
        <w:jc w:val="both"/>
        <w:rPr>
          <w:sz w:val="28"/>
          <w:szCs w:val="28"/>
        </w:rPr>
      </w:pPr>
      <w:r>
        <w:rPr>
          <w:sz w:val="28"/>
          <w:szCs w:val="28"/>
        </w:rPr>
        <w:t>While the State Bar appreciates the concerns expressed in that comment</w:t>
      </w:r>
      <w:r w:rsidR="00102ECD">
        <w:rPr>
          <w:sz w:val="28"/>
          <w:szCs w:val="28"/>
        </w:rPr>
        <w:t xml:space="preserve"> and its diligent discussion of the statutory framework for juvenile cases, the Commenter’s objection</w:t>
      </w:r>
      <w:r>
        <w:rPr>
          <w:sz w:val="28"/>
          <w:szCs w:val="28"/>
        </w:rPr>
        <w:t xml:space="preserve"> seem</w:t>
      </w:r>
      <w:r w:rsidR="00102ECD">
        <w:rPr>
          <w:sz w:val="28"/>
          <w:szCs w:val="28"/>
        </w:rPr>
        <w:t>s</w:t>
      </w:r>
      <w:r>
        <w:rPr>
          <w:sz w:val="28"/>
          <w:szCs w:val="28"/>
        </w:rPr>
        <w:t xml:space="preserve"> to stem from a fundamental misunderstanding of the Petition’s proposed changes, including as to how they would apply in juvenile dependency, termination, and guardianship proceedings.</w:t>
      </w:r>
    </w:p>
    <w:p w14:paraId="63FC04DA" w14:textId="7390E4F0" w:rsidR="002452F0" w:rsidRDefault="00EB5D3E" w:rsidP="00EB5D3E">
      <w:pPr>
        <w:pStyle w:val="MemoSignatureSub"/>
        <w:spacing w:line="480" w:lineRule="exact"/>
        <w:ind w:left="360" w:hanging="360"/>
        <w:jc w:val="both"/>
        <w:rPr>
          <w:b/>
          <w:sz w:val="28"/>
          <w:szCs w:val="28"/>
        </w:rPr>
      </w:pPr>
      <w:r>
        <w:rPr>
          <w:b/>
          <w:sz w:val="28"/>
          <w:szCs w:val="28"/>
        </w:rPr>
        <w:t>I</w:t>
      </w:r>
      <w:r w:rsidR="002452F0" w:rsidRPr="002452F0">
        <w:rPr>
          <w:b/>
          <w:sz w:val="28"/>
          <w:szCs w:val="28"/>
        </w:rPr>
        <w:t>.</w:t>
      </w:r>
      <w:r w:rsidR="002452F0" w:rsidRPr="002452F0">
        <w:rPr>
          <w:b/>
          <w:sz w:val="28"/>
          <w:szCs w:val="28"/>
        </w:rPr>
        <w:tab/>
        <w:t>THE PROPOSED AMENDMENTS TO RULE 4.1 AND RULE 4.2</w:t>
      </w:r>
      <w:r w:rsidR="00D42D9D">
        <w:rPr>
          <w:b/>
          <w:sz w:val="28"/>
          <w:szCs w:val="28"/>
        </w:rPr>
        <w:t xml:space="preserve"> DO NOT ALTER CURRENT OR FUTURE JUVENILE COURT PRACTICE ON SERVICE BY PUBLICATION AND OCCASION NO DELAY. </w:t>
      </w:r>
    </w:p>
    <w:p w14:paraId="6B5BC6E6" w14:textId="60732612" w:rsidR="005B3B25" w:rsidRDefault="00D42D9D" w:rsidP="00D42D9D">
      <w:pPr>
        <w:pStyle w:val="MemoSignatureSub"/>
        <w:spacing w:after="0" w:line="480" w:lineRule="auto"/>
        <w:ind w:left="0" w:firstLine="720"/>
        <w:jc w:val="both"/>
        <w:rPr>
          <w:sz w:val="28"/>
          <w:szCs w:val="28"/>
        </w:rPr>
      </w:pPr>
      <w:r>
        <w:rPr>
          <w:sz w:val="28"/>
          <w:szCs w:val="28"/>
        </w:rPr>
        <w:t xml:space="preserve">With due respect to the Commenter, the State Bar </w:t>
      </w:r>
      <w:r w:rsidRPr="00D42D9D">
        <w:rPr>
          <w:i/>
          <w:sz w:val="28"/>
          <w:szCs w:val="28"/>
        </w:rPr>
        <w:t>did</w:t>
      </w:r>
      <w:r>
        <w:rPr>
          <w:sz w:val="28"/>
          <w:szCs w:val="28"/>
        </w:rPr>
        <w:t xml:space="preserve"> consider any potential effects on cur</w:t>
      </w:r>
      <w:r w:rsidR="00431236">
        <w:rPr>
          <w:sz w:val="28"/>
          <w:szCs w:val="28"/>
        </w:rPr>
        <w:t>rent and future proceedings in juvenile c</w:t>
      </w:r>
      <w:r>
        <w:rPr>
          <w:sz w:val="28"/>
          <w:szCs w:val="28"/>
        </w:rPr>
        <w:t xml:space="preserve">ourt in proposing its changes to the civil rules regarding service. For example, the State Bar was aware at the time this Petition was filed of the modifications the Rules of Procedure for the Juvenile Court make to the procedures for service provided in Ariz. R. Civ. P. 4.1 and 4.2. </w:t>
      </w:r>
      <w:r>
        <w:rPr>
          <w:i/>
          <w:sz w:val="28"/>
          <w:szCs w:val="28"/>
        </w:rPr>
        <w:t>See</w:t>
      </w:r>
      <w:r>
        <w:rPr>
          <w:sz w:val="28"/>
          <w:szCs w:val="28"/>
        </w:rPr>
        <w:t xml:space="preserve"> Ariz. R. P. Juv. Ct. 48(E)</w:t>
      </w:r>
      <w:r w:rsidR="008D35C6">
        <w:rPr>
          <w:sz w:val="28"/>
          <w:szCs w:val="28"/>
        </w:rPr>
        <w:t>(1)-(4) (the DCS C</w:t>
      </w:r>
      <w:r>
        <w:rPr>
          <w:sz w:val="28"/>
          <w:szCs w:val="28"/>
        </w:rPr>
        <w:t>omment erroneously cites to Ariz. R. P. Juv. Ct. 48(</w:t>
      </w:r>
      <w:r w:rsidR="001C5F85">
        <w:rPr>
          <w:sz w:val="28"/>
          <w:szCs w:val="28"/>
        </w:rPr>
        <w:t xml:space="preserve">D) on its page 5). </w:t>
      </w:r>
    </w:p>
    <w:p w14:paraId="16C23DC2" w14:textId="12053BD8" w:rsidR="008D35C6" w:rsidRDefault="00102ECD" w:rsidP="00D42D9D">
      <w:pPr>
        <w:pStyle w:val="MemoSignatureSub"/>
        <w:spacing w:after="0" w:line="480" w:lineRule="auto"/>
        <w:ind w:left="0" w:firstLine="720"/>
        <w:jc w:val="both"/>
        <w:rPr>
          <w:sz w:val="28"/>
          <w:szCs w:val="28"/>
        </w:rPr>
      </w:pPr>
      <w:r>
        <w:rPr>
          <w:sz w:val="28"/>
          <w:szCs w:val="28"/>
        </w:rPr>
        <w:t xml:space="preserve">The State Bar was also aware that juvenile court judicial officers only accept or approve service by publication after submission of an affidavit showing diligent </w:t>
      </w:r>
      <w:r>
        <w:rPr>
          <w:sz w:val="28"/>
          <w:szCs w:val="28"/>
        </w:rPr>
        <w:lastRenderedPageBreak/>
        <w:t>efforts to locate the party to be served that have proven unsuccessful.</w:t>
      </w:r>
      <w:r w:rsidR="008D35C6">
        <w:rPr>
          <w:rStyle w:val="FootnoteReference"/>
          <w:sz w:val="28"/>
          <w:szCs w:val="28"/>
        </w:rPr>
        <w:footnoteReference w:id="1"/>
      </w:r>
      <w:r w:rsidR="005B3B25">
        <w:rPr>
          <w:sz w:val="28"/>
          <w:szCs w:val="28"/>
        </w:rPr>
        <w:t xml:space="preserve"> This process is described</w:t>
      </w:r>
      <w:r w:rsidR="008D35C6">
        <w:rPr>
          <w:sz w:val="28"/>
          <w:szCs w:val="28"/>
        </w:rPr>
        <w:t xml:space="preserve"> in practice</w:t>
      </w:r>
      <w:r w:rsidR="005B3B25">
        <w:rPr>
          <w:sz w:val="28"/>
          <w:szCs w:val="28"/>
        </w:rPr>
        <w:t xml:space="preserve">, even on appeal, as DCS filing an affidavit </w:t>
      </w:r>
      <w:r w:rsidR="008C3DBB">
        <w:rPr>
          <w:sz w:val="28"/>
          <w:szCs w:val="28"/>
        </w:rPr>
        <w:t>“</w:t>
      </w:r>
      <w:r w:rsidR="005B3B25">
        <w:rPr>
          <w:sz w:val="28"/>
          <w:szCs w:val="28"/>
        </w:rPr>
        <w:t>before resor</w:t>
      </w:r>
      <w:r w:rsidR="008C3DBB">
        <w:rPr>
          <w:sz w:val="28"/>
          <w:szCs w:val="28"/>
        </w:rPr>
        <w:t>ting to service by publication.”</w:t>
      </w:r>
      <w:r w:rsidR="00124202">
        <w:rPr>
          <w:sz w:val="28"/>
          <w:szCs w:val="28"/>
        </w:rPr>
        <w:t xml:space="preserve"> </w:t>
      </w:r>
      <w:r w:rsidR="00124202">
        <w:rPr>
          <w:i/>
          <w:sz w:val="28"/>
          <w:szCs w:val="28"/>
        </w:rPr>
        <w:t>See Onyx T. v. DCS</w:t>
      </w:r>
      <w:r w:rsidR="00124202">
        <w:rPr>
          <w:sz w:val="28"/>
          <w:szCs w:val="28"/>
        </w:rPr>
        <w:t xml:space="preserve">, No. 1 CA-JV 20-0095, 2020 WL 5640800, at **3–4 (Ariz. App. </w:t>
      </w:r>
      <w:r w:rsidR="00DA00E0">
        <w:rPr>
          <w:sz w:val="28"/>
          <w:szCs w:val="28"/>
        </w:rPr>
        <w:t xml:space="preserve">September 22, </w:t>
      </w:r>
      <w:r w:rsidR="00124202">
        <w:rPr>
          <w:sz w:val="28"/>
          <w:szCs w:val="28"/>
        </w:rPr>
        <w:t xml:space="preserve">2020) (mem.) (finding service by publication proper and sufficient and quoting </w:t>
      </w:r>
      <w:r w:rsidR="00124202">
        <w:rPr>
          <w:i/>
          <w:sz w:val="28"/>
          <w:szCs w:val="28"/>
        </w:rPr>
        <w:t>Sprang v. Petersen Lumber, Inc.</w:t>
      </w:r>
      <w:r w:rsidR="00124202">
        <w:rPr>
          <w:sz w:val="28"/>
          <w:szCs w:val="28"/>
        </w:rPr>
        <w:t>, 165 Ariz. 257, 261 (App. 1990) for proposition that “[b]</w:t>
      </w:r>
      <w:proofErr w:type="spellStart"/>
      <w:r w:rsidR="00124202">
        <w:rPr>
          <w:sz w:val="28"/>
          <w:szCs w:val="28"/>
        </w:rPr>
        <w:t>efore</w:t>
      </w:r>
      <w:proofErr w:type="spellEnd"/>
      <w:r w:rsidR="00124202">
        <w:rPr>
          <w:sz w:val="28"/>
          <w:szCs w:val="28"/>
        </w:rPr>
        <w:t xml:space="preserve"> resorting to service by publication, a party must file an affidavit [of diligent search and unknown residence]”); </w:t>
      </w:r>
      <w:r w:rsidR="00124202">
        <w:rPr>
          <w:i/>
          <w:sz w:val="28"/>
          <w:szCs w:val="28"/>
        </w:rPr>
        <w:t>Jesus L. v. DCS</w:t>
      </w:r>
      <w:r w:rsidR="00124202">
        <w:rPr>
          <w:sz w:val="28"/>
          <w:szCs w:val="28"/>
        </w:rPr>
        <w:t xml:space="preserve">, No. 2 CA-JV 2014-0095, 2015 WL 512799, at **1–3 (Ariz. App. </w:t>
      </w:r>
      <w:r w:rsidR="00DA00E0">
        <w:rPr>
          <w:sz w:val="28"/>
          <w:szCs w:val="28"/>
        </w:rPr>
        <w:t xml:space="preserve">February 6, </w:t>
      </w:r>
      <w:r w:rsidR="00124202">
        <w:rPr>
          <w:sz w:val="28"/>
          <w:szCs w:val="28"/>
        </w:rPr>
        <w:t>2015) (mem.) (same)</w:t>
      </w:r>
      <w:r w:rsidR="00FA0D0B">
        <w:rPr>
          <w:sz w:val="28"/>
          <w:szCs w:val="28"/>
        </w:rPr>
        <w:t xml:space="preserve"> (each of the foregoing are cited for persuasive value only pursuant to Ariz. R. Supreme Ct. 111(c)(1)(C)).</w:t>
      </w:r>
      <w:r w:rsidR="00124202">
        <w:rPr>
          <w:sz w:val="28"/>
          <w:szCs w:val="28"/>
        </w:rPr>
        <w:t xml:space="preserve"> </w:t>
      </w:r>
    </w:p>
    <w:p w14:paraId="189AEF67" w14:textId="42A55C3F" w:rsidR="00D42D9D" w:rsidRPr="005B3B25" w:rsidRDefault="005B3B25" w:rsidP="00D42D9D">
      <w:pPr>
        <w:pStyle w:val="MemoSignatureSub"/>
        <w:spacing w:after="0" w:line="480" w:lineRule="auto"/>
        <w:ind w:left="0" w:firstLine="720"/>
        <w:jc w:val="both"/>
        <w:rPr>
          <w:sz w:val="28"/>
          <w:szCs w:val="28"/>
        </w:rPr>
      </w:pPr>
      <w:r>
        <w:rPr>
          <w:sz w:val="28"/>
          <w:szCs w:val="28"/>
        </w:rPr>
        <w:t>The Commenter does point out the semantics involved: DCS</w:t>
      </w:r>
      <w:r w:rsidR="00797A08">
        <w:rPr>
          <w:sz w:val="28"/>
          <w:szCs w:val="28"/>
        </w:rPr>
        <w:t>, or another serving party in juvenile dependency, termination, and guardianship proceedings, generally first moves</w:t>
      </w:r>
      <w:r>
        <w:rPr>
          <w:sz w:val="28"/>
          <w:szCs w:val="28"/>
        </w:rPr>
        <w:t xml:space="preserve"> the juvenile court to set a publication hearing</w:t>
      </w:r>
      <w:r w:rsidR="007B74E2">
        <w:rPr>
          <w:sz w:val="28"/>
          <w:szCs w:val="28"/>
        </w:rPr>
        <w:t xml:space="preserve"> ninety to 100 days in the future</w:t>
      </w:r>
      <w:r>
        <w:rPr>
          <w:sz w:val="28"/>
          <w:szCs w:val="28"/>
        </w:rPr>
        <w:t>,</w:t>
      </w:r>
      <w:r w:rsidR="00FA0D0B">
        <w:rPr>
          <w:rStyle w:val="FootnoteReference"/>
          <w:sz w:val="28"/>
          <w:szCs w:val="28"/>
        </w:rPr>
        <w:footnoteReference w:id="2"/>
      </w:r>
      <w:r>
        <w:rPr>
          <w:sz w:val="28"/>
          <w:szCs w:val="28"/>
        </w:rPr>
        <w:t xml:space="preserve"> and then later files the required affidavit into the record of that</w:t>
      </w:r>
      <w:r w:rsidR="00797A08">
        <w:rPr>
          <w:sz w:val="28"/>
          <w:szCs w:val="28"/>
        </w:rPr>
        <w:t xml:space="preserve"> publication</w:t>
      </w:r>
      <w:r>
        <w:rPr>
          <w:sz w:val="28"/>
          <w:szCs w:val="28"/>
        </w:rPr>
        <w:t xml:space="preserve"> hearing to allow the juvenile court to fully accept or permit or approve publication service. (</w:t>
      </w:r>
      <w:r>
        <w:rPr>
          <w:i/>
          <w:sz w:val="28"/>
          <w:szCs w:val="28"/>
        </w:rPr>
        <w:t>Cf.</w:t>
      </w:r>
      <w:r>
        <w:rPr>
          <w:sz w:val="28"/>
          <w:szCs w:val="28"/>
        </w:rPr>
        <w:t xml:space="preserve"> DCS </w:t>
      </w:r>
      <w:proofErr w:type="spellStart"/>
      <w:r>
        <w:rPr>
          <w:sz w:val="28"/>
          <w:szCs w:val="28"/>
        </w:rPr>
        <w:t>Cmt</w:t>
      </w:r>
      <w:proofErr w:type="spellEnd"/>
      <w:r>
        <w:rPr>
          <w:sz w:val="28"/>
          <w:szCs w:val="28"/>
        </w:rPr>
        <w:t xml:space="preserve">., at 10) (“Thus the crucial consideration in juvenile matters is whether DCS (or any other petitioner or movant) can show diligent efforts to locate the party at the time the court </w:t>
      </w:r>
      <w:r>
        <w:rPr>
          <w:i/>
          <w:sz w:val="28"/>
          <w:szCs w:val="28"/>
        </w:rPr>
        <w:t>accepts</w:t>
      </w:r>
      <w:r>
        <w:rPr>
          <w:sz w:val="28"/>
          <w:szCs w:val="28"/>
        </w:rPr>
        <w:t xml:space="preserve"> the service [by] publication </w:t>
      </w:r>
      <w:proofErr w:type="gramStart"/>
      <w:r>
        <w:rPr>
          <w:sz w:val="28"/>
          <w:szCs w:val="28"/>
        </w:rPr>
        <w:t>. . . .</w:t>
      </w:r>
      <w:proofErr w:type="gramEnd"/>
      <w:r>
        <w:rPr>
          <w:sz w:val="28"/>
          <w:szCs w:val="28"/>
        </w:rPr>
        <w:t>”).</w:t>
      </w:r>
      <w:r w:rsidR="007B74E2">
        <w:rPr>
          <w:sz w:val="28"/>
          <w:szCs w:val="28"/>
        </w:rPr>
        <w:t xml:space="preserve"> The Commenter </w:t>
      </w:r>
      <w:r w:rsidR="00CA171A">
        <w:rPr>
          <w:sz w:val="28"/>
          <w:szCs w:val="28"/>
        </w:rPr>
        <w:t>asserts</w:t>
      </w:r>
      <w:r w:rsidR="007B74E2">
        <w:rPr>
          <w:sz w:val="28"/>
          <w:szCs w:val="28"/>
        </w:rPr>
        <w:t xml:space="preserve"> that the State Bar’s proposals could delay permanency for children in DCS care and “be exceptionally problematic” in juvenile court cases</w:t>
      </w:r>
      <w:r w:rsidR="00312DBA">
        <w:rPr>
          <w:sz w:val="28"/>
          <w:szCs w:val="28"/>
        </w:rPr>
        <w:t xml:space="preserve"> (DCS </w:t>
      </w:r>
      <w:proofErr w:type="spellStart"/>
      <w:r w:rsidR="00312DBA">
        <w:rPr>
          <w:sz w:val="28"/>
          <w:szCs w:val="28"/>
        </w:rPr>
        <w:t>Cmt</w:t>
      </w:r>
      <w:proofErr w:type="spellEnd"/>
      <w:r w:rsidR="00312DBA">
        <w:rPr>
          <w:sz w:val="28"/>
          <w:szCs w:val="28"/>
        </w:rPr>
        <w:t>., at 1, 9) without explaining why it believes that to be the case.</w:t>
      </w:r>
    </w:p>
    <w:p w14:paraId="16AD3DDE" w14:textId="55CF4BF7" w:rsidR="000A0A1D" w:rsidRDefault="00312DBA" w:rsidP="000A0A1D">
      <w:pPr>
        <w:pStyle w:val="MemoSignatureSub"/>
        <w:spacing w:after="0" w:line="480" w:lineRule="auto"/>
        <w:ind w:left="0" w:firstLine="720"/>
        <w:jc w:val="both"/>
        <w:rPr>
          <w:sz w:val="28"/>
          <w:szCs w:val="28"/>
        </w:rPr>
      </w:pPr>
      <w:r>
        <w:rPr>
          <w:sz w:val="28"/>
          <w:szCs w:val="28"/>
        </w:rPr>
        <w:t>In any event</w:t>
      </w:r>
      <w:r w:rsidR="000A0A1D">
        <w:rPr>
          <w:sz w:val="28"/>
          <w:szCs w:val="28"/>
        </w:rPr>
        <w:t>, t</w:t>
      </w:r>
      <w:r w:rsidR="00D42D9D" w:rsidRPr="002452F0">
        <w:rPr>
          <w:sz w:val="28"/>
          <w:szCs w:val="28"/>
        </w:rPr>
        <w:t>he State Bar’s proposed amendments require the serving party to seek court approval by motion, and support the motion with an affidavit, outlining the steps taken pr</w:t>
      </w:r>
      <w:r w:rsidR="005B3B25">
        <w:rPr>
          <w:sz w:val="28"/>
          <w:szCs w:val="28"/>
        </w:rPr>
        <w:t>ior to seeking approval of service</w:t>
      </w:r>
      <w:r w:rsidR="00D42D9D" w:rsidRPr="002452F0">
        <w:rPr>
          <w:sz w:val="28"/>
          <w:szCs w:val="28"/>
        </w:rPr>
        <w:t xml:space="preserve"> by publication.</w:t>
      </w:r>
      <w:r w:rsidR="000A0A1D">
        <w:rPr>
          <w:sz w:val="28"/>
          <w:szCs w:val="28"/>
        </w:rPr>
        <w:t xml:space="preserve"> </w:t>
      </w:r>
      <w:r w:rsidR="002452F0" w:rsidRPr="002452F0">
        <w:rPr>
          <w:sz w:val="28"/>
          <w:szCs w:val="28"/>
        </w:rPr>
        <w:t>These amendments alter the current practice</w:t>
      </w:r>
      <w:r w:rsidR="000A0A1D">
        <w:rPr>
          <w:sz w:val="28"/>
          <w:szCs w:val="28"/>
        </w:rPr>
        <w:t xml:space="preserve"> in many types of civil cases</w:t>
      </w:r>
      <w:r w:rsidR="002452F0" w:rsidRPr="002452F0">
        <w:rPr>
          <w:sz w:val="28"/>
          <w:szCs w:val="28"/>
        </w:rPr>
        <w:t xml:space="preserve"> of a serving party being able to </w:t>
      </w:r>
      <w:r w:rsidR="00CE2B3E" w:rsidRPr="002452F0">
        <w:rPr>
          <w:sz w:val="28"/>
          <w:szCs w:val="28"/>
        </w:rPr>
        <w:t xml:space="preserve">solely </w:t>
      </w:r>
      <w:r w:rsidR="002452F0" w:rsidRPr="002452F0">
        <w:rPr>
          <w:sz w:val="28"/>
          <w:szCs w:val="28"/>
        </w:rPr>
        <w:t>make the determination to serve by publication.</w:t>
      </w:r>
      <w:r w:rsidR="000A0A1D">
        <w:rPr>
          <w:sz w:val="28"/>
          <w:szCs w:val="28"/>
        </w:rPr>
        <w:t xml:space="preserve"> Importantly,</w:t>
      </w:r>
      <w:r w:rsidR="00797A08">
        <w:rPr>
          <w:sz w:val="28"/>
          <w:szCs w:val="28"/>
        </w:rPr>
        <w:t xml:space="preserve"> as discussed above,</w:t>
      </w:r>
      <w:r w:rsidR="000A0A1D">
        <w:rPr>
          <w:sz w:val="28"/>
          <w:szCs w:val="28"/>
        </w:rPr>
        <w:t xml:space="preserve"> the serving party in juvenile dependency, termination, and guardianship proceedings </w:t>
      </w:r>
      <w:r w:rsidR="000A0A1D">
        <w:rPr>
          <w:i/>
          <w:sz w:val="28"/>
          <w:szCs w:val="28"/>
        </w:rPr>
        <w:t>may not presently</w:t>
      </w:r>
      <w:r w:rsidR="000A0A1D">
        <w:rPr>
          <w:sz w:val="28"/>
          <w:szCs w:val="28"/>
        </w:rPr>
        <w:t xml:space="preserve"> mak</w:t>
      </w:r>
      <w:r w:rsidR="00124202">
        <w:rPr>
          <w:sz w:val="28"/>
          <w:szCs w:val="28"/>
        </w:rPr>
        <w:t>e a</w:t>
      </w:r>
      <w:r w:rsidR="000A0A1D">
        <w:rPr>
          <w:sz w:val="28"/>
          <w:szCs w:val="28"/>
        </w:rPr>
        <w:t xml:space="preserve"> unilateral determination to serve by publication.</w:t>
      </w:r>
      <w:r w:rsidR="005B3B25">
        <w:rPr>
          <w:sz w:val="28"/>
          <w:szCs w:val="28"/>
        </w:rPr>
        <w:t xml:space="preserve"> Thus, the proposed changes do not alter the current practice in juvenile court cases.</w:t>
      </w:r>
    </w:p>
    <w:p w14:paraId="56531C53" w14:textId="74E35699" w:rsidR="002452F0" w:rsidRDefault="000A0A1D" w:rsidP="000A0A1D">
      <w:pPr>
        <w:pStyle w:val="MemoSignatureSub"/>
        <w:spacing w:after="0" w:line="480" w:lineRule="auto"/>
        <w:ind w:left="0" w:firstLine="720"/>
        <w:jc w:val="both"/>
        <w:rPr>
          <w:sz w:val="28"/>
          <w:szCs w:val="28"/>
        </w:rPr>
      </w:pPr>
      <w:r>
        <w:rPr>
          <w:sz w:val="28"/>
          <w:szCs w:val="28"/>
        </w:rPr>
        <w:t xml:space="preserve">Instead, as the Commenter acknowledges, “from the outset, the juvenile court is directly involved in service by publication.” (DCS </w:t>
      </w:r>
      <w:proofErr w:type="spellStart"/>
      <w:r>
        <w:rPr>
          <w:sz w:val="28"/>
          <w:szCs w:val="28"/>
        </w:rPr>
        <w:t>Cmt</w:t>
      </w:r>
      <w:proofErr w:type="spellEnd"/>
      <w:r>
        <w:rPr>
          <w:sz w:val="28"/>
          <w:szCs w:val="28"/>
        </w:rPr>
        <w:t>., at 5.)</w:t>
      </w:r>
      <w:r w:rsidR="00797A08">
        <w:rPr>
          <w:sz w:val="28"/>
          <w:szCs w:val="28"/>
        </w:rPr>
        <w:t xml:space="preserve"> The intent of the State Bar’s proposed changes is that this attention to due process be made true for all case types subject to the civil rules on service. In juvenile cases, again, it</w:t>
      </w:r>
      <w:r w:rsidR="00273CB0">
        <w:rPr>
          <w:sz w:val="28"/>
          <w:szCs w:val="28"/>
        </w:rPr>
        <w:t xml:space="preserve"> is the serving party—often DCS itself—that moves the juvenile court to set a publication hearing in cases where “a parent’s identity or location is unknown” (</w:t>
      </w:r>
      <w:r w:rsidR="00273CB0">
        <w:rPr>
          <w:i/>
          <w:sz w:val="28"/>
          <w:szCs w:val="28"/>
        </w:rPr>
        <w:t>id.</w:t>
      </w:r>
      <w:r w:rsidR="00273CB0">
        <w:rPr>
          <w:sz w:val="28"/>
          <w:szCs w:val="28"/>
        </w:rPr>
        <w:t>); DCS often makes such motion orally at a Preliminary Protective Hearing</w:t>
      </w:r>
      <w:r w:rsidR="002452F0" w:rsidRPr="002452F0">
        <w:rPr>
          <w:sz w:val="28"/>
          <w:szCs w:val="28"/>
        </w:rPr>
        <w:t xml:space="preserve"> </w:t>
      </w:r>
      <w:r w:rsidR="00273CB0">
        <w:rPr>
          <w:sz w:val="28"/>
          <w:szCs w:val="28"/>
        </w:rPr>
        <w:t xml:space="preserve">or an Initial Dependency Hearing or in writing thereafter if the awareness of the need to serve by publication arises later. </w:t>
      </w:r>
      <w:r w:rsidR="00273CB0">
        <w:rPr>
          <w:i/>
          <w:sz w:val="28"/>
          <w:szCs w:val="28"/>
        </w:rPr>
        <w:t>See, e.g.</w:t>
      </w:r>
      <w:r w:rsidR="00273CB0">
        <w:rPr>
          <w:sz w:val="28"/>
          <w:szCs w:val="28"/>
        </w:rPr>
        <w:t>, Ariz. R.P. Juv. Ct.</w:t>
      </w:r>
      <w:r w:rsidR="00850B7A">
        <w:rPr>
          <w:sz w:val="28"/>
          <w:szCs w:val="28"/>
        </w:rPr>
        <w:t xml:space="preserve"> 50, 52; </w:t>
      </w:r>
      <w:r w:rsidR="007B74E2">
        <w:rPr>
          <w:sz w:val="28"/>
          <w:szCs w:val="28"/>
        </w:rPr>
        <w:t>Juvenile Rules Task Force (“</w:t>
      </w:r>
      <w:r w:rsidR="00850B7A">
        <w:rPr>
          <w:sz w:val="28"/>
          <w:szCs w:val="28"/>
        </w:rPr>
        <w:t>JRTF</w:t>
      </w:r>
      <w:r w:rsidR="007B74E2">
        <w:rPr>
          <w:sz w:val="28"/>
          <w:szCs w:val="28"/>
        </w:rPr>
        <w:t>”)</w:t>
      </w:r>
      <w:r w:rsidR="00850B7A">
        <w:rPr>
          <w:sz w:val="28"/>
          <w:szCs w:val="28"/>
        </w:rPr>
        <w:t xml:space="preserve"> proposed rules 332</w:t>
      </w:r>
      <w:r w:rsidR="00273CB0">
        <w:rPr>
          <w:sz w:val="28"/>
          <w:szCs w:val="28"/>
        </w:rPr>
        <w:t>, 334.</w:t>
      </w:r>
    </w:p>
    <w:p w14:paraId="404E8C79" w14:textId="403B6EFB" w:rsidR="00850B7A" w:rsidRDefault="00850B7A" w:rsidP="000A0A1D">
      <w:pPr>
        <w:pStyle w:val="MemoSignatureSub"/>
        <w:spacing w:after="0" w:line="480" w:lineRule="auto"/>
        <w:ind w:left="0" w:firstLine="720"/>
        <w:jc w:val="both"/>
        <w:rPr>
          <w:sz w:val="28"/>
          <w:szCs w:val="28"/>
        </w:rPr>
      </w:pPr>
      <w:r>
        <w:rPr>
          <w:sz w:val="28"/>
          <w:szCs w:val="28"/>
        </w:rPr>
        <w:t>The Commenter</w:t>
      </w:r>
      <w:r w:rsidR="00797A08">
        <w:rPr>
          <w:sz w:val="28"/>
          <w:szCs w:val="28"/>
        </w:rPr>
        <w:t xml:space="preserve"> unfortunately</w:t>
      </w:r>
      <w:r>
        <w:rPr>
          <w:sz w:val="28"/>
          <w:szCs w:val="28"/>
        </w:rPr>
        <w:t xml:space="preserve"> misreads this Petition’s proposals to require that “a party </w:t>
      </w:r>
      <w:r>
        <w:rPr>
          <w:i/>
          <w:sz w:val="28"/>
          <w:szCs w:val="28"/>
        </w:rPr>
        <w:t>file</w:t>
      </w:r>
      <w:r>
        <w:rPr>
          <w:sz w:val="28"/>
          <w:szCs w:val="28"/>
        </w:rPr>
        <w:t xml:space="preserve"> a motion to” serve by publication (DCS </w:t>
      </w:r>
      <w:proofErr w:type="spellStart"/>
      <w:r>
        <w:rPr>
          <w:sz w:val="28"/>
          <w:szCs w:val="28"/>
        </w:rPr>
        <w:t>Cmt</w:t>
      </w:r>
      <w:proofErr w:type="spellEnd"/>
      <w:r>
        <w:rPr>
          <w:sz w:val="28"/>
          <w:szCs w:val="28"/>
        </w:rPr>
        <w:t>., at 9, 11) (emphasis added)), but nowhere do this Petition’s proposed amendments impart a written filing requirement. Instead, just as they may in all case types, motions in juvenile court may be made orally if authorized (Ariz. R.P. Juv. Ct. 46(A), JRTF proposed rule 316(a)), and motions to set publication hearings are routinely granted when</w:t>
      </w:r>
      <w:r w:rsidR="00E647FC">
        <w:rPr>
          <w:sz w:val="28"/>
          <w:szCs w:val="28"/>
        </w:rPr>
        <w:t xml:space="preserve"> made orally in open court</w:t>
      </w:r>
      <w:r w:rsidR="000D7815">
        <w:rPr>
          <w:sz w:val="28"/>
          <w:szCs w:val="28"/>
        </w:rPr>
        <w:t>—the court simply sets the hearing</w:t>
      </w:r>
      <w:r w:rsidR="00E647FC">
        <w:rPr>
          <w:sz w:val="28"/>
          <w:szCs w:val="28"/>
        </w:rPr>
        <w:t>. The</w:t>
      </w:r>
      <w:r>
        <w:rPr>
          <w:sz w:val="28"/>
          <w:szCs w:val="28"/>
        </w:rPr>
        <w:t xml:space="preserve"> Petition’s proposals do nothing to alter that practice and would do nothing to alter it if the proposed changes are adopted by this Court.</w:t>
      </w:r>
    </w:p>
    <w:p w14:paraId="2877D0DC" w14:textId="7E7FFB25" w:rsidR="00850B7A" w:rsidRDefault="00850B7A" w:rsidP="000A0A1D">
      <w:pPr>
        <w:pStyle w:val="MemoSignatureSub"/>
        <w:spacing w:after="0" w:line="480" w:lineRule="auto"/>
        <w:ind w:left="0" w:firstLine="720"/>
        <w:jc w:val="both"/>
        <w:rPr>
          <w:sz w:val="28"/>
          <w:szCs w:val="28"/>
        </w:rPr>
      </w:pPr>
      <w:r>
        <w:rPr>
          <w:sz w:val="28"/>
          <w:szCs w:val="28"/>
        </w:rPr>
        <w:t>Instead, the serving party in a juvenile dependency, termination, or guardianship case</w:t>
      </w:r>
      <w:r w:rsidR="009778CB">
        <w:rPr>
          <w:sz w:val="28"/>
          <w:szCs w:val="28"/>
        </w:rPr>
        <w:t xml:space="preserve"> may</w:t>
      </w:r>
      <w:r w:rsidR="0041626D">
        <w:rPr>
          <w:sz w:val="28"/>
          <w:szCs w:val="28"/>
        </w:rPr>
        <w:t xml:space="preserve"> in the future—just as it does presently—move</w:t>
      </w:r>
      <w:r w:rsidR="009778CB">
        <w:rPr>
          <w:sz w:val="28"/>
          <w:szCs w:val="28"/>
        </w:rPr>
        <w:t xml:space="preserve"> the juvenile court to set a publication hearing (proposed Ariz. R. Civ. P. 4.1(</w:t>
      </w:r>
      <w:r w:rsidR="009778CB">
        <w:rPr>
          <w:i/>
          <w:sz w:val="28"/>
          <w:szCs w:val="28"/>
        </w:rPr>
        <w:t>l</w:t>
      </w:r>
      <w:r w:rsidR="009778CB">
        <w:rPr>
          <w:sz w:val="28"/>
          <w:szCs w:val="28"/>
        </w:rPr>
        <w:t>)(1), 4.2(</w:t>
      </w:r>
      <w:r w:rsidR="009778CB" w:rsidRPr="008C3DBB">
        <w:rPr>
          <w:sz w:val="28"/>
          <w:szCs w:val="28"/>
        </w:rPr>
        <w:t>f</w:t>
      </w:r>
      <w:r w:rsidR="009778CB">
        <w:rPr>
          <w:sz w:val="28"/>
          <w:szCs w:val="28"/>
        </w:rPr>
        <w:t>)(1)) and then follow up</w:t>
      </w:r>
      <w:r w:rsidR="00312DBA">
        <w:rPr>
          <w:sz w:val="28"/>
          <w:szCs w:val="28"/>
        </w:rPr>
        <w:t xml:space="preserve"> at the publication hearing by submitting</w:t>
      </w:r>
      <w:r w:rsidR="009778CB">
        <w:rPr>
          <w:sz w:val="28"/>
          <w:szCs w:val="28"/>
        </w:rPr>
        <w:t xml:space="preserve"> an “affidavit that sets forth the service party’s reasonably diligent efforts to serve the person.” (proposed Ariz. R. Civ. P. 4.1(</w:t>
      </w:r>
      <w:r w:rsidR="009778CB">
        <w:rPr>
          <w:i/>
          <w:sz w:val="28"/>
          <w:szCs w:val="28"/>
        </w:rPr>
        <w:t>l</w:t>
      </w:r>
      <w:r w:rsidR="009778CB">
        <w:rPr>
          <w:sz w:val="28"/>
          <w:szCs w:val="28"/>
        </w:rPr>
        <w:t>)(1)(C), 4.2(f)(1)(C).) Particularly when this Petition’s proposed rule changes include the preface that “[t]he court may permit service by publication, in such manner and form as the court may direct,” there is built-in flexibility to allow for the juvenile court to approve or accept (to use the Commenter’s term) publication service based on an affidavit submitted at the publication hearing.</w:t>
      </w:r>
    </w:p>
    <w:p w14:paraId="3B21B1EF" w14:textId="7A4D1942" w:rsidR="002452F0" w:rsidRPr="00F15D4D" w:rsidRDefault="009778CB" w:rsidP="00F15D4D">
      <w:pPr>
        <w:pStyle w:val="MemoSignatureSub"/>
        <w:spacing w:after="0" w:line="480" w:lineRule="auto"/>
        <w:ind w:left="0" w:firstLine="720"/>
        <w:jc w:val="both"/>
        <w:rPr>
          <w:sz w:val="28"/>
          <w:szCs w:val="28"/>
        </w:rPr>
      </w:pPr>
      <w:r>
        <w:rPr>
          <w:sz w:val="28"/>
          <w:szCs w:val="28"/>
        </w:rPr>
        <w:t>Put differently, the juvenile court can conditionally grant DCS’s or the serving party’s</w:t>
      </w:r>
      <w:r w:rsidR="00102ECD">
        <w:rPr>
          <w:sz w:val="28"/>
          <w:szCs w:val="28"/>
        </w:rPr>
        <w:t xml:space="preserve"> motion to serve by publication by setting a publication hearing, with actual acceptance of service by publication conditioned upon submission of the 4.1(</w:t>
      </w:r>
      <w:r w:rsidR="00102ECD">
        <w:rPr>
          <w:i/>
          <w:sz w:val="28"/>
          <w:szCs w:val="28"/>
        </w:rPr>
        <w:t>l</w:t>
      </w:r>
      <w:r w:rsidR="00102ECD">
        <w:rPr>
          <w:sz w:val="28"/>
          <w:szCs w:val="28"/>
        </w:rPr>
        <w:t>)(1)(C) and/or 4.2(f)(1)(C)</w:t>
      </w:r>
      <w:r w:rsidR="0041626D">
        <w:rPr>
          <w:sz w:val="28"/>
          <w:szCs w:val="28"/>
        </w:rPr>
        <w:t xml:space="preserve"> affidavit</w:t>
      </w:r>
      <w:r w:rsidR="00102ECD">
        <w:rPr>
          <w:sz w:val="28"/>
          <w:szCs w:val="28"/>
        </w:rPr>
        <w:t xml:space="preserve"> at that publication hearing. Or, setting a publication hearing may</w:t>
      </w:r>
      <w:r w:rsidR="0041626D">
        <w:rPr>
          <w:sz w:val="28"/>
          <w:szCs w:val="28"/>
        </w:rPr>
        <w:t xml:space="preserve"> instead</w:t>
      </w:r>
      <w:r w:rsidR="00102ECD">
        <w:rPr>
          <w:sz w:val="28"/>
          <w:szCs w:val="28"/>
        </w:rPr>
        <w:t xml:space="preserve"> be viewed as deferring ruling on a motion to permit service by publication until the affidavit is submitted at the publication hearing. </w:t>
      </w:r>
      <w:r w:rsidR="0041626D">
        <w:rPr>
          <w:sz w:val="28"/>
          <w:szCs w:val="28"/>
        </w:rPr>
        <w:t>Either way, a</w:t>
      </w:r>
      <w:r w:rsidR="007029E6">
        <w:rPr>
          <w:sz w:val="28"/>
          <w:szCs w:val="28"/>
        </w:rPr>
        <w:t>s the State Bar’s Petition counseled, the purpose of the affidavit requirement is to “</w:t>
      </w:r>
      <w:r w:rsidR="002452F0" w:rsidRPr="002452F0">
        <w:rPr>
          <w:rFonts w:eastAsia="Times New Roman"/>
          <w:sz w:val="28"/>
          <w:szCs w:val="28"/>
        </w:rPr>
        <w:t>allow the court to more quickly ascertain and decide whether to approve service by publication.</w:t>
      </w:r>
      <w:r w:rsidR="007029E6">
        <w:rPr>
          <w:rFonts w:eastAsia="Times New Roman"/>
          <w:sz w:val="28"/>
          <w:szCs w:val="28"/>
        </w:rPr>
        <w:t>” (</w:t>
      </w:r>
      <w:proofErr w:type="spellStart"/>
      <w:r w:rsidR="007029E6">
        <w:rPr>
          <w:rFonts w:eastAsia="Times New Roman"/>
          <w:sz w:val="28"/>
          <w:szCs w:val="28"/>
        </w:rPr>
        <w:t>Pet’n</w:t>
      </w:r>
      <w:proofErr w:type="spellEnd"/>
      <w:r w:rsidR="007029E6">
        <w:rPr>
          <w:rFonts w:eastAsia="Times New Roman"/>
          <w:sz w:val="28"/>
          <w:szCs w:val="28"/>
        </w:rPr>
        <w:t>, at 8.)</w:t>
      </w:r>
      <w:r w:rsidR="00F15D4D">
        <w:rPr>
          <w:rFonts w:eastAsia="Times New Roman"/>
          <w:sz w:val="28"/>
          <w:szCs w:val="28"/>
        </w:rPr>
        <w:t xml:space="preserve"> This is true in juvenile court cases today, and the Petition’s changes would not alter that.</w:t>
      </w:r>
    </w:p>
    <w:p w14:paraId="16B3F14C" w14:textId="22A7A3C3" w:rsidR="002452F0" w:rsidRDefault="00EB5D3E" w:rsidP="00EB5D3E">
      <w:pPr>
        <w:pStyle w:val="MemoSignatureSub"/>
        <w:spacing w:line="480" w:lineRule="exact"/>
        <w:jc w:val="both"/>
        <w:rPr>
          <w:rFonts w:eastAsia="Times New Roman"/>
          <w:b/>
          <w:sz w:val="28"/>
          <w:szCs w:val="28"/>
        </w:rPr>
      </w:pPr>
      <w:r>
        <w:rPr>
          <w:rFonts w:eastAsia="Times New Roman"/>
          <w:b/>
          <w:sz w:val="28"/>
          <w:szCs w:val="28"/>
        </w:rPr>
        <w:t xml:space="preserve">II. </w:t>
      </w:r>
      <w:r w:rsidR="00D42D9D">
        <w:rPr>
          <w:rFonts w:eastAsia="Times New Roman"/>
          <w:b/>
          <w:sz w:val="28"/>
          <w:szCs w:val="28"/>
        </w:rPr>
        <w:t>THE COMM</w:t>
      </w:r>
      <w:r>
        <w:rPr>
          <w:rFonts w:eastAsia="Times New Roman"/>
          <w:b/>
          <w:sz w:val="28"/>
          <w:szCs w:val="28"/>
        </w:rPr>
        <w:t>ENTER’S PROPOSED AMENDMENTS SHOULD</w:t>
      </w:r>
      <w:r w:rsidR="005523CA">
        <w:rPr>
          <w:rFonts w:eastAsia="Times New Roman"/>
          <w:b/>
          <w:sz w:val="28"/>
          <w:szCs w:val="28"/>
        </w:rPr>
        <w:t xml:space="preserve"> INSTEAD</w:t>
      </w:r>
      <w:r>
        <w:rPr>
          <w:rFonts w:eastAsia="Times New Roman"/>
          <w:b/>
          <w:sz w:val="28"/>
          <w:szCs w:val="28"/>
        </w:rPr>
        <w:t xml:space="preserve"> BE REFERRED TO THE </w:t>
      </w:r>
      <w:r w:rsidR="00D42D9D">
        <w:rPr>
          <w:rFonts w:eastAsia="Times New Roman"/>
          <w:b/>
          <w:sz w:val="28"/>
          <w:szCs w:val="28"/>
        </w:rPr>
        <w:t>JUVENILE RULES TASK FORCE FOR CONSIDERATION.</w:t>
      </w:r>
    </w:p>
    <w:p w14:paraId="38112033" w14:textId="3D6B1FE1" w:rsidR="001C5F85" w:rsidRDefault="002452F0" w:rsidP="00480BD0">
      <w:pPr>
        <w:pStyle w:val="MemoSignatureSub"/>
        <w:tabs>
          <w:tab w:val="left" w:pos="0"/>
        </w:tabs>
        <w:spacing w:after="0" w:line="480" w:lineRule="auto"/>
        <w:ind w:left="0" w:firstLine="0"/>
        <w:jc w:val="both"/>
        <w:rPr>
          <w:sz w:val="28"/>
          <w:szCs w:val="28"/>
        </w:rPr>
      </w:pPr>
      <w:r w:rsidRPr="002452F0">
        <w:rPr>
          <w:rFonts w:eastAsia="Times New Roman"/>
          <w:sz w:val="28"/>
          <w:szCs w:val="28"/>
        </w:rPr>
        <w:tab/>
      </w:r>
      <w:r w:rsidR="009D2D76">
        <w:rPr>
          <w:sz w:val="28"/>
          <w:szCs w:val="28"/>
        </w:rPr>
        <w:t>The Commenter makes no reference to it, but this Court appointed a Task Force to restyle the Rules of Procedure for the Juvenile Court on July 1, 2019, and the Juvenile Rules Task Force filed its restyling petition on April 28, 2021, after having more than fifteen public meetings. The Comment does not reference the Juvenile Rules Task Force’s work</w:t>
      </w:r>
      <w:r w:rsidR="00044821">
        <w:rPr>
          <w:sz w:val="28"/>
          <w:szCs w:val="28"/>
        </w:rPr>
        <w:t>.</w:t>
      </w:r>
    </w:p>
    <w:p w14:paraId="07F7099A" w14:textId="4FDCF6CA" w:rsidR="009D2D76" w:rsidRDefault="009D2D76" w:rsidP="00480BD0">
      <w:pPr>
        <w:pStyle w:val="MemoSignatureSub"/>
        <w:tabs>
          <w:tab w:val="left" w:pos="0"/>
        </w:tabs>
        <w:spacing w:after="0" w:line="480" w:lineRule="auto"/>
        <w:ind w:left="0" w:firstLine="0"/>
        <w:jc w:val="both"/>
        <w:rPr>
          <w:rFonts w:eastAsia="Times New Roman"/>
          <w:sz w:val="28"/>
          <w:szCs w:val="28"/>
        </w:rPr>
      </w:pPr>
      <w:r>
        <w:rPr>
          <w:sz w:val="28"/>
          <w:szCs w:val="28"/>
        </w:rPr>
        <w:tab/>
      </w:r>
      <w:r w:rsidR="00044821">
        <w:rPr>
          <w:sz w:val="28"/>
          <w:szCs w:val="28"/>
        </w:rPr>
        <w:t>T</w:t>
      </w:r>
      <w:r>
        <w:rPr>
          <w:sz w:val="28"/>
          <w:szCs w:val="28"/>
        </w:rPr>
        <w:t>he Commenter</w:t>
      </w:r>
      <w:r w:rsidR="00CC01D2">
        <w:rPr>
          <w:sz w:val="28"/>
          <w:szCs w:val="28"/>
        </w:rPr>
        <w:t xml:space="preserve"> re</w:t>
      </w:r>
      <w:r w:rsidR="0041626D">
        <w:rPr>
          <w:sz w:val="28"/>
          <w:szCs w:val="28"/>
        </w:rPr>
        <w:t>quests that this Court deny the R-21-0021</w:t>
      </w:r>
      <w:r w:rsidR="00CC01D2">
        <w:rPr>
          <w:sz w:val="28"/>
          <w:szCs w:val="28"/>
        </w:rPr>
        <w:t xml:space="preserve"> Petition outright or</w:t>
      </w:r>
      <w:r>
        <w:rPr>
          <w:sz w:val="28"/>
          <w:szCs w:val="28"/>
        </w:rPr>
        <w:t xml:space="preserve"> proposes</w:t>
      </w:r>
      <w:r w:rsidR="00CC01D2">
        <w:rPr>
          <w:sz w:val="28"/>
          <w:szCs w:val="28"/>
        </w:rPr>
        <w:t xml:space="preserve"> as an </w:t>
      </w:r>
      <w:r w:rsidR="00B176BF">
        <w:rPr>
          <w:sz w:val="28"/>
          <w:szCs w:val="28"/>
        </w:rPr>
        <w:t>alternative somewhat lengthy additions</w:t>
      </w:r>
      <w:r>
        <w:rPr>
          <w:sz w:val="28"/>
          <w:szCs w:val="28"/>
        </w:rPr>
        <w:t xml:space="preserve"> to two </w:t>
      </w:r>
      <w:r w:rsidR="00485E1B">
        <w:rPr>
          <w:sz w:val="28"/>
          <w:szCs w:val="28"/>
        </w:rPr>
        <w:t>civil rules—</w:t>
      </w:r>
      <w:r w:rsidR="00CC01D2">
        <w:rPr>
          <w:sz w:val="28"/>
          <w:szCs w:val="28"/>
        </w:rPr>
        <w:t>additions that</w:t>
      </w:r>
      <w:r>
        <w:rPr>
          <w:sz w:val="28"/>
          <w:szCs w:val="28"/>
        </w:rPr>
        <w:t xml:space="preserve"> pertain</w:t>
      </w:r>
      <w:r w:rsidR="00CC01D2">
        <w:rPr>
          <w:sz w:val="28"/>
          <w:szCs w:val="28"/>
        </w:rPr>
        <w:t xml:space="preserve"> only</w:t>
      </w:r>
      <w:r w:rsidR="007B74E2">
        <w:rPr>
          <w:sz w:val="28"/>
          <w:szCs w:val="28"/>
        </w:rPr>
        <w:t xml:space="preserve"> to juvenile c</w:t>
      </w:r>
      <w:r>
        <w:rPr>
          <w:sz w:val="28"/>
          <w:szCs w:val="28"/>
        </w:rPr>
        <w:t>ourt matters. Respectf</w:t>
      </w:r>
      <w:r w:rsidR="00F15D4D">
        <w:rPr>
          <w:sz w:val="28"/>
          <w:szCs w:val="28"/>
        </w:rPr>
        <w:t>ully, any additions like that</w:t>
      </w:r>
      <w:r>
        <w:rPr>
          <w:sz w:val="28"/>
          <w:szCs w:val="28"/>
        </w:rPr>
        <w:t xml:space="preserve"> belong</w:t>
      </w:r>
      <w:r w:rsidR="00CC01D2">
        <w:rPr>
          <w:sz w:val="28"/>
          <w:szCs w:val="28"/>
        </w:rPr>
        <w:t xml:space="preserve"> in the Rules of Procedure for the Juvenile Court, if this Court deems them necessary. Given the work of the Juvenile Rules Task Force, particularly in its proposed Rules 329(b), (c)</w:t>
      </w:r>
      <w:r w:rsidR="00485E1B">
        <w:rPr>
          <w:sz w:val="28"/>
          <w:szCs w:val="28"/>
        </w:rPr>
        <w:t>, and (e) (on other methods of service, including references to the methods in Ariz. R. Civ. P. 4.1(</w:t>
      </w:r>
      <w:r w:rsidR="00485E1B">
        <w:rPr>
          <w:i/>
          <w:sz w:val="28"/>
          <w:szCs w:val="28"/>
        </w:rPr>
        <w:t>l</w:t>
      </w:r>
      <w:r w:rsidR="00485E1B">
        <w:rPr>
          <w:sz w:val="28"/>
          <w:szCs w:val="28"/>
        </w:rPr>
        <w:t>) and 4.2(f)</w:t>
      </w:r>
      <w:r w:rsidR="0041626D">
        <w:rPr>
          <w:sz w:val="28"/>
          <w:szCs w:val="28"/>
        </w:rPr>
        <w:t>)</w:t>
      </w:r>
      <w:r w:rsidR="00CC01D2">
        <w:rPr>
          <w:sz w:val="28"/>
          <w:szCs w:val="28"/>
        </w:rPr>
        <w:t>; 334(b)(2)</w:t>
      </w:r>
      <w:r w:rsidR="00431236">
        <w:rPr>
          <w:sz w:val="28"/>
          <w:szCs w:val="28"/>
        </w:rPr>
        <w:t xml:space="preserve"> (providing that the juvenile c</w:t>
      </w:r>
      <w:r w:rsidR="00485E1B">
        <w:rPr>
          <w:sz w:val="28"/>
          <w:szCs w:val="28"/>
        </w:rPr>
        <w:t>ourt may set an initial dependency hearing to allow time for complete publication service plus ten days)</w:t>
      </w:r>
      <w:r w:rsidR="00CC01D2">
        <w:rPr>
          <w:sz w:val="28"/>
          <w:szCs w:val="28"/>
        </w:rPr>
        <w:t>; and 349(d)(1)</w:t>
      </w:r>
      <w:r w:rsidR="00485E1B">
        <w:rPr>
          <w:sz w:val="28"/>
          <w:szCs w:val="28"/>
        </w:rPr>
        <w:t>(B)(</w:t>
      </w:r>
      <w:proofErr w:type="spellStart"/>
      <w:r w:rsidR="00485E1B">
        <w:rPr>
          <w:sz w:val="28"/>
          <w:szCs w:val="28"/>
        </w:rPr>
        <w:t>i</w:t>
      </w:r>
      <w:proofErr w:type="spellEnd"/>
      <w:r w:rsidR="00485E1B">
        <w:rPr>
          <w:sz w:val="28"/>
          <w:szCs w:val="28"/>
        </w:rPr>
        <w:t>)</w:t>
      </w:r>
      <w:r w:rsidR="000A0A1D">
        <w:rPr>
          <w:sz w:val="28"/>
          <w:szCs w:val="28"/>
        </w:rPr>
        <w:t xml:space="preserve"> (referencing Ariz. R. Civ. P. 4.1 and 4.2 regarding service of petitions to terminate parent-child relationships)</w:t>
      </w:r>
      <w:r w:rsidR="00CC01D2">
        <w:rPr>
          <w:sz w:val="28"/>
          <w:szCs w:val="28"/>
        </w:rPr>
        <w:t>, the Commenter’s proposed additions may be superfluous.</w:t>
      </w:r>
      <w:r w:rsidR="000A0A1D">
        <w:rPr>
          <w:sz w:val="28"/>
          <w:szCs w:val="28"/>
        </w:rPr>
        <w:t xml:space="preserve"> But the State Bar believes that the Commenter, should it wish to do so, must raise its proposed additions to that Task Force, as the Juvenile rule set would be the appropriate location for them. The State Bar notes that the Commenter has until July 23, 2021, to so raise its proposals, per this Court’s Order of May 3, 2021, opening R-20-0044 for comment.</w:t>
      </w:r>
      <w:r w:rsidR="00CC01D2">
        <w:rPr>
          <w:sz w:val="28"/>
          <w:szCs w:val="28"/>
        </w:rPr>
        <w:t xml:space="preserve">   </w:t>
      </w:r>
    </w:p>
    <w:p w14:paraId="1D6B6A97" w14:textId="1EA6EE0C" w:rsidR="000F7A7F" w:rsidRPr="002452F0" w:rsidRDefault="001C5F85" w:rsidP="00480BD0">
      <w:pPr>
        <w:pStyle w:val="MemoSignatureSub"/>
        <w:tabs>
          <w:tab w:val="left" w:pos="0"/>
        </w:tabs>
        <w:spacing w:after="0" w:line="480" w:lineRule="auto"/>
        <w:ind w:left="0" w:firstLine="0"/>
        <w:jc w:val="both"/>
        <w:rPr>
          <w:rFonts w:eastAsia="Times New Roman"/>
          <w:sz w:val="28"/>
          <w:szCs w:val="28"/>
        </w:rPr>
      </w:pPr>
      <w:r>
        <w:rPr>
          <w:rFonts w:eastAsia="Times New Roman"/>
          <w:sz w:val="28"/>
          <w:szCs w:val="28"/>
        </w:rPr>
        <w:tab/>
      </w:r>
      <w:r w:rsidR="002452F0" w:rsidRPr="002452F0">
        <w:rPr>
          <w:rFonts w:eastAsia="Times New Roman"/>
          <w:sz w:val="28"/>
          <w:szCs w:val="28"/>
        </w:rPr>
        <w:t>For</w:t>
      </w:r>
      <w:r w:rsidR="000A0A1D">
        <w:rPr>
          <w:rFonts w:eastAsia="Times New Roman"/>
          <w:sz w:val="28"/>
          <w:szCs w:val="28"/>
        </w:rPr>
        <w:t xml:space="preserve"> all of</w:t>
      </w:r>
      <w:r w:rsidR="002452F0" w:rsidRPr="002452F0">
        <w:rPr>
          <w:rFonts w:eastAsia="Times New Roman"/>
          <w:sz w:val="28"/>
          <w:szCs w:val="28"/>
        </w:rPr>
        <w:t xml:space="preserve"> the foregoing reasons, the State Bar respectfully </w:t>
      </w:r>
      <w:r w:rsidR="009D2D76">
        <w:rPr>
          <w:rFonts w:eastAsia="Times New Roman"/>
          <w:sz w:val="28"/>
          <w:szCs w:val="28"/>
        </w:rPr>
        <w:t>requests that this Petition’s proposed changes be adopted without mod</w:t>
      </w:r>
      <w:r w:rsidR="000A0A1D">
        <w:rPr>
          <w:rFonts w:eastAsia="Times New Roman"/>
          <w:sz w:val="28"/>
          <w:szCs w:val="28"/>
        </w:rPr>
        <w:t>ification and that DCS</w:t>
      </w:r>
      <w:r w:rsidR="009D2D76">
        <w:rPr>
          <w:rFonts w:eastAsia="Times New Roman"/>
          <w:sz w:val="28"/>
          <w:szCs w:val="28"/>
        </w:rPr>
        <w:t xml:space="preserve"> be referred to the Juvenile Rules Task Force for any further relief sought.</w:t>
      </w:r>
      <w:r w:rsidR="002452F0" w:rsidRPr="002452F0">
        <w:rPr>
          <w:rFonts w:eastAsia="Times New Roman"/>
          <w:sz w:val="28"/>
          <w:szCs w:val="28"/>
        </w:rPr>
        <w:t xml:space="preserve"> </w:t>
      </w:r>
    </w:p>
    <w:p w14:paraId="3CE4EDDC" w14:textId="5A88E19B" w:rsidR="000C48A9" w:rsidRPr="002452F0" w:rsidRDefault="006F63FD" w:rsidP="000C48A9">
      <w:pPr>
        <w:pStyle w:val="Body"/>
        <w:widowControl w:val="0"/>
        <w:tabs>
          <w:tab w:val="left" w:pos="720"/>
        </w:tabs>
        <w:ind w:firstLine="0"/>
        <w:rPr>
          <w:sz w:val="28"/>
          <w:szCs w:val="28"/>
        </w:rPr>
      </w:pPr>
      <w:r w:rsidRPr="002452F0">
        <w:rPr>
          <w:sz w:val="28"/>
          <w:szCs w:val="28"/>
        </w:rPr>
        <w:t xml:space="preserve">       </w:t>
      </w:r>
      <w:r w:rsidR="00B176BF">
        <w:rPr>
          <w:sz w:val="28"/>
          <w:szCs w:val="28"/>
        </w:rPr>
        <w:tab/>
      </w:r>
      <w:r w:rsidR="00B176BF">
        <w:rPr>
          <w:sz w:val="28"/>
          <w:szCs w:val="28"/>
        </w:rPr>
        <w:tab/>
      </w:r>
      <w:r w:rsidR="00B176BF">
        <w:rPr>
          <w:sz w:val="28"/>
          <w:szCs w:val="28"/>
        </w:rPr>
        <w:tab/>
      </w:r>
      <w:r w:rsidR="000C48A9" w:rsidRPr="002452F0">
        <w:rPr>
          <w:sz w:val="28"/>
          <w:szCs w:val="28"/>
        </w:rPr>
        <w:t xml:space="preserve">RESPECTFULLY SUBMITTED this </w:t>
      </w:r>
      <w:r w:rsidR="001C5F85">
        <w:rPr>
          <w:sz w:val="28"/>
          <w:szCs w:val="28"/>
        </w:rPr>
        <w:t>__</w:t>
      </w:r>
      <w:r w:rsidR="00C56683">
        <w:rPr>
          <w:sz w:val="28"/>
          <w:szCs w:val="28"/>
        </w:rPr>
        <w:t xml:space="preserve"> </w:t>
      </w:r>
      <w:r w:rsidR="000C48A9" w:rsidRPr="002452F0">
        <w:rPr>
          <w:sz w:val="28"/>
          <w:szCs w:val="28"/>
        </w:rPr>
        <w:t>day of</w:t>
      </w:r>
      <w:r w:rsidR="00C64CD0">
        <w:rPr>
          <w:sz w:val="28"/>
          <w:szCs w:val="28"/>
        </w:rPr>
        <w:t xml:space="preserve"> </w:t>
      </w:r>
      <w:proofErr w:type="gramStart"/>
      <w:r w:rsidR="001C5F85">
        <w:rPr>
          <w:sz w:val="28"/>
          <w:szCs w:val="28"/>
        </w:rPr>
        <w:t>May,</w:t>
      </w:r>
      <w:proofErr w:type="gramEnd"/>
      <w:r w:rsidR="00D60D9B" w:rsidRPr="002452F0">
        <w:rPr>
          <w:sz w:val="28"/>
          <w:szCs w:val="28"/>
        </w:rPr>
        <w:t xml:space="preserve"> 20</w:t>
      </w:r>
      <w:r w:rsidR="005845AE" w:rsidRPr="002452F0">
        <w:rPr>
          <w:sz w:val="28"/>
          <w:szCs w:val="28"/>
        </w:rPr>
        <w:t>2</w:t>
      </w:r>
      <w:r w:rsidR="00BB0263" w:rsidRPr="002452F0">
        <w:rPr>
          <w:sz w:val="28"/>
          <w:szCs w:val="28"/>
        </w:rPr>
        <w:t>1</w:t>
      </w:r>
      <w:r w:rsidR="000C48A9" w:rsidRPr="002452F0">
        <w:rPr>
          <w:sz w:val="28"/>
          <w:szCs w:val="28"/>
        </w:rPr>
        <w:t>.</w:t>
      </w:r>
    </w:p>
    <w:p w14:paraId="3585E3F2" w14:textId="77777777" w:rsidR="000C48A9" w:rsidRPr="002452F0" w:rsidRDefault="000C48A9" w:rsidP="000C48A9">
      <w:pPr>
        <w:pStyle w:val="Body"/>
        <w:widowControl w:val="0"/>
        <w:tabs>
          <w:tab w:val="left" w:pos="720"/>
        </w:tabs>
        <w:ind w:firstLine="0"/>
        <w:rPr>
          <w:sz w:val="28"/>
          <w:szCs w:val="28"/>
        </w:rPr>
      </w:pPr>
    </w:p>
    <w:p w14:paraId="6C867847" w14:textId="755A8650" w:rsidR="000C48A9" w:rsidRPr="002452F0" w:rsidRDefault="00C56683" w:rsidP="000C48A9">
      <w:pPr>
        <w:pStyle w:val="Body"/>
        <w:widowControl w:val="0"/>
        <w:tabs>
          <w:tab w:val="left" w:pos="720"/>
        </w:tabs>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7DC132ED" w14:textId="77777777" w:rsidR="000C48A9" w:rsidRPr="002452F0" w:rsidRDefault="00F850BE" w:rsidP="000C48A9">
      <w:pPr>
        <w:pStyle w:val="PleadingSignature"/>
        <w:keepNext w:val="0"/>
        <w:keepLines w:val="0"/>
        <w:pBdr>
          <w:top w:val="single" w:sz="4" w:space="1" w:color="auto"/>
        </w:pBdr>
        <w:spacing w:line="240" w:lineRule="auto"/>
        <w:ind w:left="5070"/>
        <w:rPr>
          <w:sz w:val="28"/>
          <w:szCs w:val="28"/>
        </w:rPr>
      </w:pPr>
      <w:r w:rsidRPr="002452F0">
        <w:rPr>
          <w:sz w:val="28"/>
          <w:szCs w:val="28"/>
        </w:rPr>
        <w:t>Lisa M. Panahi</w:t>
      </w:r>
    </w:p>
    <w:p w14:paraId="77CBA71B" w14:textId="77777777" w:rsidR="000C48A9" w:rsidRPr="002452F0" w:rsidRDefault="000C48A9" w:rsidP="000C48A9">
      <w:pPr>
        <w:pStyle w:val="PleadingSignature"/>
        <w:keepNext w:val="0"/>
        <w:keepLines w:val="0"/>
        <w:spacing w:line="240" w:lineRule="auto"/>
        <w:ind w:left="5070"/>
        <w:rPr>
          <w:sz w:val="28"/>
          <w:szCs w:val="28"/>
        </w:rPr>
      </w:pPr>
      <w:r w:rsidRPr="002452F0">
        <w:rPr>
          <w:sz w:val="28"/>
          <w:szCs w:val="28"/>
        </w:rPr>
        <w:t>General Counsel</w:t>
      </w:r>
    </w:p>
    <w:p w14:paraId="5AD69E22" w14:textId="77777777" w:rsidR="000C48A9" w:rsidRPr="002452F0" w:rsidRDefault="000C48A9" w:rsidP="000C48A9">
      <w:pPr>
        <w:pStyle w:val="PleadingSignature"/>
        <w:keepNext w:val="0"/>
        <w:keepLines w:val="0"/>
        <w:spacing w:line="240" w:lineRule="auto"/>
        <w:ind w:left="5070"/>
        <w:rPr>
          <w:sz w:val="28"/>
          <w:szCs w:val="28"/>
        </w:rPr>
      </w:pPr>
    </w:p>
    <w:p w14:paraId="767D6AC5" w14:textId="77777777" w:rsidR="000C48A9" w:rsidRPr="002452F0" w:rsidRDefault="000C48A9" w:rsidP="000C48A9">
      <w:pPr>
        <w:pStyle w:val="PleadingSignature"/>
        <w:keepNext w:val="0"/>
        <w:keepLines w:val="0"/>
        <w:spacing w:line="240" w:lineRule="auto"/>
        <w:ind w:left="5070"/>
        <w:rPr>
          <w:sz w:val="28"/>
          <w:szCs w:val="28"/>
        </w:rPr>
      </w:pPr>
    </w:p>
    <w:p w14:paraId="44760166" w14:textId="77777777" w:rsidR="00C52E56" w:rsidRPr="002452F0" w:rsidRDefault="00C52E56" w:rsidP="004331B2">
      <w:pPr>
        <w:widowControl w:val="0"/>
        <w:spacing w:line="240" w:lineRule="auto"/>
        <w:ind w:right="4140"/>
        <w:rPr>
          <w:sz w:val="28"/>
          <w:szCs w:val="28"/>
        </w:rPr>
      </w:pPr>
    </w:p>
    <w:p w14:paraId="7E208D61" w14:textId="77777777" w:rsidR="00C52E56" w:rsidRPr="002452F0" w:rsidRDefault="00C52E56" w:rsidP="004331B2">
      <w:pPr>
        <w:widowControl w:val="0"/>
        <w:spacing w:line="240" w:lineRule="auto"/>
        <w:ind w:right="4140"/>
        <w:rPr>
          <w:sz w:val="28"/>
          <w:szCs w:val="28"/>
        </w:rPr>
      </w:pPr>
    </w:p>
    <w:p w14:paraId="41DCAE96" w14:textId="77777777" w:rsidR="000C48A9" w:rsidRPr="002452F0" w:rsidRDefault="000C48A9" w:rsidP="004331B2">
      <w:pPr>
        <w:widowControl w:val="0"/>
        <w:spacing w:line="240" w:lineRule="auto"/>
        <w:ind w:right="4140"/>
        <w:rPr>
          <w:sz w:val="28"/>
          <w:szCs w:val="28"/>
        </w:rPr>
      </w:pPr>
      <w:r w:rsidRPr="002452F0">
        <w:rPr>
          <w:sz w:val="28"/>
          <w:szCs w:val="28"/>
        </w:rPr>
        <w:t>Electronic copy filed with the</w:t>
      </w:r>
    </w:p>
    <w:p w14:paraId="4A227D25" w14:textId="77777777" w:rsidR="000C48A9" w:rsidRPr="002452F0" w:rsidRDefault="000C48A9" w:rsidP="004331B2">
      <w:pPr>
        <w:spacing w:line="240" w:lineRule="auto"/>
        <w:ind w:right="4140"/>
        <w:rPr>
          <w:sz w:val="28"/>
          <w:szCs w:val="28"/>
        </w:rPr>
      </w:pPr>
      <w:r w:rsidRPr="002452F0">
        <w:rPr>
          <w:sz w:val="28"/>
          <w:szCs w:val="28"/>
        </w:rPr>
        <w:t xml:space="preserve">Clerk of the </w:t>
      </w:r>
      <w:r w:rsidR="00692391" w:rsidRPr="002452F0">
        <w:rPr>
          <w:sz w:val="28"/>
          <w:szCs w:val="28"/>
        </w:rPr>
        <w:t>Supreme Court of Arizona</w:t>
      </w:r>
    </w:p>
    <w:p w14:paraId="2827C750" w14:textId="5E782C16" w:rsidR="000C48A9" w:rsidRPr="002452F0" w:rsidRDefault="000C48A9" w:rsidP="00C52E56">
      <w:pPr>
        <w:tabs>
          <w:tab w:val="left" w:pos="4836"/>
        </w:tabs>
        <w:spacing w:line="240" w:lineRule="auto"/>
        <w:ind w:right="3870"/>
        <w:rPr>
          <w:sz w:val="28"/>
          <w:szCs w:val="28"/>
        </w:rPr>
      </w:pPr>
      <w:r w:rsidRPr="002452F0">
        <w:rPr>
          <w:sz w:val="28"/>
          <w:szCs w:val="28"/>
        </w:rPr>
        <w:t>t</w:t>
      </w:r>
      <w:r w:rsidR="000F7A7F" w:rsidRPr="002452F0">
        <w:rPr>
          <w:sz w:val="28"/>
          <w:szCs w:val="28"/>
        </w:rPr>
        <w:t xml:space="preserve">his </w:t>
      </w:r>
      <w:r w:rsidR="001C5F85">
        <w:rPr>
          <w:sz w:val="28"/>
          <w:szCs w:val="28"/>
        </w:rPr>
        <w:t>_</w:t>
      </w:r>
      <w:r w:rsidR="00B176BF">
        <w:rPr>
          <w:sz w:val="28"/>
          <w:szCs w:val="28"/>
        </w:rPr>
        <w:t xml:space="preserve">_ </w:t>
      </w:r>
      <w:r w:rsidR="00B176BF" w:rsidRPr="002452F0">
        <w:rPr>
          <w:sz w:val="28"/>
          <w:szCs w:val="28"/>
        </w:rPr>
        <w:t>day</w:t>
      </w:r>
      <w:r w:rsidR="000F7A7F" w:rsidRPr="002452F0">
        <w:rPr>
          <w:sz w:val="28"/>
          <w:szCs w:val="28"/>
        </w:rPr>
        <w:t xml:space="preserve"> </w:t>
      </w:r>
      <w:r w:rsidR="000F3A17" w:rsidRPr="002452F0">
        <w:rPr>
          <w:sz w:val="28"/>
          <w:szCs w:val="28"/>
        </w:rPr>
        <w:t xml:space="preserve">of </w:t>
      </w:r>
      <w:proofErr w:type="gramStart"/>
      <w:r w:rsidR="000F3A17">
        <w:rPr>
          <w:sz w:val="28"/>
          <w:szCs w:val="28"/>
        </w:rPr>
        <w:t>May</w:t>
      </w:r>
      <w:r w:rsidR="006F63FD" w:rsidRPr="002452F0">
        <w:rPr>
          <w:sz w:val="28"/>
          <w:szCs w:val="28"/>
        </w:rPr>
        <w:t>,</w:t>
      </w:r>
      <w:proofErr w:type="gramEnd"/>
      <w:r w:rsidR="006F63FD" w:rsidRPr="002452F0">
        <w:rPr>
          <w:sz w:val="28"/>
          <w:szCs w:val="28"/>
        </w:rPr>
        <w:t xml:space="preserve"> </w:t>
      </w:r>
      <w:r w:rsidR="00D60D9B" w:rsidRPr="002452F0">
        <w:rPr>
          <w:sz w:val="28"/>
          <w:szCs w:val="28"/>
        </w:rPr>
        <w:t>20</w:t>
      </w:r>
      <w:r w:rsidR="005845AE" w:rsidRPr="002452F0">
        <w:rPr>
          <w:sz w:val="28"/>
          <w:szCs w:val="28"/>
        </w:rPr>
        <w:t>2</w:t>
      </w:r>
      <w:r w:rsidR="00BB0263" w:rsidRPr="002452F0">
        <w:rPr>
          <w:sz w:val="28"/>
          <w:szCs w:val="28"/>
        </w:rPr>
        <w:t>1</w:t>
      </w:r>
      <w:r w:rsidR="000F7A7F" w:rsidRPr="002452F0">
        <w:rPr>
          <w:sz w:val="28"/>
          <w:szCs w:val="28"/>
        </w:rPr>
        <w:t>.</w:t>
      </w:r>
    </w:p>
    <w:p w14:paraId="19161DDC" w14:textId="77777777" w:rsidR="000F7A7F" w:rsidRPr="002452F0" w:rsidRDefault="000F7A7F" w:rsidP="000C48A9">
      <w:pPr>
        <w:spacing w:line="240" w:lineRule="auto"/>
        <w:ind w:right="4572"/>
        <w:rPr>
          <w:sz w:val="28"/>
          <w:szCs w:val="28"/>
        </w:rPr>
      </w:pPr>
    </w:p>
    <w:p w14:paraId="45E6AB20" w14:textId="53998F2E" w:rsidR="00052372" w:rsidRPr="002452F0" w:rsidRDefault="000C48A9" w:rsidP="002452F0">
      <w:pPr>
        <w:spacing w:line="240" w:lineRule="auto"/>
        <w:ind w:right="4572"/>
        <w:rPr>
          <w:sz w:val="28"/>
          <w:szCs w:val="28"/>
        </w:rPr>
      </w:pPr>
      <w:r w:rsidRPr="002452F0">
        <w:rPr>
          <w:sz w:val="28"/>
          <w:szCs w:val="28"/>
        </w:rPr>
        <w:t xml:space="preserve">by: </w:t>
      </w:r>
      <w:r w:rsidR="00B176BF">
        <w:rPr>
          <w:sz w:val="28"/>
          <w:szCs w:val="28"/>
          <w:u w:val="single"/>
        </w:rPr>
        <w:tab/>
      </w:r>
      <w:r w:rsidR="00B176BF">
        <w:rPr>
          <w:sz w:val="28"/>
          <w:szCs w:val="28"/>
          <w:u w:val="single"/>
        </w:rPr>
        <w:tab/>
      </w:r>
      <w:r w:rsidR="00B176BF">
        <w:rPr>
          <w:sz w:val="28"/>
          <w:szCs w:val="28"/>
          <w:u w:val="single"/>
        </w:rPr>
        <w:tab/>
      </w:r>
      <w:r w:rsidR="00B176BF">
        <w:rPr>
          <w:sz w:val="28"/>
          <w:szCs w:val="28"/>
          <w:u w:val="single"/>
        </w:rPr>
        <w:tab/>
      </w:r>
      <w:r w:rsidR="00C56683" w:rsidRPr="00C56683">
        <w:rPr>
          <w:sz w:val="28"/>
          <w:szCs w:val="28"/>
          <w:u w:val="single"/>
        </w:rPr>
        <w:t xml:space="preserve"> </w:t>
      </w:r>
      <w:r w:rsidR="00C56683">
        <w:rPr>
          <w:sz w:val="28"/>
          <w:szCs w:val="28"/>
          <w:u w:val="single"/>
        </w:rPr>
        <w:tab/>
      </w:r>
      <w:r w:rsidRPr="002452F0">
        <w:rPr>
          <w:sz w:val="28"/>
          <w:szCs w:val="28"/>
        </w:rPr>
        <w:t xml:space="preserve"> </w:t>
      </w:r>
      <w:bookmarkStart w:id="0" w:name="_GoBack"/>
      <w:bookmarkEnd w:id="0"/>
    </w:p>
    <w:sectPr w:rsidR="00052372" w:rsidRPr="002452F0" w:rsidSect="006F63FD">
      <w:headerReference w:type="default" r:id="rId7"/>
      <w:footerReference w:type="even" r:id="rId8"/>
      <w:footerReference w:type="default" r:id="rId9"/>
      <w:footerReference w:type="firs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7CCBC" w14:textId="77777777" w:rsidR="009C76EE" w:rsidRDefault="009C76EE">
      <w:r>
        <w:separator/>
      </w:r>
    </w:p>
  </w:endnote>
  <w:endnote w:type="continuationSeparator" w:id="0">
    <w:p w14:paraId="4A0259C7" w14:textId="77777777" w:rsidR="009C76EE" w:rsidRDefault="009C7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18C2" w14:textId="77777777" w:rsidR="00BB02CA" w:rsidRDefault="00BB02CA" w:rsidP="006223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78F56" w14:textId="77777777" w:rsidR="00BB02CA" w:rsidRDefault="00BB02CA" w:rsidP="00622385">
    <w:pPr>
      <w:pStyle w:val="Footer"/>
      <w:ind w:right="360"/>
    </w:pPr>
  </w:p>
  <w:p w14:paraId="33E2AD4F" w14:textId="77777777" w:rsidR="00BB02CA" w:rsidRDefault="00BB02CA">
    <w:pPr>
      <w:pStyle w:val="DocID"/>
    </w:pPr>
    <w:r>
      <w:rPr>
        <w:noProof/>
      </w:rPr>
      <w:t>CORE/9990000.5174/166743564.1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14:paraId="507152EC" w14:textId="76393E12" w:rsidR="00BB02CA" w:rsidRPr="006B4F9A" w:rsidRDefault="00BB02CA" w:rsidP="006D70BE">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8C3DBB">
          <w:rPr>
            <w:noProof/>
            <w:sz w:val="26"/>
            <w:szCs w:val="26"/>
          </w:rPr>
          <w:t>1</w:t>
        </w:r>
        <w:r w:rsidRPr="006B4F9A">
          <w:rPr>
            <w:noProof/>
            <w:sz w:val="26"/>
            <w:szCs w:val="26"/>
          </w:rPr>
          <w:fldChar w:fldCharType="end"/>
        </w:r>
      </w:p>
    </w:sdtContent>
  </w:sdt>
  <w:p w14:paraId="2687113C" w14:textId="33696EA7" w:rsidR="00BB02CA" w:rsidRDefault="00BB02CA">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39AF2" w14:textId="77777777" w:rsidR="00BB02CA" w:rsidRDefault="00BB02CA">
    <w:pPr>
      <w:pStyle w:val="DocID"/>
    </w:pPr>
    <w:r>
      <w:rPr>
        <w:noProof/>
      </w:rPr>
      <w:t>CORE/9990000.5174/166743564.1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4A454E" w14:textId="77777777" w:rsidR="009C76EE" w:rsidRDefault="009C76EE">
      <w:r>
        <w:separator/>
      </w:r>
    </w:p>
  </w:footnote>
  <w:footnote w:type="continuationSeparator" w:id="0">
    <w:p w14:paraId="7005F2AD" w14:textId="77777777" w:rsidR="009C76EE" w:rsidRDefault="009C76EE">
      <w:r>
        <w:continuationSeparator/>
      </w:r>
    </w:p>
  </w:footnote>
  <w:footnote w:id="1">
    <w:p w14:paraId="277A87A0" w14:textId="30A870A9" w:rsidR="008D35C6" w:rsidRPr="00E647FC" w:rsidRDefault="008D35C6" w:rsidP="00B176BF">
      <w:pPr>
        <w:pStyle w:val="FootnoteText"/>
        <w:spacing w:after="120"/>
        <w:jc w:val="both"/>
        <w:rPr>
          <w:sz w:val="28"/>
          <w:szCs w:val="28"/>
        </w:rPr>
      </w:pPr>
      <w:r w:rsidRPr="00E647FC">
        <w:rPr>
          <w:rStyle w:val="FootnoteReference"/>
          <w:sz w:val="28"/>
          <w:szCs w:val="28"/>
        </w:rPr>
        <w:footnoteRef/>
      </w:r>
      <w:r w:rsidRPr="00E647FC">
        <w:rPr>
          <w:sz w:val="28"/>
          <w:szCs w:val="28"/>
        </w:rPr>
        <w:t xml:space="preserve"> Conversely, if the affidavit is not subm</w:t>
      </w:r>
      <w:r w:rsidR="00E647FC" w:rsidRPr="00E647FC">
        <w:rPr>
          <w:sz w:val="28"/>
          <w:szCs w:val="28"/>
        </w:rPr>
        <w:t xml:space="preserve">itted, the juvenile court will not make a finding that service by publication is proper and complete. Instead, the motion to serve by publication would be denied due to defective or missing affidavit of diligent search and unknown residence, and the serving party would need to re-urge the motion with a corrected affidavit or find another permissible method of service that comports with due process. </w:t>
      </w:r>
    </w:p>
  </w:footnote>
  <w:footnote w:id="2">
    <w:p w14:paraId="261E894F" w14:textId="434C3692" w:rsidR="00FA0D0B" w:rsidRPr="00E647FC" w:rsidRDefault="00FA0D0B" w:rsidP="00B176BF">
      <w:pPr>
        <w:pStyle w:val="FootnoteText"/>
        <w:spacing w:after="120"/>
        <w:jc w:val="both"/>
        <w:rPr>
          <w:sz w:val="28"/>
          <w:szCs w:val="28"/>
        </w:rPr>
      </w:pPr>
      <w:r w:rsidRPr="00E647FC">
        <w:rPr>
          <w:rStyle w:val="FootnoteReference"/>
          <w:sz w:val="28"/>
          <w:szCs w:val="28"/>
        </w:rPr>
        <w:footnoteRef/>
      </w:r>
      <w:r w:rsidRPr="00E647FC">
        <w:rPr>
          <w:sz w:val="28"/>
          <w:szCs w:val="28"/>
        </w:rPr>
        <w:t xml:space="preserve"> The State Bar notes that the motion to set a publication hearing must be made in advance of DCS, or any other serving party, actually initiating service by publication, as otherwise the serving party would not have a hearing date</w:t>
      </w:r>
      <w:r w:rsidR="005D205B">
        <w:rPr>
          <w:sz w:val="28"/>
          <w:szCs w:val="28"/>
        </w:rPr>
        <w:t xml:space="preserve"> and time</w:t>
      </w:r>
      <w:r w:rsidRPr="00E647FC">
        <w:rPr>
          <w:sz w:val="28"/>
          <w:szCs w:val="28"/>
        </w:rPr>
        <w:t xml:space="preserve"> to place in the publication notice.</w:t>
      </w:r>
      <w:r w:rsidR="0024304B" w:rsidRPr="00E647FC">
        <w:rPr>
          <w:sz w:val="28"/>
          <w:szCs w:val="28"/>
        </w:rPr>
        <w:t xml:space="preserve"> </w:t>
      </w:r>
      <w:r w:rsidR="0024304B" w:rsidRPr="00E647FC">
        <w:rPr>
          <w:i/>
          <w:sz w:val="28"/>
          <w:szCs w:val="28"/>
        </w:rPr>
        <w:t>See</w:t>
      </w:r>
      <w:r w:rsidR="0024304B" w:rsidRPr="00E647FC">
        <w:rPr>
          <w:sz w:val="28"/>
          <w:szCs w:val="28"/>
        </w:rPr>
        <w:t xml:space="preserve"> Ariz. R.P. Juv. Ct. 48(E)(4); </w:t>
      </w:r>
      <w:r w:rsidR="0024304B" w:rsidRPr="00E647FC">
        <w:rPr>
          <w:i/>
          <w:sz w:val="28"/>
          <w:szCs w:val="28"/>
        </w:rPr>
        <w:t>see also</w:t>
      </w:r>
      <w:r w:rsidR="0024304B" w:rsidRPr="00E647FC">
        <w:rPr>
          <w:sz w:val="28"/>
          <w:szCs w:val="28"/>
        </w:rPr>
        <w:t xml:space="preserve"> Juvenile Rules Task Force proposed Rule 329(b)(3) (</w:t>
      </w:r>
      <w:r w:rsidR="0024304B" w:rsidRPr="00E647FC">
        <w:rPr>
          <w:i/>
          <w:sz w:val="28"/>
          <w:szCs w:val="28"/>
        </w:rPr>
        <w:t>available at</w:t>
      </w:r>
      <w:r w:rsidR="0024304B" w:rsidRPr="00E647FC">
        <w:rPr>
          <w:sz w:val="28"/>
          <w:szCs w:val="28"/>
        </w:rPr>
        <w:t xml:space="preserve"> </w:t>
      </w:r>
      <w:hyperlink r:id="rId1" w:history="1">
        <w:r w:rsidR="0024304B" w:rsidRPr="00E647FC">
          <w:rPr>
            <w:rStyle w:val="Hyperlink"/>
            <w:sz w:val="28"/>
            <w:szCs w:val="28"/>
          </w:rPr>
          <w:t>R-20-0044 Arizona Rules of Procedure for the Juvenile Court - (azcourts.gov)</w:t>
        </w:r>
      </w:hyperlink>
      <w:r w:rsidR="0024304B" w:rsidRPr="00E647FC">
        <w:rPr>
          <w:sz w:val="28"/>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4CB89"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137F9DA2" wp14:editId="21CEFBC3">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4F0C8"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1C9D2C40" wp14:editId="54B766DE">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1F8EE"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1AF247C4" wp14:editId="5BB7DA02">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8756C"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C113E5B" w14:textId="77777777" w:rsidR="007D5C49" w:rsidRDefault="00000C35">
    <w:r>
      <w:rPr>
        <w:noProof/>
      </w:rPr>
      <mc:AlternateContent>
        <mc:Choice Requires="wps">
          <w:drawing>
            <wp:anchor distT="0" distB="0" distL="114300" distR="114300" simplePos="0" relativeHeight="251659264" behindDoc="0" locked="0" layoutInCell="1" allowOverlap="1" wp14:anchorId="37335438" wp14:editId="4732CBD9">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7335438"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02C32611" w14:textId="77777777" w:rsidR="007870CB" w:rsidRPr="00000C35" w:rsidRDefault="007870CB">
                    <w:pPr>
                      <w:jc w:val="right"/>
                      <w:rPr>
                        <w:sz w:val="28"/>
                        <w:szCs w:val="28"/>
                      </w:rPr>
                    </w:pPr>
                    <w:r w:rsidRPr="00000C35">
                      <w:rPr>
                        <w:sz w:val="28"/>
                        <w:szCs w:val="28"/>
                      </w:rPr>
                      <w:t>1</w:t>
                    </w:r>
                  </w:p>
                  <w:p w14:paraId="139812AD" w14:textId="77777777" w:rsidR="007870CB" w:rsidRPr="00000C35" w:rsidRDefault="007870CB">
                    <w:pPr>
                      <w:jc w:val="right"/>
                      <w:rPr>
                        <w:sz w:val="28"/>
                        <w:szCs w:val="28"/>
                      </w:rPr>
                    </w:pPr>
                    <w:r w:rsidRPr="00000C35">
                      <w:rPr>
                        <w:sz w:val="28"/>
                        <w:szCs w:val="28"/>
                      </w:rPr>
                      <w:t>2</w:t>
                    </w:r>
                  </w:p>
                  <w:p w14:paraId="4C1128AD" w14:textId="77777777" w:rsidR="007870CB" w:rsidRPr="00000C35" w:rsidRDefault="007870CB">
                    <w:pPr>
                      <w:jc w:val="right"/>
                      <w:rPr>
                        <w:sz w:val="28"/>
                        <w:szCs w:val="28"/>
                      </w:rPr>
                    </w:pPr>
                    <w:r w:rsidRPr="00000C35">
                      <w:rPr>
                        <w:sz w:val="28"/>
                        <w:szCs w:val="28"/>
                      </w:rPr>
                      <w:t>3</w:t>
                    </w:r>
                  </w:p>
                  <w:p w14:paraId="49525DAC" w14:textId="77777777" w:rsidR="007870CB" w:rsidRPr="00000C35" w:rsidRDefault="007870CB">
                    <w:pPr>
                      <w:jc w:val="right"/>
                      <w:rPr>
                        <w:sz w:val="28"/>
                        <w:szCs w:val="28"/>
                      </w:rPr>
                    </w:pPr>
                    <w:r w:rsidRPr="00000C35">
                      <w:rPr>
                        <w:sz w:val="28"/>
                        <w:szCs w:val="28"/>
                      </w:rPr>
                      <w:t>4</w:t>
                    </w:r>
                  </w:p>
                  <w:p w14:paraId="77E06DBE" w14:textId="77777777" w:rsidR="007870CB" w:rsidRPr="00000C35" w:rsidRDefault="007870CB">
                    <w:pPr>
                      <w:jc w:val="right"/>
                      <w:rPr>
                        <w:sz w:val="28"/>
                        <w:szCs w:val="28"/>
                      </w:rPr>
                    </w:pPr>
                    <w:r w:rsidRPr="00000C35">
                      <w:rPr>
                        <w:sz w:val="28"/>
                        <w:szCs w:val="28"/>
                      </w:rPr>
                      <w:t>5</w:t>
                    </w:r>
                  </w:p>
                  <w:p w14:paraId="77DEFF31" w14:textId="77777777" w:rsidR="007870CB" w:rsidRPr="00000C35" w:rsidRDefault="007870CB">
                    <w:pPr>
                      <w:jc w:val="right"/>
                      <w:rPr>
                        <w:sz w:val="28"/>
                        <w:szCs w:val="28"/>
                      </w:rPr>
                    </w:pPr>
                    <w:r w:rsidRPr="00000C35">
                      <w:rPr>
                        <w:sz w:val="28"/>
                        <w:szCs w:val="28"/>
                      </w:rPr>
                      <w:t>6</w:t>
                    </w:r>
                  </w:p>
                  <w:p w14:paraId="40F0EDAB" w14:textId="77777777" w:rsidR="007870CB" w:rsidRPr="00000C35" w:rsidRDefault="007870CB">
                    <w:pPr>
                      <w:jc w:val="right"/>
                      <w:rPr>
                        <w:sz w:val="28"/>
                        <w:szCs w:val="28"/>
                      </w:rPr>
                    </w:pPr>
                    <w:r w:rsidRPr="00000C35">
                      <w:rPr>
                        <w:sz w:val="28"/>
                        <w:szCs w:val="28"/>
                      </w:rPr>
                      <w:t>7</w:t>
                    </w:r>
                  </w:p>
                  <w:p w14:paraId="75DA7E21" w14:textId="77777777" w:rsidR="007870CB" w:rsidRPr="00000C35" w:rsidRDefault="007870CB">
                    <w:pPr>
                      <w:jc w:val="right"/>
                      <w:rPr>
                        <w:sz w:val="28"/>
                        <w:szCs w:val="28"/>
                      </w:rPr>
                    </w:pPr>
                    <w:r w:rsidRPr="00000C35">
                      <w:rPr>
                        <w:sz w:val="28"/>
                        <w:szCs w:val="28"/>
                      </w:rPr>
                      <w:t>8</w:t>
                    </w:r>
                  </w:p>
                  <w:p w14:paraId="5A259CFE" w14:textId="77777777" w:rsidR="007870CB" w:rsidRPr="00000C35" w:rsidRDefault="007870CB">
                    <w:pPr>
                      <w:jc w:val="right"/>
                      <w:rPr>
                        <w:sz w:val="28"/>
                        <w:szCs w:val="28"/>
                      </w:rPr>
                    </w:pPr>
                    <w:r w:rsidRPr="00000C35">
                      <w:rPr>
                        <w:sz w:val="28"/>
                        <w:szCs w:val="28"/>
                      </w:rPr>
                      <w:t>9</w:t>
                    </w:r>
                  </w:p>
                  <w:p w14:paraId="7004906A" w14:textId="77777777" w:rsidR="007870CB" w:rsidRPr="00000C35" w:rsidRDefault="007870CB">
                    <w:pPr>
                      <w:jc w:val="right"/>
                      <w:rPr>
                        <w:sz w:val="28"/>
                        <w:szCs w:val="28"/>
                      </w:rPr>
                    </w:pPr>
                    <w:r w:rsidRPr="00000C35">
                      <w:rPr>
                        <w:sz w:val="28"/>
                        <w:szCs w:val="28"/>
                      </w:rPr>
                      <w:t>10</w:t>
                    </w:r>
                  </w:p>
                  <w:p w14:paraId="7A253208" w14:textId="77777777" w:rsidR="007870CB" w:rsidRPr="00000C35" w:rsidRDefault="007870CB">
                    <w:pPr>
                      <w:jc w:val="right"/>
                      <w:rPr>
                        <w:sz w:val="28"/>
                        <w:szCs w:val="28"/>
                      </w:rPr>
                    </w:pPr>
                    <w:r w:rsidRPr="00000C35">
                      <w:rPr>
                        <w:sz w:val="28"/>
                        <w:szCs w:val="28"/>
                      </w:rPr>
                      <w:t>11</w:t>
                    </w:r>
                  </w:p>
                  <w:p w14:paraId="7FFD6319" w14:textId="77777777" w:rsidR="007870CB" w:rsidRPr="00000C35" w:rsidRDefault="007870CB">
                    <w:pPr>
                      <w:jc w:val="right"/>
                      <w:rPr>
                        <w:sz w:val="28"/>
                        <w:szCs w:val="28"/>
                      </w:rPr>
                    </w:pPr>
                    <w:r w:rsidRPr="00000C35">
                      <w:rPr>
                        <w:sz w:val="28"/>
                        <w:szCs w:val="28"/>
                      </w:rPr>
                      <w:t>12</w:t>
                    </w:r>
                  </w:p>
                  <w:p w14:paraId="36CFC293" w14:textId="77777777" w:rsidR="007870CB" w:rsidRPr="00000C35" w:rsidRDefault="007870CB">
                    <w:pPr>
                      <w:jc w:val="right"/>
                      <w:rPr>
                        <w:sz w:val="28"/>
                        <w:szCs w:val="28"/>
                      </w:rPr>
                    </w:pPr>
                    <w:r w:rsidRPr="00000C35">
                      <w:rPr>
                        <w:sz w:val="28"/>
                        <w:szCs w:val="28"/>
                      </w:rPr>
                      <w:t>13</w:t>
                    </w:r>
                  </w:p>
                  <w:p w14:paraId="5B684B0E" w14:textId="77777777" w:rsidR="007870CB" w:rsidRPr="00000C35" w:rsidRDefault="007870CB">
                    <w:pPr>
                      <w:jc w:val="right"/>
                      <w:rPr>
                        <w:sz w:val="28"/>
                        <w:szCs w:val="28"/>
                      </w:rPr>
                    </w:pPr>
                    <w:r w:rsidRPr="00000C35">
                      <w:rPr>
                        <w:sz w:val="28"/>
                        <w:szCs w:val="28"/>
                      </w:rPr>
                      <w:t>14</w:t>
                    </w:r>
                  </w:p>
                  <w:p w14:paraId="4B144721" w14:textId="77777777" w:rsidR="007870CB" w:rsidRPr="00000C35" w:rsidRDefault="007870CB">
                    <w:pPr>
                      <w:jc w:val="right"/>
                      <w:rPr>
                        <w:sz w:val="28"/>
                        <w:szCs w:val="28"/>
                      </w:rPr>
                    </w:pPr>
                    <w:r w:rsidRPr="00000C35">
                      <w:rPr>
                        <w:sz w:val="28"/>
                        <w:szCs w:val="28"/>
                      </w:rPr>
                      <w:t>15</w:t>
                    </w:r>
                  </w:p>
                  <w:p w14:paraId="63F99E2B" w14:textId="77777777" w:rsidR="007870CB" w:rsidRPr="00000C35" w:rsidRDefault="007870CB">
                    <w:pPr>
                      <w:jc w:val="right"/>
                      <w:rPr>
                        <w:sz w:val="28"/>
                        <w:szCs w:val="28"/>
                      </w:rPr>
                    </w:pPr>
                    <w:r w:rsidRPr="00000C35">
                      <w:rPr>
                        <w:sz w:val="28"/>
                        <w:szCs w:val="28"/>
                      </w:rPr>
                      <w:t>16</w:t>
                    </w:r>
                  </w:p>
                  <w:p w14:paraId="7A35C803" w14:textId="77777777" w:rsidR="007870CB" w:rsidRPr="00000C35" w:rsidRDefault="007870CB">
                    <w:pPr>
                      <w:jc w:val="right"/>
                      <w:rPr>
                        <w:sz w:val="28"/>
                        <w:szCs w:val="28"/>
                      </w:rPr>
                    </w:pPr>
                    <w:r w:rsidRPr="00000C35">
                      <w:rPr>
                        <w:sz w:val="28"/>
                        <w:szCs w:val="28"/>
                      </w:rPr>
                      <w:t>17</w:t>
                    </w:r>
                  </w:p>
                  <w:p w14:paraId="7C47069C" w14:textId="77777777" w:rsidR="007870CB" w:rsidRPr="00000C35" w:rsidRDefault="007870CB">
                    <w:pPr>
                      <w:jc w:val="right"/>
                      <w:rPr>
                        <w:sz w:val="28"/>
                        <w:szCs w:val="28"/>
                      </w:rPr>
                    </w:pPr>
                    <w:r w:rsidRPr="00000C35">
                      <w:rPr>
                        <w:sz w:val="28"/>
                        <w:szCs w:val="28"/>
                      </w:rPr>
                      <w:t>18</w:t>
                    </w:r>
                  </w:p>
                  <w:p w14:paraId="4BD581B0" w14:textId="77777777" w:rsidR="007870CB" w:rsidRPr="00000C35" w:rsidRDefault="007870CB">
                    <w:pPr>
                      <w:jc w:val="right"/>
                      <w:rPr>
                        <w:sz w:val="28"/>
                        <w:szCs w:val="28"/>
                      </w:rPr>
                    </w:pPr>
                    <w:r w:rsidRPr="00000C35">
                      <w:rPr>
                        <w:sz w:val="28"/>
                        <w:szCs w:val="28"/>
                      </w:rPr>
                      <w:t>19</w:t>
                    </w:r>
                  </w:p>
                  <w:p w14:paraId="58DD0FE2" w14:textId="77777777" w:rsidR="007870CB" w:rsidRPr="00000C35" w:rsidRDefault="007870CB">
                    <w:pPr>
                      <w:jc w:val="right"/>
                      <w:rPr>
                        <w:sz w:val="28"/>
                        <w:szCs w:val="28"/>
                      </w:rPr>
                    </w:pPr>
                    <w:r w:rsidRPr="00000C35">
                      <w:rPr>
                        <w:sz w:val="28"/>
                        <w:szCs w:val="28"/>
                      </w:rPr>
                      <w:t>20</w:t>
                    </w:r>
                  </w:p>
                  <w:p w14:paraId="33B72DDD" w14:textId="77777777" w:rsidR="007870CB" w:rsidRPr="00000C35" w:rsidRDefault="007870CB">
                    <w:pPr>
                      <w:jc w:val="right"/>
                      <w:rPr>
                        <w:sz w:val="28"/>
                        <w:szCs w:val="28"/>
                      </w:rPr>
                    </w:pPr>
                    <w:r w:rsidRPr="00000C35">
                      <w:rPr>
                        <w:sz w:val="28"/>
                        <w:szCs w:val="28"/>
                      </w:rPr>
                      <w:t>21</w:t>
                    </w:r>
                  </w:p>
                  <w:p w14:paraId="15674C2F" w14:textId="77777777" w:rsidR="007870CB" w:rsidRPr="00000C35" w:rsidRDefault="007870CB">
                    <w:pPr>
                      <w:jc w:val="right"/>
                      <w:rPr>
                        <w:sz w:val="28"/>
                        <w:szCs w:val="28"/>
                      </w:rPr>
                    </w:pPr>
                    <w:r w:rsidRPr="00000C35">
                      <w:rPr>
                        <w:sz w:val="28"/>
                        <w:szCs w:val="28"/>
                      </w:rPr>
                      <w:t>22</w:t>
                    </w:r>
                  </w:p>
                  <w:p w14:paraId="36E252D5" w14:textId="77777777" w:rsidR="007870CB" w:rsidRPr="00000C35" w:rsidRDefault="007870CB">
                    <w:pPr>
                      <w:jc w:val="right"/>
                      <w:rPr>
                        <w:sz w:val="28"/>
                        <w:szCs w:val="28"/>
                      </w:rPr>
                    </w:pPr>
                    <w:r w:rsidRPr="00000C35">
                      <w:rPr>
                        <w:sz w:val="28"/>
                        <w:szCs w:val="28"/>
                      </w:rPr>
                      <w:t>23</w:t>
                    </w:r>
                  </w:p>
                  <w:p w14:paraId="23909238" w14:textId="77777777" w:rsidR="007870CB" w:rsidRPr="00000C35" w:rsidRDefault="007870CB">
                    <w:pPr>
                      <w:jc w:val="right"/>
                      <w:rPr>
                        <w:sz w:val="28"/>
                        <w:szCs w:val="28"/>
                      </w:rPr>
                    </w:pPr>
                    <w:r w:rsidRPr="00000C35">
                      <w:rPr>
                        <w:sz w:val="28"/>
                        <w:szCs w:val="28"/>
                      </w:rPr>
                      <w:t>24</w:t>
                    </w:r>
                  </w:p>
                  <w:p w14:paraId="7C4623D7" w14:textId="77777777" w:rsidR="007870CB" w:rsidRPr="00000C35" w:rsidRDefault="007870CB">
                    <w:pPr>
                      <w:jc w:val="right"/>
                      <w:rPr>
                        <w:sz w:val="28"/>
                        <w:szCs w:val="28"/>
                      </w:rPr>
                    </w:pPr>
                    <w:r w:rsidRPr="00000C35">
                      <w:rPr>
                        <w:sz w:val="28"/>
                        <w:szCs w:val="28"/>
                      </w:rPr>
                      <w:t>25</w:t>
                    </w:r>
                  </w:p>
                  <w:p w14:paraId="29D9E37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CF5969"/>
    <w:multiLevelType w:val="hybridMultilevel"/>
    <w:tmpl w:val="7942524E"/>
    <w:lvl w:ilvl="0" w:tplc="70889534">
      <w:start w:val="1"/>
      <w:numFmt w:val="upperLetter"/>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275769A"/>
    <w:multiLevelType w:val="hybridMultilevel"/>
    <w:tmpl w:val="4C6E6E88"/>
    <w:lvl w:ilvl="0" w:tplc="E3C4900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ABB2349"/>
    <w:multiLevelType w:val="hybridMultilevel"/>
    <w:tmpl w:val="C0A4FEE6"/>
    <w:lvl w:ilvl="0" w:tplc="C93EF5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F0F2A08"/>
    <w:multiLevelType w:val="hybridMultilevel"/>
    <w:tmpl w:val="5F801E22"/>
    <w:lvl w:ilvl="0" w:tplc="84982706">
      <w:start w:val="1"/>
      <w:numFmt w:val="bullet"/>
      <w:lvlText w:val=""/>
      <w:lvlJc w:val="left"/>
      <w:pPr>
        <w:ind w:left="2160" w:hanging="360"/>
      </w:pPr>
      <w:rPr>
        <w:rFonts w:ascii="Symbol" w:hAnsi="Symbol" w:hint="default"/>
      </w:rPr>
    </w:lvl>
    <w:lvl w:ilvl="1" w:tplc="90AE007C" w:tentative="1">
      <w:start w:val="1"/>
      <w:numFmt w:val="bullet"/>
      <w:lvlText w:val="o"/>
      <w:lvlJc w:val="left"/>
      <w:pPr>
        <w:ind w:left="2880" w:hanging="360"/>
      </w:pPr>
      <w:rPr>
        <w:rFonts w:ascii="Courier New" w:hAnsi="Courier New" w:cs="Courier New" w:hint="default"/>
      </w:rPr>
    </w:lvl>
    <w:lvl w:ilvl="2" w:tplc="F68E6342" w:tentative="1">
      <w:start w:val="1"/>
      <w:numFmt w:val="bullet"/>
      <w:lvlText w:val=""/>
      <w:lvlJc w:val="left"/>
      <w:pPr>
        <w:ind w:left="3600" w:hanging="360"/>
      </w:pPr>
      <w:rPr>
        <w:rFonts w:ascii="Wingdings" w:hAnsi="Wingdings" w:hint="default"/>
      </w:rPr>
    </w:lvl>
    <w:lvl w:ilvl="3" w:tplc="457C0F6C">
      <w:start w:val="1"/>
      <w:numFmt w:val="bullet"/>
      <w:lvlText w:val=""/>
      <w:lvlJc w:val="left"/>
      <w:pPr>
        <w:ind w:left="4320" w:hanging="360"/>
      </w:pPr>
      <w:rPr>
        <w:rFonts w:ascii="Symbol" w:hAnsi="Symbol" w:hint="default"/>
      </w:rPr>
    </w:lvl>
    <w:lvl w:ilvl="4" w:tplc="23BC330E" w:tentative="1">
      <w:start w:val="1"/>
      <w:numFmt w:val="bullet"/>
      <w:lvlText w:val="o"/>
      <w:lvlJc w:val="left"/>
      <w:pPr>
        <w:ind w:left="5040" w:hanging="360"/>
      </w:pPr>
      <w:rPr>
        <w:rFonts w:ascii="Courier New" w:hAnsi="Courier New" w:cs="Courier New" w:hint="default"/>
      </w:rPr>
    </w:lvl>
    <w:lvl w:ilvl="5" w:tplc="0C44CAAE" w:tentative="1">
      <w:start w:val="1"/>
      <w:numFmt w:val="bullet"/>
      <w:lvlText w:val=""/>
      <w:lvlJc w:val="left"/>
      <w:pPr>
        <w:ind w:left="5760" w:hanging="360"/>
      </w:pPr>
      <w:rPr>
        <w:rFonts w:ascii="Wingdings" w:hAnsi="Wingdings" w:hint="default"/>
      </w:rPr>
    </w:lvl>
    <w:lvl w:ilvl="6" w:tplc="FF644BD0" w:tentative="1">
      <w:start w:val="1"/>
      <w:numFmt w:val="bullet"/>
      <w:lvlText w:val=""/>
      <w:lvlJc w:val="left"/>
      <w:pPr>
        <w:ind w:left="6480" w:hanging="360"/>
      </w:pPr>
      <w:rPr>
        <w:rFonts w:ascii="Symbol" w:hAnsi="Symbol" w:hint="default"/>
      </w:rPr>
    </w:lvl>
    <w:lvl w:ilvl="7" w:tplc="C9F2CFBA" w:tentative="1">
      <w:start w:val="1"/>
      <w:numFmt w:val="bullet"/>
      <w:lvlText w:val="o"/>
      <w:lvlJc w:val="left"/>
      <w:pPr>
        <w:ind w:left="7200" w:hanging="360"/>
      </w:pPr>
      <w:rPr>
        <w:rFonts w:ascii="Courier New" w:hAnsi="Courier New" w:cs="Courier New" w:hint="default"/>
      </w:rPr>
    </w:lvl>
    <w:lvl w:ilvl="8" w:tplc="9FF64AD0" w:tentative="1">
      <w:start w:val="1"/>
      <w:numFmt w:val="bullet"/>
      <w:lvlText w:val=""/>
      <w:lvlJc w:val="left"/>
      <w:pPr>
        <w:ind w:left="7920" w:hanging="360"/>
      </w:pPr>
      <w:rPr>
        <w:rFonts w:ascii="Wingdings" w:hAnsi="Wingdings" w:hint="default"/>
      </w:rPr>
    </w:lvl>
  </w:abstractNum>
  <w:abstractNum w:abstractNumId="17"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14"/>
  </w:num>
  <w:num w:numId="3">
    <w:abstractNumId w:val="0"/>
  </w:num>
  <w:num w:numId="4">
    <w:abstractNumId w:val="6"/>
  </w:num>
  <w:num w:numId="5">
    <w:abstractNumId w:val="8"/>
  </w:num>
  <w:num w:numId="6">
    <w:abstractNumId w:val="9"/>
  </w:num>
  <w:num w:numId="7">
    <w:abstractNumId w:val="1"/>
  </w:num>
  <w:num w:numId="8">
    <w:abstractNumId w:val="17"/>
  </w:num>
  <w:num w:numId="9">
    <w:abstractNumId w:val="10"/>
  </w:num>
  <w:num w:numId="10">
    <w:abstractNumId w:val="12"/>
  </w:num>
  <w:num w:numId="11">
    <w:abstractNumId w:val="11"/>
  </w:num>
  <w:num w:numId="12">
    <w:abstractNumId w:val="7"/>
  </w:num>
  <w:num w:numId="13">
    <w:abstractNumId w:val="2"/>
  </w:num>
  <w:num w:numId="14">
    <w:abstractNumId w:val="5"/>
  </w:num>
  <w:num w:numId="15">
    <w:abstractNumId w:val="16"/>
  </w:num>
  <w:num w:numId="16">
    <w:abstractNumId w:val="15"/>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E11"/>
    <w:rsid w:val="00000C35"/>
    <w:rsid w:val="00003885"/>
    <w:rsid w:val="000410B3"/>
    <w:rsid w:val="00043D4D"/>
    <w:rsid w:val="00044821"/>
    <w:rsid w:val="00052372"/>
    <w:rsid w:val="00064954"/>
    <w:rsid w:val="000666D1"/>
    <w:rsid w:val="0008003D"/>
    <w:rsid w:val="000917C0"/>
    <w:rsid w:val="00096A1F"/>
    <w:rsid w:val="000A0A1D"/>
    <w:rsid w:val="000A1D6B"/>
    <w:rsid w:val="000C1E53"/>
    <w:rsid w:val="000C48A9"/>
    <w:rsid w:val="000C64A0"/>
    <w:rsid w:val="000D7815"/>
    <w:rsid w:val="000F2D10"/>
    <w:rsid w:val="000F3A17"/>
    <w:rsid w:val="000F62B7"/>
    <w:rsid w:val="000F7A7F"/>
    <w:rsid w:val="000F7C13"/>
    <w:rsid w:val="00102ECD"/>
    <w:rsid w:val="00124202"/>
    <w:rsid w:val="00135326"/>
    <w:rsid w:val="00145E09"/>
    <w:rsid w:val="001A2520"/>
    <w:rsid w:val="001C5F85"/>
    <w:rsid w:val="001F591C"/>
    <w:rsid w:val="0024304B"/>
    <w:rsid w:val="002452F0"/>
    <w:rsid w:val="00273CB0"/>
    <w:rsid w:val="00274D6A"/>
    <w:rsid w:val="00275C1A"/>
    <w:rsid w:val="00312DBA"/>
    <w:rsid w:val="00315A2C"/>
    <w:rsid w:val="00352347"/>
    <w:rsid w:val="003566D6"/>
    <w:rsid w:val="00357F4D"/>
    <w:rsid w:val="00360E20"/>
    <w:rsid w:val="003617D1"/>
    <w:rsid w:val="00377199"/>
    <w:rsid w:val="003A28AC"/>
    <w:rsid w:val="00407E2D"/>
    <w:rsid w:val="0041626D"/>
    <w:rsid w:val="00431236"/>
    <w:rsid w:val="004331B2"/>
    <w:rsid w:val="00440E4C"/>
    <w:rsid w:val="0045040D"/>
    <w:rsid w:val="00463734"/>
    <w:rsid w:val="00480BD0"/>
    <w:rsid w:val="00485E1B"/>
    <w:rsid w:val="00494BDF"/>
    <w:rsid w:val="004C3AE3"/>
    <w:rsid w:val="00504E1E"/>
    <w:rsid w:val="00506859"/>
    <w:rsid w:val="00520F93"/>
    <w:rsid w:val="005523CA"/>
    <w:rsid w:val="00566856"/>
    <w:rsid w:val="005845AE"/>
    <w:rsid w:val="005A21B0"/>
    <w:rsid w:val="005B3B25"/>
    <w:rsid w:val="005B5161"/>
    <w:rsid w:val="005D205B"/>
    <w:rsid w:val="005D6AD4"/>
    <w:rsid w:val="0060286A"/>
    <w:rsid w:val="006338C1"/>
    <w:rsid w:val="00636F5E"/>
    <w:rsid w:val="00665CCF"/>
    <w:rsid w:val="006666D1"/>
    <w:rsid w:val="006721EC"/>
    <w:rsid w:val="006766BF"/>
    <w:rsid w:val="00692391"/>
    <w:rsid w:val="006932BA"/>
    <w:rsid w:val="006B4F9A"/>
    <w:rsid w:val="006F1549"/>
    <w:rsid w:val="006F63FD"/>
    <w:rsid w:val="007029E6"/>
    <w:rsid w:val="00706F54"/>
    <w:rsid w:val="00732169"/>
    <w:rsid w:val="00735659"/>
    <w:rsid w:val="007427C6"/>
    <w:rsid w:val="0077110E"/>
    <w:rsid w:val="007870CB"/>
    <w:rsid w:val="00797A08"/>
    <w:rsid w:val="007A3F0F"/>
    <w:rsid w:val="007B74E2"/>
    <w:rsid w:val="007D5C49"/>
    <w:rsid w:val="007D6535"/>
    <w:rsid w:val="007D73FF"/>
    <w:rsid w:val="007E3CCB"/>
    <w:rsid w:val="008006ED"/>
    <w:rsid w:val="00822598"/>
    <w:rsid w:val="008360A1"/>
    <w:rsid w:val="00850B7A"/>
    <w:rsid w:val="00861563"/>
    <w:rsid w:val="00871AAA"/>
    <w:rsid w:val="00876F57"/>
    <w:rsid w:val="00891AAA"/>
    <w:rsid w:val="008A4EB3"/>
    <w:rsid w:val="008C3DBB"/>
    <w:rsid w:val="008D35C6"/>
    <w:rsid w:val="00933EA1"/>
    <w:rsid w:val="00951416"/>
    <w:rsid w:val="00960D21"/>
    <w:rsid w:val="009778CB"/>
    <w:rsid w:val="00981D29"/>
    <w:rsid w:val="00981E11"/>
    <w:rsid w:val="009A180C"/>
    <w:rsid w:val="009C76EE"/>
    <w:rsid w:val="009D2D76"/>
    <w:rsid w:val="009F035B"/>
    <w:rsid w:val="00A058A5"/>
    <w:rsid w:val="00A1564B"/>
    <w:rsid w:val="00A27BEF"/>
    <w:rsid w:val="00A5194F"/>
    <w:rsid w:val="00A871D6"/>
    <w:rsid w:val="00A93A7C"/>
    <w:rsid w:val="00AF282C"/>
    <w:rsid w:val="00AF3FF7"/>
    <w:rsid w:val="00B1491D"/>
    <w:rsid w:val="00B176BF"/>
    <w:rsid w:val="00B47B7D"/>
    <w:rsid w:val="00B61635"/>
    <w:rsid w:val="00B62836"/>
    <w:rsid w:val="00B97133"/>
    <w:rsid w:val="00BB0263"/>
    <w:rsid w:val="00BB02CA"/>
    <w:rsid w:val="00C03E0F"/>
    <w:rsid w:val="00C123DA"/>
    <w:rsid w:val="00C52E56"/>
    <w:rsid w:val="00C5407A"/>
    <w:rsid w:val="00C56683"/>
    <w:rsid w:val="00C64CD0"/>
    <w:rsid w:val="00C662B0"/>
    <w:rsid w:val="00C84FD4"/>
    <w:rsid w:val="00C958EE"/>
    <w:rsid w:val="00CA171A"/>
    <w:rsid w:val="00CC01D2"/>
    <w:rsid w:val="00CD21FB"/>
    <w:rsid w:val="00CE2B3E"/>
    <w:rsid w:val="00CF695F"/>
    <w:rsid w:val="00D423FE"/>
    <w:rsid w:val="00D42D9D"/>
    <w:rsid w:val="00D442E4"/>
    <w:rsid w:val="00D60CC7"/>
    <w:rsid w:val="00D60D9B"/>
    <w:rsid w:val="00D80EDC"/>
    <w:rsid w:val="00DA00E0"/>
    <w:rsid w:val="00DF4F15"/>
    <w:rsid w:val="00E047D3"/>
    <w:rsid w:val="00E04BE0"/>
    <w:rsid w:val="00E07493"/>
    <w:rsid w:val="00E266B7"/>
    <w:rsid w:val="00E321C5"/>
    <w:rsid w:val="00E5772B"/>
    <w:rsid w:val="00E647FC"/>
    <w:rsid w:val="00E67511"/>
    <w:rsid w:val="00E81026"/>
    <w:rsid w:val="00E82D0F"/>
    <w:rsid w:val="00E950B5"/>
    <w:rsid w:val="00EB5D3E"/>
    <w:rsid w:val="00F05879"/>
    <w:rsid w:val="00F06F5B"/>
    <w:rsid w:val="00F15D4D"/>
    <w:rsid w:val="00F2485D"/>
    <w:rsid w:val="00F33926"/>
    <w:rsid w:val="00F60C61"/>
    <w:rsid w:val="00F64B52"/>
    <w:rsid w:val="00F850BE"/>
    <w:rsid w:val="00FA0D0B"/>
    <w:rsid w:val="00FA38B6"/>
    <w:rsid w:val="00FB5291"/>
    <w:rsid w:val="00FB5E84"/>
    <w:rsid w:val="00FB63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FF0DB18"/>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paragraph" w:styleId="Heading4">
    <w:name w:val="heading 4"/>
    <w:basedOn w:val="Normal"/>
    <w:next w:val="Normal"/>
    <w:link w:val="Heading4Char"/>
    <w:semiHidden/>
    <w:unhideWhenUsed/>
    <w:qFormat/>
    <w:rsid w:val="002452F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link w:val="CourtChar"/>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Heading4Char">
    <w:name w:val="Heading 4 Char"/>
    <w:basedOn w:val="DefaultParagraphFont"/>
    <w:link w:val="Heading4"/>
    <w:semiHidden/>
    <w:rsid w:val="002452F0"/>
    <w:rPr>
      <w:rFonts w:asciiTheme="majorHAnsi" w:eastAsiaTheme="majorEastAsia" w:hAnsiTheme="majorHAnsi" w:cstheme="majorBidi"/>
      <w:i/>
      <w:iCs/>
      <w:color w:val="2E74B5" w:themeColor="accent1" w:themeShade="BF"/>
    </w:rPr>
  </w:style>
  <w:style w:type="paragraph" w:customStyle="1" w:styleId="MemoSignatureSub">
    <w:name w:val="Memo Signature Sub"/>
    <w:basedOn w:val="Normal"/>
    <w:rsid w:val="002452F0"/>
    <w:pPr>
      <w:spacing w:after="240" w:line="240" w:lineRule="auto"/>
      <w:ind w:left="720" w:hanging="720"/>
    </w:pPr>
    <w:rPr>
      <w:rFonts w:eastAsia="SimSun"/>
      <w:sz w:val="24"/>
    </w:rPr>
  </w:style>
  <w:style w:type="character" w:styleId="CommentReference">
    <w:name w:val="annotation reference"/>
    <w:basedOn w:val="DefaultParagraphFont"/>
    <w:rsid w:val="00D60CC7"/>
    <w:rPr>
      <w:sz w:val="16"/>
      <w:szCs w:val="16"/>
    </w:rPr>
  </w:style>
  <w:style w:type="paragraph" w:styleId="CommentText">
    <w:name w:val="annotation text"/>
    <w:basedOn w:val="Normal"/>
    <w:link w:val="CommentTextChar"/>
    <w:rsid w:val="00D60CC7"/>
    <w:pPr>
      <w:spacing w:line="240" w:lineRule="auto"/>
    </w:pPr>
  </w:style>
  <w:style w:type="character" w:customStyle="1" w:styleId="CommentTextChar">
    <w:name w:val="Comment Text Char"/>
    <w:basedOn w:val="DefaultParagraphFont"/>
    <w:link w:val="CommentText"/>
    <w:rsid w:val="00D60CC7"/>
  </w:style>
  <w:style w:type="paragraph" w:styleId="CommentSubject">
    <w:name w:val="annotation subject"/>
    <w:basedOn w:val="CommentText"/>
    <w:next w:val="CommentText"/>
    <w:link w:val="CommentSubjectChar"/>
    <w:rsid w:val="00D60CC7"/>
    <w:rPr>
      <w:b/>
      <w:bCs/>
    </w:rPr>
  </w:style>
  <w:style w:type="character" w:customStyle="1" w:styleId="CommentSubjectChar">
    <w:name w:val="Comment Subject Char"/>
    <w:basedOn w:val="CommentTextChar"/>
    <w:link w:val="CommentSubject"/>
    <w:rsid w:val="00D60CC7"/>
    <w:rPr>
      <w:b/>
      <w:bCs/>
    </w:rPr>
  </w:style>
  <w:style w:type="character" w:customStyle="1" w:styleId="UnresolvedMention1">
    <w:name w:val="Unresolved Mention1"/>
    <w:basedOn w:val="DefaultParagraphFont"/>
    <w:uiPriority w:val="99"/>
    <w:semiHidden/>
    <w:unhideWhenUsed/>
    <w:rsid w:val="000F2D10"/>
    <w:rPr>
      <w:color w:val="605E5C"/>
      <w:shd w:val="clear" w:color="auto" w:fill="E1DFDD"/>
    </w:rPr>
  </w:style>
  <w:style w:type="character" w:styleId="FollowedHyperlink">
    <w:name w:val="FollowedHyperlink"/>
    <w:basedOn w:val="DefaultParagraphFont"/>
    <w:rsid w:val="00797A08"/>
    <w:rPr>
      <w:color w:val="954F72" w:themeColor="followedHyperlink"/>
      <w:u w:val="single"/>
    </w:rPr>
  </w:style>
  <w:style w:type="paragraph" w:customStyle="1" w:styleId="DocID">
    <w:name w:val="DocID"/>
    <w:basedOn w:val="Footer"/>
    <w:next w:val="Footer"/>
    <w:link w:val="DocIDChar"/>
    <w:rsid w:val="00BB02CA"/>
    <w:pPr>
      <w:tabs>
        <w:tab w:val="clear" w:pos="4320"/>
        <w:tab w:val="clear" w:pos="8640"/>
      </w:tabs>
      <w:spacing w:line="240" w:lineRule="auto"/>
    </w:pPr>
    <w:rPr>
      <w:sz w:val="16"/>
    </w:rPr>
  </w:style>
  <w:style w:type="character" w:customStyle="1" w:styleId="CourtChar">
    <w:name w:val="Court Char"/>
    <w:basedOn w:val="DefaultParagraphFont"/>
    <w:link w:val="Court"/>
    <w:rsid w:val="00BB02CA"/>
    <w:rPr>
      <w:caps/>
      <w:sz w:val="26"/>
      <w:szCs w:val="26"/>
    </w:rPr>
  </w:style>
  <w:style w:type="character" w:customStyle="1" w:styleId="DocIDChar">
    <w:name w:val="DocID Char"/>
    <w:basedOn w:val="CourtChar"/>
    <w:link w:val="DocID"/>
    <w:rsid w:val="00BB02CA"/>
    <w:rPr>
      <w:caps w:val="0"/>
      <w:sz w:val="16"/>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azcourts.gov/Rules-Forum/aft/11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1622</Words>
  <Characters>8460</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10062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Patricia Seguin</dc:creator>
  <cp:keywords>
  </cp:keywords>
  <cp:lastModifiedBy>Patricia Seguin</cp:lastModifiedBy>
  <cp:revision>2</cp:revision>
  <dcterms:created xsi:type="dcterms:W3CDTF">2021-05-27T22:05:00Z</dcterms:created>
  <dcterms:modified xsi:type="dcterms:W3CDTF">2021-05-27T22:05:00Z</dcterms:modified>
</cp:coreProperties>
</file>