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FA857E" w14:textId="1A2FD66D" w:rsidR="006D47E5" w:rsidRPr="007944C8" w:rsidRDefault="006D47E5" w:rsidP="006D47E5">
      <w:pPr>
        <w:spacing w:line="240" w:lineRule="auto"/>
        <w:rPr>
          <w:bCs/>
          <w:sz w:val="28"/>
          <w:szCs w:val="28"/>
        </w:rPr>
      </w:pPr>
      <w:r w:rsidRPr="007944C8">
        <w:rPr>
          <w:bCs/>
          <w:sz w:val="28"/>
          <w:szCs w:val="28"/>
        </w:rPr>
        <w:t>Barry D. Halpern (#005441)</w:t>
      </w:r>
    </w:p>
    <w:p w14:paraId="3841DA08" w14:textId="45F552A4" w:rsidR="008179BC" w:rsidRPr="007944C8" w:rsidRDefault="008179BC" w:rsidP="006D47E5">
      <w:pPr>
        <w:spacing w:line="240" w:lineRule="auto"/>
        <w:rPr>
          <w:bCs/>
          <w:sz w:val="28"/>
          <w:szCs w:val="28"/>
        </w:rPr>
      </w:pPr>
      <w:r w:rsidRPr="007944C8">
        <w:rPr>
          <w:bCs/>
          <w:sz w:val="28"/>
          <w:szCs w:val="28"/>
        </w:rPr>
        <w:t>Brett W. Johnson (#021527)</w:t>
      </w:r>
    </w:p>
    <w:p w14:paraId="6CE026FC" w14:textId="77777777" w:rsidR="006D47E5" w:rsidRPr="007944C8" w:rsidRDefault="006D47E5" w:rsidP="006D47E5">
      <w:pPr>
        <w:spacing w:line="240" w:lineRule="auto"/>
        <w:rPr>
          <w:bCs/>
          <w:sz w:val="28"/>
          <w:szCs w:val="28"/>
        </w:rPr>
      </w:pPr>
      <w:r w:rsidRPr="007944C8">
        <w:rPr>
          <w:bCs/>
          <w:sz w:val="28"/>
          <w:szCs w:val="28"/>
        </w:rPr>
        <w:t>Tracy A. Olson (#034616)</w:t>
      </w:r>
    </w:p>
    <w:p w14:paraId="6E448742" w14:textId="77777777" w:rsidR="006D47E5" w:rsidRPr="007944C8" w:rsidRDefault="006D47E5" w:rsidP="006D47E5">
      <w:pPr>
        <w:spacing w:line="240" w:lineRule="auto"/>
        <w:rPr>
          <w:bCs/>
          <w:sz w:val="28"/>
          <w:szCs w:val="28"/>
        </w:rPr>
      </w:pPr>
      <w:r w:rsidRPr="007944C8">
        <w:rPr>
          <w:bCs/>
          <w:sz w:val="28"/>
          <w:szCs w:val="28"/>
        </w:rPr>
        <w:t>Claudia E. Stedman (#036387)</w:t>
      </w:r>
    </w:p>
    <w:p w14:paraId="5605D69A" w14:textId="77777777" w:rsidR="006D47E5" w:rsidRPr="007944C8" w:rsidRDefault="006D47E5" w:rsidP="006D47E5">
      <w:pPr>
        <w:spacing w:line="240" w:lineRule="auto"/>
        <w:rPr>
          <w:bCs/>
          <w:sz w:val="28"/>
          <w:szCs w:val="28"/>
        </w:rPr>
      </w:pPr>
      <w:r w:rsidRPr="007944C8">
        <w:rPr>
          <w:bCs/>
          <w:sz w:val="28"/>
          <w:szCs w:val="28"/>
        </w:rPr>
        <w:t>SNELL &amp; WILMER L.L.P.</w:t>
      </w:r>
    </w:p>
    <w:p w14:paraId="3906B3E1" w14:textId="77777777" w:rsidR="006D47E5" w:rsidRPr="007944C8" w:rsidRDefault="006D47E5" w:rsidP="006D47E5">
      <w:pPr>
        <w:spacing w:line="240" w:lineRule="auto"/>
        <w:rPr>
          <w:bCs/>
          <w:sz w:val="28"/>
          <w:szCs w:val="28"/>
        </w:rPr>
      </w:pPr>
      <w:r w:rsidRPr="007944C8">
        <w:rPr>
          <w:bCs/>
          <w:sz w:val="28"/>
          <w:szCs w:val="28"/>
        </w:rPr>
        <w:t>One Arizona Center</w:t>
      </w:r>
    </w:p>
    <w:p w14:paraId="512F81B9" w14:textId="77777777" w:rsidR="006D47E5" w:rsidRPr="007944C8" w:rsidRDefault="006D47E5" w:rsidP="006D47E5">
      <w:pPr>
        <w:spacing w:line="240" w:lineRule="auto"/>
        <w:rPr>
          <w:bCs/>
          <w:sz w:val="28"/>
          <w:szCs w:val="28"/>
        </w:rPr>
      </w:pPr>
      <w:r w:rsidRPr="007944C8">
        <w:rPr>
          <w:bCs/>
          <w:sz w:val="28"/>
          <w:szCs w:val="28"/>
        </w:rPr>
        <w:t>400 E. Van Buren, Suite 1900</w:t>
      </w:r>
    </w:p>
    <w:p w14:paraId="26907EE2" w14:textId="77777777" w:rsidR="006D47E5" w:rsidRPr="007944C8" w:rsidRDefault="006D47E5" w:rsidP="006D47E5">
      <w:pPr>
        <w:spacing w:line="240" w:lineRule="auto"/>
        <w:rPr>
          <w:bCs/>
          <w:sz w:val="28"/>
          <w:szCs w:val="28"/>
        </w:rPr>
      </w:pPr>
      <w:r w:rsidRPr="007944C8">
        <w:rPr>
          <w:bCs/>
          <w:sz w:val="28"/>
          <w:szCs w:val="28"/>
        </w:rPr>
        <w:t>Phoenix, Arizona 85004-2202</w:t>
      </w:r>
    </w:p>
    <w:p w14:paraId="1060746E" w14:textId="77777777" w:rsidR="006D47E5" w:rsidRPr="007944C8" w:rsidRDefault="006D47E5" w:rsidP="006D47E5">
      <w:pPr>
        <w:spacing w:line="240" w:lineRule="auto"/>
        <w:rPr>
          <w:bCs/>
          <w:sz w:val="28"/>
          <w:szCs w:val="28"/>
        </w:rPr>
      </w:pPr>
      <w:r w:rsidRPr="007944C8">
        <w:rPr>
          <w:bCs/>
          <w:sz w:val="28"/>
          <w:szCs w:val="28"/>
        </w:rPr>
        <w:t>Telephone: 602.382.6000</w:t>
      </w:r>
    </w:p>
    <w:p w14:paraId="5F5F48A5" w14:textId="77777777" w:rsidR="006D47E5" w:rsidRPr="007944C8" w:rsidRDefault="006D47E5" w:rsidP="006D47E5">
      <w:pPr>
        <w:pStyle w:val="CounselInformation"/>
        <w:spacing w:line="240" w:lineRule="auto"/>
        <w:ind w:left="864" w:hanging="864"/>
        <w:rPr>
          <w:sz w:val="28"/>
          <w:szCs w:val="28"/>
        </w:rPr>
      </w:pPr>
      <w:r w:rsidRPr="007944C8">
        <w:rPr>
          <w:sz w:val="28"/>
          <w:szCs w:val="28"/>
        </w:rPr>
        <w:t>E-Mail: bhalpern@swlaw.com</w:t>
      </w:r>
    </w:p>
    <w:p w14:paraId="5F003EE3" w14:textId="522AFF1C" w:rsidR="00845064" w:rsidRPr="007944C8" w:rsidRDefault="00107C1F" w:rsidP="006D47E5">
      <w:pPr>
        <w:pStyle w:val="CounselInformation"/>
        <w:spacing w:line="240" w:lineRule="auto"/>
        <w:ind w:left="144" w:firstLine="720"/>
        <w:rPr>
          <w:rStyle w:val="Hyperlink"/>
          <w:color w:val="auto"/>
          <w:sz w:val="28"/>
          <w:szCs w:val="28"/>
          <w:u w:val="none"/>
        </w:rPr>
      </w:pPr>
      <w:r>
        <w:rPr>
          <w:rStyle w:val="Hyperlink"/>
          <w:color w:val="auto"/>
          <w:sz w:val="28"/>
          <w:szCs w:val="28"/>
          <w:u w:val="none"/>
        </w:rPr>
        <w:t xml:space="preserve"> </w:t>
      </w:r>
      <w:r w:rsidR="00845064" w:rsidRPr="007944C8">
        <w:rPr>
          <w:rStyle w:val="Hyperlink"/>
          <w:color w:val="auto"/>
          <w:sz w:val="28"/>
          <w:szCs w:val="28"/>
          <w:u w:val="none"/>
        </w:rPr>
        <w:t>bwjohnson@swlaw.com</w:t>
      </w:r>
    </w:p>
    <w:p w14:paraId="6572D3FB" w14:textId="0DFDD4BE" w:rsidR="006D47E5" w:rsidRPr="007944C8" w:rsidRDefault="00107C1F" w:rsidP="006D47E5">
      <w:pPr>
        <w:pStyle w:val="CounselInformation"/>
        <w:spacing w:line="240" w:lineRule="auto"/>
        <w:ind w:left="144" w:firstLine="720"/>
        <w:rPr>
          <w:sz w:val="28"/>
          <w:szCs w:val="28"/>
        </w:rPr>
      </w:pPr>
      <w:r>
        <w:rPr>
          <w:rStyle w:val="Hyperlink"/>
          <w:color w:val="auto"/>
          <w:sz w:val="28"/>
          <w:szCs w:val="28"/>
          <w:u w:val="none"/>
        </w:rPr>
        <w:t xml:space="preserve"> </w:t>
      </w:r>
      <w:r w:rsidR="006D47E5" w:rsidRPr="007944C8">
        <w:rPr>
          <w:rStyle w:val="Hyperlink"/>
          <w:color w:val="auto"/>
          <w:sz w:val="28"/>
          <w:szCs w:val="28"/>
          <w:u w:val="none"/>
        </w:rPr>
        <w:t>tolson@swlaw.com</w:t>
      </w:r>
    </w:p>
    <w:p w14:paraId="013B2F8F" w14:textId="5DD72C27" w:rsidR="006D47E5" w:rsidRPr="007944C8" w:rsidRDefault="00107C1F" w:rsidP="006D47E5">
      <w:pPr>
        <w:pStyle w:val="CounselInformation"/>
        <w:spacing w:line="240" w:lineRule="auto"/>
        <w:ind w:left="144" w:firstLine="720"/>
        <w:rPr>
          <w:sz w:val="28"/>
          <w:szCs w:val="28"/>
        </w:rPr>
      </w:pPr>
      <w:r>
        <w:rPr>
          <w:rStyle w:val="Hyperlink"/>
          <w:color w:val="auto"/>
          <w:sz w:val="28"/>
          <w:szCs w:val="28"/>
          <w:u w:val="none"/>
        </w:rPr>
        <w:t xml:space="preserve"> </w:t>
      </w:r>
      <w:r w:rsidR="006D47E5" w:rsidRPr="007944C8">
        <w:rPr>
          <w:rStyle w:val="Hyperlink"/>
          <w:color w:val="auto"/>
          <w:sz w:val="28"/>
          <w:szCs w:val="28"/>
          <w:u w:val="none"/>
        </w:rPr>
        <w:t>cstedman@swlaw.com</w:t>
      </w:r>
    </w:p>
    <w:p w14:paraId="569C3F97" w14:textId="77777777" w:rsidR="006D47E5" w:rsidRPr="007944C8" w:rsidRDefault="006D47E5" w:rsidP="006D47E5">
      <w:pPr>
        <w:spacing w:line="240" w:lineRule="auto"/>
        <w:rPr>
          <w:bCs/>
          <w:i/>
          <w:iCs/>
          <w:sz w:val="28"/>
          <w:szCs w:val="28"/>
        </w:rPr>
      </w:pPr>
    </w:p>
    <w:p w14:paraId="3EA63A12" w14:textId="77777777" w:rsidR="008179BC" w:rsidRPr="007944C8" w:rsidRDefault="006D47E5" w:rsidP="006D47E5">
      <w:pPr>
        <w:spacing w:line="240" w:lineRule="auto"/>
        <w:rPr>
          <w:bCs/>
          <w:i/>
          <w:iCs/>
          <w:sz w:val="28"/>
          <w:szCs w:val="28"/>
        </w:rPr>
      </w:pPr>
      <w:bookmarkStart w:id="0" w:name="_Hlk70679564"/>
      <w:r w:rsidRPr="007944C8">
        <w:rPr>
          <w:bCs/>
          <w:i/>
          <w:iCs/>
          <w:sz w:val="28"/>
          <w:szCs w:val="28"/>
        </w:rPr>
        <w:t xml:space="preserve">On behalf of the Arizona Medical </w:t>
      </w:r>
    </w:p>
    <w:p w14:paraId="6C6ED176" w14:textId="77777777" w:rsidR="008179BC" w:rsidRPr="007944C8" w:rsidRDefault="006D47E5" w:rsidP="006D47E5">
      <w:pPr>
        <w:spacing w:line="240" w:lineRule="auto"/>
        <w:rPr>
          <w:bCs/>
          <w:i/>
          <w:iCs/>
          <w:sz w:val="28"/>
          <w:szCs w:val="28"/>
        </w:rPr>
      </w:pPr>
      <w:r w:rsidRPr="007944C8">
        <w:rPr>
          <w:bCs/>
          <w:i/>
          <w:iCs/>
          <w:sz w:val="28"/>
          <w:szCs w:val="28"/>
        </w:rPr>
        <w:t>Association</w:t>
      </w:r>
      <w:r w:rsidR="00E230F8" w:rsidRPr="007944C8">
        <w:rPr>
          <w:bCs/>
          <w:i/>
          <w:iCs/>
          <w:sz w:val="28"/>
          <w:szCs w:val="28"/>
        </w:rPr>
        <w:t xml:space="preserve">, the </w:t>
      </w:r>
      <w:r w:rsidRPr="007944C8">
        <w:rPr>
          <w:bCs/>
          <w:i/>
          <w:iCs/>
          <w:sz w:val="28"/>
          <w:szCs w:val="28"/>
        </w:rPr>
        <w:t xml:space="preserve">Arizona Osteopathic </w:t>
      </w:r>
    </w:p>
    <w:p w14:paraId="63FD019D" w14:textId="77777777" w:rsidR="008179BC" w:rsidRPr="007944C8" w:rsidRDefault="006D47E5" w:rsidP="006D47E5">
      <w:pPr>
        <w:spacing w:line="240" w:lineRule="auto"/>
        <w:rPr>
          <w:bCs/>
          <w:i/>
          <w:iCs/>
          <w:sz w:val="28"/>
          <w:szCs w:val="28"/>
        </w:rPr>
      </w:pPr>
      <w:r w:rsidRPr="007944C8">
        <w:rPr>
          <w:bCs/>
          <w:i/>
          <w:iCs/>
          <w:sz w:val="28"/>
          <w:szCs w:val="28"/>
        </w:rPr>
        <w:t>Medical Association</w:t>
      </w:r>
      <w:r w:rsidR="00E230F8" w:rsidRPr="007944C8">
        <w:rPr>
          <w:bCs/>
          <w:i/>
          <w:iCs/>
          <w:sz w:val="28"/>
          <w:szCs w:val="28"/>
        </w:rPr>
        <w:t xml:space="preserve"> and the Arizona </w:t>
      </w:r>
    </w:p>
    <w:p w14:paraId="22A63834" w14:textId="72669207" w:rsidR="003D1EDF" w:rsidRPr="007944C8" w:rsidRDefault="00E230F8" w:rsidP="006D47E5">
      <w:pPr>
        <w:spacing w:line="240" w:lineRule="auto"/>
        <w:rPr>
          <w:bCs/>
          <w:i/>
          <w:iCs/>
          <w:sz w:val="28"/>
          <w:szCs w:val="28"/>
        </w:rPr>
      </w:pPr>
      <w:r w:rsidRPr="007944C8">
        <w:rPr>
          <w:bCs/>
          <w:i/>
          <w:iCs/>
          <w:sz w:val="28"/>
          <w:szCs w:val="28"/>
        </w:rPr>
        <w:t>Chamber of Commerce and Industry</w:t>
      </w:r>
    </w:p>
    <w:bookmarkEnd w:id="0"/>
    <w:p w14:paraId="5DC6E26E" w14:textId="77777777" w:rsidR="003D1EDF" w:rsidRPr="007944C8" w:rsidRDefault="003D1EDF" w:rsidP="003D1EDF">
      <w:pPr>
        <w:spacing w:line="240" w:lineRule="auto"/>
        <w:jc w:val="center"/>
        <w:rPr>
          <w:b/>
          <w:sz w:val="28"/>
          <w:szCs w:val="28"/>
        </w:rPr>
      </w:pPr>
    </w:p>
    <w:p w14:paraId="31E97100" w14:textId="77777777" w:rsidR="003D1EDF" w:rsidRPr="007944C8" w:rsidRDefault="003D1EDF" w:rsidP="003D1EDF">
      <w:pPr>
        <w:spacing w:line="240" w:lineRule="auto"/>
        <w:jc w:val="center"/>
        <w:rPr>
          <w:b/>
          <w:sz w:val="28"/>
          <w:szCs w:val="28"/>
        </w:rPr>
      </w:pPr>
      <w:r w:rsidRPr="007944C8">
        <w:rPr>
          <w:b/>
          <w:sz w:val="28"/>
          <w:szCs w:val="28"/>
        </w:rPr>
        <w:t>IN THE SUPREME COURT</w:t>
      </w:r>
    </w:p>
    <w:p w14:paraId="63A0DB13" w14:textId="77777777" w:rsidR="003D1EDF" w:rsidRPr="007944C8" w:rsidRDefault="003D1EDF" w:rsidP="003D1EDF">
      <w:pPr>
        <w:spacing w:line="240" w:lineRule="auto"/>
        <w:jc w:val="center"/>
        <w:rPr>
          <w:b/>
          <w:sz w:val="28"/>
          <w:szCs w:val="28"/>
        </w:rPr>
      </w:pPr>
      <w:r w:rsidRPr="007944C8">
        <w:rPr>
          <w:b/>
          <w:sz w:val="28"/>
          <w:szCs w:val="28"/>
        </w:rPr>
        <w:t>STATE OF ARIZONA</w:t>
      </w:r>
    </w:p>
    <w:p w14:paraId="2D014C15" w14:textId="77777777" w:rsidR="003D1EDF" w:rsidRPr="007944C8" w:rsidRDefault="003D1EDF" w:rsidP="003D1EDF">
      <w:pPr>
        <w:spacing w:line="660" w:lineRule="exact"/>
        <w:jc w:val="center"/>
        <w:rPr>
          <w:b/>
          <w:sz w:val="28"/>
          <w:szCs w:val="28"/>
        </w:rPr>
      </w:pPr>
    </w:p>
    <w:tbl>
      <w:tblPr>
        <w:tblW w:w="9612" w:type="dxa"/>
        <w:tblBorders>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70"/>
        <w:gridCol w:w="4842"/>
      </w:tblGrid>
      <w:tr w:rsidR="003D1EDF" w:rsidRPr="007944C8" w14:paraId="31C76B62" w14:textId="77777777" w:rsidTr="00486161">
        <w:trPr>
          <w:trHeight w:val="2448"/>
        </w:trPr>
        <w:tc>
          <w:tcPr>
            <w:tcW w:w="4770" w:type="dxa"/>
            <w:shd w:val="clear" w:color="auto" w:fill="auto"/>
          </w:tcPr>
          <w:p w14:paraId="25D095DA" w14:textId="77777777" w:rsidR="003D1EDF" w:rsidRPr="007944C8" w:rsidRDefault="003D1EDF" w:rsidP="00486161">
            <w:pPr>
              <w:spacing w:line="240" w:lineRule="auto"/>
              <w:ind w:right="86"/>
              <w:jc w:val="both"/>
              <w:rPr>
                <w:sz w:val="28"/>
                <w:szCs w:val="28"/>
              </w:rPr>
            </w:pPr>
            <w:bookmarkStart w:id="1" w:name="Parties"/>
            <w:bookmarkEnd w:id="1"/>
            <w:r w:rsidRPr="007944C8">
              <w:rPr>
                <w:sz w:val="28"/>
                <w:szCs w:val="28"/>
              </w:rPr>
              <w:t>In the matter of:</w:t>
            </w:r>
          </w:p>
          <w:p w14:paraId="4E1185F7" w14:textId="77777777" w:rsidR="003D1EDF" w:rsidRPr="007944C8" w:rsidRDefault="003D1EDF" w:rsidP="00486161">
            <w:pPr>
              <w:spacing w:line="240" w:lineRule="auto"/>
              <w:ind w:right="86"/>
              <w:jc w:val="both"/>
              <w:rPr>
                <w:sz w:val="28"/>
                <w:szCs w:val="28"/>
              </w:rPr>
            </w:pPr>
          </w:p>
          <w:p w14:paraId="114D304C" w14:textId="0D6A460A" w:rsidR="003D1EDF" w:rsidRPr="007944C8" w:rsidRDefault="003D1EDF" w:rsidP="00486161">
            <w:pPr>
              <w:spacing w:line="240" w:lineRule="auto"/>
              <w:ind w:right="86"/>
              <w:rPr>
                <w:bCs/>
                <w:caps/>
                <w:sz w:val="28"/>
                <w:szCs w:val="28"/>
              </w:rPr>
            </w:pPr>
            <w:r w:rsidRPr="007944C8">
              <w:rPr>
                <w:bCs/>
                <w:caps/>
                <w:sz w:val="28"/>
                <w:szCs w:val="28"/>
              </w:rPr>
              <w:t xml:space="preserve">Petition to Amend the rules </w:t>
            </w:r>
            <w:r w:rsidR="00F85697" w:rsidRPr="007944C8">
              <w:rPr>
                <w:bCs/>
                <w:caps/>
                <w:sz w:val="28"/>
                <w:szCs w:val="28"/>
              </w:rPr>
              <w:t>10.2, 17.4, 32.10(</w:t>
            </w:r>
            <w:r w:rsidR="00F85697" w:rsidRPr="007944C8">
              <w:rPr>
                <w:bCs/>
                <w:sz w:val="28"/>
                <w:szCs w:val="28"/>
              </w:rPr>
              <w:t>a</w:t>
            </w:r>
            <w:r w:rsidR="00F85697" w:rsidRPr="007944C8">
              <w:rPr>
                <w:bCs/>
                <w:caps/>
                <w:sz w:val="28"/>
                <w:szCs w:val="28"/>
              </w:rPr>
              <w:t xml:space="preserve">), </w:t>
            </w:r>
            <w:r w:rsidR="00F85697" w:rsidRPr="007944C8">
              <w:rPr>
                <w:bCs/>
                <w:sz w:val="28"/>
                <w:szCs w:val="28"/>
              </w:rPr>
              <w:t>and</w:t>
            </w:r>
            <w:r w:rsidR="00F85697" w:rsidRPr="007944C8">
              <w:rPr>
                <w:bCs/>
                <w:caps/>
                <w:sz w:val="28"/>
                <w:szCs w:val="28"/>
              </w:rPr>
              <w:t xml:space="preserve"> 35.4, Rules of Criminal Procedure; Rule 42.1, Rules of Civil procedure for the superior courts; rule 6, rules of family law procedure; rule 2</w:t>
            </w:r>
            <w:r w:rsidR="00C366AA" w:rsidRPr="007944C8">
              <w:rPr>
                <w:bCs/>
                <w:caps/>
                <w:sz w:val="28"/>
                <w:szCs w:val="28"/>
              </w:rPr>
              <w:t>(</w:t>
            </w:r>
            <w:r w:rsidR="00C366AA" w:rsidRPr="007944C8">
              <w:rPr>
                <w:bCs/>
                <w:sz w:val="28"/>
                <w:szCs w:val="28"/>
              </w:rPr>
              <w:t>b</w:t>
            </w:r>
            <w:r w:rsidR="00C366AA" w:rsidRPr="007944C8">
              <w:rPr>
                <w:bCs/>
                <w:caps/>
                <w:sz w:val="28"/>
                <w:szCs w:val="28"/>
              </w:rPr>
              <w:t>) of procedure for the juvenile court; rule 9(</w:t>
            </w:r>
            <w:r w:rsidR="00C366AA" w:rsidRPr="007944C8">
              <w:rPr>
                <w:bCs/>
                <w:sz w:val="28"/>
                <w:szCs w:val="28"/>
              </w:rPr>
              <w:t>c</w:t>
            </w:r>
            <w:r w:rsidR="00C366AA" w:rsidRPr="007944C8">
              <w:rPr>
                <w:bCs/>
                <w:caps/>
                <w:sz w:val="28"/>
                <w:szCs w:val="28"/>
              </w:rPr>
              <w:t>), rules of procedure for eviction actions; rule 133(</w:t>
            </w:r>
            <w:r w:rsidR="00C366AA" w:rsidRPr="007944C8">
              <w:rPr>
                <w:bCs/>
                <w:sz w:val="28"/>
                <w:szCs w:val="28"/>
              </w:rPr>
              <w:t>d</w:t>
            </w:r>
            <w:r w:rsidR="00C366AA" w:rsidRPr="007944C8">
              <w:rPr>
                <w:bCs/>
                <w:caps/>
                <w:sz w:val="28"/>
                <w:szCs w:val="28"/>
              </w:rPr>
              <w:t xml:space="preserve">) justice court rules of civil procedure; rule 7, rules of court procedure for civil traffic and civil boating </w:t>
            </w:r>
            <w:r w:rsidR="00C366AA" w:rsidRPr="007944C8">
              <w:rPr>
                <w:bCs/>
                <w:caps/>
                <w:sz w:val="28"/>
                <w:szCs w:val="28"/>
              </w:rPr>
              <w:lastRenderedPageBreak/>
              <w:t>violations; and ethical rule 8.4(</w:t>
            </w:r>
            <w:r w:rsidR="00C366AA" w:rsidRPr="007944C8">
              <w:rPr>
                <w:bCs/>
                <w:sz w:val="28"/>
                <w:szCs w:val="28"/>
              </w:rPr>
              <w:t>g</w:t>
            </w:r>
            <w:r w:rsidR="00C366AA" w:rsidRPr="007944C8">
              <w:rPr>
                <w:bCs/>
                <w:caps/>
                <w:sz w:val="28"/>
                <w:szCs w:val="28"/>
              </w:rPr>
              <w:t xml:space="preserve">) of rule 42, rules of the supreme court </w:t>
            </w:r>
          </w:p>
        </w:tc>
        <w:tc>
          <w:tcPr>
            <w:tcW w:w="4842" w:type="dxa"/>
            <w:tcBorders>
              <w:top w:val="nil"/>
              <w:bottom w:val="nil"/>
            </w:tcBorders>
            <w:shd w:val="clear" w:color="auto" w:fill="auto"/>
          </w:tcPr>
          <w:p w14:paraId="594285BC" w14:textId="58A6F5C6" w:rsidR="003D1EDF" w:rsidRPr="007944C8" w:rsidRDefault="003D1EDF" w:rsidP="00486161">
            <w:pPr>
              <w:pStyle w:val="SingleSpacing"/>
              <w:spacing w:line="240" w:lineRule="auto"/>
              <w:ind w:left="180"/>
              <w:rPr>
                <w:sz w:val="28"/>
                <w:szCs w:val="28"/>
              </w:rPr>
            </w:pPr>
            <w:bookmarkStart w:id="2" w:name="CaseNumber"/>
            <w:bookmarkEnd w:id="2"/>
            <w:r w:rsidRPr="007944C8">
              <w:rPr>
                <w:sz w:val="28"/>
                <w:szCs w:val="28"/>
              </w:rPr>
              <w:lastRenderedPageBreak/>
              <w:t>Supreme Court No. R-21-00</w:t>
            </w:r>
            <w:r w:rsidR="00090B5D" w:rsidRPr="007944C8">
              <w:rPr>
                <w:sz w:val="28"/>
                <w:szCs w:val="28"/>
              </w:rPr>
              <w:t>06</w:t>
            </w:r>
          </w:p>
          <w:p w14:paraId="68116AFD" w14:textId="77777777" w:rsidR="003D1EDF" w:rsidRPr="007944C8" w:rsidRDefault="003D1EDF" w:rsidP="00486161">
            <w:pPr>
              <w:spacing w:line="240" w:lineRule="auto"/>
              <w:ind w:left="187"/>
              <w:rPr>
                <w:b/>
                <w:sz w:val="28"/>
                <w:szCs w:val="28"/>
              </w:rPr>
            </w:pPr>
          </w:p>
          <w:p w14:paraId="7F42691D" w14:textId="7792C248" w:rsidR="003D1EDF" w:rsidRPr="007944C8" w:rsidRDefault="003D1EDF" w:rsidP="00486161">
            <w:pPr>
              <w:spacing w:line="240" w:lineRule="auto"/>
              <w:ind w:left="187"/>
              <w:rPr>
                <w:sz w:val="28"/>
                <w:szCs w:val="28"/>
              </w:rPr>
            </w:pPr>
            <w:bookmarkStart w:id="3" w:name="_Hlk70654942"/>
            <w:r w:rsidRPr="007944C8">
              <w:rPr>
                <w:sz w:val="28"/>
                <w:szCs w:val="28"/>
              </w:rPr>
              <w:t>COMMENT OF THE ARIZONA MEDICAL ASSOCIATION</w:t>
            </w:r>
            <w:r w:rsidR="007944C8">
              <w:rPr>
                <w:sz w:val="28"/>
                <w:szCs w:val="28"/>
              </w:rPr>
              <w:t>,</w:t>
            </w:r>
            <w:r w:rsidRPr="007944C8">
              <w:rPr>
                <w:sz w:val="28"/>
                <w:szCs w:val="28"/>
              </w:rPr>
              <w:t xml:space="preserve"> ARIZONA OSTEOPATHIC</w:t>
            </w:r>
            <w:r w:rsidR="00927F29">
              <w:rPr>
                <w:sz w:val="28"/>
                <w:szCs w:val="28"/>
              </w:rPr>
              <w:t xml:space="preserve"> MEDICAL</w:t>
            </w:r>
            <w:r w:rsidRPr="007944C8">
              <w:rPr>
                <w:sz w:val="28"/>
                <w:szCs w:val="28"/>
              </w:rPr>
              <w:t xml:space="preserve"> ASSOCIATION</w:t>
            </w:r>
            <w:r w:rsidR="007944C8">
              <w:rPr>
                <w:sz w:val="28"/>
                <w:szCs w:val="28"/>
              </w:rPr>
              <w:t>, ARIZONA CHAMBER OF COMMERCE &amp; INDUSTRY</w:t>
            </w:r>
            <w:r w:rsidRPr="007944C8">
              <w:rPr>
                <w:sz w:val="28"/>
                <w:szCs w:val="28"/>
              </w:rPr>
              <w:t xml:space="preserve"> </w:t>
            </w:r>
            <w:r w:rsidR="00DF7A3C" w:rsidRPr="007944C8">
              <w:rPr>
                <w:sz w:val="28"/>
                <w:szCs w:val="28"/>
              </w:rPr>
              <w:t>OPPOSING THE PROPOSED AMENDMENT TO THE VARIOUS RULES RELATED TO THE PEREMPTORY CHANGE OF JUDGE</w:t>
            </w:r>
            <w:bookmarkEnd w:id="3"/>
          </w:p>
        </w:tc>
      </w:tr>
    </w:tbl>
    <w:p w14:paraId="24803072" w14:textId="77777777" w:rsidR="007944C8" w:rsidRDefault="007944C8" w:rsidP="00994E64">
      <w:pPr>
        <w:tabs>
          <w:tab w:val="left" w:pos="0"/>
        </w:tabs>
        <w:spacing w:before="40" w:line="480" w:lineRule="auto"/>
        <w:jc w:val="both"/>
        <w:rPr>
          <w:sz w:val="28"/>
          <w:szCs w:val="28"/>
        </w:rPr>
      </w:pPr>
      <w:bookmarkStart w:id="4" w:name="_Hlk70680170"/>
    </w:p>
    <w:p w14:paraId="3EA18ED1" w14:textId="6C2FDF4D" w:rsidR="00243A38" w:rsidRPr="007944C8" w:rsidRDefault="009432B0" w:rsidP="00994E64">
      <w:pPr>
        <w:tabs>
          <w:tab w:val="left" w:pos="0"/>
        </w:tabs>
        <w:spacing w:before="40" w:line="480" w:lineRule="auto"/>
        <w:jc w:val="both"/>
        <w:rPr>
          <w:sz w:val="28"/>
          <w:szCs w:val="28"/>
        </w:rPr>
      </w:pPr>
      <w:r w:rsidRPr="007944C8">
        <w:rPr>
          <w:sz w:val="28"/>
          <w:szCs w:val="28"/>
        </w:rPr>
        <w:tab/>
      </w:r>
      <w:bookmarkStart w:id="5" w:name="_Hlk70663450"/>
      <w:bookmarkStart w:id="6" w:name="_Hlk70663472"/>
      <w:r w:rsidR="003D1EDF" w:rsidRPr="007944C8">
        <w:rPr>
          <w:sz w:val="28"/>
          <w:szCs w:val="28"/>
        </w:rPr>
        <w:t>Pursuant to Rule 28, Ariz. R. Sup. Ct., the Arizona Medical Association</w:t>
      </w:r>
      <w:r w:rsidR="009825A6" w:rsidRPr="007944C8">
        <w:rPr>
          <w:sz w:val="28"/>
          <w:szCs w:val="28"/>
        </w:rPr>
        <w:t xml:space="preserve">, </w:t>
      </w:r>
      <w:r w:rsidR="003D1EDF" w:rsidRPr="007944C8">
        <w:rPr>
          <w:sz w:val="28"/>
          <w:szCs w:val="28"/>
        </w:rPr>
        <w:t xml:space="preserve">the Arizona Osteopathic </w:t>
      </w:r>
      <w:r w:rsidR="00927F29">
        <w:rPr>
          <w:sz w:val="28"/>
          <w:szCs w:val="28"/>
        </w:rPr>
        <w:t xml:space="preserve">Medical </w:t>
      </w:r>
      <w:r w:rsidR="003D1EDF" w:rsidRPr="007944C8">
        <w:rPr>
          <w:sz w:val="28"/>
          <w:szCs w:val="28"/>
        </w:rPr>
        <w:t>Association</w:t>
      </w:r>
      <w:r w:rsidR="009825A6" w:rsidRPr="007944C8">
        <w:rPr>
          <w:sz w:val="28"/>
          <w:szCs w:val="28"/>
        </w:rPr>
        <w:t xml:space="preserve"> and </w:t>
      </w:r>
      <w:r w:rsidR="006B6B19" w:rsidRPr="007944C8">
        <w:rPr>
          <w:sz w:val="28"/>
          <w:szCs w:val="28"/>
        </w:rPr>
        <w:t>the Arizona Chamber of Commerce and Industry</w:t>
      </w:r>
      <w:r w:rsidR="003D1EDF" w:rsidRPr="007944C8">
        <w:rPr>
          <w:sz w:val="28"/>
          <w:szCs w:val="28"/>
        </w:rPr>
        <w:t xml:space="preserve"> respectfully submit the following comment in opposition </w:t>
      </w:r>
      <w:bookmarkEnd w:id="5"/>
      <w:r w:rsidR="003D1EDF" w:rsidRPr="007944C8">
        <w:rPr>
          <w:sz w:val="28"/>
          <w:szCs w:val="28"/>
        </w:rPr>
        <w:t xml:space="preserve">to Petition R-21-0006 to amend the various rules of procedure related to the peremptory change of judge. The abolition of peremptory judge strikes in civil trials will undermine </w:t>
      </w:r>
      <w:r w:rsidR="00587B5F" w:rsidRPr="007944C8">
        <w:rPr>
          <w:sz w:val="28"/>
          <w:szCs w:val="28"/>
        </w:rPr>
        <w:t xml:space="preserve">the public’s trust in our judicial system. </w:t>
      </w:r>
      <w:r w:rsidR="003D1EDF" w:rsidRPr="007944C8">
        <w:rPr>
          <w:sz w:val="28"/>
          <w:szCs w:val="28"/>
        </w:rPr>
        <w:t>This Petition should be rejected.</w:t>
      </w:r>
    </w:p>
    <w:p w14:paraId="001D8661" w14:textId="77777777" w:rsidR="001266A7" w:rsidRPr="007944C8" w:rsidRDefault="001266A7" w:rsidP="00994E64">
      <w:pPr>
        <w:pStyle w:val="ListParagraph"/>
        <w:keepNext/>
        <w:keepLines/>
        <w:numPr>
          <w:ilvl w:val="0"/>
          <w:numId w:val="1"/>
        </w:numPr>
        <w:spacing w:line="480" w:lineRule="auto"/>
        <w:ind w:left="720" w:hanging="540"/>
        <w:rPr>
          <w:b/>
          <w:bCs/>
          <w:caps/>
          <w:sz w:val="28"/>
          <w:szCs w:val="28"/>
        </w:rPr>
      </w:pPr>
      <w:r w:rsidRPr="007944C8">
        <w:rPr>
          <w:b/>
          <w:bCs/>
          <w:caps/>
          <w:sz w:val="28"/>
          <w:szCs w:val="28"/>
        </w:rPr>
        <w:t xml:space="preserve">Statement of Interest </w:t>
      </w:r>
    </w:p>
    <w:p w14:paraId="52ACA938" w14:textId="2E997AE9" w:rsidR="000D0D6E" w:rsidRPr="000D0D6E" w:rsidRDefault="000D0D6E" w:rsidP="000D0D6E">
      <w:pPr>
        <w:tabs>
          <w:tab w:val="left" w:pos="0"/>
        </w:tabs>
        <w:spacing w:before="40" w:line="480" w:lineRule="auto"/>
        <w:jc w:val="both"/>
        <w:rPr>
          <w:b/>
          <w:bCs/>
          <w:caps/>
          <w:sz w:val="28"/>
          <w:szCs w:val="28"/>
        </w:rPr>
      </w:pPr>
      <w:r>
        <w:rPr>
          <w:bCs/>
          <w:sz w:val="28"/>
          <w:szCs w:val="28"/>
        </w:rPr>
        <w:tab/>
      </w:r>
      <w:bookmarkStart w:id="7" w:name="_Hlk70925675"/>
      <w:r w:rsidRPr="000D0D6E">
        <w:rPr>
          <w:bCs/>
          <w:sz w:val="28"/>
          <w:szCs w:val="28"/>
        </w:rPr>
        <w:t>The Arizona Medical Association (“</w:t>
      </w:r>
      <w:proofErr w:type="spellStart"/>
      <w:r w:rsidRPr="000D0D6E">
        <w:rPr>
          <w:bCs/>
          <w:sz w:val="28"/>
          <w:szCs w:val="28"/>
        </w:rPr>
        <w:t>ArMA</w:t>
      </w:r>
      <w:proofErr w:type="spellEnd"/>
      <w:r w:rsidRPr="000D0D6E">
        <w:rPr>
          <w:bCs/>
          <w:sz w:val="28"/>
          <w:szCs w:val="28"/>
        </w:rPr>
        <w:t xml:space="preserve">”) is a voluntary membership organization for Arizona physicians. Its mission is to promote leadership in the art and science of medicine and to advocate for economically sustainable medical practices, the freedom to deliver care in the best interests of patients, and health for all Arizonans. </w:t>
      </w:r>
      <w:proofErr w:type="spellStart"/>
      <w:r w:rsidRPr="000D0D6E">
        <w:rPr>
          <w:bCs/>
          <w:sz w:val="28"/>
          <w:szCs w:val="28"/>
        </w:rPr>
        <w:t>ArMA</w:t>
      </w:r>
      <w:proofErr w:type="spellEnd"/>
      <w:r w:rsidRPr="000D0D6E">
        <w:rPr>
          <w:bCs/>
          <w:sz w:val="28"/>
          <w:szCs w:val="28"/>
        </w:rPr>
        <w:t xml:space="preserve"> frequently represents physicians and the profession at the state capitol on legislative issues affecting physicians and their patients.</w:t>
      </w:r>
      <w:bookmarkEnd w:id="7"/>
    </w:p>
    <w:p w14:paraId="3CB66FA2" w14:textId="3FC73F22" w:rsidR="008179BC" w:rsidRPr="007944C8" w:rsidRDefault="008179BC" w:rsidP="008179BC">
      <w:pPr>
        <w:spacing w:line="480" w:lineRule="auto"/>
        <w:ind w:firstLine="720"/>
        <w:jc w:val="both"/>
        <w:rPr>
          <w:bCs/>
          <w:sz w:val="28"/>
          <w:szCs w:val="28"/>
        </w:rPr>
      </w:pPr>
      <w:r w:rsidRPr="007944C8">
        <w:rPr>
          <w:bCs/>
          <w:sz w:val="28"/>
          <w:szCs w:val="28"/>
        </w:rPr>
        <w:t xml:space="preserve">The Arizona Osteopathic Medical Association (“AOMA”) is a voluntary membership organization for Arizona osteopathic physicians. Its mission is to </w:t>
      </w:r>
      <w:r w:rsidRPr="007944C8">
        <w:rPr>
          <w:bCs/>
          <w:sz w:val="28"/>
          <w:szCs w:val="28"/>
        </w:rPr>
        <w:lastRenderedPageBreak/>
        <w:t xml:space="preserve">promote the osteopathic medical profession, serve its members, provide osteopathic continuing medical education, and advocate for access to high quality, cost-effective healthcare. AOMA frequently provides effective advocacy on behalf of its members at the local, state, and national level to defeat legislation and regulations detrimental to patients and the profession. </w:t>
      </w:r>
    </w:p>
    <w:p w14:paraId="3DE5630F" w14:textId="50AA44A0" w:rsidR="008179BC" w:rsidRPr="007944C8" w:rsidRDefault="008179BC" w:rsidP="008179BC">
      <w:pPr>
        <w:spacing w:line="480" w:lineRule="auto"/>
        <w:ind w:firstLine="720"/>
        <w:jc w:val="both"/>
        <w:rPr>
          <w:bCs/>
          <w:sz w:val="28"/>
          <w:szCs w:val="28"/>
        </w:rPr>
      </w:pPr>
      <w:r w:rsidRPr="007944C8">
        <w:rPr>
          <w:bCs/>
          <w:sz w:val="28"/>
          <w:szCs w:val="28"/>
        </w:rPr>
        <w:t xml:space="preserve">Because they are key </w:t>
      </w:r>
      <w:r w:rsidR="000D0D6E">
        <w:rPr>
          <w:bCs/>
          <w:sz w:val="28"/>
          <w:szCs w:val="28"/>
        </w:rPr>
        <w:t>stakeholders</w:t>
      </w:r>
      <w:r w:rsidRPr="007944C8">
        <w:rPr>
          <w:bCs/>
          <w:sz w:val="28"/>
          <w:szCs w:val="28"/>
        </w:rPr>
        <w:t xml:space="preserve"> in a highly regulated profession, both </w:t>
      </w:r>
      <w:proofErr w:type="spellStart"/>
      <w:r w:rsidRPr="007944C8">
        <w:rPr>
          <w:bCs/>
          <w:sz w:val="28"/>
          <w:szCs w:val="28"/>
        </w:rPr>
        <w:t>ArMA</w:t>
      </w:r>
      <w:proofErr w:type="spellEnd"/>
      <w:r w:rsidRPr="007944C8">
        <w:rPr>
          <w:bCs/>
          <w:sz w:val="28"/>
          <w:szCs w:val="28"/>
        </w:rPr>
        <w:t xml:space="preserve"> and AOMA have a unique perspective on laws impacting the medical community. Likewise, because their members are inevitable targets of professional liability lawsuits, these organizations have a keen interest in the rules which impact the discourse and fairness of civil litigation. Namely, rules that promote fairness to both parties in a civil action is essential in </w:t>
      </w:r>
      <w:bookmarkStart w:id="8" w:name="_Hlk70669460"/>
      <w:r w:rsidRPr="007944C8">
        <w:rPr>
          <w:bCs/>
          <w:sz w:val="28"/>
          <w:szCs w:val="28"/>
        </w:rPr>
        <w:t>professional liability lawsuits because the outcome of the case can have far-reaching collateral consequences on a physician’s ability to serve their communities, obtain insurance, and, ultimately earn a living.</w:t>
      </w:r>
      <w:bookmarkEnd w:id="8"/>
      <w:r w:rsidRPr="007944C8">
        <w:rPr>
          <w:bCs/>
          <w:sz w:val="28"/>
          <w:szCs w:val="28"/>
        </w:rPr>
        <w:t xml:space="preserve"> </w:t>
      </w:r>
    </w:p>
    <w:p w14:paraId="2415FBAF" w14:textId="22C5B7AD" w:rsidR="008179BC" w:rsidRPr="007944C8" w:rsidRDefault="008179BC" w:rsidP="008179BC">
      <w:pPr>
        <w:spacing w:line="480" w:lineRule="auto"/>
        <w:ind w:firstLine="720"/>
        <w:jc w:val="both"/>
        <w:rPr>
          <w:bCs/>
          <w:sz w:val="28"/>
          <w:szCs w:val="28"/>
        </w:rPr>
      </w:pPr>
      <w:r w:rsidRPr="007944C8">
        <w:rPr>
          <w:bCs/>
          <w:sz w:val="28"/>
          <w:szCs w:val="28"/>
        </w:rPr>
        <w:t xml:space="preserve">The Arizona Chamber of Commerce and Industry (the “Chamber”) is a diverse organization with its members employing over 250,000 Arizonans in all business and economic sectors, from manufacturing to services, and includes small, medium, and large employers. The Chamber is the leading voice of business, including various economic sectors which are essential, </w:t>
      </w:r>
      <w:proofErr w:type="gramStart"/>
      <w:r w:rsidRPr="007944C8">
        <w:rPr>
          <w:bCs/>
          <w:sz w:val="28"/>
          <w:szCs w:val="28"/>
        </w:rPr>
        <w:t>necessary</w:t>
      </w:r>
      <w:proofErr w:type="gramEnd"/>
      <w:r w:rsidRPr="007944C8">
        <w:rPr>
          <w:bCs/>
          <w:sz w:val="28"/>
          <w:szCs w:val="28"/>
        </w:rPr>
        <w:t xml:space="preserve"> and productive employers in Arizona. The Chamber frequently represents the interest</w:t>
      </w:r>
      <w:r w:rsidR="00107C1F">
        <w:rPr>
          <w:bCs/>
          <w:sz w:val="28"/>
          <w:szCs w:val="28"/>
        </w:rPr>
        <w:t>s</w:t>
      </w:r>
      <w:r w:rsidRPr="007944C8">
        <w:rPr>
          <w:bCs/>
          <w:sz w:val="28"/>
          <w:szCs w:val="28"/>
        </w:rPr>
        <w:t xml:space="preserve"> of commerce and industry at the state legislature and is committed to advancing Arizona’s </w:t>
      </w:r>
      <w:r w:rsidRPr="007944C8">
        <w:rPr>
          <w:bCs/>
          <w:sz w:val="28"/>
          <w:szCs w:val="28"/>
        </w:rPr>
        <w:lastRenderedPageBreak/>
        <w:t>competitive position in the global economy. The Chamber’s members are likely targets of complex and costly civil litigation and thus have a stake in rules which affect the fairness and uniformity of civil jury trials. These trials, like professional liability lawsuits, have the potential to affect not just large corporations, but individual and family-owned businesses and those individuals’ ability promote a diverse economic landscape in Arizona.</w:t>
      </w:r>
    </w:p>
    <w:p w14:paraId="1A8AD225" w14:textId="32C2E637" w:rsidR="00FE0998" w:rsidRPr="007944C8" w:rsidRDefault="008179BC" w:rsidP="008179BC">
      <w:pPr>
        <w:spacing w:line="480" w:lineRule="auto"/>
        <w:ind w:firstLine="720"/>
        <w:jc w:val="both"/>
        <w:rPr>
          <w:bCs/>
          <w:sz w:val="28"/>
          <w:szCs w:val="28"/>
        </w:rPr>
      </w:pPr>
      <w:r w:rsidRPr="007944C8">
        <w:rPr>
          <w:bCs/>
          <w:sz w:val="28"/>
          <w:szCs w:val="28"/>
        </w:rPr>
        <w:t xml:space="preserve">Accordingly, </w:t>
      </w:r>
      <w:proofErr w:type="spellStart"/>
      <w:r w:rsidRPr="007944C8">
        <w:rPr>
          <w:bCs/>
          <w:sz w:val="28"/>
          <w:szCs w:val="28"/>
        </w:rPr>
        <w:t>ArMA</w:t>
      </w:r>
      <w:r w:rsidR="00927F29">
        <w:rPr>
          <w:bCs/>
          <w:sz w:val="28"/>
          <w:szCs w:val="28"/>
        </w:rPr>
        <w:t>’s</w:t>
      </w:r>
      <w:proofErr w:type="spellEnd"/>
      <w:r w:rsidRPr="007944C8">
        <w:rPr>
          <w:bCs/>
          <w:sz w:val="28"/>
          <w:szCs w:val="28"/>
        </w:rPr>
        <w:t>, AOMA</w:t>
      </w:r>
      <w:r w:rsidR="00927F29">
        <w:rPr>
          <w:bCs/>
          <w:sz w:val="28"/>
          <w:szCs w:val="28"/>
        </w:rPr>
        <w:t>’s,</w:t>
      </w:r>
      <w:r w:rsidR="00442D47">
        <w:rPr>
          <w:bCs/>
          <w:sz w:val="28"/>
          <w:szCs w:val="28"/>
        </w:rPr>
        <w:t xml:space="preserve"> </w:t>
      </w:r>
      <w:r w:rsidRPr="007944C8">
        <w:rPr>
          <w:bCs/>
          <w:sz w:val="28"/>
          <w:szCs w:val="28"/>
        </w:rPr>
        <w:t>and the Chamber’s members</w:t>
      </w:r>
      <w:r w:rsidR="001D0876">
        <w:rPr>
          <w:bCs/>
          <w:sz w:val="28"/>
          <w:szCs w:val="28"/>
        </w:rPr>
        <w:t>hip</w:t>
      </w:r>
      <w:r w:rsidRPr="007944C8">
        <w:rPr>
          <w:bCs/>
          <w:sz w:val="28"/>
          <w:szCs w:val="28"/>
        </w:rPr>
        <w:t xml:space="preserve"> </w:t>
      </w:r>
      <w:r w:rsidR="00A02A0D" w:rsidRPr="007944C8">
        <w:rPr>
          <w:bCs/>
          <w:sz w:val="28"/>
          <w:szCs w:val="28"/>
        </w:rPr>
        <w:t xml:space="preserve">have a vested interest in opposing </w:t>
      </w:r>
      <w:r w:rsidR="00FE0998" w:rsidRPr="007944C8">
        <w:rPr>
          <w:bCs/>
          <w:sz w:val="28"/>
          <w:szCs w:val="28"/>
        </w:rPr>
        <w:t xml:space="preserve">rule </w:t>
      </w:r>
      <w:r w:rsidR="002069B1">
        <w:rPr>
          <w:bCs/>
          <w:sz w:val="28"/>
          <w:szCs w:val="28"/>
        </w:rPr>
        <w:t>P</w:t>
      </w:r>
      <w:r w:rsidR="00FE0998" w:rsidRPr="007944C8">
        <w:rPr>
          <w:bCs/>
          <w:sz w:val="28"/>
          <w:szCs w:val="28"/>
        </w:rPr>
        <w:t xml:space="preserve">etition R-21-0006, eliminating </w:t>
      </w:r>
      <w:r w:rsidR="00974624" w:rsidRPr="007944C8">
        <w:rPr>
          <w:bCs/>
          <w:sz w:val="28"/>
          <w:szCs w:val="28"/>
        </w:rPr>
        <w:t xml:space="preserve">the </w:t>
      </w:r>
      <w:r w:rsidR="00FE0998" w:rsidRPr="007944C8">
        <w:rPr>
          <w:bCs/>
          <w:sz w:val="28"/>
          <w:szCs w:val="28"/>
        </w:rPr>
        <w:t xml:space="preserve">peremptory </w:t>
      </w:r>
      <w:r w:rsidR="00974624" w:rsidRPr="007944C8">
        <w:rPr>
          <w:bCs/>
          <w:sz w:val="28"/>
          <w:szCs w:val="28"/>
        </w:rPr>
        <w:t>change of judge</w:t>
      </w:r>
      <w:r w:rsidR="00FE0998" w:rsidRPr="007944C8">
        <w:rPr>
          <w:bCs/>
          <w:sz w:val="28"/>
          <w:szCs w:val="28"/>
        </w:rPr>
        <w:t>, because the proposed rule would</w:t>
      </w:r>
      <w:r w:rsidR="00974624" w:rsidRPr="007944C8">
        <w:rPr>
          <w:bCs/>
          <w:sz w:val="28"/>
          <w:szCs w:val="28"/>
        </w:rPr>
        <w:t xml:space="preserve"> undermine a key resource that ensures fairness in professional liability</w:t>
      </w:r>
      <w:r w:rsidR="00B712AE" w:rsidRPr="007944C8">
        <w:rPr>
          <w:bCs/>
          <w:sz w:val="28"/>
          <w:szCs w:val="28"/>
        </w:rPr>
        <w:t xml:space="preserve"> </w:t>
      </w:r>
      <w:r w:rsidR="009825A6" w:rsidRPr="007944C8">
        <w:rPr>
          <w:bCs/>
          <w:sz w:val="28"/>
          <w:szCs w:val="28"/>
        </w:rPr>
        <w:t>lawsuits and corporate civil litigation</w:t>
      </w:r>
      <w:r w:rsidR="00974624" w:rsidRPr="007944C8">
        <w:rPr>
          <w:bCs/>
          <w:sz w:val="28"/>
          <w:szCs w:val="28"/>
        </w:rPr>
        <w:t>.</w:t>
      </w:r>
    </w:p>
    <w:bookmarkEnd w:id="4"/>
    <w:bookmarkEnd w:id="6"/>
    <w:p w14:paraId="35845FFE" w14:textId="70222CEC" w:rsidR="001266A7" w:rsidRPr="007944C8" w:rsidRDefault="001266A7" w:rsidP="00994E64">
      <w:pPr>
        <w:pStyle w:val="ListParagraph"/>
        <w:numPr>
          <w:ilvl w:val="0"/>
          <w:numId w:val="1"/>
        </w:numPr>
        <w:spacing w:after="240" w:line="240" w:lineRule="auto"/>
        <w:ind w:left="720" w:hanging="450"/>
        <w:jc w:val="both"/>
        <w:rPr>
          <w:b/>
          <w:bCs/>
          <w:caps/>
          <w:sz w:val="28"/>
          <w:szCs w:val="28"/>
        </w:rPr>
      </w:pPr>
      <w:r w:rsidRPr="007944C8">
        <w:rPr>
          <w:b/>
          <w:bCs/>
          <w:caps/>
          <w:sz w:val="28"/>
          <w:szCs w:val="28"/>
        </w:rPr>
        <w:t>Reasons Proposed Rule Amendment Should Not Be Adopted</w:t>
      </w:r>
      <w:r w:rsidR="00347CB0" w:rsidRPr="007944C8">
        <w:rPr>
          <w:b/>
          <w:bCs/>
          <w:caps/>
          <w:sz w:val="28"/>
          <w:szCs w:val="28"/>
        </w:rPr>
        <w:t>.</w:t>
      </w:r>
    </w:p>
    <w:p w14:paraId="6C27EBC5" w14:textId="30B51D33" w:rsidR="00792E0C" w:rsidRPr="007944C8" w:rsidRDefault="00757480" w:rsidP="00994E64">
      <w:pPr>
        <w:widowControl w:val="0"/>
        <w:tabs>
          <w:tab w:val="left" w:pos="0"/>
        </w:tabs>
        <w:spacing w:before="40" w:line="480" w:lineRule="auto"/>
        <w:jc w:val="both"/>
        <w:rPr>
          <w:bCs/>
          <w:sz w:val="28"/>
          <w:szCs w:val="28"/>
        </w:rPr>
      </w:pPr>
      <w:r w:rsidRPr="007944C8">
        <w:rPr>
          <w:bCs/>
          <w:sz w:val="28"/>
          <w:szCs w:val="28"/>
        </w:rPr>
        <w:tab/>
      </w:r>
      <w:r w:rsidR="004C0863" w:rsidRPr="007944C8">
        <w:rPr>
          <w:bCs/>
          <w:sz w:val="28"/>
          <w:szCs w:val="28"/>
        </w:rPr>
        <w:t xml:space="preserve">In </w:t>
      </w:r>
      <w:r w:rsidR="00974624" w:rsidRPr="007944C8">
        <w:rPr>
          <w:bCs/>
          <w:sz w:val="28"/>
          <w:szCs w:val="28"/>
        </w:rPr>
        <w:t xml:space="preserve">its rule </w:t>
      </w:r>
      <w:r w:rsidR="002069B1">
        <w:rPr>
          <w:bCs/>
          <w:sz w:val="28"/>
          <w:szCs w:val="28"/>
        </w:rPr>
        <w:t>P</w:t>
      </w:r>
      <w:r w:rsidR="00974624" w:rsidRPr="007944C8">
        <w:rPr>
          <w:bCs/>
          <w:sz w:val="28"/>
          <w:szCs w:val="28"/>
        </w:rPr>
        <w:t xml:space="preserve">etition, </w:t>
      </w:r>
      <w:r w:rsidR="004C0863" w:rsidRPr="007944C8">
        <w:rPr>
          <w:bCs/>
          <w:sz w:val="28"/>
          <w:szCs w:val="28"/>
        </w:rPr>
        <w:t xml:space="preserve">the Committee of Presiding Judges (the “Committee”) details </w:t>
      </w:r>
      <w:r w:rsidR="0036604F" w:rsidRPr="007944C8">
        <w:rPr>
          <w:bCs/>
          <w:sz w:val="28"/>
          <w:szCs w:val="28"/>
        </w:rPr>
        <w:t>various</w:t>
      </w:r>
      <w:r w:rsidR="004C0863" w:rsidRPr="007944C8">
        <w:rPr>
          <w:bCs/>
          <w:sz w:val="28"/>
          <w:szCs w:val="28"/>
        </w:rPr>
        <w:t xml:space="preserve"> concerns </w:t>
      </w:r>
      <w:r w:rsidR="0036604F" w:rsidRPr="007944C8">
        <w:rPr>
          <w:bCs/>
          <w:sz w:val="28"/>
          <w:szCs w:val="28"/>
        </w:rPr>
        <w:t>regarding</w:t>
      </w:r>
      <w:r w:rsidR="001411D5" w:rsidRPr="007944C8">
        <w:rPr>
          <w:bCs/>
          <w:sz w:val="28"/>
          <w:szCs w:val="28"/>
        </w:rPr>
        <w:t xml:space="preserve"> </w:t>
      </w:r>
      <w:r w:rsidR="004C0863" w:rsidRPr="007944C8">
        <w:rPr>
          <w:bCs/>
          <w:sz w:val="28"/>
          <w:szCs w:val="28"/>
        </w:rPr>
        <w:t>Criminal Rule 10.2</w:t>
      </w:r>
      <w:r w:rsidR="001411D5" w:rsidRPr="007944C8">
        <w:rPr>
          <w:bCs/>
          <w:sz w:val="28"/>
          <w:szCs w:val="28"/>
        </w:rPr>
        <w:t xml:space="preserve"> and its alleged abuse</w:t>
      </w:r>
      <w:r w:rsidR="00B17E1E" w:rsidRPr="007944C8">
        <w:rPr>
          <w:bCs/>
          <w:sz w:val="28"/>
          <w:szCs w:val="28"/>
        </w:rPr>
        <w:t xml:space="preserve"> and overuse to engage in undue gamesmanship or to delay </w:t>
      </w:r>
      <w:r w:rsidR="001411D5" w:rsidRPr="007944C8">
        <w:rPr>
          <w:bCs/>
          <w:sz w:val="28"/>
          <w:szCs w:val="28"/>
        </w:rPr>
        <w:t>criminal trials</w:t>
      </w:r>
      <w:r w:rsidR="004C0863" w:rsidRPr="007944C8">
        <w:rPr>
          <w:bCs/>
          <w:sz w:val="28"/>
          <w:szCs w:val="28"/>
        </w:rPr>
        <w:t>.</w:t>
      </w:r>
      <w:r w:rsidR="008F0F71" w:rsidRPr="007944C8">
        <w:rPr>
          <w:bCs/>
          <w:sz w:val="28"/>
          <w:szCs w:val="28"/>
        </w:rPr>
        <w:t xml:space="preserve"> </w:t>
      </w:r>
      <w:r w:rsidR="00096EAA" w:rsidRPr="007944C8">
        <w:rPr>
          <w:bCs/>
          <w:sz w:val="28"/>
          <w:szCs w:val="28"/>
        </w:rPr>
        <w:t xml:space="preserve"> However, the Committee offers no </w:t>
      </w:r>
      <w:r w:rsidR="006A1928" w:rsidRPr="007944C8">
        <w:rPr>
          <w:bCs/>
          <w:sz w:val="28"/>
          <w:szCs w:val="28"/>
        </w:rPr>
        <w:t xml:space="preserve">reason or evidence to show that the same kind of alleged abuse is present in civil trials. In </w:t>
      </w:r>
      <w:proofErr w:type="spellStart"/>
      <w:r w:rsidR="006A1928" w:rsidRPr="007944C8">
        <w:rPr>
          <w:bCs/>
          <w:sz w:val="28"/>
          <w:szCs w:val="28"/>
        </w:rPr>
        <w:t>ArMA</w:t>
      </w:r>
      <w:proofErr w:type="spellEnd"/>
      <w:r w:rsidR="00920CBA" w:rsidRPr="007944C8">
        <w:rPr>
          <w:bCs/>
          <w:sz w:val="28"/>
          <w:szCs w:val="28"/>
        </w:rPr>
        <w:t xml:space="preserve">, </w:t>
      </w:r>
      <w:r w:rsidR="006A1928" w:rsidRPr="007944C8">
        <w:rPr>
          <w:bCs/>
          <w:sz w:val="28"/>
          <w:szCs w:val="28"/>
        </w:rPr>
        <w:t>AOMA</w:t>
      </w:r>
      <w:r w:rsidR="000B642E" w:rsidRPr="007944C8">
        <w:rPr>
          <w:bCs/>
          <w:sz w:val="28"/>
          <w:szCs w:val="28"/>
        </w:rPr>
        <w:t>,</w:t>
      </w:r>
      <w:r w:rsidR="00920CBA" w:rsidRPr="007944C8">
        <w:rPr>
          <w:bCs/>
          <w:sz w:val="28"/>
          <w:szCs w:val="28"/>
        </w:rPr>
        <w:t xml:space="preserve"> and the </w:t>
      </w:r>
      <w:r w:rsidR="000B642E" w:rsidRPr="007944C8">
        <w:rPr>
          <w:bCs/>
          <w:sz w:val="28"/>
          <w:szCs w:val="28"/>
        </w:rPr>
        <w:t>Chamber’s</w:t>
      </w:r>
      <w:r w:rsidR="006A1928" w:rsidRPr="007944C8">
        <w:rPr>
          <w:bCs/>
          <w:sz w:val="28"/>
          <w:szCs w:val="28"/>
        </w:rPr>
        <w:t xml:space="preserve"> experience, </w:t>
      </w:r>
      <w:r w:rsidR="00792E0C" w:rsidRPr="007944C8">
        <w:rPr>
          <w:bCs/>
          <w:sz w:val="28"/>
          <w:szCs w:val="28"/>
        </w:rPr>
        <w:t xml:space="preserve">no such abuse exists. As many other </w:t>
      </w:r>
      <w:r w:rsidR="00D61117" w:rsidRPr="007944C8">
        <w:rPr>
          <w:bCs/>
          <w:sz w:val="28"/>
          <w:szCs w:val="28"/>
        </w:rPr>
        <w:t>commentors</w:t>
      </w:r>
      <w:r w:rsidR="00792E0C" w:rsidRPr="007944C8">
        <w:rPr>
          <w:bCs/>
          <w:sz w:val="28"/>
          <w:szCs w:val="28"/>
        </w:rPr>
        <w:t xml:space="preserve"> in opposition note, despite being an essential tool to mitigate judicial bias, parties to civil litigation rarely use peremptory judge strikes. </w:t>
      </w:r>
      <w:r w:rsidR="00673B0A" w:rsidRPr="007944C8">
        <w:rPr>
          <w:bCs/>
          <w:sz w:val="28"/>
          <w:szCs w:val="28"/>
        </w:rPr>
        <w:t xml:space="preserve">Simply, in the civil litigation context, the possibility of a bar complaint serves as a strong deterrent and </w:t>
      </w:r>
      <w:r w:rsidR="00792E0C" w:rsidRPr="007944C8">
        <w:rPr>
          <w:bCs/>
          <w:sz w:val="28"/>
          <w:szCs w:val="28"/>
        </w:rPr>
        <w:t>prevent</w:t>
      </w:r>
      <w:r w:rsidR="00673B0A" w:rsidRPr="007944C8">
        <w:rPr>
          <w:bCs/>
          <w:sz w:val="28"/>
          <w:szCs w:val="28"/>
        </w:rPr>
        <w:t>s</w:t>
      </w:r>
      <w:r w:rsidR="00792E0C" w:rsidRPr="007944C8">
        <w:rPr>
          <w:bCs/>
          <w:sz w:val="28"/>
          <w:szCs w:val="28"/>
        </w:rPr>
        <w:t xml:space="preserve"> attorneys from using peremptory judge </w:t>
      </w:r>
      <w:r w:rsidR="00792E0C" w:rsidRPr="007944C8">
        <w:rPr>
          <w:bCs/>
          <w:sz w:val="28"/>
          <w:szCs w:val="28"/>
        </w:rPr>
        <w:lastRenderedPageBreak/>
        <w:t xml:space="preserve">strikes in a haphazard and overzealous manner. </w:t>
      </w:r>
    </w:p>
    <w:p w14:paraId="0F1A8FEC" w14:textId="1B57AC20" w:rsidR="00673B0A" w:rsidRPr="007944C8" w:rsidRDefault="00673B0A" w:rsidP="00673B0A">
      <w:pPr>
        <w:widowControl w:val="0"/>
        <w:tabs>
          <w:tab w:val="left" w:pos="0"/>
        </w:tabs>
        <w:spacing w:before="40" w:line="480" w:lineRule="auto"/>
        <w:jc w:val="both"/>
        <w:rPr>
          <w:bCs/>
          <w:sz w:val="28"/>
          <w:szCs w:val="28"/>
        </w:rPr>
      </w:pPr>
      <w:r w:rsidRPr="007944C8">
        <w:rPr>
          <w:sz w:val="28"/>
          <w:szCs w:val="28"/>
        </w:rPr>
        <w:tab/>
        <w:t xml:space="preserve">If the same issues and possibilities for abuse that the Committee </w:t>
      </w:r>
      <w:r w:rsidR="00605638" w:rsidRPr="007944C8">
        <w:rPr>
          <w:sz w:val="28"/>
          <w:szCs w:val="28"/>
        </w:rPr>
        <w:t>cites from the</w:t>
      </w:r>
      <w:r w:rsidRPr="007944C8">
        <w:rPr>
          <w:sz w:val="28"/>
          <w:szCs w:val="28"/>
        </w:rPr>
        <w:t xml:space="preserve"> criminal </w:t>
      </w:r>
      <w:r w:rsidR="00605638" w:rsidRPr="007944C8">
        <w:rPr>
          <w:sz w:val="28"/>
          <w:szCs w:val="28"/>
        </w:rPr>
        <w:t>setting</w:t>
      </w:r>
      <w:r w:rsidRPr="007944C8">
        <w:rPr>
          <w:sz w:val="28"/>
          <w:szCs w:val="28"/>
        </w:rPr>
        <w:t xml:space="preserve"> </w:t>
      </w:r>
      <w:r w:rsidR="008D1693" w:rsidRPr="007944C8">
        <w:rPr>
          <w:i/>
          <w:iCs/>
          <w:sz w:val="28"/>
          <w:szCs w:val="28"/>
        </w:rPr>
        <w:t>do</w:t>
      </w:r>
      <w:r w:rsidRPr="007944C8">
        <w:rPr>
          <w:i/>
          <w:iCs/>
          <w:sz w:val="28"/>
          <w:szCs w:val="28"/>
        </w:rPr>
        <w:t xml:space="preserve"> </w:t>
      </w:r>
      <w:r w:rsidRPr="007944C8">
        <w:rPr>
          <w:sz w:val="28"/>
          <w:szCs w:val="28"/>
        </w:rPr>
        <w:t xml:space="preserve">exist </w:t>
      </w:r>
      <w:r w:rsidR="008D1693" w:rsidRPr="007944C8">
        <w:rPr>
          <w:sz w:val="28"/>
          <w:szCs w:val="28"/>
        </w:rPr>
        <w:t>in</w:t>
      </w:r>
      <w:r w:rsidRPr="007944C8">
        <w:rPr>
          <w:sz w:val="28"/>
          <w:szCs w:val="28"/>
        </w:rPr>
        <w:t xml:space="preserve"> the civil setting, trial lawyers and their clients—the stakeholders who will be most severely affected by the elimination of peremptory judge strikes—should be able to examine </w:t>
      </w:r>
      <w:r w:rsidR="000208E1" w:rsidRPr="007944C8">
        <w:rPr>
          <w:sz w:val="28"/>
          <w:szCs w:val="28"/>
        </w:rPr>
        <w:t xml:space="preserve">that evidence and weigh in on its </w:t>
      </w:r>
      <w:r w:rsidR="00605638" w:rsidRPr="007944C8">
        <w:rPr>
          <w:sz w:val="28"/>
          <w:szCs w:val="28"/>
        </w:rPr>
        <w:t>persuasiveness</w:t>
      </w:r>
      <w:r w:rsidR="000208E1" w:rsidRPr="007944C8">
        <w:rPr>
          <w:sz w:val="28"/>
          <w:szCs w:val="28"/>
        </w:rPr>
        <w:t>.</w:t>
      </w:r>
    </w:p>
    <w:p w14:paraId="58298D1E" w14:textId="12EBD55E" w:rsidR="00345EA5" w:rsidRPr="007944C8" w:rsidRDefault="00757480" w:rsidP="001411D5">
      <w:pPr>
        <w:tabs>
          <w:tab w:val="left" w:pos="0"/>
        </w:tabs>
        <w:spacing w:before="40" w:line="480" w:lineRule="auto"/>
        <w:jc w:val="both"/>
        <w:rPr>
          <w:bCs/>
          <w:sz w:val="28"/>
          <w:szCs w:val="28"/>
        </w:rPr>
      </w:pPr>
      <w:r w:rsidRPr="007944C8">
        <w:rPr>
          <w:bCs/>
          <w:sz w:val="28"/>
          <w:szCs w:val="28"/>
        </w:rPr>
        <w:tab/>
      </w:r>
      <w:r w:rsidR="00475F99" w:rsidRPr="007944C8">
        <w:rPr>
          <w:bCs/>
          <w:sz w:val="28"/>
          <w:szCs w:val="28"/>
        </w:rPr>
        <w:t>The Committee</w:t>
      </w:r>
      <w:r w:rsidR="008F0F71" w:rsidRPr="007944C8">
        <w:rPr>
          <w:bCs/>
          <w:sz w:val="28"/>
          <w:szCs w:val="28"/>
        </w:rPr>
        <w:t xml:space="preserve"> also</w:t>
      </w:r>
      <w:r w:rsidR="00475F99" w:rsidRPr="007944C8">
        <w:rPr>
          <w:bCs/>
          <w:sz w:val="28"/>
          <w:szCs w:val="28"/>
        </w:rPr>
        <w:t xml:space="preserve"> asserts that when litigants are permitted to </w:t>
      </w:r>
      <w:r w:rsidR="00B571BB" w:rsidRPr="007944C8">
        <w:rPr>
          <w:bCs/>
          <w:sz w:val="28"/>
          <w:szCs w:val="28"/>
        </w:rPr>
        <w:t>exercise a peremptory judge strike, they contravene the will of voters</w:t>
      </w:r>
      <w:r w:rsidR="008F0F71" w:rsidRPr="007944C8">
        <w:rPr>
          <w:bCs/>
          <w:sz w:val="28"/>
          <w:szCs w:val="28"/>
        </w:rPr>
        <w:t xml:space="preserve">, because </w:t>
      </w:r>
      <w:r w:rsidR="00345EA5" w:rsidRPr="007944C8">
        <w:rPr>
          <w:bCs/>
          <w:sz w:val="28"/>
          <w:szCs w:val="28"/>
        </w:rPr>
        <w:t>“many”</w:t>
      </w:r>
      <w:r w:rsidR="008F0F71" w:rsidRPr="007944C8">
        <w:rPr>
          <w:bCs/>
          <w:sz w:val="28"/>
          <w:szCs w:val="28"/>
        </w:rPr>
        <w:t xml:space="preserve"> judges are elected</w:t>
      </w:r>
      <w:r w:rsidR="00B571BB" w:rsidRPr="007944C8">
        <w:rPr>
          <w:bCs/>
          <w:sz w:val="28"/>
          <w:szCs w:val="28"/>
        </w:rPr>
        <w:t xml:space="preserve">. </w:t>
      </w:r>
      <w:r w:rsidR="0036604F" w:rsidRPr="007944C8">
        <w:rPr>
          <w:bCs/>
          <w:sz w:val="28"/>
          <w:szCs w:val="28"/>
        </w:rPr>
        <w:t xml:space="preserve">(Petition R-21-0006, at 4). </w:t>
      </w:r>
      <w:r w:rsidR="00605638" w:rsidRPr="007944C8">
        <w:rPr>
          <w:bCs/>
          <w:sz w:val="28"/>
          <w:szCs w:val="28"/>
        </w:rPr>
        <w:t>As a result</w:t>
      </w:r>
      <w:r w:rsidR="00B571BB" w:rsidRPr="007944C8">
        <w:rPr>
          <w:bCs/>
          <w:sz w:val="28"/>
          <w:szCs w:val="28"/>
        </w:rPr>
        <w:t xml:space="preserve">, </w:t>
      </w:r>
      <w:r w:rsidR="0036604F" w:rsidRPr="007944C8">
        <w:rPr>
          <w:bCs/>
          <w:sz w:val="28"/>
          <w:szCs w:val="28"/>
        </w:rPr>
        <w:t>the Committee</w:t>
      </w:r>
      <w:r w:rsidR="00B571BB" w:rsidRPr="007944C8">
        <w:rPr>
          <w:bCs/>
          <w:sz w:val="28"/>
          <w:szCs w:val="28"/>
        </w:rPr>
        <w:t xml:space="preserve"> claim</w:t>
      </w:r>
      <w:r w:rsidR="0036604F" w:rsidRPr="007944C8">
        <w:rPr>
          <w:bCs/>
          <w:sz w:val="28"/>
          <w:szCs w:val="28"/>
        </w:rPr>
        <w:t>s</w:t>
      </w:r>
      <w:r w:rsidR="00B571BB" w:rsidRPr="007944C8">
        <w:rPr>
          <w:bCs/>
          <w:sz w:val="28"/>
          <w:szCs w:val="28"/>
        </w:rPr>
        <w:t>,</w:t>
      </w:r>
      <w:r w:rsidR="00605638" w:rsidRPr="007944C8">
        <w:rPr>
          <w:bCs/>
          <w:sz w:val="28"/>
          <w:szCs w:val="28"/>
        </w:rPr>
        <w:t xml:space="preserve"> peremptory judge strikes</w:t>
      </w:r>
      <w:r w:rsidR="00B571BB" w:rsidRPr="007944C8">
        <w:rPr>
          <w:bCs/>
          <w:sz w:val="28"/>
          <w:szCs w:val="28"/>
        </w:rPr>
        <w:t xml:space="preserve"> undermine the public trust.</w:t>
      </w:r>
      <w:r w:rsidR="00345EA5" w:rsidRPr="007944C8">
        <w:rPr>
          <w:bCs/>
          <w:sz w:val="28"/>
          <w:szCs w:val="28"/>
        </w:rPr>
        <w:t xml:space="preserve"> </w:t>
      </w:r>
      <w:r w:rsidR="008F0F71" w:rsidRPr="007944C8">
        <w:rPr>
          <w:bCs/>
          <w:sz w:val="28"/>
          <w:szCs w:val="28"/>
        </w:rPr>
        <w:t>This argument is inapplicable to the civil context, especially as applied to professional liability</w:t>
      </w:r>
      <w:r w:rsidR="000B642E" w:rsidRPr="007944C8">
        <w:rPr>
          <w:bCs/>
          <w:sz w:val="28"/>
          <w:szCs w:val="28"/>
        </w:rPr>
        <w:t xml:space="preserve"> and complex commercial</w:t>
      </w:r>
      <w:r w:rsidR="008F0F71" w:rsidRPr="007944C8">
        <w:rPr>
          <w:bCs/>
          <w:sz w:val="28"/>
          <w:szCs w:val="28"/>
        </w:rPr>
        <w:t xml:space="preserve"> trials, for two reasons.</w:t>
      </w:r>
      <w:bookmarkStart w:id="9" w:name="_Hlk70663117"/>
    </w:p>
    <w:p w14:paraId="6FF1FDD8" w14:textId="0321385D" w:rsidR="006F7F2E" w:rsidRPr="007944C8" w:rsidRDefault="006D07B6" w:rsidP="002053ED">
      <w:pPr>
        <w:tabs>
          <w:tab w:val="left" w:pos="0"/>
        </w:tabs>
        <w:spacing w:before="40" w:line="480" w:lineRule="auto"/>
        <w:jc w:val="both"/>
        <w:rPr>
          <w:bCs/>
          <w:sz w:val="28"/>
          <w:szCs w:val="28"/>
        </w:rPr>
      </w:pPr>
      <w:r w:rsidRPr="007944C8">
        <w:rPr>
          <w:bCs/>
          <w:sz w:val="28"/>
          <w:szCs w:val="28"/>
        </w:rPr>
        <w:tab/>
      </w:r>
      <w:r w:rsidR="008F0F71" w:rsidRPr="007944C8">
        <w:rPr>
          <w:bCs/>
          <w:sz w:val="28"/>
          <w:szCs w:val="28"/>
        </w:rPr>
        <w:t xml:space="preserve">First, the </w:t>
      </w:r>
      <w:r w:rsidR="00F65B39" w:rsidRPr="007944C8">
        <w:rPr>
          <w:bCs/>
          <w:sz w:val="28"/>
          <w:szCs w:val="28"/>
        </w:rPr>
        <w:t xml:space="preserve">argument ignores that </w:t>
      </w:r>
      <w:r w:rsidR="000B642E" w:rsidRPr="007944C8">
        <w:rPr>
          <w:bCs/>
          <w:sz w:val="28"/>
          <w:szCs w:val="28"/>
        </w:rPr>
        <w:t xml:space="preserve">although some </w:t>
      </w:r>
      <w:r w:rsidR="00F65B39" w:rsidRPr="007944C8">
        <w:rPr>
          <w:bCs/>
          <w:sz w:val="28"/>
          <w:szCs w:val="28"/>
        </w:rPr>
        <w:t xml:space="preserve">judges </w:t>
      </w:r>
      <w:r w:rsidR="000B642E" w:rsidRPr="007944C8">
        <w:rPr>
          <w:bCs/>
          <w:sz w:val="28"/>
          <w:szCs w:val="28"/>
        </w:rPr>
        <w:t xml:space="preserve">in Arizona’s smaller counties are elected, judges from </w:t>
      </w:r>
      <w:r w:rsidR="000761DC">
        <w:rPr>
          <w:bCs/>
          <w:sz w:val="28"/>
          <w:szCs w:val="28"/>
        </w:rPr>
        <w:t>Maricopa, Pima, Pinal</w:t>
      </w:r>
      <w:r w:rsidR="00E34CCE">
        <w:rPr>
          <w:bCs/>
          <w:sz w:val="28"/>
          <w:szCs w:val="28"/>
        </w:rPr>
        <w:t>,</w:t>
      </w:r>
      <w:r w:rsidR="000761DC">
        <w:rPr>
          <w:bCs/>
          <w:sz w:val="28"/>
          <w:szCs w:val="28"/>
        </w:rPr>
        <w:t xml:space="preserve"> and Coconino Counties</w:t>
      </w:r>
      <w:r w:rsidR="00E34CCE">
        <w:rPr>
          <w:rStyle w:val="FootnoteReference"/>
          <w:bCs/>
          <w:sz w:val="28"/>
          <w:szCs w:val="28"/>
        </w:rPr>
        <w:footnoteReference w:id="1"/>
      </w:r>
      <w:r w:rsidR="000761DC">
        <w:rPr>
          <w:bCs/>
          <w:sz w:val="28"/>
          <w:szCs w:val="28"/>
        </w:rPr>
        <w:t xml:space="preserve"> are</w:t>
      </w:r>
      <w:r w:rsidR="000B642E" w:rsidRPr="007944C8">
        <w:rPr>
          <w:bCs/>
          <w:sz w:val="28"/>
          <w:szCs w:val="28"/>
        </w:rPr>
        <w:t xml:space="preserve"> appointed. </w:t>
      </w:r>
      <w:r w:rsidR="00A027FC" w:rsidRPr="007944C8">
        <w:rPr>
          <w:bCs/>
          <w:sz w:val="28"/>
          <w:szCs w:val="28"/>
        </w:rPr>
        <w:t>For example, a</w:t>
      </w:r>
      <w:r w:rsidR="00605638" w:rsidRPr="007944C8">
        <w:rPr>
          <w:bCs/>
          <w:sz w:val="28"/>
          <w:szCs w:val="28"/>
        </w:rPr>
        <w:t>vailable data from fiscal year 2017</w:t>
      </w:r>
      <w:r w:rsidR="00442D47">
        <w:rPr>
          <w:bCs/>
          <w:sz w:val="28"/>
          <w:szCs w:val="28"/>
        </w:rPr>
        <w:t xml:space="preserve"> </w:t>
      </w:r>
      <w:r w:rsidR="00605638" w:rsidRPr="007944C8">
        <w:rPr>
          <w:bCs/>
          <w:sz w:val="28"/>
          <w:szCs w:val="28"/>
        </w:rPr>
        <w:t xml:space="preserve">reflects that of the 415 medical malpractice cases filed in the state of Arizona, </w:t>
      </w:r>
      <w:r w:rsidR="0045488B" w:rsidRPr="007944C8">
        <w:rPr>
          <w:bCs/>
          <w:sz w:val="28"/>
          <w:szCs w:val="28"/>
        </w:rPr>
        <w:t xml:space="preserve">302 of those cases were </w:t>
      </w:r>
      <w:r w:rsidR="0045488B" w:rsidRPr="007944C8">
        <w:rPr>
          <w:bCs/>
          <w:sz w:val="28"/>
          <w:szCs w:val="28"/>
        </w:rPr>
        <w:lastRenderedPageBreak/>
        <w:t>filed in Maricopa County</w:t>
      </w:r>
      <w:r w:rsidR="007718E6" w:rsidRPr="007944C8">
        <w:rPr>
          <w:bCs/>
          <w:sz w:val="28"/>
          <w:szCs w:val="28"/>
        </w:rPr>
        <w:t xml:space="preserve"> alone</w:t>
      </w:r>
      <w:r w:rsidR="0045488B" w:rsidRPr="007944C8">
        <w:rPr>
          <w:bCs/>
          <w:sz w:val="28"/>
          <w:szCs w:val="28"/>
        </w:rPr>
        <w:t>.</w:t>
      </w:r>
      <w:r w:rsidR="002053ED" w:rsidRPr="007944C8">
        <w:rPr>
          <w:bCs/>
          <w:sz w:val="28"/>
          <w:szCs w:val="28"/>
        </w:rPr>
        <w:t xml:space="preserve"> </w:t>
      </w:r>
      <w:r w:rsidR="002053ED" w:rsidRPr="007944C8">
        <w:rPr>
          <w:bCs/>
          <w:i/>
          <w:iCs/>
          <w:sz w:val="28"/>
          <w:szCs w:val="28"/>
        </w:rPr>
        <w:t>See Superior Court: Narrative</w:t>
      </w:r>
      <w:r w:rsidRPr="007944C8">
        <w:rPr>
          <w:bCs/>
          <w:i/>
          <w:iCs/>
          <w:sz w:val="28"/>
          <w:szCs w:val="28"/>
        </w:rPr>
        <w:t> </w:t>
      </w:r>
      <w:r w:rsidR="002053ED" w:rsidRPr="007944C8">
        <w:rPr>
          <w:bCs/>
          <w:i/>
          <w:iCs/>
          <w:sz w:val="28"/>
          <w:szCs w:val="28"/>
        </w:rPr>
        <w:t>Summary</w:t>
      </w:r>
      <w:r w:rsidR="002053ED" w:rsidRPr="007944C8">
        <w:rPr>
          <w:bCs/>
          <w:sz w:val="28"/>
          <w:szCs w:val="28"/>
        </w:rPr>
        <w:t>,</w:t>
      </w:r>
      <w:r w:rsidRPr="007944C8">
        <w:rPr>
          <w:bCs/>
          <w:sz w:val="28"/>
          <w:szCs w:val="28"/>
        </w:rPr>
        <w:t> </w:t>
      </w:r>
      <w:r w:rsidR="002053ED" w:rsidRPr="007944C8">
        <w:rPr>
          <w:bCs/>
          <w:sz w:val="28"/>
          <w:szCs w:val="28"/>
        </w:rPr>
        <w:t xml:space="preserve">AZ Courts, https://www.azcourts.gov/Portals/39/2017DR/SuperiorCourt.pdf#page=17 </w:t>
      </w:r>
      <w:r w:rsidR="006F7F2E" w:rsidRPr="007944C8">
        <w:rPr>
          <w:bCs/>
          <w:sz w:val="28"/>
          <w:szCs w:val="28"/>
        </w:rPr>
        <w:t>(</w:t>
      </w:r>
      <w:r w:rsidR="001875D1">
        <w:rPr>
          <w:bCs/>
          <w:sz w:val="28"/>
          <w:szCs w:val="28"/>
        </w:rPr>
        <w:t xml:space="preserve">additionally, </w:t>
      </w:r>
      <w:r w:rsidR="007718E6" w:rsidRPr="007944C8">
        <w:rPr>
          <w:bCs/>
          <w:sz w:val="28"/>
          <w:szCs w:val="28"/>
        </w:rPr>
        <w:t xml:space="preserve">57 </w:t>
      </w:r>
      <w:r w:rsidR="001875D1">
        <w:rPr>
          <w:bCs/>
          <w:sz w:val="28"/>
          <w:szCs w:val="28"/>
        </w:rPr>
        <w:t xml:space="preserve">medical malpractice cases </w:t>
      </w:r>
      <w:r w:rsidR="007718E6" w:rsidRPr="007944C8">
        <w:rPr>
          <w:bCs/>
          <w:sz w:val="28"/>
          <w:szCs w:val="28"/>
        </w:rPr>
        <w:t xml:space="preserve">were filed in Pima County, 12 were filed in Coconino County, and 9 were filed in Pinal County, </w:t>
      </w:r>
      <w:r w:rsidR="006F7F2E" w:rsidRPr="007944C8">
        <w:rPr>
          <w:bCs/>
          <w:sz w:val="28"/>
          <w:szCs w:val="28"/>
        </w:rPr>
        <w:t>leaving 35 medical malpractice cases filed in the remaining counties).</w:t>
      </w:r>
      <w:bookmarkEnd w:id="9"/>
    </w:p>
    <w:p w14:paraId="6584F275" w14:textId="5970A7E7" w:rsidR="00674D9D" w:rsidRPr="007944C8" w:rsidRDefault="006F7F2E" w:rsidP="006F7F2E">
      <w:pPr>
        <w:tabs>
          <w:tab w:val="left" w:pos="0"/>
        </w:tabs>
        <w:spacing w:before="40" w:line="480" w:lineRule="auto"/>
        <w:jc w:val="both"/>
        <w:rPr>
          <w:bCs/>
          <w:sz w:val="28"/>
          <w:szCs w:val="28"/>
        </w:rPr>
      </w:pPr>
      <w:r w:rsidRPr="007944C8">
        <w:rPr>
          <w:bCs/>
          <w:sz w:val="28"/>
          <w:szCs w:val="28"/>
        </w:rPr>
        <w:tab/>
      </w:r>
      <w:r w:rsidR="008F0F71" w:rsidRPr="007944C8">
        <w:rPr>
          <w:bCs/>
          <w:sz w:val="28"/>
          <w:szCs w:val="28"/>
        </w:rPr>
        <w:t>Second</w:t>
      </w:r>
      <w:r w:rsidR="00DD1484" w:rsidRPr="007944C8">
        <w:rPr>
          <w:bCs/>
          <w:sz w:val="28"/>
          <w:szCs w:val="28"/>
        </w:rPr>
        <w:t xml:space="preserve">, as one of the only tools at the Bar’s disposal to mitigate judicial bias, the preservation of peremptory judge strikes is essential to maintaining the value of public trust that the Committee emphasizes throughout its </w:t>
      </w:r>
      <w:r w:rsidR="002069B1">
        <w:rPr>
          <w:bCs/>
          <w:sz w:val="28"/>
          <w:szCs w:val="28"/>
        </w:rPr>
        <w:t>P</w:t>
      </w:r>
      <w:r w:rsidR="00DD1484" w:rsidRPr="007944C8">
        <w:rPr>
          <w:bCs/>
          <w:sz w:val="28"/>
          <w:szCs w:val="28"/>
        </w:rPr>
        <w:t>etition. Namely, w</w:t>
      </w:r>
      <w:r w:rsidR="00B571BB" w:rsidRPr="007944C8">
        <w:rPr>
          <w:bCs/>
          <w:sz w:val="28"/>
          <w:szCs w:val="28"/>
        </w:rPr>
        <w:t>hen litigants do need to notice a change</w:t>
      </w:r>
      <w:r w:rsidR="00E8476C" w:rsidRPr="007944C8">
        <w:rPr>
          <w:bCs/>
          <w:sz w:val="28"/>
          <w:szCs w:val="28"/>
        </w:rPr>
        <w:t xml:space="preserve"> </w:t>
      </w:r>
      <w:r w:rsidR="00B571BB" w:rsidRPr="007944C8">
        <w:rPr>
          <w:bCs/>
          <w:sz w:val="28"/>
          <w:szCs w:val="28"/>
        </w:rPr>
        <w:t>of</w:t>
      </w:r>
      <w:r w:rsidR="00E8476C" w:rsidRPr="007944C8">
        <w:rPr>
          <w:bCs/>
          <w:sz w:val="28"/>
          <w:szCs w:val="28"/>
        </w:rPr>
        <w:t xml:space="preserve"> </w:t>
      </w:r>
      <w:r w:rsidR="00B571BB" w:rsidRPr="007944C8">
        <w:rPr>
          <w:bCs/>
          <w:sz w:val="28"/>
          <w:szCs w:val="28"/>
        </w:rPr>
        <w:t>judge</w:t>
      </w:r>
      <w:r w:rsidR="0036604F" w:rsidRPr="007944C8">
        <w:rPr>
          <w:bCs/>
          <w:sz w:val="28"/>
          <w:szCs w:val="28"/>
        </w:rPr>
        <w:t>,</w:t>
      </w:r>
      <w:r w:rsidR="00B571BB" w:rsidRPr="007944C8">
        <w:rPr>
          <w:bCs/>
          <w:sz w:val="28"/>
          <w:szCs w:val="28"/>
        </w:rPr>
        <w:t xml:space="preserve"> it builds, rather than destroys, public trust in our judicial system because it communicates to litigants and </w:t>
      </w:r>
      <w:r w:rsidR="00791440" w:rsidRPr="007944C8">
        <w:rPr>
          <w:bCs/>
          <w:sz w:val="28"/>
          <w:szCs w:val="28"/>
        </w:rPr>
        <w:t xml:space="preserve">the community at large that members of the Bar are leveling the </w:t>
      </w:r>
      <w:r w:rsidR="00DA094D">
        <w:rPr>
          <w:bCs/>
          <w:sz w:val="28"/>
          <w:szCs w:val="28"/>
        </w:rPr>
        <w:t>“</w:t>
      </w:r>
      <w:r w:rsidR="00791440" w:rsidRPr="007944C8">
        <w:rPr>
          <w:bCs/>
          <w:sz w:val="28"/>
          <w:szCs w:val="28"/>
        </w:rPr>
        <w:t xml:space="preserve">playing field for their clients and </w:t>
      </w:r>
      <w:proofErr w:type="spellStart"/>
      <w:r w:rsidR="00791440" w:rsidRPr="007944C8">
        <w:rPr>
          <w:bCs/>
          <w:sz w:val="28"/>
          <w:szCs w:val="28"/>
        </w:rPr>
        <w:t>ensur</w:t>
      </w:r>
      <w:proofErr w:type="spellEnd"/>
      <w:r w:rsidR="00791440" w:rsidRPr="007944C8">
        <w:rPr>
          <w:bCs/>
          <w:sz w:val="28"/>
          <w:szCs w:val="28"/>
        </w:rPr>
        <w:t>[</w:t>
      </w:r>
      <w:proofErr w:type="spellStart"/>
      <w:r w:rsidR="00791440" w:rsidRPr="007944C8">
        <w:rPr>
          <w:bCs/>
          <w:sz w:val="28"/>
          <w:szCs w:val="28"/>
        </w:rPr>
        <w:t>ing</w:t>
      </w:r>
      <w:proofErr w:type="spellEnd"/>
      <w:r w:rsidR="00791440" w:rsidRPr="007944C8">
        <w:rPr>
          <w:bCs/>
          <w:sz w:val="28"/>
          <w:szCs w:val="28"/>
        </w:rPr>
        <w:t>] that the men and women who judge their cases have at least some level of accountability.”</w:t>
      </w:r>
      <w:r w:rsidR="004D4DD8" w:rsidRPr="007944C8">
        <w:rPr>
          <w:bCs/>
          <w:sz w:val="28"/>
          <w:szCs w:val="28"/>
        </w:rPr>
        <w:t xml:space="preserve"> </w:t>
      </w:r>
      <w:r w:rsidR="00791440" w:rsidRPr="007944C8">
        <w:rPr>
          <w:bCs/>
          <w:sz w:val="28"/>
          <w:szCs w:val="28"/>
        </w:rPr>
        <w:t>(Pima County Bar Association, Comment in Opposition to Petition R-21-0006, at 3).</w:t>
      </w:r>
      <w:r w:rsidR="006A384A">
        <w:rPr>
          <w:bCs/>
          <w:sz w:val="28"/>
          <w:szCs w:val="28"/>
        </w:rPr>
        <w:t xml:space="preserve"> </w:t>
      </w:r>
    </w:p>
    <w:p w14:paraId="1778FAF6" w14:textId="6B47F43D" w:rsidR="00237345" w:rsidRPr="007944C8" w:rsidRDefault="00674D9D" w:rsidP="001411D5">
      <w:pPr>
        <w:tabs>
          <w:tab w:val="left" w:pos="0"/>
        </w:tabs>
        <w:spacing w:before="40" w:line="480" w:lineRule="auto"/>
        <w:jc w:val="both"/>
        <w:rPr>
          <w:bCs/>
          <w:sz w:val="28"/>
          <w:szCs w:val="28"/>
        </w:rPr>
      </w:pPr>
      <w:r w:rsidRPr="007944C8">
        <w:rPr>
          <w:bCs/>
          <w:sz w:val="28"/>
          <w:szCs w:val="28"/>
        </w:rPr>
        <w:tab/>
      </w:r>
      <w:r w:rsidR="00A43D1F" w:rsidRPr="007944C8">
        <w:rPr>
          <w:bCs/>
          <w:sz w:val="28"/>
          <w:szCs w:val="28"/>
        </w:rPr>
        <w:t>In</w:t>
      </w:r>
      <w:r w:rsidR="00345EA5" w:rsidRPr="007944C8">
        <w:rPr>
          <w:bCs/>
          <w:sz w:val="28"/>
          <w:szCs w:val="28"/>
        </w:rPr>
        <w:t>deed, in</w:t>
      </w:r>
      <w:r w:rsidR="00A43D1F" w:rsidRPr="007944C8">
        <w:rPr>
          <w:bCs/>
          <w:sz w:val="28"/>
          <w:szCs w:val="28"/>
        </w:rPr>
        <w:t xml:space="preserve"> the context o</w:t>
      </w:r>
      <w:r w:rsidR="004C3209" w:rsidRPr="007944C8">
        <w:rPr>
          <w:bCs/>
          <w:sz w:val="28"/>
          <w:szCs w:val="28"/>
        </w:rPr>
        <w:t xml:space="preserve">f professional liability cases, the peremptory judge strike rule serves an important purpose. </w:t>
      </w:r>
      <w:r w:rsidR="00DC4FD1" w:rsidRPr="007944C8">
        <w:rPr>
          <w:bCs/>
          <w:sz w:val="28"/>
          <w:szCs w:val="28"/>
        </w:rPr>
        <w:t>It is unavoidable that judges come to the bench with personal or familial experiences, including</w:t>
      </w:r>
      <w:r w:rsidR="001875D1">
        <w:rPr>
          <w:bCs/>
          <w:sz w:val="28"/>
          <w:szCs w:val="28"/>
        </w:rPr>
        <w:t>,</w:t>
      </w:r>
      <w:r w:rsidR="00DC4FD1" w:rsidRPr="007944C8">
        <w:rPr>
          <w:bCs/>
          <w:sz w:val="28"/>
          <w:szCs w:val="28"/>
        </w:rPr>
        <w:t xml:space="preserve"> at times</w:t>
      </w:r>
      <w:r w:rsidR="001875D1">
        <w:rPr>
          <w:bCs/>
          <w:sz w:val="28"/>
          <w:szCs w:val="28"/>
        </w:rPr>
        <w:t>,</w:t>
      </w:r>
      <w:r w:rsidR="00DC4FD1" w:rsidRPr="007944C8">
        <w:rPr>
          <w:bCs/>
          <w:sz w:val="28"/>
          <w:szCs w:val="28"/>
        </w:rPr>
        <w:t xml:space="preserve"> medical liability claims </w:t>
      </w:r>
      <w:r w:rsidR="000F5DF7" w:rsidRPr="007944C8">
        <w:rPr>
          <w:bCs/>
          <w:sz w:val="28"/>
          <w:szCs w:val="28"/>
        </w:rPr>
        <w:t>or certain business disputes that cause bias</w:t>
      </w:r>
      <w:r w:rsidR="00012556">
        <w:rPr>
          <w:bCs/>
          <w:sz w:val="28"/>
          <w:szCs w:val="28"/>
        </w:rPr>
        <w:t xml:space="preserve">. </w:t>
      </w:r>
      <w:r w:rsidR="00012556" w:rsidRPr="008A64A4">
        <w:rPr>
          <w:bCs/>
          <w:sz w:val="28"/>
          <w:szCs w:val="28"/>
        </w:rPr>
        <w:t xml:space="preserve">While the previous professional or inter-personal experiences of our judiciary are unavoidable, it is critical that litigants have a fair opportunity to present their case. In fact, being able to try a case </w:t>
      </w:r>
      <w:r w:rsidR="00012556" w:rsidRPr="008A64A4">
        <w:rPr>
          <w:bCs/>
          <w:sz w:val="28"/>
          <w:szCs w:val="28"/>
        </w:rPr>
        <w:lastRenderedPageBreak/>
        <w:t xml:space="preserve">before an unbiased judge is </w:t>
      </w:r>
      <w:r w:rsidR="008A64A4" w:rsidRPr="008A64A4">
        <w:rPr>
          <w:bCs/>
          <w:sz w:val="28"/>
          <w:szCs w:val="28"/>
        </w:rPr>
        <w:t xml:space="preserve">a </w:t>
      </w:r>
      <w:r w:rsidR="00473EF6">
        <w:rPr>
          <w:bCs/>
          <w:sz w:val="28"/>
          <w:szCs w:val="28"/>
        </w:rPr>
        <w:t>substantive</w:t>
      </w:r>
      <w:r w:rsidR="008A64A4" w:rsidRPr="008A64A4">
        <w:rPr>
          <w:bCs/>
          <w:sz w:val="28"/>
          <w:szCs w:val="28"/>
        </w:rPr>
        <w:t xml:space="preserve"> right </w:t>
      </w:r>
      <w:r w:rsidR="00012556" w:rsidRPr="008A64A4">
        <w:rPr>
          <w:bCs/>
          <w:sz w:val="28"/>
          <w:szCs w:val="28"/>
        </w:rPr>
        <w:t xml:space="preserve">in our judicial system that it has been codified by Arizona law. </w:t>
      </w:r>
      <w:r w:rsidR="00012556" w:rsidRPr="008A64A4">
        <w:rPr>
          <w:bCs/>
          <w:i/>
          <w:iCs/>
          <w:sz w:val="28"/>
          <w:szCs w:val="28"/>
        </w:rPr>
        <w:t>See</w:t>
      </w:r>
      <w:r w:rsidR="00012556" w:rsidRPr="008A64A4">
        <w:rPr>
          <w:bCs/>
          <w:sz w:val="28"/>
          <w:szCs w:val="28"/>
        </w:rPr>
        <w:t xml:space="preserve"> A.R.S. § 12-409.</w:t>
      </w:r>
      <w:r w:rsidR="008A64A4">
        <w:rPr>
          <w:bCs/>
          <w:sz w:val="28"/>
          <w:szCs w:val="28"/>
        </w:rPr>
        <w:t xml:space="preserve"> It is inappropriate for a procedural rule change to impact such a right.</w:t>
      </w:r>
      <w:r w:rsidR="00012556">
        <w:rPr>
          <w:bCs/>
          <w:sz w:val="28"/>
          <w:szCs w:val="28"/>
        </w:rPr>
        <w:t xml:space="preserve"> </w:t>
      </w:r>
      <w:r w:rsidR="00A25151" w:rsidRPr="007944C8">
        <w:rPr>
          <w:bCs/>
          <w:sz w:val="28"/>
          <w:szCs w:val="28"/>
        </w:rPr>
        <w:t xml:space="preserve">While </w:t>
      </w:r>
      <w:proofErr w:type="spellStart"/>
      <w:r w:rsidR="00A25151" w:rsidRPr="007944C8">
        <w:rPr>
          <w:bCs/>
          <w:sz w:val="28"/>
          <w:szCs w:val="28"/>
        </w:rPr>
        <w:t>ArMA</w:t>
      </w:r>
      <w:proofErr w:type="spellEnd"/>
      <w:r w:rsidR="00920CBA" w:rsidRPr="007944C8">
        <w:rPr>
          <w:bCs/>
          <w:sz w:val="28"/>
          <w:szCs w:val="28"/>
        </w:rPr>
        <w:t xml:space="preserve">, </w:t>
      </w:r>
      <w:r w:rsidR="00A25151" w:rsidRPr="007944C8">
        <w:rPr>
          <w:bCs/>
          <w:sz w:val="28"/>
          <w:szCs w:val="28"/>
        </w:rPr>
        <w:t>AOMA</w:t>
      </w:r>
      <w:r w:rsidR="00892D48">
        <w:rPr>
          <w:bCs/>
          <w:sz w:val="28"/>
          <w:szCs w:val="28"/>
        </w:rPr>
        <w:t>,</w:t>
      </w:r>
      <w:r w:rsidR="00920CBA" w:rsidRPr="007944C8">
        <w:rPr>
          <w:bCs/>
          <w:sz w:val="28"/>
          <w:szCs w:val="28"/>
        </w:rPr>
        <w:t xml:space="preserve"> and </w:t>
      </w:r>
      <w:r w:rsidR="000F5DF7" w:rsidRPr="007944C8">
        <w:rPr>
          <w:bCs/>
          <w:sz w:val="28"/>
          <w:szCs w:val="28"/>
        </w:rPr>
        <w:t xml:space="preserve">the Chamber </w:t>
      </w:r>
      <w:r w:rsidR="00A25151" w:rsidRPr="007944C8">
        <w:rPr>
          <w:bCs/>
          <w:sz w:val="28"/>
          <w:szCs w:val="28"/>
        </w:rPr>
        <w:t xml:space="preserve">have the utmost respect for the members of the judiciary and full faith in their ability to fairly adjudicate the majority of matters that come before them, </w:t>
      </w:r>
      <w:r w:rsidR="000F5DF7" w:rsidRPr="007944C8">
        <w:rPr>
          <w:bCs/>
          <w:sz w:val="28"/>
          <w:szCs w:val="28"/>
        </w:rPr>
        <w:t>when their members are parties to high</w:t>
      </w:r>
      <w:r w:rsidR="00123B7E">
        <w:rPr>
          <w:bCs/>
          <w:sz w:val="28"/>
          <w:szCs w:val="28"/>
        </w:rPr>
        <w:t>-</w:t>
      </w:r>
      <w:r w:rsidR="000F5DF7" w:rsidRPr="007944C8">
        <w:rPr>
          <w:bCs/>
          <w:sz w:val="28"/>
          <w:szCs w:val="28"/>
        </w:rPr>
        <w:t>stakes litigation, they cannot rely on a judge</w:t>
      </w:r>
      <w:r w:rsidR="00B502BB">
        <w:rPr>
          <w:bCs/>
          <w:sz w:val="28"/>
          <w:szCs w:val="28"/>
        </w:rPr>
        <w:t>’</w:t>
      </w:r>
      <w:r w:rsidR="000F5DF7" w:rsidRPr="007944C8">
        <w:rPr>
          <w:bCs/>
          <w:sz w:val="28"/>
          <w:szCs w:val="28"/>
        </w:rPr>
        <w:t>s willingness to recuse him or herself.</w:t>
      </w:r>
      <w:r w:rsidR="00911DF0" w:rsidRPr="007944C8">
        <w:rPr>
          <w:bCs/>
          <w:sz w:val="28"/>
          <w:szCs w:val="28"/>
        </w:rPr>
        <w:t xml:space="preserve"> </w:t>
      </w:r>
      <w:r w:rsidR="000208E1" w:rsidRPr="007944C8">
        <w:rPr>
          <w:bCs/>
          <w:sz w:val="28"/>
          <w:szCs w:val="28"/>
        </w:rPr>
        <w:t>These infrequent circumstances justify the use of a peremptory judge strike.</w:t>
      </w:r>
    </w:p>
    <w:p w14:paraId="6B24FC8B" w14:textId="6BEE81B2" w:rsidR="00A25151" w:rsidRPr="007944C8" w:rsidRDefault="00237345" w:rsidP="00262DCA">
      <w:pPr>
        <w:tabs>
          <w:tab w:val="left" w:pos="0"/>
        </w:tabs>
        <w:spacing w:before="40" w:line="480" w:lineRule="auto"/>
        <w:jc w:val="both"/>
        <w:rPr>
          <w:sz w:val="28"/>
          <w:szCs w:val="28"/>
        </w:rPr>
      </w:pPr>
      <w:r w:rsidRPr="007944C8">
        <w:rPr>
          <w:bCs/>
          <w:sz w:val="28"/>
          <w:szCs w:val="28"/>
        </w:rPr>
        <w:tab/>
        <w:t xml:space="preserve">While the Committee argues that a request for recusal may be more appropriate so as not to “hide the truth,” </w:t>
      </w:r>
      <w:proofErr w:type="spellStart"/>
      <w:r w:rsidRPr="007944C8">
        <w:rPr>
          <w:bCs/>
          <w:sz w:val="28"/>
          <w:szCs w:val="28"/>
        </w:rPr>
        <w:t>ArMA</w:t>
      </w:r>
      <w:proofErr w:type="spellEnd"/>
      <w:r w:rsidR="0002192C" w:rsidRPr="007944C8">
        <w:rPr>
          <w:bCs/>
          <w:sz w:val="28"/>
          <w:szCs w:val="28"/>
        </w:rPr>
        <w:t xml:space="preserve">, </w:t>
      </w:r>
      <w:r w:rsidRPr="007944C8">
        <w:rPr>
          <w:bCs/>
          <w:sz w:val="28"/>
          <w:szCs w:val="28"/>
        </w:rPr>
        <w:t>AOMA</w:t>
      </w:r>
      <w:r w:rsidR="00892D48">
        <w:rPr>
          <w:bCs/>
          <w:sz w:val="28"/>
          <w:szCs w:val="28"/>
        </w:rPr>
        <w:t>,</w:t>
      </w:r>
      <w:r w:rsidR="0002192C" w:rsidRPr="007944C8">
        <w:rPr>
          <w:bCs/>
          <w:sz w:val="28"/>
          <w:szCs w:val="28"/>
        </w:rPr>
        <w:t xml:space="preserve"> and </w:t>
      </w:r>
      <w:r w:rsidR="000F5DF7" w:rsidRPr="007944C8">
        <w:rPr>
          <w:bCs/>
          <w:sz w:val="28"/>
          <w:szCs w:val="28"/>
        </w:rPr>
        <w:t>the Chamber</w:t>
      </w:r>
      <w:r w:rsidRPr="007944C8">
        <w:rPr>
          <w:bCs/>
          <w:sz w:val="28"/>
          <w:szCs w:val="28"/>
        </w:rPr>
        <w:t xml:space="preserve"> respectfully disagree. </w:t>
      </w:r>
      <w:r w:rsidR="001E2676" w:rsidRPr="007944C8">
        <w:rPr>
          <w:bCs/>
          <w:sz w:val="28"/>
          <w:szCs w:val="28"/>
        </w:rPr>
        <w:t>Requests to recuse judges under th</w:t>
      </w:r>
      <w:r w:rsidR="00674D9D" w:rsidRPr="007944C8">
        <w:rPr>
          <w:bCs/>
          <w:sz w:val="28"/>
          <w:szCs w:val="28"/>
        </w:rPr>
        <w:t>e</w:t>
      </w:r>
      <w:r w:rsidR="001E2676" w:rsidRPr="007944C8">
        <w:rPr>
          <w:bCs/>
          <w:sz w:val="28"/>
          <w:szCs w:val="28"/>
        </w:rPr>
        <w:t xml:space="preserve">se circumstances are awkward, time consuming, and waste precious litigant and judicial resources in the administration of justice. The peremptory judge strike rule is an efficient way for parties to maintain fairness in </w:t>
      </w:r>
      <w:r w:rsidR="000208E1" w:rsidRPr="007944C8">
        <w:rPr>
          <w:bCs/>
          <w:sz w:val="28"/>
          <w:szCs w:val="28"/>
        </w:rPr>
        <w:t xml:space="preserve">already expensive and complex </w:t>
      </w:r>
      <w:r w:rsidR="001E2676" w:rsidRPr="007944C8">
        <w:rPr>
          <w:bCs/>
          <w:sz w:val="28"/>
          <w:szCs w:val="28"/>
        </w:rPr>
        <w:t xml:space="preserve">professional </w:t>
      </w:r>
      <w:r w:rsidR="006F7F2E" w:rsidRPr="007944C8">
        <w:rPr>
          <w:bCs/>
          <w:sz w:val="28"/>
          <w:szCs w:val="28"/>
        </w:rPr>
        <w:t>liability</w:t>
      </w:r>
      <w:r w:rsidR="001E2676" w:rsidRPr="007944C8">
        <w:rPr>
          <w:bCs/>
          <w:sz w:val="28"/>
          <w:szCs w:val="28"/>
        </w:rPr>
        <w:t xml:space="preserve"> </w:t>
      </w:r>
      <w:r w:rsidR="000F5DF7" w:rsidRPr="007944C8">
        <w:rPr>
          <w:bCs/>
          <w:sz w:val="28"/>
          <w:szCs w:val="28"/>
        </w:rPr>
        <w:t xml:space="preserve">and commercial </w:t>
      </w:r>
      <w:r w:rsidR="001E2676" w:rsidRPr="007944C8">
        <w:rPr>
          <w:bCs/>
          <w:sz w:val="28"/>
          <w:szCs w:val="28"/>
        </w:rPr>
        <w:t>cases</w:t>
      </w:r>
      <w:r w:rsidR="00674D9D" w:rsidRPr="007944C8">
        <w:rPr>
          <w:bCs/>
          <w:sz w:val="28"/>
          <w:szCs w:val="28"/>
        </w:rPr>
        <w:t>.</w:t>
      </w:r>
    </w:p>
    <w:p w14:paraId="6F5107C7" w14:textId="57996921" w:rsidR="00243A38" w:rsidRPr="007944C8" w:rsidRDefault="00243A38" w:rsidP="00994E64">
      <w:pPr>
        <w:pStyle w:val="ListParagraph"/>
        <w:numPr>
          <w:ilvl w:val="0"/>
          <w:numId w:val="1"/>
        </w:numPr>
        <w:tabs>
          <w:tab w:val="left" w:pos="0"/>
        </w:tabs>
        <w:spacing w:before="40" w:line="480" w:lineRule="auto"/>
        <w:ind w:left="720"/>
        <w:jc w:val="both"/>
        <w:rPr>
          <w:b/>
          <w:bCs/>
          <w:sz w:val="28"/>
          <w:szCs w:val="28"/>
        </w:rPr>
      </w:pPr>
      <w:r w:rsidRPr="007944C8">
        <w:rPr>
          <w:b/>
          <w:bCs/>
          <w:sz w:val="28"/>
          <w:szCs w:val="28"/>
        </w:rPr>
        <w:t>CONCLUSION</w:t>
      </w:r>
    </w:p>
    <w:p w14:paraId="0D332475" w14:textId="022D9172" w:rsidR="00C101C5" w:rsidRPr="007944C8" w:rsidRDefault="00D32FED" w:rsidP="00994E64">
      <w:pPr>
        <w:tabs>
          <w:tab w:val="left" w:pos="0"/>
        </w:tabs>
        <w:spacing w:before="40" w:line="480" w:lineRule="auto"/>
        <w:jc w:val="both"/>
        <w:rPr>
          <w:bCs/>
          <w:sz w:val="28"/>
          <w:szCs w:val="28"/>
        </w:rPr>
      </w:pPr>
      <w:r w:rsidRPr="007944C8">
        <w:rPr>
          <w:sz w:val="28"/>
          <w:szCs w:val="28"/>
        </w:rPr>
        <w:tab/>
      </w:r>
      <w:r w:rsidR="00A80B39" w:rsidRPr="007944C8">
        <w:rPr>
          <w:sz w:val="28"/>
          <w:szCs w:val="28"/>
        </w:rPr>
        <w:t xml:space="preserve">Peremptory judge strikes should remain a </w:t>
      </w:r>
      <w:r w:rsidR="00651A65" w:rsidRPr="007944C8">
        <w:rPr>
          <w:sz w:val="28"/>
          <w:szCs w:val="28"/>
        </w:rPr>
        <w:t xml:space="preserve">viable </w:t>
      </w:r>
      <w:r w:rsidR="00462952" w:rsidRPr="007944C8">
        <w:rPr>
          <w:sz w:val="28"/>
          <w:szCs w:val="28"/>
        </w:rPr>
        <w:t xml:space="preserve">resource </w:t>
      </w:r>
      <w:r w:rsidR="00A80B39" w:rsidRPr="007944C8">
        <w:rPr>
          <w:sz w:val="28"/>
          <w:szCs w:val="28"/>
        </w:rPr>
        <w:t>in litigants</w:t>
      </w:r>
      <w:r w:rsidR="00651A65" w:rsidRPr="007944C8">
        <w:rPr>
          <w:sz w:val="28"/>
          <w:szCs w:val="28"/>
        </w:rPr>
        <w:t xml:space="preserve">’ tool-kit to ensure that justice is administered fairly and impartially. </w:t>
      </w:r>
      <w:r w:rsidR="00462952" w:rsidRPr="007944C8">
        <w:rPr>
          <w:bCs/>
          <w:sz w:val="28"/>
          <w:szCs w:val="28"/>
        </w:rPr>
        <w:t>In the rare case when a judge may be biased or be partial to the outcome of a case, civil litigants deserve to have a</w:t>
      </w:r>
      <w:r w:rsidR="00262DCA" w:rsidRPr="007944C8">
        <w:rPr>
          <w:bCs/>
          <w:sz w:val="28"/>
          <w:szCs w:val="28"/>
        </w:rPr>
        <w:t xml:space="preserve">n efficient means to obtain a </w:t>
      </w:r>
      <w:r w:rsidR="00462952" w:rsidRPr="007944C8">
        <w:rPr>
          <w:bCs/>
          <w:sz w:val="28"/>
          <w:szCs w:val="28"/>
        </w:rPr>
        <w:t xml:space="preserve">different judge </w:t>
      </w:r>
      <w:r w:rsidR="00262DCA" w:rsidRPr="007944C8">
        <w:rPr>
          <w:bCs/>
          <w:sz w:val="28"/>
          <w:szCs w:val="28"/>
        </w:rPr>
        <w:t>to preside</w:t>
      </w:r>
      <w:r w:rsidR="00462952" w:rsidRPr="007944C8">
        <w:rPr>
          <w:bCs/>
          <w:sz w:val="28"/>
          <w:szCs w:val="28"/>
        </w:rPr>
        <w:t xml:space="preserve"> over their case</w:t>
      </w:r>
      <w:r w:rsidR="003979DD" w:rsidRPr="007944C8">
        <w:rPr>
          <w:bCs/>
          <w:sz w:val="28"/>
          <w:szCs w:val="28"/>
        </w:rPr>
        <w:t>.</w:t>
      </w:r>
      <w:r w:rsidR="00A74899" w:rsidRPr="007944C8">
        <w:rPr>
          <w:bCs/>
          <w:sz w:val="28"/>
          <w:szCs w:val="28"/>
        </w:rPr>
        <w:t xml:space="preserve"> </w:t>
      </w:r>
      <w:r w:rsidR="00462952" w:rsidRPr="007944C8">
        <w:rPr>
          <w:bCs/>
          <w:sz w:val="28"/>
          <w:szCs w:val="28"/>
        </w:rPr>
        <w:t xml:space="preserve">Holding </w:t>
      </w:r>
      <w:r w:rsidR="00462952" w:rsidRPr="007944C8">
        <w:rPr>
          <w:bCs/>
          <w:sz w:val="28"/>
          <w:szCs w:val="28"/>
        </w:rPr>
        <w:lastRenderedPageBreak/>
        <w:t xml:space="preserve">members of the judiciary accountable </w:t>
      </w:r>
      <w:r w:rsidR="00657F33">
        <w:rPr>
          <w:bCs/>
          <w:sz w:val="28"/>
          <w:szCs w:val="28"/>
        </w:rPr>
        <w:t>through</w:t>
      </w:r>
      <w:r w:rsidR="00462952" w:rsidRPr="007944C8">
        <w:rPr>
          <w:bCs/>
          <w:sz w:val="28"/>
          <w:szCs w:val="28"/>
        </w:rPr>
        <w:t xml:space="preserve"> the infrequent use of peremptory judge strikes not only serves to build the public trust, but also helps to ensure that litigants receive a fair and impartial trial.</w:t>
      </w:r>
      <w:r w:rsidR="003979DD" w:rsidRPr="007944C8">
        <w:rPr>
          <w:bCs/>
          <w:sz w:val="28"/>
          <w:szCs w:val="28"/>
        </w:rPr>
        <w:t xml:space="preserve"> Accordingly, </w:t>
      </w:r>
      <w:proofErr w:type="spellStart"/>
      <w:r w:rsidR="003979DD" w:rsidRPr="007944C8">
        <w:rPr>
          <w:bCs/>
          <w:sz w:val="28"/>
          <w:szCs w:val="28"/>
        </w:rPr>
        <w:t>ArMA</w:t>
      </w:r>
      <w:proofErr w:type="spellEnd"/>
      <w:r w:rsidR="0002192C" w:rsidRPr="007944C8">
        <w:rPr>
          <w:bCs/>
          <w:sz w:val="28"/>
          <w:szCs w:val="28"/>
        </w:rPr>
        <w:t xml:space="preserve">, </w:t>
      </w:r>
      <w:r w:rsidR="003979DD" w:rsidRPr="007944C8">
        <w:rPr>
          <w:bCs/>
          <w:sz w:val="28"/>
          <w:szCs w:val="28"/>
        </w:rPr>
        <w:t>AOMA</w:t>
      </w:r>
      <w:r w:rsidR="00892D48">
        <w:rPr>
          <w:bCs/>
          <w:sz w:val="28"/>
          <w:szCs w:val="28"/>
        </w:rPr>
        <w:t>,</w:t>
      </w:r>
      <w:r w:rsidR="003979DD" w:rsidRPr="007944C8">
        <w:rPr>
          <w:bCs/>
          <w:sz w:val="28"/>
          <w:szCs w:val="28"/>
        </w:rPr>
        <w:t xml:space="preserve"> </w:t>
      </w:r>
      <w:r w:rsidR="0002192C" w:rsidRPr="007944C8">
        <w:rPr>
          <w:bCs/>
          <w:sz w:val="28"/>
          <w:szCs w:val="28"/>
        </w:rPr>
        <w:t>and</w:t>
      </w:r>
      <w:r w:rsidR="00403CE5" w:rsidRPr="007944C8">
        <w:rPr>
          <w:bCs/>
          <w:sz w:val="28"/>
          <w:szCs w:val="28"/>
        </w:rPr>
        <w:t xml:space="preserve"> the</w:t>
      </w:r>
      <w:r w:rsidR="0002192C" w:rsidRPr="007944C8">
        <w:rPr>
          <w:bCs/>
          <w:sz w:val="28"/>
          <w:szCs w:val="28"/>
        </w:rPr>
        <w:t xml:space="preserve"> </w:t>
      </w:r>
      <w:r w:rsidR="000F5DF7" w:rsidRPr="007944C8">
        <w:rPr>
          <w:bCs/>
          <w:sz w:val="28"/>
          <w:szCs w:val="28"/>
        </w:rPr>
        <w:t>Chamber</w:t>
      </w:r>
      <w:r w:rsidR="0002192C" w:rsidRPr="007944C8">
        <w:rPr>
          <w:bCs/>
          <w:sz w:val="28"/>
          <w:szCs w:val="28"/>
        </w:rPr>
        <w:t xml:space="preserve"> </w:t>
      </w:r>
      <w:r w:rsidR="003979DD" w:rsidRPr="007944C8">
        <w:rPr>
          <w:bCs/>
          <w:sz w:val="28"/>
          <w:szCs w:val="28"/>
        </w:rPr>
        <w:t>firmly oppose the adoption of rule petition R-21-0006.</w:t>
      </w:r>
    </w:p>
    <w:p w14:paraId="561D6727" w14:textId="77777777" w:rsidR="006D07B6" w:rsidRPr="007944C8" w:rsidRDefault="006D07B6" w:rsidP="00C101C5">
      <w:pPr>
        <w:spacing w:line="480" w:lineRule="auto"/>
        <w:jc w:val="both"/>
        <w:rPr>
          <w:sz w:val="28"/>
          <w:szCs w:val="28"/>
        </w:rPr>
      </w:pPr>
    </w:p>
    <w:p w14:paraId="5FF01878" w14:textId="41578886" w:rsidR="00C101C5" w:rsidRPr="007944C8" w:rsidRDefault="00C101C5" w:rsidP="00C101C5">
      <w:pPr>
        <w:spacing w:line="480" w:lineRule="auto"/>
        <w:jc w:val="both"/>
        <w:rPr>
          <w:sz w:val="28"/>
          <w:szCs w:val="28"/>
        </w:rPr>
      </w:pPr>
      <w:r w:rsidRPr="007944C8">
        <w:rPr>
          <w:sz w:val="28"/>
          <w:szCs w:val="28"/>
        </w:rPr>
        <w:t xml:space="preserve">Respectfully submitted this 3rd day of May, 2021. </w:t>
      </w:r>
    </w:p>
    <w:p w14:paraId="18E7AACF" w14:textId="0E3830EE" w:rsidR="00C101C5" w:rsidRPr="007944C8" w:rsidRDefault="00C101C5" w:rsidP="00C101C5">
      <w:pPr>
        <w:keepNext/>
        <w:keepLines/>
        <w:spacing w:before="240" w:line="240" w:lineRule="auto"/>
        <w:ind w:left="3686"/>
        <w:rPr>
          <w:caps/>
          <w:sz w:val="28"/>
          <w:szCs w:val="28"/>
        </w:rPr>
      </w:pPr>
      <w:r w:rsidRPr="007944C8">
        <w:rPr>
          <w:sz w:val="28"/>
          <w:szCs w:val="28"/>
        </w:rPr>
        <w:tab/>
      </w:r>
      <w:r w:rsidRPr="007944C8">
        <w:rPr>
          <w:sz w:val="28"/>
          <w:szCs w:val="28"/>
        </w:rPr>
        <w:tab/>
      </w:r>
      <w:r w:rsidRPr="007944C8">
        <w:rPr>
          <w:caps/>
          <w:sz w:val="28"/>
          <w:szCs w:val="28"/>
        </w:rPr>
        <w:t>Snell &amp; Wilmer l.l.p.</w:t>
      </w:r>
    </w:p>
    <w:p w14:paraId="1CB9E551" w14:textId="77777777" w:rsidR="006D07B6" w:rsidRPr="007944C8" w:rsidRDefault="006D07B6" w:rsidP="00C101C5">
      <w:pPr>
        <w:keepNext/>
        <w:keepLines/>
        <w:spacing w:before="240" w:line="240" w:lineRule="auto"/>
        <w:ind w:left="3686"/>
        <w:rPr>
          <w:caps/>
          <w:sz w:val="28"/>
          <w:szCs w:val="28"/>
        </w:rPr>
      </w:pPr>
    </w:p>
    <w:p w14:paraId="0A907A4E" w14:textId="611CFC40" w:rsidR="00C101C5" w:rsidRPr="00947E37" w:rsidRDefault="00C101C5" w:rsidP="006D07B6">
      <w:pPr>
        <w:keepNext/>
        <w:keepLines/>
        <w:spacing w:before="360" w:line="240" w:lineRule="auto"/>
        <w:ind w:left="5040"/>
        <w:rPr>
          <w:i/>
          <w:iCs/>
          <w:sz w:val="28"/>
          <w:szCs w:val="28"/>
        </w:rPr>
      </w:pPr>
      <w:r w:rsidRPr="007944C8">
        <w:rPr>
          <w:sz w:val="28"/>
          <w:szCs w:val="28"/>
        </w:rPr>
        <w:t xml:space="preserve">By: </w:t>
      </w:r>
      <w:r w:rsidR="00947E37" w:rsidRPr="00947E37">
        <w:rPr>
          <w:i/>
          <w:iCs/>
          <w:sz w:val="28"/>
          <w:szCs w:val="28"/>
        </w:rPr>
        <w:t>/s/</w:t>
      </w:r>
      <w:r w:rsidR="00947E37">
        <w:rPr>
          <w:sz w:val="28"/>
          <w:szCs w:val="28"/>
        </w:rPr>
        <w:t xml:space="preserve"> </w:t>
      </w:r>
      <w:r w:rsidR="00947E37" w:rsidRPr="00947E37">
        <w:rPr>
          <w:i/>
          <w:iCs/>
          <w:sz w:val="28"/>
          <w:szCs w:val="28"/>
        </w:rPr>
        <w:t>Barry D. Halpern</w:t>
      </w:r>
      <w:r w:rsidRPr="00947E37">
        <w:rPr>
          <w:i/>
          <w:iCs/>
          <w:sz w:val="28"/>
          <w:szCs w:val="28"/>
        </w:rPr>
        <w:t xml:space="preserve"> </w:t>
      </w:r>
    </w:p>
    <w:p w14:paraId="63B0B12A" w14:textId="2FC3CFD3" w:rsidR="00C101C5" w:rsidRPr="007944C8" w:rsidRDefault="00C101C5" w:rsidP="006D07B6">
      <w:pPr>
        <w:keepNext/>
        <w:keepLines/>
        <w:pBdr>
          <w:top w:val="single" w:sz="4" w:space="1" w:color="auto"/>
        </w:pBdr>
        <w:spacing w:line="240" w:lineRule="auto"/>
        <w:ind w:left="5040" w:right="1440"/>
        <w:rPr>
          <w:sz w:val="28"/>
          <w:szCs w:val="28"/>
        </w:rPr>
      </w:pPr>
      <w:r w:rsidRPr="007944C8">
        <w:rPr>
          <w:sz w:val="28"/>
          <w:szCs w:val="28"/>
        </w:rPr>
        <w:t>Barry D. Halpern</w:t>
      </w:r>
    </w:p>
    <w:p w14:paraId="06088B6D" w14:textId="5CAC8EE5" w:rsidR="00403CE5" w:rsidRPr="007944C8" w:rsidRDefault="00403CE5" w:rsidP="006D07B6">
      <w:pPr>
        <w:keepNext/>
        <w:keepLines/>
        <w:pBdr>
          <w:top w:val="single" w:sz="4" w:space="1" w:color="auto"/>
        </w:pBdr>
        <w:spacing w:line="240" w:lineRule="auto"/>
        <w:ind w:left="5040" w:right="1440"/>
        <w:rPr>
          <w:sz w:val="28"/>
          <w:szCs w:val="28"/>
        </w:rPr>
      </w:pPr>
      <w:r w:rsidRPr="007944C8">
        <w:rPr>
          <w:sz w:val="28"/>
          <w:szCs w:val="28"/>
        </w:rPr>
        <w:t>Brett W. Johnson</w:t>
      </w:r>
    </w:p>
    <w:p w14:paraId="0C898642" w14:textId="77777777" w:rsidR="00C101C5" w:rsidRPr="007944C8" w:rsidRDefault="00C101C5" w:rsidP="006D07B6">
      <w:pPr>
        <w:keepNext/>
        <w:keepLines/>
        <w:spacing w:line="240" w:lineRule="auto"/>
        <w:ind w:left="5040" w:right="120"/>
        <w:rPr>
          <w:sz w:val="28"/>
          <w:szCs w:val="28"/>
        </w:rPr>
      </w:pPr>
      <w:r w:rsidRPr="007944C8">
        <w:rPr>
          <w:sz w:val="28"/>
          <w:szCs w:val="28"/>
        </w:rPr>
        <w:t>Tracy A. Olson</w:t>
      </w:r>
    </w:p>
    <w:p w14:paraId="12F037F8" w14:textId="77777777" w:rsidR="00C101C5" w:rsidRPr="007944C8" w:rsidRDefault="00C101C5" w:rsidP="006D07B6">
      <w:pPr>
        <w:keepNext/>
        <w:keepLines/>
        <w:spacing w:line="240" w:lineRule="auto"/>
        <w:ind w:left="5040" w:right="120"/>
        <w:rPr>
          <w:sz w:val="28"/>
          <w:szCs w:val="28"/>
        </w:rPr>
      </w:pPr>
      <w:r w:rsidRPr="007944C8">
        <w:rPr>
          <w:sz w:val="28"/>
          <w:szCs w:val="28"/>
        </w:rPr>
        <w:t>Claudia E. Stedman</w:t>
      </w:r>
    </w:p>
    <w:p w14:paraId="249FDC18" w14:textId="45EA8472" w:rsidR="00C101C5" w:rsidRPr="007944C8" w:rsidRDefault="00C101C5" w:rsidP="006D07B6">
      <w:pPr>
        <w:spacing w:line="240" w:lineRule="auto"/>
        <w:ind w:left="5040"/>
        <w:rPr>
          <w:sz w:val="28"/>
          <w:szCs w:val="28"/>
        </w:rPr>
      </w:pPr>
      <w:r w:rsidRPr="007944C8">
        <w:rPr>
          <w:bCs/>
          <w:i/>
          <w:iCs/>
          <w:sz w:val="28"/>
          <w:szCs w:val="28"/>
        </w:rPr>
        <w:t>On behalf of the Arizona Medical Association</w:t>
      </w:r>
      <w:r w:rsidR="00E74050" w:rsidRPr="007944C8">
        <w:rPr>
          <w:bCs/>
          <w:i/>
          <w:iCs/>
          <w:sz w:val="28"/>
          <w:szCs w:val="28"/>
        </w:rPr>
        <w:t xml:space="preserve">, </w:t>
      </w:r>
      <w:r w:rsidRPr="007944C8">
        <w:rPr>
          <w:bCs/>
          <w:i/>
          <w:iCs/>
          <w:sz w:val="28"/>
          <w:szCs w:val="28"/>
        </w:rPr>
        <w:t>Arizona Osteopathic Medical Association</w:t>
      </w:r>
      <w:r w:rsidR="000D0D6E">
        <w:rPr>
          <w:bCs/>
          <w:i/>
          <w:iCs/>
          <w:sz w:val="28"/>
          <w:szCs w:val="28"/>
        </w:rPr>
        <w:t xml:space="preserve">, &amp; </w:t>
      </w:r>
      <w:r w:rsidR="00E74050" w:rsidRPr="007944C8">
        <w:rPr>
          <w:bCs/>
          <w:i/>
          <w:iCs/>
          <w:sz w:val="28"/>
          <w:szCs w:val="28"/>
        </w:rPr>
        <w:t xml:space="preserve">Arizona Chamber of </w:t>
      </w:r>
      <w:proofErr w:type="gramStart"/>
      <w:r w:rsidR="00E74050" w:rsidRPr="007944C8">
        <w:rPr>
          <w:bCs/>
          <w:i/>
          <w:iCs/>
          <w:sz w:val="28"/>
          <w:szCs w:val="28"/>
        </w:rPr>
        <w:t>Commerce</w:t>
      </w:r>
      <w:proofErr w:type="gramEnd"/>
      <w:r w:rsidR="00E74050" w:rsidRPr="007944C8">
        <w:rPr>
          <w:bCs/>
          <w:i/>
          <w:iCs/>
          <w:sz w:val="28"/>
          <w:szCs w:val="28"/>
        </w:rPr>
        <w:t xml:space="preserve"> and Industry</w:t>
      </w:r>
    </w:p>
    <w:p w14:paraId="6DBF1570" w14:textId="77777777" w:rsidR="00C101C5" w:rsidRPr="007944C8" w:rsidRDefault="00C101C5" w:rsidP="00994E64">
      <w:pPr>
        <w:tabs>
          <w:tab w:val="left" w:pos="0"/>
        </w:tabs>
        <w:spacing w:before="40" w:line="480" w:lineRule="auto"/>
        <w:jc w:val="both"/>
        <w:rPr>
          <w:sz w:val="28"/>
          <w:szCs w:val="28"/>
        </w:rPr>
      </w:pPr>
    </w:p>
    <w:sectPr w:rsidR="00C101C5" w:rsidRPr="007944C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347CDE" w14:textId="77777777" w:rsidR="0095465F" w:rsidRDefault="0095465F" w:rsidP="00A80B39">
      <w:pPr>
        <w:spacing w:line="240" w:lineRule="auto"/>
      </w:pPr>
      <w:r>
        <w:separator/>
      </w:r>
    </w:p>
  </w:endnote>
  <w:endnote w:type="continuationSeparator" w:id="0">
    <w:p w14:paraId="4AE00B17" w14:textId="77777777" w:rsidR="0095465F" w:rsidRDefault="0095465F" w:rsidP="00A80B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6522AE" w14:textId="77777777" w:rsidR="00473EF6" w:rsidRDefault="00473E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6671953"/>
      <w:docPartObj>
        <w:docPartGallery w:val="Page Numbers (Bottom of Page)"/>
        <w:docPartUnique/>
      </w:docPartObj>
    </w:sdtPr>
    <w:sdtEndPr>
      <w:rPr>
        <w:noProof/>
      </w:rPr>
    </w:sdtEndPr>
    <w:sdtContent>
      <w:p w14:paraId="24991BAA" w14:textId="10B56E35" w:rsidR="00A80B39" w:rsidRDefault="00A80B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830416" w14:textId="77777777" w:rsidR="00A80B39" w:rsidRDefault="00A80B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BC133" w14:textId="77777777" w:rsidR="00473EF6" w:rsidRDefault="00473E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77A0D4" w14:textId="77777777" w:rsidR="0095465F" w:rsidRDefault="0095465F" w:rsidP="00A80B39">
      <w:pPr>
        <w:spacing w:line="240" w:lineRule="auto"/>
      </w:pPr>
      <w:r>
        <w:separator/>
      </w:r>
    </w:p>
  </w:footnote>
  <w:footnote w:type="continuationSeparator" w:id="0">
    <w:p w14:paraId="51D549E0" w14:textId="77777777" w:rsidR="0095465F" w:rsidRDefault="0095465F" w:rsidP="00A80B39">
      <w:pPr>
        <w:spacing w:line="240" w:lineRule="auto"/>
      </w:pPr>
      <w:r>
        <w:continuationSeparator/>
      </w:r>
    </w:p>
  </w:footnote>
  <w:footnote w:id="1">
    <w:p w14:paraId="02EE7842" w14:textId="77777777" w:rsidR="00E34CCE" w:rsidRPr="00A5788C" w:rsidRDefault="00E34CCE" w:rsidP="00E34CCE">
      <w:pPr>
        <w:pStyle w:val="FootnoteText"/>
        <w:jc w:val="both"/>
        <w:rPr>
          <w:i/>
          <w:iCs/>
          <w:sz w:val="28"/>
          <w:szCs w:val="28"/>
        </w:rPr>
      </w:pPr>
      <w:r w:rsidRPr="00A5788C">
        <w:rPr>
          <w:rStyle w:val="FootnoteReference"/>
          <w:sz w:val="28"/>
          <w:szCs w:val="28"/>
        </w:rPr>
        <w:footnoteRef/>
      </w:r>
      <w:r w:rsidRPr="00A5788C">
        <w:rPr>
          <w:sz w:val="28"/>
          <w:szCs w:val="28"/>
        </w:rPr>
        <w:t xml:space="preserve"> As Arizona’s most populous counties (with more than 250,000 people each), Maricopa, Pima, and Pinal Counties are subject to the merit selection system under the Arizona Constitution. Ariz. Const. art. 6, § 41(A). Coconino County voters elected into the merit selection system in 2018. </w:t>
      </w:r>
      <w:r w:rsidRPr="00A5788C">
        <w:rPr>
          <w:i/>
          <w:iCs/>
          <w:sz w:val="28"/>
          <w:szCs w:val="28"/>
        </w:rPr>
        <w:t>Merit Selection of Judges</w:t>
      </w:r>
      <w:r w:rsidRPr="00A5788C">
        <w:rPr>
          <w:sz w:val="28"/>
          <w:szCs w:val="28"/>
        </w:rPr>
        <w:t>, Coconino County,</w:t>
      </w:r>
      <w:r>
        <w:rPr>
          <w:sz w:val="28"/>
          <w:szCs w:val="28"/>
        </w:rPr>
        <w:t> </w:t>
      </w:r>
      <w:r w:rsidRPr="00A5788C">
        <w:rPr>
          <w:sz w:val="28"/>
          <w:szCs w:val="28"/>
        </w:rPr>
        <w:t>Arizona,</w:t>
      </w:r>
      <w:r>
        <w:rPr>
          <w:sz w:val="28"/>
          <w:szCs w:val="28"/>
        </w:rPr>
        <w:t> </w:t>
      </w:r>
      <w:r w:rsidRPr="00A5788C">
        <w:rPr>
          <w:sz w:val="28"/>
          <w:szCs w:val="28"/>
        </w:rPr>
        <w:t>https://www.coconino.az.gov/2001/Judge-Merit-Selection#:~:text=In%202018%2C%20Coconino%20County%20voters,merit%20selection%2Djudicial%20retention%20election.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38578" w14:textId="77777777" w:rsidR="00473EF6" w:rsidRDefault="00473E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88B83" w14:textId="77777777" w:rsidR="00473EF6" w:rsidRDefault="00473E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528CD" w14:textId="77777777" w:rsidR="00473EF6" w:rsidRDefault="00473E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E2F77"/>
    <w:multiLevelType w:val="hybridMultilevel"/>
    <w:tmpl w:val="3F60A15A"/>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zzmp10NoTrailerPromptID" w:val="NG-5ORJJGOT.4846-4636-8231.10"/>
  </w:docVars>
  <w:rsids>
    <w:rsidRoot w:val="00F25575"/>
    <w:rsid w:val="00012556"/>
    <w:rsid w:val="000208E1"/>
    <w:rsid w:val="0002192C"/>
    <w:rsid w:val="00035B52"/>
    <w:rsid w:val="000464A1"/>
    <w:rsid w:val="000725BD"/>
    <w:rsid w:val="000761DC"/>
    <w:rsid w:val="00090B5D"/>
    <w:rsid w:val="00096EAA"/>
    <w:rsid w:val="000B642E"/>
    <w:rsid w:val="000D0D6E"/>
    <w:rsid w:val="000F5BE5"/>
    <w:rsid w:val="000F5DF7"/>
    <w:rsid w:val="00105E62"/>
    <w:rsid w:val="00107C1F"/>
    <w:rsid w:val="00114DDE"/>
    <w:rsid w:val="00123B7E"/>
    <w:rsid w:val="001266A7"/>
    <w:rsid w:val="00131806"/>
    <w:rsid w:val="001411D5"/>
    <w:rsid w:val="0018617B"/>
    <w:rsid w:val="001875D1"/>
    <w:rsid w:val="001D0876"/>
    <w:rsid w:val="001E2676"/>
    <w:rsid w:val="001E3F04"/>
    <w:rsid w:val="002053ED"/>
    <w:rsid w:val="002069B1"/>
    <w:rsid w:val="002074B8"/>
    <w:rsid w:val="00224EF3"/>
    <w:rsid w:val="00237345"/>
    <w:rsid w:val="00243A38"/>
    <w:rsid w:val="00262DCA"/>
    <w:rsid w:val="002926EA"/>
    <w:rsid w:val="002E457E"/>
    <w:rsid w:val="0034385E"/>
    <w:rsid w:val="00345EA5"/>
    <w:rsid w:val="00347CB0"/>
    <w:rsid w:val="00353920"/>
    <w:rsid w:val="00365EAF"/>
    <w:rsid w:val="0036604F"/>
    <w:rsid w:val="003979DD"/>
    <w:rsid w:val="003D1EDF"/>
    <w:rsid w:val="00403CE5"/>
    <w:rsid w:val="00442D47"/>
    <w:rsid w:val="0045488B"/>
    <w:rsid w:val="00455FB4"/>
    <w:rsid w:val="00462952"/>
    <w:rsid w:val="00473EF6"/>
    <w:rsid w:val="00475F99"/>
    <w:rsid w:val="004C0863"/>
    <w:rsid w:val="004C3209"/>
    <w:rsid w:val="004D4DD8"/>
    <w:rsid w:val="004E63A4"/>
    <w:rsid w:val="00587B5F"/>
    <w:rsid w:val="005C4B59"/>
    <w:rsid w:val="005E36AD"/>
    <w:rsid w:val="005E7F4B"/>
    <w:rsid w:val="005F2D27"/>
    <w:rsid w:val="00605638"/>
    <w:rsid w:val="00651A65"/>
    <w:rsid w:val="00657F33"/>
    <w:rsid w:val="00673B0A"/>
    <w:rsid w:val="00674D9D"/>
    <w:rsid w:val="00682DDD"/>
    <w:rsid w:val="006A1928"/>
    <w:rsid w:val="006A384A"/>
    <w:rsid w:val="006B6B19"/>
    <w:rsid w:val="006D07B6"/>
    <w:rsid w:val="006D47E5"/>
    <w:rsid w:val="006F7F2E"/>
    <w:rsid w:val="00715862"/>
    <w:rsid w:val="00753C77"/>
    <w:rsid w:val="00757480"/>
    <w:rsid w:val="007718E6"/>
    <w:rsid w:val="00791440"/>
    <w:rsid w:val="00792E0C"/>
    <w:rsid w:val="007944C8"/>
    <w:rsid w:val="00796A68"/>
    <w:rsid w:val="007C0B59"/>
    <w:rsid w:val="00813429"/>
    <w:rsid w:val="008179BC"/>
    <w:rsid w:val="00824018"/>
    <w:rsid w:val="00845064"/>
    <w:rsid w:val="008845AC"/>
    <w:rsid w:val="00892D48"/>
    <w:rsid w:val="008A64A4"/>
    <w:rsid w:val="008D1693"/>
    <w:rsid w:val="008F0F71"/>
    <w:rsid w:val="00911DF0"/>
    <w:rsid w:val="00920CBA"/>
    <w:rsid w:val="00927F29"/>
    <w:rsid w:val="009432B0"/>
    <w:rsid w:val="00947E37"/>
    <w:rsid w:val="0095465F"/>
    <w:rsid w:val="00970FB7"/>
    <w:rsid w:val="00974624"/>
    <w:rsid w:val="009825A6"/>
    <w:rsid w:val="00994E64"/>
    <w:rsid w:val="009B10CA"/>
    <w:rsid w:val="00A027FC"/>
    <w:rsid w:val="00A02A0D"/>
    <w:rsid w:val="00A14611"/>
    <w:rsid w:val="00A221CE"/>
    <w:rsid w:val="00A25151"/>
    <w:rsid w:val="00A43D1F"/>
    <w:rsid w:val="00A5788C"/>
    <w:rsid w:val="00A74899"/>
    <w:rsid w:val="00A80B39"/>
    <w:rsid w:val="00B17E1E"/>
    <w:rsid w:val="00B502BB"/>
    <w:rsid w:val="00B571BB"/>
    <w:rsid w:val="00B70C1A"/>
    <w:rsid w:val="00B712AE"/>
    <w:rsid w:val="00C101C5"/>
    <w:rsid w:val="00C349A4"/>
    <w:rsid w:val="00C366AA"/>
    <w:rsid w:val="00CC5138"/>
    <w:rsid w:val="00D32FED"/>
    <w:rsid w:val="00D33D87"/>
    <w:rsid w:val="00D56222"/>
    <w:rsid w:val="00D61117"/>
    <w:rsid w:val="00DA094D"/>
    <w:rsid w:val="00DC4FD1"/>
    <w:rsid w:val="00DD1484"/>
    <w:rsid w:val="00DF7A3C"/>
    <w:rsid w:val="00E11F3E"/>
    <w:rsid w:val="00E230F8"/>
    <w:rsid w:val="00E34CCE"/>
    <w:rsid w:val="00E73932"/>
    <w:rsid w:val="00E74050"/>
    <w:rsid w:val="00E83FDF"/>
    <w:rsid w:val="00E8476C"/>
    <w:rsid w:val="00E91579"/>
    <w:rsid w:val="00EA2957"/>
    <w:rsid w:val="00EE7ED8"/>
    <w:rsid w:val="00EF571E"/>
    <w:rsid w:val="00F25575"/>
    <w:rsid w:val="00F65B39"/>
    <w:rsid w:val="00F85697"/>
    <w:rsid w:val="00FB6D74"/>
    <w:rsid w:val="00FE0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7EA73"/>
  <w15:chartTrackingRefBased/>
  <w15:docId w15:val="{5BA17510-2843-47D1-BBB8-E3FD066BB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EDF"/>
    <w:pPr>
      <w:spacing w:after="0" w:line="471" w:lineRule="exact"/>
    </w:pPr>
    <w:rPr>
      <w:rFonts w:eastAsia="Times New Roman" w:cs="Times New Roman"/>
      <w:sz w:val="18"/>
      <w:szCs w:val="20"/>
    </w:rPr>
  </w:style>
  <w:style w:type="paragraph" w:styleId="Heading1">
    <w:name w:val="heading 1"/>
    <w:basedOn w:val="Normal"/>
    <w:next w:val="Normal"/>
    <w:link w:val="Heading1Char"/>
    <w:uiPriority w:val="9"/>
    <w:qFormat/>
    <w:rsid w:val="009B10CA"/>
    <w:pPr>
      <w:keepNext/>
      <w:keepLines/>
      <w:outlineLvl w:val="0"/>
    </w:pPr>
    <w:rPr>
      <w:rFonts w:eastAsiaTheme="majorEastAsia" w:cstheme="majorBidi"/>
      <w:b/>
      <w:bCs/>
      <w:szCs w:val="28"/>
    </w:rPr>
  </w:style>
  <w:style w:type="paragraph" w:styleId="Heading2">
    <w:name w:val="heading 2"/>
    <w:basedOn w:val="Normal"/>
    <w:next w:val="Normal"/>
    <w:link w:val="Heading2Char"/>
    <w:uiPriority w:val="9"/>
    <w:semiHidden/>
    <w:unhideWhenUsed/>
    <w:qFormat/>
    <w:rsid w:val="009B10CA"/>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qFormat/>
    <w:rsid w:val="009B10CA"/>
    <w:pPr>
      <w:keepNext/>
      <w:keepLines/>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9B10CA"/>
    <w:pPr>
      <w:keepNext/>
      <w:keepLines/>
      <w:outlineLvl w:val="3"/>
    </w:pPr>
    <w:rPr>
      <w:rFonts w:eastAsiaTheme="majorEastAsia" w:cstheme="majorBidi"/>
      <w:b/>
      <w:bCs/>
      <w:iCs/>
    </w:rPr>
  </w:style>
  <w:style w:type="paragraph" w:styleId="Heading5">
    <w:name w:val="heading 5"/>
    <w:basedOn w:val="Normal"/>
    <w:next w:val="Normal"/>
    <w:link w:val="Heading5Char"/>
    <w:uiPriority w:val="9"/>
    <w:semiHidden/>
    <w:unhideWhenUsed/>
    <w:qFormat/>
    <w:rsid w:val="009B10CA"/>
    <w:pPr>
      <w:keepNext/>
      <w:keepLines/>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9B10CA"/>
    <w:pPr>
      <w:keepNext/>
      <w:keepLines/>
      <w:outlineLvl w:val="5"/>
    </w:pPr>
    <w:rPr>
      <w:rFonts w:eastAsiaTheme="majorEastAsia" w:cstheme="majorBidi"/>
      <w:i/>
      <w:iCs/>
    </w:rPr>
  </w:style>
  <w:style w:type="paragraph" w:styleId="Heading7">
    <w:name w:val="heading 7"/>
    <w:basedOn w:val="Normal"/>
    <w:next w:val="Normal"/>
    <w:link w:val="Heading7Char"/>
    <w:uiPriority w:val="9"/>
    <w:semiHidden/>
    <w:unhideWhenUsed/>
    <w:qFormat/>
    <w:rsid w:val="009B10CA"/>
    <w:pPr>
      <w:keepNext/>
      <w:keepLines/>
      <w:outlineLvl w:val="6"/>
    </w:pPr>
    <w:rPr>
      <w:rFonts w:eastAsiaTheme="majorEastAsia" w:cstheme="majorBidi"/>
      <w:b/>
      <w:iCs/>
    </w:rPr>
  </w:style>
  <w:style w:type="paragraph" w:styleId="Heading8">
    <w:name w:val="heading 8"/>
    <w:basedOn w:val="Normal"/>
    <w:next w:val="Normal"/>
    <w:link w:val="Heading8Char"/>
    <w:uiPriority w:val="9"/>
    <w:semiHidden/>
    <w:unhideWhenUsed/>
    <w:qFormat/>
    <w:rsid w:val="009B10CA"/>
    <w:pPr>
      <w:keepNext/>
      <w:keepLines/>
      <w:outlineLvl w:val="7"/>
    </w:pPr>
    <w:rPr>
      <w:rFonts w:eastAsiaTheme="majorEastAsia" w:cstheme="majorBidi"/>
    </w:rPr>
  </w:style>
  <w:style w:type="paragraph" w:styleId="Heading9">
    <w:name w:val="heading 9"/>
    <w:basedOn w:val="Normal"/>
    <w:next w:val="Normal"/>
    <w:link w:val="Heading9Char"/>
    <w:uiPriority w:val="9"/>
    <w:semiHidden/>
    <w:unhideWhenUsed/>
    <w:qFormat/>
    <w:rsid w:val="009B10CA"/>
    <w:pPr>
      <w:keepNext/>
      <w:keepLines/>
      <w:outlineLvl w:val="8"/>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9"/>
    <w:qFormat/>
    <w:rsid w:val="009B10CA"/>
    <w:pPr>
      <w:spacing w:after="240"/>
      <w:ind w:left="1440" w:right="1440"/>
    </w:pPr>
    <w:rPr>
      <w:iCs/>
    </w:rPr>
  </w:style>
  <w:style w:type="character" w:customStyle="1" w:styleId="QuoteChar">
    <w:name w:val="Quote Char"/>
    <w:basedOn w:val="DefaultParagraphFont"/>
    <w:link w:val="Quote"/>
    <w:uiPriority w:val="9"/>
    <w:rsid w:val="009B10CA"/>
    <w:rPr>
      <w:rFonts w:ascii="Times New Roman" w:hAnsi="Times New Roman"/>
      <w:iCs/>
    </w:rPr>
  </w:style>
  <w:style w:type="paragraph" w:styleId="BodyText">
    <w:name w:val="Body Text"/>
    <w:basedOn w:val="Normal"/>
    <w:next w:val="Normal"/>
    <w:link w:val="BodyTextChar"/>
    <w:uiPriority w:val="1"/>
    <w:qFormat/>
    <w:rsid w:val="009B10CA"/>
    <w:pPr>
      <w:spacing w:after="240"/>
      <w:ind w:firstLine="720"/>
    </w:pPr>
  </w:style>
  <w:style w:type="character" w:customStyle="1" w:styleId="BodyTextChar">
    <w:name w:val="Body Text Char"/>
    <w:basedOn w:val="DefaultParagraphFont"/>
    <w:link w:val="BodyText"/>
    <w:uiPriority w:val="1"/>
    <w:rsid w:val="009B10CA"/>
    <w:rPr>
      <w:rFonts w:ascii="Times New Roman" w:hAnsi="Times New Roman"/>
    </w:rPr>
  </w:style>
  <w:style w:type="paragraph" w:customStyle="1" w:styleId="BodyTextContinued">
    <w:name w:val="Body Text Continued"/>
    <w:basedOn w:val="BodyText"/>
    <w:uiPriority w:val="1"/>
    <w:qFormat/>
    <w:rsid w:val="009B10CA"/>
    <w:pPr>
      <w:ind w:firstLine="0"/>
    </w:pPr>
  </w:style>
  <w:style w:type="paragraph" w:styleId="Title">
    <w:name w:val="Title"/>
    <w:basedOn w:val="Normal"/>
    <w:next w:val="Normal"/>
    <w:link w:val="TitleChar"/>
    <w:uiPriority w:val="6"/>
    <w:qFormat/>
    <w:rsid w:val="009B10CA"/>
    <w:pPr>
      <w:keepNext/>
      <w:keepLines/>
      <w:spacing w:after="360"/>
      <w:jc w:val="center"/>
    </w:pPr>
    <w:rPr>
      <w:rFonts w:eastAsiaTheme="majorEastAsia" w:cstheme="majorBidi"/>
      <w:b/>
      <w:szCs w:val="52"/>
    </w:rPr>
  </w:style>
  <w:style w:type="character" w:customStyle="1" w:styleId="TitleChar">
    <w:name w:val="Title Char"/>
    <w:basedOn w:val="DefaultParagraphFont"/>
    <w:link w:val="Title"/>
    <w:uiPriority w:val="6"/>
    <w:rsid w:val="009B10CA"/>
    <w:rPr>
      <w:rFonts w:ascii="Times New Roman" w:eastAsiaTheme="majorEastAsia" w:hAnsi="Times New Roman" w:cstheme="majorBidi"/>
      <w:b/>
      <w:szCs w:val="52"/>
    </w:rPr>
  </w:style>
  <w:style w:type="character" w:customStyle="1" w:styleId="Heading2Char">
    <w:name w:val="Heading 2 Char"/>
    <w:basedOn w:val="DefaultParagraphFont"/>
    <w:link w:val="Heading2"/>
    <w:uiPriority w:val="9"/>
    <w:semiHidden/>
    <w:rsid w:val="009B10CA"/>
    <w:rPr>
      <w:rFonts w:ascii="Times New Roman" w:eastAsiaTheme="majorEastAsia" w:hAnsi="Times New Roman" w:cstheme="majorBidi"/>
      <w:b/>
      <w:bCs/>
      <w:szCs w:val="26"/>
    </w:rPr>
  </w:style>
  <w:style w:type="character" w:customStyle="1" w:styleId="Heading1Char">
    <w:name w:val="Heading 1 Char"/>
    <w:basedOn w:val="DefaultParagraphFont"/>
    <w:link w:val="Heading1"/>
    <w:uiPriority w:val="9"/>
    <w:rsid w:val="009B10CA"/>
    <w:rPr>
      <w:rFonts w:ascii="Times New Roman" w:eastAsiaTheme="majorEastAsia" w:hAnsi="Times New Roman" w:cstheme="majorBidi"/>
      <w:b/>
      <w:bCs/>
      <w:szCs w:val="28"/>
    </w:rPr>
  </w:style>
  <w:style w:type="character" w:customStyle="1" w:styleId="Heading3Char">
    <w:name w:val="Heading 3 Char"/>
    <w:basedOn w:val="DefaultParagraphFont"/>
    <w:link w:val="Heading3"/>
    <w:uiPriority w:val="9"/>
    <w:semiHidden/>
    <w:rsid w:val="009B10CA"/>
    <w:rPr>
      <w:rFonts w:ascii="Times New Roman" w:eastAsiaTheme="majorEastAsia" w:hAnsi="Times New Roman" w:cstheme="majorBidi"/>
      <w:b/>
      <w:bCs/>
    </w:rPr>
  </w:style>
  <w:style w:type="character" w:customStyle="1" w:styleId="Heading4Char">
    <w:name w:val="Heading 4 Char"/>
    <w:basedOn w:val="DefaultParagraphFont"/>
    <w:link w:val="Heading4"/>
    <w:uiPriority w:val="9"/>
    <w:semiHidden/>
    <w:rsid w:val="009B10CA"/>
    <w:rPr>
      <w:rFonts w:ascii="Times New Roman" w:eastAsiaTheme="majorEastAsia" w:hAnsi="Times New Roman" w:cstheme="majorBidi"/>
      <w:b/>
      <w:bCs/>
      <w:iCs/>
    </w:rPr>
  </w:style>
  <w:style w:type="character" w:customStyle="1" w:styleId="Heading5Char">
    <w:name w:val="Heading 5 Char"/>
    <w:basedOn w:val="DefaultParagraphFont"/>
    <w:link w:val="Heading5"/>
    <w:uiPriority w:val="9"/>
    <w:semiHidden/>
    <w:rsid w:val="009B10CA"/>
    <w:rPr>
      <w:rFonts w:ascii="Times New Roman" w:eastAsiaTheme="majorEastAsia" w:hAnsi="Times New Roman" w:cstheme="majorBidi"/>
    </w:rPr>
  </w:style>
  <w:style w:type="character" w:customStyle="1" w:styleId="Heading6Char">
    <w:name w:val="Heading 6 Char"/>
    <w:basedOn w:val="DefaultParagraphFont"/>
    <w:link w:val="Heading6"/>
    <w:uiPriority w:val="9"/>
    <w:semiHidden/>
    <w:rsid w:val="009B10CA"/>
    <w:rPr>
      <w:rFonts w:ascii="Times New Roman" w:eastAsiaTheme="majorEastAsia" w:hAnsi="Times New Roman" w:cstheme="majorBidi"/>
      <w:i/>
      <w:iCs/>
    </w:rPr>
  </w:style>
  <w:style w:type="character" w:customStyle="1" w:styleId="Heading7Char">
    <w:name w:val="Heading 7 Char"/>
    <w:basedOn w:val="DefaultParagraphFont"/>
    <w:link w:val="Heading7"/>
    <w:uiPriority w:val="9"/>
    <w:semiHidden/>
    <w:rsid w:val="009B10CA"/>
    <w:rPr>
      <w:rFonts w:ascii="Times New Roman" w:eastAsiaTheme="majorEastAsia" w:hAnsi="Times New Roman" w:cstheme="majorBidi"/>
      <w:b/>
      <w:iCs/>
    </w:rPr>
  </w:style>
  <w:style w:type="character" w:customStyle="1" w:styleId="Heading8Char">
    <w:name w:val="Heading 8 Char"/>
    <w:basedOn w:val="DefaultParagraphFont"/>
    <w:link w:val="Heading8"/>
    <w:uiPriority w:val="9"/>
    <w:semiHidden/>
    <w:rsid w:val="009B10CA"/>
    <w:rPr>
      <w:rFonts w:ascii="Times New Roman" w:eastAsiaTheme="majorEastAsia" w:hAnsi="Times New Roman" w:cstheme="majorBidi"/>
      <w:szCs w:val="20"/>
    </w:rPr>
  </w:style>
  <w:style w:type="character" w:customStyle="1" w:styleId="Heading9Char">
    <w:name w:val="Heading 9 Char"/>
    <w:basedOn w:val="DefaultParagraphFont"/>
    <w:link w:val="Heading9"/>
    <w:uiPriority w:val="9"/>
    <w:semiHidden/>
    <w:rsid w:val="009B10CA"/>
    <w:rPr>
      <w:rFonts w:ascii="Times New Roman" w:eastAsiaTheme="majorEastAsia" w:hAnsi="Times New Roman" w:cstheme="majorBidi"/>
      <w:b/>
      <w:iCs/>
      <w:szCs w:val="20"/>
    </w:rPr>
  </w:style>
  <w:style w:type="paragraph" w:styleId="Subtitle">
    <w:name w:val="Subtitle"/>
    <w:basedOn w:val="Normal"/>
    <w:next w:val="Normal"/>
    <w:link w:val="SubtitleChar"/>
    <w:uiPriority w:val="8"/>
    <w:qFormat/>
    <w:rsid w:val="009B10CA"/>
    <w:pPr>
      <w:keepNext/>
      <w:keepLines/>
      <w:numPr>
        <w:ilvl w:val="1"/>
      </w:numPr>
    </w:pPr>
    <w:rPr>
      <w:rFonts w:eastAsiaTheme="majorEastAsia" w:cstheme="majorBidi"/>
      <w:b/>
      <w:iCs/>
    </w:rPr>
  </w:style>
  <w:style w:type="character" w:customStyle="1" w:styleId="SubtitleChar">
    <w:name w:val="Subtitle Char"/>
    <w:basedOn w:val="DefaultParagraphFont"/>
    <w:link w:val="Subtitle"/>
    <w:uiPriority w:val="8"/>
    <w:rsid w:val="009B10CA"/>
    <w:rPr>
      <w:rFonts w:ascii="Times New Roman" w:eastAsiaTheme="majorEastAsia" w:hAnsi="Times New Roman" w:cstheme="majorBidi"/>
      <w:b/>
      <w:iCs/>
    </w:rPr>
  </w:style>
  <w:style w:type="paragraph" w:styleId="BlockText">
    <w:name w:val="Block Text"/>
    <w:basedOn w:val="Normal"/>
    <w:uiPriority w:val="99"/>
    <w:semiHidden/>
    <w:unhideWhenUsed/>
    <w:rsid w:val="009B10CA"/>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440" w:right="1440"/>
    </w:pPr>
    <w:rPr>
      <w:rFonts w:eastAsiaTheme="minorEastAsia"/>
      <w:iCs/>
    </w:rPr>
  </w:style>
  <w:style w:type="paragraph" w:styleId="BodyText2">
    <w:name w:val="Body Text 2"/>
    <w:basedOn w:val="Normal"/>
    <w:link w:val="BodyText2Char"/>
    <w:uiPriority w:val="99"/>
    <w:semiHidden/>
    <w:unhideWhenUsed/>
    <w:rsid w:val="009B10CA"/>
  </w:style>
  <w:style w:type="character" w:customStyle="1" w:styleId="BodyText2Char">
    <w:name w:val="Body Text 2 Char"/>
    <w:basedOn w:val="DefaultParagraphFont"/>
    <w:link w:val="BodyText2"/>
    <w:uiPriority w:val="99"/>
    <w:semiHidden/>
    <w:rsid w:val="009B10CA"/>
    <w:rPr>
      <w:rFonts w:ascii="Times New Roman" w:hAnsi="Times New Roman"/>
    </w:rPr>
  </w:style>
  <w:style w:type="paragraph" w:styleId="BodyText3">
    <w:name w:val="Body Text 3"/>
    <w:basedOn w:val="Normal"/>
    <w:link w:val="BodyText3Char"/>
    <w:uiPriority w:val="99"/>
    <w:semiHidden/>
    <w:unhideWhenUsed/>
    <w:rsid w:val="009B10CA"/>
    <w:rPr>
      <w:szCs w:val="16"/>
    </w:rPr>
  </w:style>
  <w:style w:type="character" w:customStyle="1" w:styleId="BodyText3Char">
    <w:name w:val="Body Text 3 Char"/>
    <w:basedOn w:val="DefaultParagraphFont"/>
    <w:link w:val="BodyText3"/>
    <w:uiPriority w:val="99"/>
    <w:semiHidden/>
    <w:rsid w:val="009B10CA"/>
    <w:rPr>
      <w:rFonts w:ascii="Times New Roman" w:hAnsi="Times New Roman"/>
      <w:szCs w:val="16"/>
    </w:rPr>
  </w:style>
  <w:style w:type="paragraph" w:styleId="BodyTextFirstIndent">
    <w:name w:val="Body Text First Indent"/>
    <w:basedOn w:val="BodyText"/>
    <w:link w:val="BodyTextFirstIndentChar"/>
    <w:uiPriority w:val="99"/>
    <w:semiHidden/>
    <w:unhideWhenUsed/>
    <w:rsid w:val="009B10CA"/>
  </w:style>
  <w:style w:type="character" w:customStyle="1" w:styleId="BodyTextFirstIndentChar">
    <w:name w:val="Body Text First Indent Char"/>
    <w:basedOn w:val="BodyTextChar"/>
    <w:link w:val="BodyTextFirstIndent"/>
    <w:uiPriority w:val="99"/>
    <w:semiHidden/>
    <w:rsid w:val="009B10CA"/>
    <w:rPr>
      <w:rFonts w:ascii="Times New Roman" w:hAnsi="Times New Roman"/>
    </w:rPr>
  </w:style>
  <w:style w:type="paragraph" w:styleId="BodyTextIndent">
    <w:name w:val="Body Text Indent"/>
    <w:basedOn w:val="Normal"/>
    <w:link w:val="BodyTextIndentChar"/>
    <w:uiPriority w:val="99"/>
    <w:semiHidden/>
    <w:unhideWhenUsed/>
    <w:rsid w:val="009B10CA"/>
  </w:style>
  <w:style w:type="character" w:customStyle="1" w:styleId="BodyTextIndentChar">
    <w:name w:val="Body Text Indent Char"/>
    <w:basedOn w:val="DefaultParagraphFont"/>
    <w:link w:val="BodyTextIndent"/>
    <w:uiPriority w:val="99"/>
    <w:semiHidden/>
    <w:rsid w:val="009B10CA"/>
    <w:rPr>
      <w:rFonts w:ascii="Times New Roman" w:hAnsi="Times New Roman"/>
    </w:rPr>
  </w:style>
  <w:style w:type="paragraph" w:styleId="BodyTextFirstIndent2">
    <w:name w:val="Body Text First Indent 2"/>
    <w:basedOn w:val="BodyTextIndent"/>
    <w:link w:val="BodyTextFirstIndent2Char"/>
    <w:uiPriority w:val="99"/>
    <w:semiHidden/>
    <w:unhideWhenUsed/>
    <w:rsid w:val="009B10CA"/>
    <w:pPr>
      <w:ind w:firstLine="720"/>
    </w:pPr>
  </w:style>
  <w:style w:type="character" w:customStyle="1" w:styleId="BodyTextFirstIndent2Char">
    <w:name w:val="Body Text First Indent 2 Char"/>
    <w:basedOn w:val="BodyTextIndentChar"/>
    <w:link w:val="BodyTextFirstIndent2"/>
    <w:uiPriority w:val="99"/>
    <w:semiHidden/>
    <w:rsid w:val="009B10CA"/>
    <w:rPr>
      <w:rFonts w:ascii="Times New Roman" w:hAnsi="Times New Roman"/>
    </w:rPr>
  </w:style>
  <w:style w:type="paragraph" w:styleId="BodyTextIndent2">
    <w:name w:val="Body Text Indent 2"/>
    <w:basedOn w:val="Normal"/>
    <w:link w:val="BodyTextIndent2Char"/>
    <w:uiPriority w:val="99"/>
    <w:semiHidden/>
    <w:unhideWhenUsed/>
    <w:rsid w:val="009B10CA"/>
  </w:style>
  <w:style w:type="character" w:customStyle="1" w:styleId="BodyTextIndent2Char">
    <w:name w:val="Body Text Indent 2 Char"/>
    <w:basedOn w:val="DefaultParagraphFont"/>
    <w:link w:val="BodyTextIndent2"/>
    <w:uiPriority w:val="99"/>
    <w:semiHidden/>
    <w:rsid w:val="009B10CA"/>
    <w:rPr>
      <w:rFonts w:ascii="Times New Roman" w:hAnsi="Times New Roman"/>
    </w:rPr>
  </w:style>
  <w:style w:type="paragraph" w:styleId="BalloonText">
    <w:name w:val="Balloon Text"/>
    <w:basedOn w:val="Normal"/>
    <w:link w:val="BalloonTextChar"/>
    <w:uiPriority w:val="99"/>
    <w:semiHidden/>
    <w:unhideWhenUsed/>
    <w:rsid w:val="003D1EDF"/>
    <w:rPr>
      <w:rFonts w:ascii="Segoe UI" w:hAnsi="Segoe UI" w:cs="Segoe UI"/>
      <w:szCs w:val="18"/>
    </w:rPr>
  </w:style>
  <w:style w:type="character" w:customStyle="1" w:styleId="BalloonTextChar">
    <w:name w:val="Balloon Text Char"/>
    <w:basedOn w:val="DefaultParagraphFont"/>
    <w:link w:val="BalloonText"/>
    <w:uiPriority w:val="99"/>
    <w:semiHidden/>
    <w:rsid w:val="003D1EDF"/>
    <w:rPr>
      <w:rFonts w:ascii="Segoe UI" w:hAnsi="Segoe UI" w:cs="Segoe UI"/>
      <w:sz w:val="18"/>
      <w:szCs w:val="18"/>
    </w:rPr>
  </w:style>
  <w:style w:type="paragraph" w:customStyle="1" w:styleId="SingleSpacing">
    <w:name w:val="Single Spacing"/>
    <w:basedOn w:val="Normal"/>
    <w:rsid w:val="003D1EDF"/>
    <w:pPr>
      <w:spacing w:line="236" w:lineRule="exact"/>
    </w:pPr>
  </w:style>
  <w:style w:type="paragraph" w:styleId="ListParagraph">
    <w:name w:val="List Paragraph"/>
    <w:basedOn w:val="Normal"/>
    <w:uiPriority w:val="34"/>
    <w:qFormat/>
    <w:rsid w:val="001266A7"/>
    <w:pPr>
      <w:ind w:left="720"/>
      <w:contextualSpacing/>
    </w:pPr>
  </w:style>
  <w:style w:type="paragraph" w:styleId="Header">
    <w:name w:val="header"/>
    <w:basedOn w:val="Normal"/>
    <w:link w:val="HeaderChar"/>
    <w:uiPriority w:val="99"/>
    <w:unhideWhenUsed/>
    <w:rsid w:val="00A80B39"/>
    <w:pPr>
      <w:tabs>
        <w:tab w:val="center" w:pos="4680"/>
        <w:tab w:val="right" w:pos="9360"/>
      </w:tabs>
      <w:spacing w:line="240" w:lineRule="auto"/>
    </w:pPr>
  </w:style>
  <w:style w:type="character" w:customStyle="1" w:styleId="HeaderChar">
    <w:name w:val="Header Char"/>
    <w:basedOn w:val="DefaultParagraphFont"/>
    <w:link w:val="Header"/>
    <w:uiPriority w:val="99"/>
    <w:rsid w:val="00A80B39"/>
    <w:rPr>
      <w:rFonts w:eastAsia="Times New Roman" w:cs="Times New Roman"/>
      <w:sz w:val="18"/>
      <w:szCs w:val="20"/>
    </w:rPr>
  </w:style>
  <w:style w:type="paragraph" w:styleId="Footer">
    <w:name w:val="footer"/>
    <w:basedOn w:val="Normal"/>
    <w:link w:val="FooterChar"/>
    <w:uiPriority w:val="99"/>
    <w:unhideWhenUsed/>
    <w:rsid w:val="00A80B39"/>
    <w:pPr>
      <w:tabs>
        <w:tab w:val="center" w:pos="4680"/>
        <w:tab w:val="right" w:pos="9360"/>
      </w:tabs>
      <w:spacing w:line="240" w:lineRule="auto"/>
    </w:pPr>
  </w:style>
  <w:style w:type="character" w:customStyle="1" w:styleId="FooterChar">
    <w:name w:val="Footer Char"/>
    <w:basedOn w:val="DefaultParagraphFont"/>
    <w:link w:val="Footer"/>
    <w:uiPriority w:val="99"/>
    <w:rsid w:val="00A80B39"/>
    <w:rPr>
      <w:rFonts w:eastAsia="Times New Roman" w:cs="Times New Roman"/>
      <w:sz w:val="18"/>
      <w:szCs w:val="20"/>
    </w:rPr>
  </w:style>
  <w:style w:type="character" w:styleId="Hyperlink">
    <w:name w:val="Hyperlink"/>
    <w:basedOn w:val="DefaultParagraphFont"/>
    <w:uiPriority w:val="99"/>
    <w:unhideWhenUsed/>
    <w:rsid w:val="006F7F2E"/>
    <w:rPr>
      <w:color w:val="0000FF" w:themeColor="hyperlink"/>
      <w:u w:val="single"/>
    </w:rPr>
  </w:style>
  <w:style w:type="character" w:styleId="UnresolvedMention">
    <w:name w:val="Unresolved Mention"/>
    <w:basedOn w:val="DefaultParagraphFont"/>
    <w:uiPriority w:val="99"/>
    <w:semiHidden/>
    <w:unhideWhenUsed/>
    <w:rsid w:val="006F7F2E"/>
    <w:rPr>
      <w:color w:val="605E5C"/>
      <w:shd w:val="clear" w:color="auto" w:fill="E1DFDD"/>
    </w:rPr>
  </w:style>
  <w:style w:type="paragraph" w:customStyle="1" w:styleId="CounselInformation">
    <w:name w:val="Counsel Information"/>
    <w:basedOn w:val="Normal"/>
    <w:rsid w:val="006D47E5"/>
    <w:pPr>
      <w:spacing w:line="240" w:lineRule="exact"/>
    </w:pPr>
    <w:rPr>
      <w:rFonts w:eastAsia="SimSun"/>
      <w:sz w:val="26"/>
      <w:szCs w:val="24"/>
    </w:rPr>
  </w:style>
  <w:style w:type="paragraph" w:styleId="FootnoteText">
    <w:name w:val="footnote text"/>
    <w:basedOn w:val="Normal"/>
    <w:link w:val="FootnoteTextChar"/>
    <w:uiPriority w:val="99"/>
    <w:semiHidden/>
    <w:unhideWhenUsed/>
    <w:rsid w:val="007718E6"/>
    <w:pPr>
      <w:spacing w:line="240" w:lineRule="auto"/>
    </w:pPr>
    <w:rPr>
      <w:sz w:val="20"/>
    </w:rPr>
  </w:style>
  <w:style w:type="character" w:customStyle="1" w:styleId="FootnoteTextChar">
    <w:name w:val="Footnote Text Char"/>
    <w:basedOn w:val="DefaultParagraphFont"/>
    <w:link w:val="FootnoteText"/>
    <w:uiPriority w:val="99"/>
    <w:semiHidden/>
    <w:rsid w:val="007718E6"/>
    <w:rPr>
      <w:rFonts w:eastAsia="Times New Roman" w:cs="Times New Roman"/>
      <w:sz w:val="20"/>
      <w:szCs w:val="20"/>
    </w:rPr>
  </w:style>
  <w:style w:type="character" w:styleId="FootnoteReference">
    <w:name w:val="footnote reference"/>
    <w:basedOn w:val="DefaultParagraphFont"/>
    <w:uiPriority w:val="99"/>
    <w:semiHidden/>
    <w:unhideWhenUsed/>
    <w:rsid w:val="007718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001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E1E99-5FA2-4163-B6AB-E4B629DEF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1532</Words>
  <Characters>8734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Stedman, Claudia</dc:creator>
  <cp:keywords/>
  <dc:description/>
  <cp:lastModifiedBy>Stedman, Claudia</cp:lastModifiedBy>
  <cp:revision>2</cp:revision>
  <dcterms:created xsi:type="dcterms:W3CDTF">2021-05-04T01:15:00Z</dcterms:created>
  <dcterms:modified xsi:type="dcterms:W3CDTF">2021-05-04T01:15:00Z</dcterms:modified>
</cp:coreProperties>
</file>