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D5B31" w14:textId="77777777" w:rsidR="00D94C0F" w:rsidRDefault="00343402" w:rsidP="00343402">
      <w:pPr>
        <w:spacing w:after="0"/>
        <w:rPr>
          <w:rFonts w:ascii="Garamond" w:hAnsi="Garamond"/>
          <w:sz w:val="28"/>
          <w:szCs w:val="28"/>
        </w:rPr>
      </w:pPr>
      <w:r w:rsidRPr="00343402">
        <w:rPr>
          <w:rFonts w:ascii="Garamond" w:hAnsi="Garamond"/>
          <w:sz w:val="28"/>
          <w:szCs w:val="28"/>
        </w:rPr>
        <w:t>Amy Armstrong (AZ Bar No. 022795)</w:t>
      </w:r>
    </w:p>
    <w:p w14:paraId="663D5B32" w14:textId="77777777" w:rsidR="00343402" w:rsidRPr="00343402" w:rsidRDefault="00343402" w:rsidP="00343402">
      <w:pPr>
        <w:spacing w:after="0"/>
        <w:rPr>
          <w:rFonts w:ascii="Garamond" w:hAnsi="Garamond"/>
          <w:sz w:val="28"/>
          <w:szCs w:val="28"/>
        </w:rPr>
      </w:pPr>
      <w:r>
        <w:rPr>
          <w:rFonts w:ascii="Garamond" w:hAnsi="Garamond"/>
          <w:sz w:val="28"/>
          <w:szCs w:val="28"/>
        </w:rPr>
        <w:t>amy@azcapitalproject.org</w:t>
      </w:r>
    </w:p>
    <w:p w14:paraId="663D5B33" w14:textId="77777777" w:rsidR="00343402" w:rsidRDefault="00343402" w:rsidP="00343402">
      <w:pPr>
        <w:spacing w:after="0"/>
        <w:rPr>
          <w:rFonts w:ascii="Garamond" w:hAnsi="Garamond"/>
          <w:sz w:val="28"/>
          <w:szCs w:val="28"/>
        </w:rPr>
      </w:pPr>
      <w:r w:rsidRPr="00343402">
        <w:rPr>
          <w:rFonts w:ascii="Garamond" w:hAnsi="Garamond"/>
          <w:sz w:val="28"/>
          <w:szCs w:val="28"/>
        </w:rPr>
        <w:t>Emily Skinner (AZ Bar No. 025761)</w:t>
      </w:r>
    </w:p>
    <w:p w14:paraId="663D5B34" w14:textId="77777777" w:rsidR="00343402" w:rsidRPr="00343402" w:rsidRDefault="00343402" w:rsidP="00343402">
      <w:pPr>
        <w:spacing w:after="0"/>
        <w:rPr>
          <w:rFonts w:ascii="Garamond" w:hAnsi="Garamond"/>
          <w:sz w:val="28"/>
          <w:szCs w:val="28"/>
        </w:rPr>
      </w:pPr>
      <w:r>
        <w:rPr>
          <w:rFonts w:ascii="Garamond" w:hAnsi="Garamond"/>
          <w:sz w:val="28"/>
          <w:szCs w:val="28"/>
        </w:rPr>
        <w:t>emily@azcapitalproject.org</w:t>
      </w:r>
    </w:p>
    <w:p w14:paraId="663D5B35" w14:textId="77777777" w:rsidR="00343402" w:rsidRDefault="00343402" w:rsidP="00343402">
      <w:pPr>
        <w:spacing w:after="0"/>
        <w:rPr>
          <w:rFonts w:ascii="Garamond" w:hAnsi="Garamond"/>
          <w:sz w:val="28"/>
          <w:szCs w:val="28"/>
        </w:rPr>
      </w:pPr>
      <w:r w:rsidRPr="00343402">
        <w:rPr>
          <w:rFonts w:ascii="Garamond" w:hAnsi="Garamond"/>
          <w:sz w:val="28"/>
          <w:szCs w:val="28"/>
        </w:rPr>
        <w:t xml:space="preserve">Arizona </w:t>
      </w:r>
      <w:r>
        <w:rPr>
          <w:rFonts w:ascii="Garamond" w:hAnsi="Garamond"/>
          <w:sz w:val="28"/>
          <w:szCs w:val="28"/>
        </w:rPr>
        <w:t>Capital Representation Project</w:t>
      </w:r>
    </w:p>
    <w:p w14:paraId="663D5B36" w14:textId="34D3C1B5" w:rsidR="00343402" w:rsidRDefault="00343402" w:rsidP="00343402">
      <w:pPr>
        <w:spacing w:after="0"/>
        <w:rPr>
          <w:rFonts w:ascii="Garamond" w:hAnsi="Garamond"/>
          <w:sz w:val="28"/>
          <w:szCs w:val="28"/>
        </w:rPr>
      </w:pPr>
      <w:r>
        <w:rPr>
          <w:rFonts w:ascii="Garamond" w:hAnsi="Garamond"/>
          <w:sz w:val="28"/>
          <w:szCs w:val="28"/>
        </w:rPr>
        <w:t>1201 E. Jefferson St.</w:t>
      </w:r>
      <w:r w:rsidR="00C032EC">
        <w:rPr>
          <w:rFonts w:ascii="Garamond" w:hAnsi="Garamond"/>
          <w:sz w:val="28"/>
          <w:szCs w:val="28"/>
        </w:rPr>
        <w:t>, Suite 5</w:t>
      </w:r>
    </w:p>
    <w:p w14:paraId="663D5B37" w14:textId="77777777" w:rsidR="00343402" w:rsidRDefault="00343402" w:rsidP="00343402">
      <w:pPr>
        <w:spacing w:after="0"/>
        <w:rPr>
          <w:rFonts w:ascii="Garamond" w:hAnsi="Garamond"/>
          <w:sz w:val="28"/>
          <w:szCs w:val="28"/>
        </w:rPr>
      </w:pPr>
      <w:r>
        <w:rPr>
          <w:rFonts w:ascii="Garamond" w:hAnsi="Garamond"/>
          <w:sz w:val="28"/>
          <w:szCs w:val="28"/>
        </w:rPr>
        <w:t>Phoenix, AZ 85007</w:t>
      </w:r>
    </w:p>
    <w:p w14:paraId="663D5B38" w14:textId="77777777" w:rsidR="00343402" w:rsidRDefault="00343402" w:rsidP="00343402">
      <w:pPr>
        <w:spacing w:after="0"/>
        <w:rPr>
          <w:rFonts w:ascii="Garamond" w:hAnsi="Garamond"/>
          <w:sz w:val="28"/>
          <w:szCs w:val="28"/>
        </w:rPr>
      </w:pPr>
      <w:r>
        <w:rPr>
          <w:rFonts w:ascii="Garamond" w:hAnsi="Garamond"/>
          <w:sz w:val="28"/>
          <w:szCs w:val="28"/>
        </w:rPr>
        <w:t>(602) 388-4023</w:t>
      </w:r>
    </w:p>
    <w:p w14:paraId="663D5B39" w14:textId="77777777" w:rsidR="00343402" w:rsidRDefault="00343402" w:rsidP="00343402">
      <w:pPr>
        <w:spacing w:after="0"/>
        <w:rPr>
          <w:rFonts w:ascii="Garamond" w:hAnsi="Garamond"/>
          <w:sz w:val="28"/>
          <w:szCs w:val="28"/>
        </w:rPr>
      </w:pPr>
    </w:p>
    <w:p w14:paraId="663D5B3A" w14:textId="77777777" w:rsidR="00343402" w:rsidRPr="00343402" w:rsidRDefault="00343402" w:rsidP="00343402">
      <w:pPr>
        <w:widowControl w:val="0"/>
        <w:tabs>
          <w:tab w:val="center" w:pos="4320"/>
        </w:tabs>
        <w:autoSpaceDE w:val="0"/>
        <w:autoSpaceDN w:val="0"/>
        <w:adjustRightInd w:val="0"/>
        <w:spacing w:after="0" w:line="240" w:lineRule="auto"/>
        <w:jc w:val="center"/>
        <w:rPr>
          <w:rFonts w:ascii="Garamond" w:eastAsia="Times New Roman" w:hAnsi="Garamond" w:cs="Times New Roman"/>
          <w:b/>
          <w:sz w:val="28"/>
          <w:szCs w:val="28"/>
        </w:rPr>
      </w:pPr>
      <w:r w:rsidRPr="00343402">
        <w:rPr>
          <w:rFonts w:ascii="Garamond" w:eastAsia="Times New Roman" w:hAnsi="Garamond" w:cs="Times New Roman"/>
          <w:b/>
          <w:sz w:val="28"/>
          <w:szCs w:val="28"/>
        </w:rPr>
        <w:t>IN THE ARIZONA SUPREME COURT</w:t>
      </w:r>
    </w:p>
    <w:p w14:paraId="663D5B3B" w14:textId="77777777" w:rsidR="00343402" w:rsidRPr="00343402" w:rsidRDefault="00343402" w:rsidP="00343402">
      <w:pPr>
        <w:widowControl w:val="0"/>
        <w:tabs>
          <w:tab w:val="center" w:pos="4320"/>
        </w:tabs>
        <w:autoSpaceDE w:val="0"/>
        <w:autoSpaceDN w:val="0"/>
        <w:adjustRightInd w:val="0"/>
        <w:spacing w:after="0" w:line="240" w:lineRule="auto"/>
        <w:jc w:val="center"/>
        <w:rPr>
          <w:rFonts w:ascii="Garamond" w:eastAsia="Times New Roman" w:hAnsi="Garamond" w:cs="Times New Roman"/>
          <w:sz w:val="28"/>
          <w:szCs w:val="28"/>
        </w:rPr>
      </w:pPr>
    </w:p>
    <w:p w14:paraId="663D5B3C" w14:textId="77777777" w:rsidR="00343402" w:rsidRPr="00343402" w:rsidRDefault="00343402" w:rsidP="00343402">
      <w:pPr>
        <w:widowControl w:val="0"/>
        <w:tabs>
          <w:tab w:val="center" w:pos="4320"/>
        </w:tabs>
        <w:autoSpaceDE w:val="0"/>
        <w:autoSpaceDN w:val="0"/>
        <w:adjustRightInd w:val="0"/>
        <w:spacing w:after="0" w:line="240" w:lineRule="auto"/>
        <w:jc w:val="both"/>
        <w:rPr>
          <w:rFonts w:ascii="Garamond" w:eastAsia="Times New Roman" w:hAnsi="Garamond" w:cs="Times New Roman"/>
          <w:sz w:val="28"/>
          <w:szCs w:val="28"/>
        </w:rPr>
      </w:pPr>
    </w:p>
    <w:tbl>
      <w:tblPr>
        <w:tblW w:w="0" w:type="auto"/>
        <w:jc w:val="center"/>
        <w:tblBorders>
          <w:bottom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4492"/>
        <w:gridCol w:w="288"/>
        <w:gridCol w:w="4778"/>
      </w:tblGrid>
      <w:tr w:rsidR="00343402" w:rsidRPr="00343402" w14:paraId="663D5B46" w14:textId="77777777" w:rsidTr="008726A7">
        <w:trPr>
          <w:trHeight w:hRule="exact" w:val="2222"/>
          <w:jc w:val="center"/>
        </w:trPr>
        <w:tc>
          <w:tcPr>
            <w:tcW w:w="4492" w:type="dxa"/>
          </w:tcPr>
          <w:p w14:paraId="663D5B3D" w14:textId="77777777" w:rsidR="00343402" w:rsidRPr="00343402" w:rsidRDefault="00EC6DF4" w:rsidP="008726A7">
            <w:pPr>
              <w:widowControl w:val="0"/>
              <w:autoSpaceDE w:val="0"/>
              <w:autoSpaceDN w:val="0"/>
              <w:adjustRightInd w:val="0"/>
              <w:spacing w:after="0" w:line="240" w:lineRule="auto"/>
              <w:jc w:val="both"/>
              <w:rPr>
                <w:rFonts w:ascii="Garamond" w:eastAsia="Times New Roman" w:hAnsi="Garamond" w:cs="Times New Roman"/>
                <w:sz w:val="28"/>
                <w:szCs w:val="28"/>
              </w:rPr>
            </w:pPr>
            <w:sdt>
              <w:sdtPr>
                <w:rPr>
                  <w:rFonts w:ascii="Garamond" w:eastAsia="Times New Roman" w:hAnsi="Garamond" w:cs="Times New Roman"/>
                  <w:sz w:val="28"/>
                  <w:szCs w:val="28"/>
                </w:rPr>
                <w:alias w:val="Petitioner Name"/>
                <w:tag w:val="Petitioner Name"/>
                <w:id w:val="-1637179640"/>
                <w:placeholder>
                  <w:docPart w:val="CEA0441515E84E9ABB8C64A5B51C542F"/>
                </w:placeholder>
                <w:text/>
              </w:sdtPr>
              <w:sdtEndPr/>
              <w:sdtContent>
                <w:r w:rsidR="00343402">
                  <w:rPr>
                    <w:rFonts w:ascii="Garamond" w:eastAsia="Times New Roman" w:hAnsi="Garamond" w:cs="Times New Roman"/>
                    <w:sz w:val="28"/>
                    <w:szCs w:val="28"/>
                  </w:rPr>
                  <w:t>In the Matter of:</w:t>
                </w:r>
              </w:sdtContent>
            </w:sdt>
          </w:p>
          <w:p w14:paraId="663D5B3E" w14:textId="77777777" w:rsidR="00343402" w:rsidRPr="00343402" w:rsidRDefault="00343402" w:rsidP="008726A7">
            <w:pPr>
              <w:spacing w:after="0" w:line="240" w:lineRule="auto"/>
              <w:jc w:val="both"/>
              <w:rPr>
                <w:rFonts w:ascii="Garamond" w:eastAsia="Times New Roman" w:hAnsi="Garamond" w:cs="Times New Roman"/>
                <w:sz w:val="28"/>
                <w:szCs w:val="28"/>
              </w:rPr>
            </w:pPr>
          </w:p>
          <w:p w14:paraId="663D5B3F" w14:textId="77777777" w:rsidR="00343402" w:rsidRPr="00343402" w:rsidRDefault="00343402" w:rsidP="00343402">
            <w:pPr>
              <w:spacing w:after="0" w:line="240" w:lineRule="auto"/>
              <w:jc w:val="both"/>
              <w:rPr>
                <w:rFonts w:ascii="Garamond" w:eastAsia="Times New Roman" w:hAnsi="Garamond" w:cs="Times New Roman"/>
                <w:sz w:val="28"/>
                <w:szCs w:val="28"/>
              </w:rPr>
            </w:pPr>
            <w:r w:rsidRPr="00343402">
              <w:rPr>
                <w:rFonts w:ascii="Garamond" w:eastAsia="Times New Roman" w:hAnsi="Garamond" w:cs="Times New Roman"/>
                <w:sz w:val="28"/>
                <w:szCs w:val="28"/>
              </w:rPr>
              <w:t xml:space="preserve">PETITION TO AMEND </w:t>
            </w:r>
            <w:r>
              <w:rPr>
                <w:rFonts w:ascii="Garamond" w:eastAsia="Times New Roman" w:hAnsi="Garamond" w:cs="Times New Roman"/>
                <w:sz w:val="28"/>
                <w:szCs w:val="28"/>
              </w:rPr>
              <w:t>ARIZONA RULES OF THE SUPREME COURT, RULE 24 REGARDING JURY SELECTION</w:t>
            </w:r>
          </w:p>
        </w:tc>
        <w:tc>
          <w:tcPr>
            <w:tcW w:w="288" w:type="dxa"/>
            <w:tcBorders>
              <w:bottom w:val="nil"/>
              <w:right w:val="nil"/>
            </w:tcBorders>
          </w:tcPr>
          <w:p w14:paraId="663D5B40" w14:textId="77777777" w:rsidR="00343402" w:rsidRPr="00343402" w:rsidRDefault="00343402" w:rsidP="008726A7">
            <w:pPr>
              <w:widowControl w:val="0"/>
              <w:autoSpaceDE w:val="0"/>
              <w:autoSpaceDN w:val="0"/>
              <w:adjustRightInd w:val="0"/>
              <w:spacing w:after="0" w:line="235" w:lineRule="exact"/>
              <w:jc w:val="both"/>
              <w:rPr>
                <w:rFonts w:ascii="Garamond" w:eastAsia="Times New Roman" w:hAnsi="Garamond" w:cs="Times New Roman"/>
                <w:sz w:val="28"/>
                <w:szCs w:val="28"/>
              </w:rPr>
            </w:pPr>
          </w:p>
        </w:tc>
        <w:tc>
          <w:tcPr>
            <w:tcW w:w="4778" w:type="dxa"/>
            <w:tcBorders>
              <w:left w:val="nil"/>
              <w:bottom w:val="nil"/>
            </w:tcBorders>
          </w:tcPr>
          <w:p w14:paraId="663D5B41" w14:textId="77777777" w:rsidR="00343402" w:rsidRPr="00343402" w:rsidRDefault="00343402" w:rsidP="008726A7">
            <w:pPr>
              <w:widowControl w:val="0"/>
              <w:autoSpaceDE w:val="0"/>
              <w:autoSpaceDN w:val="0"/>
              <w:adjustRightInd w:val="0"/>
              <w:spacing w:after="0" w:line="240" w:lineRule="auto"/>
              <w:rPr>
                <w:rFonts w:ascii="Garamond" w:eastAsia="Times New Roman" w:hAnsi="Garamond" w:cs="Times New Roman"/>
                <w:sz w:val="28"/>
                <w:szCs w:val="28"/>
              </w:rPr>
            </w:pPr>
            <w:r w:rsidRPr="00343402">
              <w:rPr>
                <w:rFonts w:ascii="Garamond" w:eastAsia="Times New Roman" w:hAnsi="Garamond" w:cs="Times New Roman"/>
                <w:sz w:val="28"/>
                <w:szCs w:val="28"/>
              </w:rPr>
              <w:t>ARIZONA SUPREME COURT</w:t>
            </w:r>
          </w:p>
          <w:p w14:paraId="663D5B42" w14:textId="77777777" w:rsidR="00343402" w:rsidRPr="00343402" w:rsidRDefault="00343402" w:rsidP="008726A7">
            <w:pPr>
              <w:widowControl w:val="0"/>
              <w:autoSpaceDE w:val="0"/>
              <w:autoSpaceDN w:val="0"/>
              <w:adjustRightInd w:val="0"/>
              <w:spacing w:after="0" w:line="240" w:lineRule="auto"/>
              <w:rPr>
                <w:rFonts w:ascii="Garamond" w:eastAsia="Times New Roman" w:hAnsi="Garamond" w:cs="Times New Roman"/>
                <w:sz w:val="28"/>
                <w:szCs w:val="28"/>
              </w:rPr>
            </w:pPr>
            <w:r w:rsidRPr="00343402">
              <w:rPr>
                <w:rFonts w:ascii="Garamond" w:eastAsia="Times New Roman" w:hAnsi="Garamond" w:cs="Times New Roman"/>
                <w:sz w:val="28"/>
                <w:szCs w:val="28"/>
              </w:rPr>
              <w:t>No. R-21-0008</w:t>
            </w:r>
          </w:p>
          <w:p w14:paraId="663D5B43" w14:textId="77777777" w:rsidR="00343402" w:rsidRPr="00343402" w:rsidRDefault="00343402" w:rsidP="008726A7">
            <w:pPr>
              <w:widowControl w:val="0"/>
              <w:autoSpaceDE w:val="0"/>
              <w:autoSpaceDN w:val="0"/>
              <w:adjustRightInd w:val="0"/>
              <w:spacing w:after="0" w:line="240" w:lineRule="auto"/>
              <w:rPr>
                <w:rFonts w:ascii="Garamond" w:eastAsia="Times New Roman" w:hAnsi="Garamond" w:cs="Times New Roman"/>
                <w:sz w:val="28"/>
                <w:szCs w:val="28"/>
              </w:rPr>
            </w:pPr>
          </w:p>
          <w:p w14:paraId="663D5B44" w14:textId="77777777" w:rsidR="00343402" w:rsidRPr="00343402" w:rsidRDefault="00343402" w:rsidP="008726A7">
            <w:pPr>
              <w:widowControl w:val="0"/>
              <w:autoSpaceDE w:val="0"/>
              <w:autoSpaceDN w:val="0"/>
              <w:adjustRightInd w:val="0"/>
              <w:spacing w:after="0" w:line="240" w:lineRule="auto"/>
              <w:rPr>
                <w:rFonts w:ascii="Garamond" w:eastAsia="Times New Roman" w:hAnsi="Garamond" w:cs="Times New Roman"/>
                <w:sz w:val="28"/>
                <w:szCs w:val="28"/>
              </w:rPr>
            </w:pPr>
          </w:p>
          <w:p w14:paraId="663D5B45" w14:textId="77777777" w:rsidR="00343402" w:rsidRPr="00343402" w:rsidRDefault="00343402" w:rsidP="008726A7">
            <w:pPr>
              <w:widowControl w:val="0"/>
              <w:autoSpaceDE w:val="0"/>
              <w:autoSpaceDN w:val="0"/>
              <w:adjustRightInd w:val="0"/>
              <w:spacing w:after="0" w:line="240" w:lineRule="auto"/>
              <w:rPr>
                <w:rFonts w:ascii="Garamond" w:eastAsia="Times New Roman" w:hAnsi="Garamond" w:cs="Times New Roman"/>
                <w:sz w:val="28"/>
                <w:szCs w:val="28"/>
              </w:rPr>
            </w:pPr>
          </w:p>
        </w:tc>
      </w:tr>
    </w:tbl>
    <w:p w14:paraId="663D5B49" w14:textId="77777777" w:rsidR="008E07E5" w:rsidRDefault="008E07E5" w:rsidP="0052644A">
      <w:pPr>
        <w:spacing w:after="0"/>
        <w:rPr>
          <w:rFonts w:ascii="Garamond" w:hAnsi="Garamond"/>
          <w:sz w:val="28"/>
          <w:szCs w:val="28"/>
        </w:rPr>
      </w:pPr>
    </w:p>
    <w:p w14:paraId="663D5B4A" w14:textId="77777777" w:rsidR="008E07E5" w:rsidRDefault="008E07E5" w:rsidP="008E07E5">
      <w:pPr>
        <w:spacing w:after="0"/>
        <w:rPr>
          <w:rFonts w:ascii="Garamond" w:hAnsi="Garamond"/>
          <w:sz w:val="28"/>
          <w:szCs w:val="28"/>
        </w:rPr>
      </w:pPr>
    </w:p>
    <w:p w14:paraId="663D5B4B" w14:textId="6C030DB3" w:rsidR="008E07E5" w:rsidRPr="00940220" w:rsidRDefault="004244AF" w:rsidP="004244AF">
      <w:pPr>
        <w:spacing w:after="0" w:line="480" w:lineRule="auto"/>
        <w:ind w:firstLine="720"/>
        <w:rPr>
          <w:rFonts w:ascii="Garamond" w:hAnsi="Garamond"/>
          <w:sz w:val="28"/>
          <w:szCs w:val="28"/>
        </w:rPr>
      </w:pPr>
      <w:r w:rsidRPr="004244AF">
        <w:rPr>
          <w:rFonts w:ascii="Garamond" w:hAnsi="Garamond" w:cs="Century Schoolbook"/>
          <w:sz w:val="28"/>
          <w:szCs w:val="28"/>
        </w:rPr>
        <w:t xml:space="preserve">The Arizona Capital Representation Project (ACRP) is a statewide non-profit legal services organization that assists indigent persons facing the death penalty in Arizona through direct representation, </w:t>
      </w:r>
      <w:r w:rsidRPr="004244AF">
        <w:rPr>
          <w:rFonts w:ascii="Garamond" w:hAnsi="Garamond" w:cs="Century Schoolbook"/>
          <w:i/>
          <w:sz w:val="28"/>
          <w:szCs w:val="28"/>
        </w:rPr>
        <w:t>pro bono</w:t>
      </w:r>
      <w:r w:rsidRPr="004244AF">
        <w:rPr>
          <w:rFonts w:ascii="Garamond" w:hAnsi="Garamond" w:cs="Century Schoolbook"/>
          <w:sz w:val="28"/>
          <w:szCs w:val="28"/>
        </w:rPr>
        <w:t xml:space="preserve"> training and consulting services, and education. ACRP tracks and monitors all capital prosecutions in Arizona.</w:t>
      </w:r>
      <w:r>
        <w:rPr>
          <w:rFonts w:ascii="Garamond" w:hAnsi="Garamond" w:cs="Century Schoolbook"/>
          <w:sz w:val="28"/>
          <w:szCs w:val="28"/>
        </w:rPr>
        <w:t xml:space="preserve"> ACRP is thoroughly familiar with the standards for constitutional and fair jury proceedings in </w:t>
      </w:r>
      <w:r w:rsidR="004572E7">
        <w:rPr>
          <w:rFonts w:ascii="Garamond" w:hAnsi="Garamond" w:cs="Century Schoolbook"/>
          <w:sz w:val="28"/>
          <w:szCs w:val="28"/>
        </w:rPr>
        <w:t>criminal trials. ACRP su</w:t>
      </w:r>
      <w:r w:rsidR="007C3249">
        <w:rPr>
          <w:rFonts w:ascii="Garamond" w:hAnsi="Garamond" w:cs="Century Schoolbook"/>
          <w:sz w:val="28"/>
          <w:szCs w:val="28"/>
        </w:rPr>
        <w:t>pports the proposed rule change and urges this Court to grant the Petition to Amend the Rules of the Supreme Court of Arizona to Adopt Proposed Rule 24-Jury Selection (“Petition”).</w:t>
      </w:r>
      <w:r w:rsidR="00940220">
        <w:rPr>
          <w:rFonts w:ascii="Garamond" w:hAnsi="Garamond" w:cs="Century Schoolbook"/>
          <w:sz w:val="28"/>
          <w:szCs w:val="28"/>
        </w:rPr>
        <w:t xml:space="preserve"> For the reasons explained below and in the Petition, </w:t>
      </w:r>
      <w:r w:rsidR="00940220">
        <w:rPr>
          <w:rFonts w:ascii="Garamond" w:hAnsi="Garamond" w:cs="Century Schoolbook"/>
          <w:i/>
          <w:sz w:val="28"/>
          <w:szCs w:val="28"/>
        </w:rPr>
        <w:t>Batson v. Kentucky</w:t>
      </w:r>
      <w:r w:rsidR="00940220">
        <w:rPr>
          <w:rFonts w:ascii="Garamond" w:hAnsi="Garamond" w:cs="Century Schoolbook"/>
          <w:sz w:val="28"/>
          <w:szCs w:val="28"/>
        </w:rPr>
        <w:t xml:space="preserve">, 476 U.S. 79 (1986) is not sufficient to prevent the discriminatory use of peremptory strikes. </w:t>
      </w:r>
    </w:p>
    <w:p w14:paraId="663D5B4C" w14:textId="77777777" w:rsidR="008E07E5" w:rsidRDefault="008E07E5" w:rsidP="008E07E5">
      <w:pPr>
        <w:spacing w:after="0"/>
        <w:rPr>
          <w:rFonts w:ascii="Garamond" w:hAnsi="Garamond"/>
          <w:sz w:val="28"/>
          <w:szCs w:val="28"/>
        </w:rPr>
      </w:pPr>
    </w:p>
    <w:p w14:paraId="663D5B4D" w14:textId="77777777" w:rsidR="004608B4" w:rsidRDefault="004D2331" w:rsidP="004608B4">
      <w:pPr>
        <w:pStyle w:val="ListParagraph"/>
        <w:numPr>
          <w:ilvl w:val="0"/>
          <w:numId w:val="1"/>
        </w:numPr>
        <w:spacing w:after="0"/>
        <w:rPr>
          <w:rFonts w:ascii="Garamond" w:hAnsi="Garamond"/>
          <w:b/>
          <w:sz w:val="28"/>
          <w:szCs w:val="28"/>
        </w:rPr>
      </w:pPr>
      <w:r>
        <w:rPr>
          <w:rFonts w:ascii="Garamond" w:hAnsi="Garamond"/>
          <w:b/>
          <w:sz w:val="28"/>
          <w:szCs w:val="28"/>
        </w:rPr>
        <w:t>Racial Discrimination is a Significant Problem in Capital Cases</w:t>
      </w:r>
    </w:p>
    <w:p w14:paraId="663D5B4E" w14:textId="77777777" w:rsidR="00917317" w:rsidRDefault="00917317" w:rsidP="00917317">
      <w:pPr>
        <w:pStyle w:val="ListParagraph"/>
        <w:spacing w:after="0"/>
        <w:ind w:left="1080"/>
        <w:rPr>
          <w:rFonts w:ascii="Garamond" w:hAnsi="Garamond"/>
          <w:b/>
          <w:sz w:val="28"/>
          <w:szCs w:val="28"/>
        </w:rPr>
      </w:pPr>
    </w:p>
    <w:p w14:paraId="663D5B4F" w14:textId="25D3E14E" w:rsidR="00916F8F" w:rsidRDefault="009B2408" w:rsidP="00917317">
      <w:pPr>
        <w:pStyle w:val="ListParagraph"/>
        <w:numPr>
          <w:ilvl w:val="1"/>
          <w:numId w:val="1"/>
        </w:numPr>
        <w:spacing w:after="0"/>
        <w:rPr>
          <w:rFonts w:ascii="Garamond" w:hAnsi="Garamond"/>
          <w:b/>
          <w:sz w:val="28"/>
          <w:szCs w:val="28"/>
        </w:rPr>
      </w:pPr>
      <w:r>
        <w:rPr>
          <w:rFonts w:ascii="Garamond" w:hAnsi="Garamond"/>
          <w:b/>
          <w:sz w:val="28"/>
          <w:szCs w:val="28"/>
        </w:rPr>
        <w:t>Jury Selection Has Long Suffered from Racial Discrimination, Especially in Capital Cases</w:t>
      </w:r>
    </w:p>
    <w:p w14:paraId="4C773784" w14:textId="77777777" w:rsidR="007E459B" w:rsidRDefault="007E459B" w:rsidP="007E459B">
      <w:pPr>
        <w:pStyle w:val="ListParagraph"/>
        <w:spacing w:after="0"/>
        <w:ind w:left="1440"/>
        <w:rPr>
          <w:rFonts w:ascii="Garamond" w:hAnsi="Garamond"/>
          <w:b/>
          <w:sz w:val="28"/>
          <w:szCs w:val="28"/>
        </w:rPr>
      </w:pPr>
    </w:p>
    <w:p w14:paraId="663D5B57" w14:textId="416BF172" w:rsidR="00916F8F" w:rsidRDefault="004F4C15" w:rsidP="00940220">
      <w:pPr>
        <w:spacing w:after="0" w:line="480" w:lineRule="auto"/>
        <w:ind w:firstLine="720"/>
        <w:rPr>
          <w:rFonts w:ascii="Garamond" w:hAnsi="Garamond"/>
          <w:sz w:val="28"/>
          <w:szCs w:val="28"/>
        </w:rPr>
      </w:pPr>
      <w:r w:rsidRPr="1795564C">
        <w:rPr>
          <w:rFonts w:ascii="Garamond" w:hAnsi="Garamond"/>
          <w:sz w:val="28"/>
          <w:szCs w:val="28"/>
        </w:rPr>
        <w:t xml:space="preserve">Peremptory strikes and restrictive master jury lists are </w:t>
      </w:r>
      <w:r w:rsidR="009B2408" w:rsidRPr="1795564C">
        <w:rPr>
          <w:rFonts w:ascii="Garamond" w:hAnsi="Garamond"/>
          <w:sz w:val="28"/>
          <w:szCs w:val="28"/>
        </w:rPr>
        <w:t xml:space="preserve">inextricably </w:t>
      </w:r>
      <w:r w:rsidR="00940220" w:rsidRPr="1795564C">
        <w:rPr>
          <w:rFonts w:ascii="Garamond" w:hAnsi="Garamond"/>
          <w:sz w:val="28"/>
          <w:szCs w:val="28"/>
        </w:rPr>
        <w:t>linked</w:t>
      </w:r>
      <w:r w:rsidRPr="1795564C">
        <w:rPr>
          <w:rFonts w:ascii="Garamond" w:hAnsi="Garamond"/>
          <w:sz w:val="28"/>
          <w:szCs w:val="28"/>
        </w:rPr>
        <w:t xml:space="preserve"> </w:t>
      </w:r>
      <w:r w:rsidR="0002540F" w:rsidRPr="1795564C">
        <w:rPr>
          <w:rFonts w:ascii="Garamond" w:hAnsi="Garamond"/>
          <w:sz w:val="28"/>
          <w:szCs w:val="28"/>
        </w:rPr>
        <w:t xml:space="preserve">with </w:t>
      </w:r>
      <w:r w:rsidR="00940220" w:rsidRPr="1795564C">
        <w:rPr>
          <w:rFonts w:ascii="Garamond" w:hAnsi="Garamond"/>
          <w:sz w:val="28"/>
          <w:szCs w:val="28"/>
        </w:rPr>
        <w:t>S</w:t>
      </w:r>
      <w:r w:rsidR="0002540F" w:rsidRPr="1795564C">
        <w:rPr>
          <w:rFonts w:ascii="Garamond" w:hAnsi="Garamond"/>
          <w:sz w:val="28"/>
          <w:szCs w:val="28"/>
        </w:rPr>
        <w:t xml:space="preserve">tate efforts to exclude African Americans from serving on juries. </w:t>
      </w:r>
      <w:bookmarkStart w:id="0" w:name="_Hlk70697506"/>
      <w:r w:rsidR="0002540F" w:rsidRPr="1795564C">
        <w:rPr>
          <w:rFonts w:ascii="Garamond" w:hAnsi="Garamond"/>
          <w:sz w:val="28"/>
          <w:szCs w:val="28"/>
        </w:rPr>
        <w:t xml:space="preserve">Equal Justice Initiative, </w:t>
      </w:r>
      <w:r w:rsidR="0002540F" w:rsidRPr="1795564C">
        <w:rPr>
          <w:rFonts w:ascii="Garamond" w:hAnsi="Garamond"/>
          <w:i/>
          <w:iCs/>
          <w:sz w:val="28"/>
          <w:szCs w:val="28"/>
        </w:rPr>
        <w:t>Illegal Racial Discrimination</w:t>
      </w:r>
      <w:r w:rsidR="0002540F" w:rsidRPr="1795564C">
        <w:rPr>
          <w:rFonts w:ascii="Garamond" w:hAnsi="Garamond"/>
          <w:sz w:val="28"/>
          <w:szCs w:val="28"/>
        </w:rPr>
        <w:t xml:space="preserve"> (August 2010)</w:t>
      </w:r>
      <w:bookmarkEnd w:id="0"/>
      <w:r w:rsidR="0002540F" w:rsidRPr="1795564C">
        <w:rPr>
          <w:rFonts w:ascii="Garamond" w:hAnsi="Garamond"/>
          <w:sz w:val="28"/>
          <w:szCs w:val="28"/>
        </w:rPr>
        <w:t xml:space="preserve"> at 9-10 (“EJI”).</w:t>
      </w:r>
      <w:r w:rsidR="00711D08" w:rsidRPr="1795564C">
        <w:rPr>
          <w:rFonts w:ascii="Garamond" w:hAnsi="Garamond"/>
          <w:sz w:val="28"/>
          <w:szCs w:val="28"/>
        </w:rPr>
        <w:t xml:space="preserve"> Although the Civil Rights Act of 1875 prohibited racial discrimination in jury selection, the Jim Crow era brought with it a host of strategies employed by States to eliminate or reduce the ability of African Americans to serve. </w:t>
      </w:r>
      <w:r w:rsidR="00711D08" w:rsidRPr="1795564C">
        <w:rPr>
          <w:rFonts w:ascii="Garamond" w:hAnsi="Garamond"/>
          <w:i/>
          <w:iCs/>
          <w:sz w:val="28"/>
          <w:szCs w:val="28"/>
        </w:rPr>
        <w:t>Id</w:t>
      </w:r>
      <w:r w:rsidR="00711D08" w:rsidRPr="1795564C">
        <w:rPr>
          <w:rFonts w:ascii="Garamond" w:hAnsi="Garamond"/>
          <w:sz w:val="28"/>
          <w:szCs w:val="28"/>
        </w:rPr>
        <w:t>. (citations omitted). In 1935, the U.S. Supreme Court considered the complete exclusion of African Americans from the jury pool in the trial of Clarence Norr</w:t>
      </w:r>
      <w:r w:rsidR="00940220" w:rsidRPr="1795564C">
        <w:rPr>
          <w:rFonts w:ascii="Garamond" w:hAnsi="Garamond"/>
          <w:sz w:val="28"/>
          <w:szCs w:val="28"/>
        </w:rPr>
        <w:t xml:space="preserve">is, one of nine African American teenagers wrongly convicted and sentenced to death for the sexual assault of two white women. </w:t>
      </w:r>
      <w:r w:rsidR="00023339" w:rsidRPr="1795564C">
        <w:rPr>
          <w:rFonts w:ascii="Garamond" w:hAnsi="Garamond"/>
          <w:i/>
          <w:iCs/>
          <w:sz w:val="28"/>
          <w:szCs w:val="28"/>
        </w:rPr>
        <w:t>Norris v. Alabama</w:t>
      </w:r>
      <w:r w:rsidR="00023339" w:rsidRPr="1795564C">
        <w:rPr>
          <w:rFonts w:ascii="Garamond" w:hAnsi="Garamond"/>
          <w:sz w:val="28"/>
          <w:szCs w:val="28"/>
        </w:rPr>
        <w:t>, 55 S. Ct. 579 (1935)</w:t>
      </w:r>
      <w:r w:rsidR="00940220" w:rsidRPr="1795564C">
        <w:rPr>
          <w:rFonts w:ascii="Garamond" w:hAnsi="Garamond"/>
          <w:sz w:val="28"/>
          <w:szCs w:val="28"/>
        </w:rPr>
        <w:t>. The Supreme Court held that it would no longer tolerate the “total exclusion” of African Americans from juries but did nothing to stop the systemic under-representation of African American</w:t>
      </w:r>
      <w:r w:rsidR="00602A78" w:rsidRPr="1795564C">
        <w:rPr>
          <w:rFonts w:ascii="Garamond" w:hAnsi="Garamond"/>
          <w:sz w:val="28"/>
          <w:szCs w:val="28"/>
        </w:rPr>
        <w:t>s</w:t>
      </w:r>
      <w:r w:rsidR="00940220" w:rsidRPr="1795564C">
        <w:rPr>
          <w:rFonts w:ascii="Garamond" w:hAnsi="Garamond"/>
          <w:sz w:val="28"/>
          <w:szCs w:val="28"/>
        </w:rPr>
        <w:t xml:space="preserve"> on jury rolls and on juries. </w:t>
      </w:r>
    </w:p>
    <w:p w14:paraId="12C898E2" w14:textId="1017A370" w:rsidR="009B2408" w:rsidRDefault="009B2408" w:rsidP="00940220">
      <w:pPr>
        <w:spacing w:after="0" w:line="480" w:lineRule="auto"/>
        <w:ind w:firstLine="720"/>
        <w:rPr>
          <w:rFonts w:ascii="Garamond" w:hAnsi="Garamond"/>
          <w:sz w:val="28"/>
          <w:szCs w:val="28"/>
        </w:rPr>
      </w:pPr>
      <w:r>
        <w:rPr>
          <w:rFonts w:ascii="Garamond" w:hAnsi="Garamond"/>
          <w:sz w:val="28"/>
          <w:szCs w:val="28"/>
        </w:rPr>
        <w:t>In much of the United States, trial</w:t>
      </w:r>
      <w:r w:rsidR="00940974">
        <w:rPr>
          <w:rFonts w:ascii="Garamond" w:hAnsi="Garamond"/>
          <w:sz w:val="28"/>
          <w:szCs w:val="28"/>
        </w:rPr>
        <w:t>s</w:t>
      </w:r>
      <w:r>
        <w:rPr>
          <w:rFonts w:ascii="Garamond" w:hAnsi="Garamond"/>
          <w:sz w:val="28"/>
          <w:szCs w:val="28"/>
        </w:rPr>
        <w:t xml:space="preserve"> during the Jim Crow period “took place against the background of state-sponsored and </w:t>
      </w:r>
      <w:r w:rsidR="00EA5F19">
        <w:rPr>
          <w:rFonts w:ascii="Garamond" w:hAnsi="Garamond"/>
          <w:sz w:val="28"/>
          <w:szCs w:val="28"/>
        </w:rPr>
        <w:t>-</w:t>
      </w:r>
      <w:r>
        <w:rPr>
          <w:rFonts w:ascii="Garamond" w:hAnsi="Garamond"/>
          <w:sz w:val="28"/>
          <w:szCs w:val="28"/>
        </w:rPr>
        <w:t xml:space="preserve">condoned terror, in the form of lynch mobs and extra-judicial killings.” EJI at 10. Southern whites argued that “summary trials of Black defendants by all-white juries” was better than lynching. </w:t>
      </w:r>
      <w:r>
        <w:rPr>
          <w:rFonts w:ascii="Garamond" w:hAnsi="Garamond"/>
          <w:i/>
          <w:sz w:val="28"/>
          <w:szCs w:val="28"/>
        </w:rPr>
        <w:t>Id</w:t>
      </w:r>
      <w:r>
        <w:rPr>
          <w:rFonts w:ascii="Garamond" w:hAnsi="Garamond"/>
          <w:sz w:val="28"/>
          <w:szCs w:val="28"/>
        </w:rPr>
        <w:t xml:space="preserve">. (citing </w:t>
      </w:r>
      <w:r>
        <w:rPr>
          <w:rFonts w:ascii="Garamond" w:hAnsi="Garamond"/>
          <w:sz w:val="28"/>
          <w:szCs w:val="28"/>
        </w:rPr>
        <w:lastRenderedPageBreak/>
        <w:t xml:space="preserve">Michael J. Klarman, </w:t>
      </w:r>
      <w:r>
        <w:rPr>
          <w:rFonts w:ascii="Garamond" w:hAnsi="Garamond"/>
          <w:i/>
          <w:sz w:val="28"/>
          <w:szCs w:val="28"/>
        </w:rPr>
        <w:t>From Jim Crow to Civil Rights</w:t>
      </w:r>
      <w:r>
        <w:rPr>
          <w:rFonts w:ascii="Garamond" w:hAnsi="Garamond"/>
          <w:sz w:val="28"/>
          <w:szCs w:val="28"/>
        </w:rPr>
        <w:t xml:space="preserve"> at 119-20 (2004)).</w:t>
      </w:r>
      <w:r w:rsidR="00940974">
        <w:rPr>
          <w:rFonts w:ascii="Garamond" w:hAnsi="Garamond"/>
          <w:sz w:val="28"/>
          <w:szCs w:val="28"/>
        </w:rPr>
        <w:t xml:space="preserve"> Historically, the death penalty was used against African Americans for a far greater variety of crimes than white Americans, including “rape, slave revolt, burglary, and arson.” Dorothy E. Roberts, </w:t>
      </w:r>
      <w:r w:rsidR="00940974">
        <w:rPr>
          <w:rFonts w:ascii="Garamond" w:hAnsi="Garamond"/>
          <w:i/>
          <w:sz w:val="28"/>
          <w:szCs w:val="28"/>
        </w:rPr>
        <w:t>Constructing a Criminal Justice System Free of Racial Bias: An Abolitionist Framework</w:t>
      </w:r>
      <w:r w:rsidR="00940974">
        <w:rPr>
          <w:rFonts w:ascii="Garamond" w:hAnsi="Garamond"/>
          <w:sz w:val="28"/>
          <w:szCs w:val="28"/>
        </w:rPr>
        <w:t xml:space="preserve">, 39 Colum. Hum. Rts. L. Rev. 261, 272 (2007) (citation omitted). And extra-judicial lynchings “were not exceptions to the law” but were an ingrained part of the justice system and “a broader system of racial control.” </w:t>
      </w:r>
      <w:r w:rsidR="00940974">
        <w:rPr>
          <w:rFonts w:ascii="Garamond" w:hAnsi="Garamond"/>
          <w:i/>
          <w:sz w:val="28"/>
          <w:szCs w:val="28"/>
        </w:rPr>
        <w:t>Id</w:t>
      </w:r>
      <w:r w:rsidR="00940974">
        <w:rPr>
          <w:rFonts w:ascii="Garamond" w:hAnsi="Garamond"/>
          <w:sz w:val="28"/>
          <w:szCs w:val="28"/>
        </w:rPr>
        <w:t>. at 274.</w:t>
      </w:r>
    </w:p>
    <w:p w14:paraId="1851304C" w14:textId="2D1B062E" w:rsidR="00023339" w:rsidRPr="00023339" w:rsidRDefault="00940974" w:rsidP="004F210A">
      <w:pPr>
        <w:spacing w:after="0" w:line="480" w:lineRule="auto"/>
        <w:ind w:firstLine="720"/>
        <w:rPr>
          <w:rFonts w:ascii="Garamond" w:hAnsi="Garamond"/>
          <w:sz w:val="28"/>
          <w:szCs w:val="28"/>
        </w:rPr>
      </w:pPr>
      <w:r>
        <w:rPr>
          <w:rFonts w:ascii="Garamond" w:hAnsi="Garamond"/>
          <w:sz w:val="28"/>
          <w:szCs w:val="28"/>
        </w:rPr>
        <w:t>In the 20</w:t>
      </w:r>
      <w:r w:rsidRPr="00940974">
        <w:rPr>
          <w:rFonts w:ascii="Garamond" w:hAnsi="Garamond"/>
          <w:sz w:val="28"/>
          <w:szCs w:val="28"/>
          <w:vertAlign w:val="superscript"/>
        </w:rPr>
        <w:t>th</w:t>
      </w:r>
      <w:r>
        <w:rPr>
          <w:rFonts w:ascii="Garamond" w:hAnsi="Garamond"/>
          <w:sz w:val="28"/>
          <w:szCs w:val="28"/>
        </w:rPr>
        <w:t xml:space="preserve"> century, lynchings subsided and were replaced with the disproportionate use of capital punishment against African Americans. Roberts at 274. While </w:t>
      </w:r>
      <w:r w:rsidR="002A49B4">
        <w:rPr>
          <w:rFonts w:ascii="Garamond" w:hAnsi="Garamond"/>
          <w:sz w:val="28"/>
          <w:szCs w:val="28"/>
        </w:rPr>
        <w:t xml:space="preserve">the method of executions has evolved from extra-judicial lynchings to lethal injection, </w:t>
      </w:r>
      <w:r w:rsidR="00D55FFB">
        <w:rPr>
          <w:rFonts w:ascii="Garamond" w:hAnsi="Garamond"/>
          <w:sz w:val="28"/>
          <w:szCs w:val="28"/>
        </w:rPr>
        <w:t>the American criminal justice system has continued its racist legacy.</w:t>
      </w:r>
      <w:r w:rsidR="00D55FFB">
        <w:rPr>
          <w:rStyle w:val="FootnoteReference"/>
          <w:rFonts w:ascii="Garamond" w:hAnsi="Garamond"/>
          <w:sz w:val="28"/>
          <w:szCs w:val="28"/>
        </w:rPr>
        <w:footnoteReference w:id="1"/>
      </w:r>
      <w:r w:rsidR="00D55FFB">
        <w:rPr>
          <w:rFonts w:ascii="Garamond" w:hAnsi="Garamond"/>
          <w:sz w:val="28"/>
          <w:szCs w:val="28"/>
        </w:rPr>
        <w:t xml:space="preserve"> </w:t>
      </w:r>
    </w:p>
    <w:p w14:paraId="663D5B58" w14:textId="1B70E731" w:rsidR="00917317" w:rsidRDefault="00917317" w:rsidP="1795564C">
      <w:pPr>
        <w:pStyle w:val="ListParagraph"/>
        <w:numPr>
          <w:ilvl w:val="1"/>
          <w:numId w:val="1"/>
        </w:numPr>
        <w:spacing w:after="0"/>
        <w:rPr>
          <w:rFonts w:ascii="Garamond" w:hAnsi="Garamond"/>
          <w:b/>
          <w:bCs/>
          <w:sz w:val="28"/>
          <w:szCs w:val="28"/>
        </w:rPr>
      </w:pPr>
      <w:r w:rsidRPr="1795564C">
        <w:rPr>
          <w:rFonts w:ascii="Garamond" w:hAnsi="Garamond"/>
          <w:b/>
          <w:bCs/>
          <w:sz w:val="28"/>
          <w:szCs w:val="28"/>
        </w:rPr>
        <w:t>African Americans and Other Minorit</w:t>
      </w:r>
      <w:r w:rsidR="00F30ECB" w:rsidRPr="1795564C">
        <w:rPr>
          <w:rFonts w:ascii="Garamond" w:hAnsi="Garamond"/>
          <w:b/>
          <w:bCs/>
          <w:sz w:val="28"/>
          <w:szCs w:val="28"/>
        </w:rPr>
        <w:t>y</w:t>
      </w:r>
      <w:r w:rsidRPr="1795564C">
        <w:rPr>
          <w:rFonts w:ascii="Garamond" w:hAnsi="Garamond"/>
          <w:b/>
          <w:bCs/>
          <w:sz w:val="28"/>
          <w:szCs w:val="28"/>
        </w:rPr>
        <w:t xml:space="preserve"> Group</w:t>
      </w:r>
      <w:r w:rsidR="008B0EEE" w:rsidRPr="1795564C">
        <w:rPr>
          <w:rFonts w:ascii="Garamond" w:hAnsi="Garamond"/>
          <w:b/>
          <w:bCs/>
          <w:sz w:val="28"/>
          <w:szCs w:val="28"/>
        </w:rPr>
        <w:t xml:space="preserve">s are </w:t>
      </w:r>
      <w:r w:rsidR="00A911EF" w:rsidRPr="1795564C">
        <w:rPr>
          <w:rFonts w:ascii="Garamond" w:hAnsi="Garamond"/>
          <w:b/>
          <w:bCs/>
          <w:sz w:val="28"/>
          <w:szCs w:val="28"/>
        </w:rPr>
        <w:t>Chronically</w:t>
      </w:r>
      <w:r w:rsidR="008B0EEE" w:rsidRPr="1795564C">
        <w:rPr>
          <w:rFonts w:ascii="Garamond" w:hAnsi="Garamond"/>
          <w:b/>
          <w:bCs/>
          <w:sz w:val="28"/>
          <w:szCs w:val="28"/>
        </w:rPr>
        <w:t xml:space="preserve"> Underrepresented in</w:t>
      </w:r>
      <w:r w:rsidR="00A911EF" w:rsidRPr="1795564C">
        <w:rPr>
          <w:rFonts w:ascii="Garamond" w:hAnsi="Garamond"/>
          <w:b/>
          <w:bCs/>
          <w:sz w:val="28"/>
          <w:szCs w:val="28"/>
        </w:rPr>
        <w:t xml:space="preserve"> Arizona</w:t>
      </w:r>
      <w:r w:rsidR="008B0EEE" w:rsidRPr="1795564C">
        <w:rPr>
          <w:rFonts w:ascii="Garamond" w:hAnsi="Garamond"/>
          <w:b/>
          <w:bCs/>
          <w:sz w:val="28"/>
          <w:szCs w:val="28"/>
        </w:rPr>
        <w:t xml:space="preserve"> Jury Pools</w:t>
      </w:r>
    </w:p>
    <w:p w14:paraId="663D5B59" w14:textId="77777777" w:rsidR="00391269" w:rsidRDefault="00391269" w:rsidP="00391269">
      <w:pPr>
        <w:pStyle w:val="ListParagraph"/>
        <w:spacing w:after="0"/>
        <w:ind w:left="1440"/>
        <w:rPr>
          <w:rFonts w:ascii="Garamond" w:hAnsi="Garamond"/>
          <w:b/>
          <w:sz w:val="28"/>
          <w:szCs w:val="28"/>
        </w:rPr>
      </w:pPr>
    </w:p>
    <w:p w14:paraId="663D5B5A" w14:textId="47576659" w:rsidR="00B539F4" w:rsidRDefault="008B0EEE" w:rsidP="0088573E">
      <w:pPr>
        <w:spacing w:after="0" w:line="480" w:lineRule="auto"/>
        <w:ind w:firstLine="720"/>
        <w:rPr>
          <w:rFonts w:ascii="Garamond" w:hAnsi="Garamond"/>
          <w:sz w:val="28"/>
          <w:szCs w:val="28"/>
        </w:rPr>
      </w:pPr>
      <w:r>
        <w:rPr>
          <w:rFonts w:ascii="Garamond" w:hAnsi="Garamond"/>
          <w:sz w:val="28"/>
          <w:szCs w:val="28"/>
        </w:rPr>
        <w:t>This Court should adopt the proposed rule change because racial discrimination has long</w:t>
      </w:r>
      <w:r w:rsidR="00822043">
        <w:rPr>
          <w:rFonts w:ascii="Garamond" w:hAnsi="Garamond"/>
          <w:sz w:val="28"/>
          <w:szCs w:val="28"/>
        </w:rPr>
        <w:t xml:space="preserve"> </w:t>
      </w:r>
      <w:r>
        <w:rPr>
          <w:rFonts w:ascii="Garamond" w:hAnsi="Garamond"/>
          <w:sz w:val="28"/>
          <w:szCs w:val="28"/>
        </w:rPr>
        <w:t xml:space="preserve">been recognized as a problem in Arizona jury selection. </w:t>
      </w:r>
      <w:r w:rsidR="001C461C">
        <w:rPr>
          <w:rFonts w:ascii="Garamond" w:hAnsi="Garamond"/>
          <w:sz w:val="28"/>
          <w:szCs w:val="28"/>
        </w:rPr>
        <w:t>In Arizona, the list of names of eligible potential jurors is drawn from voter registration records and Arizona Department of Transportation records.</w:t>
      </w:r>
      <w:r w:rsidR="0001520D">
        <w:rPr>
          <w:rFonts w:ascii="Garamond" w:hAnsi="Garamond"/>
          <w:sz w:val="28"/>
          <w:szCs w:val="28"/>
        </w:rPr>
        <w:t xml:space="preserve"> Ariz. Rev. Stat. §21-</w:t>
      </w:r>
      <w:r w:rsidR="0001520D">
        <w:rPr>
          <w:rFonts w:ascii="Garamond" w:hAnsi="Garamond"/>
          <w:sz w:val="28"/>
          <w:szCs w:val="28"/>
        </w:rPr>
        <w:lastRenderedPageBreak/>
        <w:t>101(6);</w:t>
      </w:r>
      <w:r w:rsidR="001C461C">
        <w:rPr>
          <w:rFonts w:ascii="Garamond" w:hAnsi="Garamond"/>
          <w:sz w:val="28"/>
          <w:szCs w:val="28"/>
        </w:rPr>
        <w:t xml:space="preserve"> </w:t>
      </w:r>
      <w:r w:rsidR="00FA09BD">
        <w:rPr>
          <w:rFonts w:ascii="Garamond" w:hAnsi="Garamond"/>
          <w:sz w:val="28"/>
          <w:szCs w:val="28"/>
        </w:rPr>
        <w:t xml:space="preserve">Maricopa County Superior Court, </w:t>
      </w:r>
      <w:r w:rsidR="001C461C">
        <w:rPr>
          <w:rFonts w:ascii="Garamond" w:hAnsi="Garamond"/>
          <w:sz w:val="28"/>
          <w:szCs w:val="28"/>
        </w:rPr>
        <w:t xml:space="preserve">Juror Selection Process, </w:t>
      </w:r>
      <w:r w:rsidR="00FA09BD" w:rsidRPr="00BA303A">
        <w:rPr>
          <w:rStyle w:val="Hyperlink"/>
          <w:rFonts w:ascii="Garamond" w:hAnsi="Garamond"/>
          <w:color w:val="auto"/>
          <w:sz w:val="28"/>
          <w:szCs w:val="28"/>
          <w:u w:val="none"/>
        </w:rPr>
        <w:t>https://superiorcourt.maricopa.gov/jury/juror-selection-process/</w:t>
      </w:r>
      <w:r w:rsidR="001C461C" w:rsidRPr="00BA303A">
        <w:rPr>
          <w:rFonts w:ascii="Garamond" w:hAnsi="Garamond"/>
          <w:sz w:val="28"/>
          <w:szCs w:val="28"/>
        </w:rPr>
        <w:t xml:space="preserve"> </w:t>
      </w:r>
      <w:r w:rsidR="001C461C">
        <w:rPr>
          <w:rFonts w:ascii="Garamond" w:hAnsi="Garamond"/>
          <w:sz w:val="28"/>
          <w:szCs w:val="28"/>
        </w:rPr>
        <w:t>(last accessed April 19, 2021)</w:t>
      </w:r>
      <w:r w:rsidR="0001520D">
        <w:rPr>
          <w:rFonts w:ascii="Garamond" w:hAnsi="Garamond"/>
          <w:sz w:val="28"/>
          <w:szCs w:val="28"/>
        </w:rPr>
        <w:t xml:space="preserve">. </w:t>
      </w:r>
      <w:r w:rsidR="0070511F">
        <w:rPr>
          <w:rFonts w:ascii="Garamond" w:hAnsi="Garamond"/>
          <w:sz w:val="28"/>
          <w:szCs w:val="28"/>
        </w:rPr>
        <w:t>This</w:t>
      </w:r>
      <w:r w:rsidR="00FF6FE9">
        <w:rPr>
          <w:rFonts w:ascii="Garamond" w:hAnsi="Garamond"/>
          <w:sz w:val="28"/>
          <w:szCs w:val="28"/>
        </w:rPr>
        <w:t xml:space="preserve"> process through which prospective jurors are called to serve jury duty results in the underrepr</w:t>
      </w:r>
      <w:r w:rsidR="00FA09BD">
        <w:rPr>
          <w:rFonts w:ascii="Garamond" w:hAnsi="Garamond"/>
          <w:sz w:val="28"/>
          <w:szCs w:val="28"/>
        </w:rPr>
        <w:t xml:space="preserve">esentation of African American venire members </w:t>
      </w:r>
      <w:r w:rsidR="00FF6FE9">
        <w:rPr>
          <w:rFonts w:ascii="Garamond" w:hAnsi="Garamond"/>
          <w:sz w:val="28"/>
          <w:szCs w:val="28"/>
        </w:rPr>
        <w:t>and the overrepresentation of white</w:t>
      </w:r>
      <w:r w:rsidR="002452DC">
        <w:rPr>
          <w:rFonts w:ascii="Garamond" w:hAnsi="Garamond"/>
          <w:sz w:val="28"/>
          <w:szCs w:val="28"/>
        </w:rPr>
        <w:t xml:space="preserve"> venire members</w:t>
      </w:r>
      <w:r w:rsidR="00FF6FE9">
        <w:rPr>
          <w:rFonts w:ascii="Garamond" w:hAnsi="Garamond"/>
          <w:sz w:val="28"/>
          <w:szCs w:val="28"/>
        </w:rPr>
        <w:t xml:space="preserve">. Hiroshi Fukurai &amp; Edgar W. Butler, </w:t>
      </w:r>
      <w:r w:rsidR="00FF6FE9">
        <w:rPr>
          <w:rFonts w:ascii="Garamond" w:hAnsi="Garamond"/>
          <w:i/>
          <w:sz w:val="28"/>
          <w:szCs w:val="28"/>
        </w:rPr>
        <w:t>Sources of Racial Disenfranchisement in the Jury and Jury Selection System</w:t>
      </w:r>
      <w:r w:rsidR="00FF6FE9">
        <w:rPr>
          <w:rFonts w:ascii="Garamond" w:hAnsi="Garamond"/>
          <w:sz w:val="28"/>
          <w:szCs w:val="28"/>
        </w:rPr>
        <w:t>, 13 Nat’l Black L.J. 238, 238 (1994) (</w:t>
      </w:r>
      <w:r w:rsidR="001A62DA">
        <w:rPr>
          <w:rFonts w:ascii="Garamond" w:hAnsi="Garamond"/>
          <w:sz w:val="28"/>
          <w:szCs w:val="28"/>
        </w:rPr>
        <w:t>f</w:t>
      </w:r>
      <w:r w:rsidR="00FF6FE9">
        <w:rPr>
          <w:rFonts w:ascii="Garamond" w:hAnsi="Garamond"/>
          <w:sz w:val="28"/>
          <w:szCs w:val="28"/>
        </w:rPr>
        <w:t xml:space="preserve">inding that “potential jurors with specific human capital factors, such as higher income, higher education, and white racial background, were more likely to be represented on juries because they were more inclined to register to vote and could afford to take time off work to serve on juries.”) (internal citation omitted). </w:t>
      </w:r>
      <w:r w:rsidR="001C461C">
        <w:rPr>
          <w:rFonts w:ascii="Garamond" w:hAnsi="Garamond"/>
          <w:sz w:val="28"/>
          <w:szCs w:val="28"/>
        </w:rPr>
        <w:t>Although there are no recent studies</w:t>
      </w:r>
      <w:r w:rsidR="00B507DE">
        <w:rPr>
          <w:rFonts w:ascii="Garamond" w:hAnsi="Garamond"/>
          <w:sz w:val="28"/>
          <w:szCs w:val="28"/>
        </w:rPr>
        <w:t xml:space="preserve"> o</w:t>
      </w:r>
      <w:r w:rsidR="001C461C">
        <w:rPr>
          <w:rFonts w:ascii="Garamond" w:hAnsi="Garamond"/>
          <w:sz w:val="28"/>
          <w:szCs w:val="28"/>
        </w:rPr>
        <w:t xml:space="preserve">n the racial makeup of prospective jurors in Arizona, </w:t>
      </w:r>
      <w:r w:rsidR="00822043">
        <w:rPr>
          <w:rFonts w:ascii="Garamond" w:hAnsi="Garamond"/>
          <w:sz w:val="28"/>
          <w:szCs w:val="28"/>
        </w:rPr>
        <w:t>this</w:t>
      </w:r>
      <w:r w:rsidR="001C461C">
        <w:rPr>
          <w:rFonts w:ascii="Garamond" w:hAnsi="Garamond"/>
          <w:sz w:val="28"/>
          <w:szCs w:val="28"/>
        </w:rPr>
        <w:t xml:space="preserve"> Court recognized twenty-five years ago that voter registration and drivers’ license records result in a list that is not representative of the population of the state. </w:t>
      </w:r>
      <w:r w:rsidR="001C461C" w:rsidRPr="002452DC">
        <w:rPr>
          <w:rFonts w:ascii="Garamond" w:hAnsi="Garamond"/>
          <w:i/>
          <w:sz w:val="28"/>
          <w:szCs w:val="28"/>
        </w:rPr>
        <w:t>Jurors: The Power of 12, Report of the Arizona Supreme Court Committee on More Effective Use of Juries</w:t>
      </w:r>
      <w:r w:rsidR="002452DC">
        <w:rPr>
          <w:rFonts w:ascii="Garamond" w:hAnsi="Garamond"/>
          <w:sz w:val="28"/>
          <w:szCs w:val="28"/>
        </w:rPr>
        <w:t xml:space="preserve">, </w:t>
      </w:r>
      <w:r w:rsidR="002452DC" w:rsidRPr="002452DC">
        <w:rPr>
          <w:rFonts w:ascii="Garamond" w:hAnsi="Garamond"/>
          <w:sz w:val="28"/>
          <w:szCs w:val="28"/>
        </w:rPr>
        <w:t>https://www.azcourts.gov/Portals/15/Jury/Jury12.1.pdf</w:t>
      </w:r>
      <w:r w:rsidR="001C461C" w:rsidRPr="002452DC">
        <w:rPr>
          <w:rFonts w:ascii="Garamond" w:hAnsi="Garamond"/>
          <w:i/>
          <w:sz w:val="28"/>
          <w:szCs w:val="28"/>
        </w:rPr>
        <w:t xml:space="preserve"> </w:t>
      </w:r>
      <w:r w:rsidR="001C461C">
        <w:rPr>
          <w:rFonts w:ascii="Garamond" w:hAnsi="Garamond"/>
          <w:sz w:val="28"/>
          <w:szCs w:val="28"/>
        </w:rPr>
        <w:t xml:space="preserve">(1994). Voter registration rolls, in particular, were identified as “negatively impact[ing] minorities in a disproportionate way.” </w:t>
      </w:r>
      <w:r w:rsidR="001C461C">
        <w:rPr>
          <w:rFonts w:ascii="Garamond" w:hAnsi="Garamond"/>
          <w:i/>
          <w:sz w:val="28"/>
          <w:szCs w:val="28"/>
        </w:rPr>
        <w:t>Id</w:t>
      </w:r>
      <w:r w:rsidR="001C461C">
        <w:rPr>
          <w:rFonts w:ascii="Garamond" w:hAnsi="Garamond"/>
          <w:sz w:val="28"/>
          <w:szCs w:val="28"/>
        </w:rPr>
        <w:t xml:space="preserve">. at 38. </w:t>
      </w:r>
    </w:p>
    <w:p w14:paraId="663D5B5B" w14:textId="77777777" w:rsidR="00106016" w:rsidRDefault="00391269" w:rsidP="0088573E">
      <w:pPr>
        <w:spacing w:after="0" w:line="480" w:lineRule="auto"/>
        <w:ind w:firstLine="720"/>
        <w:rPr>
          <w:rFonts w:ascii="Garamond" w:hAnsi="Garamond"/>
          <w:sz w:val="28"/>
          <w:szCs w:val="28"/>
        </w:rPr>
      </w:pPr>
      <w:r>
        <w:rPr>
          <w:rFonts w:ascii="Garamond" w:hAnsi="Garamond"/>
          <w:sz w:val="28"/>
          <w:szCs w:val="28"/>
        </w:rPr>
        <w:t xml:space="preserve">This Court’s Committee on More Effective Use of Juries recognized that “[c]hronically unrepresentative juries raise serious, </w:t>
      </w:r>
      <w:r w:rsidRPr="0070511F">
        <w:rPr>
          <w:rFonts w:ascii="Garamond" w:hAnsi="Garamond"/>
          <w:i/>
          <w:sz w:val="28"/>
          <w:szCs w:val="28"/>
        </w:rPr>
        <w:t xml:space="preserve">sometimes constitutional </w:t>
      </w:r>
      <w:r>
        <w:rPr>
          <w:rFonts w:ascii="Garamond" w:hAnsi="Garamond"/>
          <w:sz w:val="28"/>
          <w:szCs w:val="28"/>
        </w:rPr>
        <w:t xml:space="preserve">questions, about justice in fact and the appearance of justice. Minorities not fairly represented on juries miss out on opportunities to exercise an important duty and privilege of </w:t>
      </w:r>
      <w:r>
        <w:rPr>
          <w:rFonts w:ascii="Garamond" w:hAnsi="Garamond"/>
          <w:sz w:val="28"/>
          <w:szCs w:val="28"/>
        </w:rPr>
        <w:lastRenderedPageBreak/>
        <w:t xml:space="preserve">citizenship.” </w:t>
      </w:r>
      <w:r>
        <w:rPr>
          <w:rFonts w:ascii="Garamond" w:hAnsi="Garamond"/>
          <w:i/>
          <w:sz w:val="28"/>
          <w:szCs w:val="28"/>
        </w:rPr>
        <w:t>Id</w:t>
      </w:r>
      <w:r>
        <w:rPr>
          <w:rFonts w:ascii="Garamond" w:hAnsi="Garamond"/>
          <w:sz w:val="28"/>
          <w:szCs w:val="28"/>
        </w:rPr>
        <w:t>. at 39-40</w:t>
      </w:r>
      <w:r w:rsidR="0070511F">
        <w:rPr>
          <w:rFonts w:ascii="Garamond" w:hAnsi="Garamond"/>
          <w:sz w:val="28"/>
          <w:szCs w:val="28"/>
        </w:rPr>
        <w:t xml:space="preserve"> (emphasis added)</w:t>
      </w:r>
      <w:r>
        <w:rPr>
          <w:rFonts w:ascii="Garamond" w:hAnsi="Garamond"/>
          <w:sz w:val="28"/>
          <w:szCs w:val="28"/>
        </w:rPr>
        <w:t>.</w:t>
      </w:r>
      <w:r w:rsidR="00563417">
        <w:rPr>
          <w:rFonts w:ascii="Garamond" w:hAnsi="Garamond"/>
          <w:sz w:val="28"/>
          <w:szCs w:val="28"/>
        </w:rPr>
        <w:t xml:space="preserve"> The committee made a number of recommendations to improve the diversity of juror lists in Ar</w:t>
      </w:r>
      <w:r w:rsidR="00FD6AE1">
        <w:rPr>
          <w:rFonts w:ascii="Garamond" w:hAnsi="Garamond"/>
          <w:sz w:val="28"/>
          <w:szCs w:val="28"/>
        </w:rPr>
        <w:t xml:space="preserve">izona, but the changes have never </w:t>
      </w:r>
      <w:r w:rsidR="00563417">
        <w:rPr>
          <w:rFonts w:ascii="Garamond" w:hAnsi="Garamond"/>
          <w:sz w:val="28"/>
          <w:szCs w:val="28"/>
        </w:rPr>
        <w:t xml:space="preserve">been adopted. </w:t>
      </w:r>
      <w:r w:rsidR="00FD6AE1">
        <w:rPr>
          <w:rFonts w:ascii="Garamond" w:hAnsi="Garamond"/>
          <w:sz w:val="28"/>
          <w:szCs w:val="28"/>
        </w:rPr>
        <w:t xml:space="preserve">Decades after recognizing a significant and, at least “sometimes constitutional” problem, Arizona continues to draw jurors from a pool that systematically excludes people of color. </w:t>
      </w:r>
    </w:p>
    <w:p w14:paraId="663D5B5C" w14:textId="459CE9E5" w:rsidR="00081559" w:rsidRDefault="00106016" w:rsidP="0088573E">
      <w:pPr>
        <w:spacing w:after="0" w:line="480" w:lineRule="auto"/>
        <w:ind w:firstLine="720"/>
        <w:rPr>
          <w:rFonts w:ascii="Garamond" w:hAnsi="Garamond"/>
          <w:sz w:val="28"/>
          <w:szCs w:val="28"/>
        </w:rPr>
      </w:pPr>
      <w:r>
        <w:rPr>
          <w:rFonts w:ascii="Garamond" w:hAnsi="Garamond"/>
          <w:sz w:val="28"/>
          <w:szCs w:val="28"/>
        </w:rPr>
        <w:t>The systematic exclusion of African Americans from Arizona jury pools is particularly harmful in capital cases. Recent studie</w:t>
      </w:r>
      <w:r w:rsidR="00614815">
        <w:rPr>
          <w:rFonts w:ascii="Garamond" w:hAnsi="Garamond"/>
          <w:sz w:val="28"/>
          <w:szCs w:val="28"/>
        </w:rPr>
        <w:t>s show that, while 68% of white respondents</w:t>
      </w:r>
      <w:r>
        <w:rPr>
          <w:rFonts w:ascii="Garamond" w:hAnsi="Garamond"/>
          <w:sz w:val="28"/>
          <w:szCs w:val="28"/>
        </w:rPr>
        <w:t xml:space="preserve"> favor the use of capital punishment, on</w:t>
      </w:r>
      <w:r w:rsidR="00614815">
        <w:rPr>
          <w:rFonts w:ascii="Garamond" w:hAnsi="Garamond"/>
          <w:sz w:val="28"/>
          <w:szCs w:val="28"/>
        </w:rPr>
        <w:t>ly 39% of African American respondents</w:t>
      </w:r>
      <w:r>
        <w:rPr>
          <w:rFonts w:ascii="Garamond" w:hAnsi="Garamond"/>
          <w:sz w:val="28"/>
          <w:szCs w:val="28"/>
        </w:rPr>
        <w:t xml:space="preserve"> do. </w:t>
      </w:r>
      <w:r w:rsidRPr="1795564C">
        <w:rPr>
          <w:rFonts w:ascii="Garamond" w:hAnsi="Garamond"/>
          <w:i/>
          <w:iCs/>
          <w:sz w:val="28"/>
          <w:szCs w:val="28"/>
        </w:rPr>
        <w:t>Poll: Americans Divided by Race on Death Penalty</w:t>
      </w:r>
      <w:r>
        <w:rPr>
          <w:rFonts w:ascii="Garamond" w:hAnsi="Garamond"/>
          <w:sz w:val="28"/>
          <w:szCs w:val="28"/>
        </w:rPr>
        <w:t xml:space="preserve">, </w:t>
      </w:r>
      <w:r w:rsidRPr="00BA303A">
        <w:rPr>
          <w:rStyle w:val="Hyperlink"/>
          <w:rFonts w:ascii="Garamond" w:hAnsi="Garamond"/>
          <w:color w:val="auto"/>
          <w:sz w:val="28"/>
          <w:szCs w:val="28"/>
          <w:u w:val="none"/>
        </w:rPr>
        <w:t>https://www.newsweek.com/poll-americans-divided-race-death-penalty-384170</w:t>
      </w:r>
      <w:r>
        <w:rPr>
          <w:rFonts w:ascii="Garamond" w:hAnsi="Garamond"/>
          <w:sz w:val="28"/>
          <w:szCs w:val="28"/>
        </w:rPr>
        <w:t xml:space="preserve"> (10/16/15)</w:t>
      </w:r>
      <w:r w:rsidR="001B64CC">
        <w:rPr>
          <w:rFonts w:ascii="Garamond" w:hAnsi="Garamond"/>
          <w:sz w:val="28"/>
          <w:szCs w:val="28"/>
        </w:rPr>
        <w:t xml:space="preserve"> (discussing Gallup poll)</w:t>
      </w:r>
      <w:r>
        <w:rPr>
          <w:rFonts w:ascii="Garamond" w:hAnsi="Garamond"/>
          <w:sz w:val="28"/>
          <w:szCs w:val="28"/>
        </w:rPr>
        <w:t>.</w:t>
      </w:r>
      <w:r w:rsidR="00614815">
        <w:rPr>
          <w:rFonts w:ascii="Garamond" w:hAnsi="Garamond"/>
          <w:sz w:val="28"/>
          <w:szCs w:val="28"/>
        </w:rPr>
        <w:t xml:space="preserve"> And, while 29% of white respondents oppose the death penalty, 55% of Afri</w:t>
      </w:r>
      <w:r w:rsidR="00845FE2">
        <w:rPr>
          <w:rFonts w:ascii="Garamond" w:hAnsi="Garamond"/>
          <w:sz w:val="28"/>
          <w:szCs w:val="28"/>
        </w:rPr>
        <w:t>can American respondents oppose</w:t>
      </w:r>
      <w:r w:rsidR="00614815">
        <w:rPr>
          <w:rFonts w:ascii="Garamond" w:hAnsi="Garamond"/>
          <w:sz w:val="28"/>
          <w:szCs w:val="28"/>
        </w:rPr>
        <w:t xml:space="preserve"> capital punishment. </w:t>
      </w:r>
      <w:r w:rsidR="00614815" w:rsidRPr="1795564C">
        <w:rPr>
          <w:rFonts w:ascii="Garamond" w:hAnsi="Garamond"/>
          <w:i/>
          <w:iCs/>
          <w:sz w:val="28"/>
          <w:szCs w:val="28"/>
        </w:rPr>
        <w:t>Id</w:t>
      </w:r>
      <w:r w:rsidR="00614815">
        <w:rPr>
          <w:rFonts w:ascii="Garamond" w:hAnsi="Garamond"/>
          <w:sz w:val="28"/>
          <w:szCs w:val="28"/>
        </w:rPr>
        <w:t>.</w:t>
      </w:r>
      <w:r w:rsidR="001B64CC">
        <w:rPr>
          <w:rFonts w:ascii="Garamond" w:hAnsi="Garamond"/>
          <w:sz w:val="28"/>
          <w:szCs w:val="28"/>
        </w:rPr>
        <w:t xml:space="preserve"> These results are reflected in numerous studies on the attitudes and beliefs of capital juries, as studied by the Capital Jury Project.</w:t>
      </w:r>
      <w:r w:rsidR="001B64CC">
        <w:rPr>
          <w:rStyle w:val="FootnoteReference"/>
          <w:rFonts w:ascii="Garamond" w:hAnsi="Garamond"/>
          <w:sz w:val="28"/>
          <w:szCs w:val="28"/>
        </w:rPr>
        <w:footnoteReference w:id="2"/>
      </w:r>
      <w:r w:rsidR="001B64CC">
        <w:rPr>
          <w:rFonts w:ascii="Garamond" w:hAnsi="Garamond"/>
          <w:sz w:val="28"/>
          <w:szCs w:val="28"/>
        </w:rPr>
        <w:t xml:space="preserve"> In </w:t>
      </w:r>
      <w:r w:rsidR="001B64CC" w:rsidRPr="1795564C">
        <w:rPr>
          <w:rFonts w:ascii="Garamond" w:hAnsi="Garamond"/>
          <w:i/>
          <w:iCs/>
          <w:sz w:val="28"/>
          <w:szCs w:val="28"/>
        </w:rPr>
        <w:t>every</w:t>
      </w:r>
      <w:r w:rsidR="001B64CC">
        <w:rPr>
          <w:rFonts w:ascii="Garamond" w:hAnsi="Garamond"/>
          <w:sz w:val="28"/>
          <w:szCs w:val="28"/>
        </w:rPr>
        <w:t xml:space="preserve"> statistical model from the Capital Jury Project, African American jurors are significantly more likely to oppose</w:t>
      </w:r>
      <w:r w:rsidR="006D0D98">
        <w:rPr>
          <w:rStyle w:val="FootnoteReference"/>
          <w:rFonts w:ascii="Garamond" w:hAnsi="Garamond"/>
          <w:sz w:val="28"/>
          <w:szCs w:val="28"/>
        </w:rPr>
        <w:footnoteReference w:id="3"/>
      </w:r>
      <w:r w:rsidR="001B64CC">
        <w:rPr>
          <w:rFonts w:ascii="Garamond" w:hAnsi="Garamond"/>
          <w:sz w:val="28"/>
          <w:szCs w:val="28"/>
        </w:rPr>
        <w:t xml:space="preserve"> the </w:t>
      </w:r>
      <w:r w:rsidR="001B64CC">
        <w:rPr>
          <w:rFonts w:ascii="Garamond" w:hAnsi="Garamond"/>
          <w:sz w:val="28"/>
          <w:szCs w:val="28"/>
        </w:rPr>
        <w:lastRenderedPageBreak/>
        <w:t xml:space="preserve">death penalty than are white jurors. Theodore Eisenberg, Stephen Garvey &amp; Martin Wells, </w:t>
      </w:r>
      <w:r w:rsidR="001B64CC" w:rsidRPr="1795564C">
        <w:rPr>
          <w:rFonts w:ascii="Garamond" w:hAnsi="Garamond"/>
          <w:i/>
          <w:iCs/>
          <w:sz w:val="28"/>
          <w:szCs w:val="28"/>
        </w:rPr>
        <w:t>The Deadly Paradox of Capital Jurors</w:t>
      </w:r>
      <w:r w:rsidR="001B64CC">
        <w:rPr>
          <w:rFonts w:ascii="Garamond" w:hAnsi="Garamond"/>
          <w:sz w:val="28"/>
          <w:szCs w:val="28"/>
        </w:rPr>
        <w:t>, 74 S.</w:t>
      </w:r>
      <w:r w:rsidR="009623C3">
        <w:rPr>
          <w:rFonts w:ascii="Garamond" w:hAnsi="Garamond"/>
          <w:sz w:val="28"/>
          <w:szCs w:val="28"/>
        </w:rPr>
        <w:t xml:space="preserve"> </w:t>
      </w:r>
      <w:r w:rsidR="001B64CC">
        <w:rPr>
          <w:rFonts w:ascii="Garamond" w:hAnsi="Garamond"/>
          <w:sz w:val="28"/>
          <w:szCs w:val="28"/>
        </w:rPr>
        <w:t>Cal.</w:t>
      </w:r>
      <w:r w:rsidR="009623C3">
        <w:rPr>
          <w:rFonts w:ascii="Garamond" w:hAnsi="Garamond"/>
          <w:sz w:val="28"/>
          <w:szCs w:val="28"/>
        </w:rPr>
        <w:t xml:space="preserve"> </w:t>
      </w:r>
      <w:r w:rsidR="001B64CC">
        <w:rPr>
          <w:rFonts w:ascii="Garamond" w:hAnsi="Garamond"/>
          <w:sz w:val="28"/>
          <w:szCs w:val="28"/>
        </w:rPr>
        <w:t>L. Rev.</w:t>
      </w:r>
      <w:r w:rsidR="006D0D98">
        <w:rPr>
          <w:rFonts w:ascii="Garamond" w:hAnsi="Garamond"/>
          <w:sz w:val="28"/>
          <w:szCs w:val="28"/>
        </w:rPr>
        <w:t xml:space="preserve"> </w:t>
      </w:r>
      <w:r w:rsidR="001B64CC">
        <w:rPr>
          <w:rFonts w:ascii="Garamond" w:hAnsi="Garamond"/>
          <w:sz w:val="28"/>
          <w:szCs w:val="28"/>
        </w:rPr>
        <w:t>371, 385 (2001).</w:t>
      </w:r>
      <w:r w:rsidR="00E26960">
        <w:rPr>
          <w:rStyle w:val="FootnoteReference"/>
          <w:rFonts w:ascii="Garamond" w:hAnsi="Garamond"/>
          <w:sz w:val="28"/>
          <w:szCs w:val="28"/>
        </w:rPr>
        <w:footnoteReference w:id="4"/>
      </w:r>
      <w:r w:rsidR="00BF7956">
        <w:rPr>
          <w:rFonts w:ascii="Garamond" w:hAnsi="Garamond"/>
          <w:sz w:val="28"/>
          <w:szCs w:val="28"/>
        </w:rPr>
        <w:t xml:space="preserve"> Additionally, Capital Jury Project research shows that the presence of an African American male juror reduced the likelihood of a death sentence being imposed. William </w:t>
      </w:r>
      <w:r w:rsidR="00097DBB">
        <w:rPr>
          <w:rFonts w:ascii="Garamond" w:hAnsi="Garamond"/>
          <w:sz w:val="28"/>
          <w:szCs w:val="28"/>
        </w:rPr>
        <w:t>B</w:t>
      </w:r>
      <w:r w:rsidR="00BF7956">
        <w:rPr>
          <w:rFonts w:ascii="Garamond" w:hAnsi="Garamond"/>
          <w:sz w:val="28"/>
          <w:szCs w:val="28"/>
        </w:rPr>
        <w:t xml:space="preserve">owers, Benjamin Steiner &amp; Marla Sandys, </w:t>
      </w:r>
      <w:r w:rsidR="00BF7956" w:rsidRPr="1795564C">
        <w:rPr>
          <w:rFonts w:ascii="Garamond" w:hAnsi="Garamond"/>
          <w:i/>
          <w:iCs/>
          <w:sz w:val="28"/>
          <w:szCs w:val="28"/>
        </w:rPr>
        <w:t>Death Sentencing in Black and White: An Empirical Analysis of the Role of Juror’s Race and Jury Racial Composition</w:t>
      </w:r>
      <w:r w:rsidR="00BF7956">
        <w:rPr>
          <w:rFonts w:ascii="Garamond" w:hAnsi="Garamond"/>
          <w:sz w:val="28"/>
          <w:szCs w:val="28"/>
        </w:rPr>
        <w:t>, 3 U. Pa. J. Const.</w:t>
      </w:r>
      <w:r w:rsidR="009623C3">
        <w:rPr>
          <w:rFonts w:ascii="Garamond" w:hAnsi="Garamond"/>
          <w:sz w:val="28"/>
          <w:szCs w:val="28"/>
        </w:rPr>
        <w:t xml:space="preserve"> </w:t>
      </w:r>
      <w:r w:rsidR="00BF7956">
        <w:rPr>
          <w:rFonts w:ascii="Garamond" w:hAnsi="Garamond"/>
          <w:sz w:val="28"/>
          <w:szCs w:val="28"/>
        </w:rPr>
        <w:t xml:space="preserve">L. 171, 193 (2001). The exclusion of African Americans from capital juries has the highest of consequences for capital defendants. </w:t>
      </w:r>
    </w:p>
    <w:p w14:paraId="663D5B5E" w14:textId="2FFB5C68" w:rsidR="00FF6FE9" w:rsidRPr="00B539F4" w:rsidRDefault="00081559" w:rsidP="00B015AD">
      <w:pPr>
        <w:spacing w:after="0" w:line="480" w:lineRule="auto"/>
        <w:ind w:firstLine="720"/>
        <w:rPr>
          <w:rFonts w:ascii="Garamond" w:hAnsi="Garamond"/>
          <w:sz w:val="28"/>
          <w:szCs w:val="28"/>
        </w:rPr>
      </w:pPr>
      <w:r>
        <w:rPr>
          <w:rFonts w:ascii="Garamond" w:hAnsi="Garamond"/>
          <w:sz w:val="28"/>
          <w:szCs w:val="28"/>
        </w:rPr>
        <w:t>Research also shows that African American jurors and white jurors hold significantly different attitudes about aggravating and mitigating circumstances,</w:t>
      </w:r>
      <w:r w:rsidR="000533C5">
        <w:rPr>
          <w:rStyle w:val="FootnoteReference"/>
          <w:rFonts w:ascii="Garamond" w:hAnsi="Garamond"/>
          <w:sz w:val="28"/>
          <w:szCs w:val="28"/>
        </w:rPr>
        <w:footnoteReference w:id="5"/>
      </w:r>
      <w:r>
        <w:rPr>
          <w:rFonts w:ascii="Garamond" w:hAnsi="Garamond"/>
          <w:sz w:val="28"/>
          <w:szCs w:val="28"/>
        </w:rPr>
        <w:t xml:space="preserve"> which lead to different outcomes for capital defendants based on nothing more than the racial makeup of their jury. </w:t>
      </w:r>
      <w:r w:rsidR="00BD00FB">
        <w:rPr>
          <w:rFonts w:ascii="Garamond" w:hAnsi="Garamond"/>
          <w:sz w:val="28"/>
          <w:szCs w:val="28"/>
        </w:rPr>
        <w:t xml:space="preserve">For example, African American jurors are more likely than white jurors to have lingering doubts about a capital defendant’s guilt, to see the defendant as remorseful, and to identify with the defendant’s family history. William J. </w:t>
      </w:r>
      <w:r w:rsidR="00BD00FB">
        <w:rPr>
          <w:rFonts w:ascii="Garamond" w:hAnsi="Garamond"/>
          <w:sz w:val="28"/>
          <w:szCs w:val="28"/>
        </w:rPr>
        <w:lastRenderedPageBreak/>
        <w:t>Bowers, Benjamin D. Steiner &amp; Michael E. Antonio</w:t>
      </w:r>
      <w:r w:rsidR="00BD00FB">
        <w:rPr>
          <w:rFonts w:ascii="Garamond" w:hAnsi="Garamond"/>
          <w:i/>
          <w:sz w:val="28"/>
          <w:szCs w:val="28"/>
        </w:rPr>
        <w:t>, The Capital Sentencing Decision: Guided Discretion, Reasoned Moral Judgment, or Legal Fiction</w:t>
      </w:r>
      <w:r w:rsidR="00BD00FB">
        <w:rPr>
          <w:rFonts w:ascii="Garamond" w:hAnsi="Garamond"/>
          <w:sz w:val="28"/>
          <w:szCs w:val="28"/>
        </w:rPr>
        <w:t xml:space="preserve">, </w:t>
      </w:r>
      <w:r w:rsidR="00FA6431" w:rsidRPr="009652B5">
        <w:rPr>
          <w:rFonts w:ascii="Garamond" w:hAnsi="Garamond"/>
          <w:iCs/>
          <w:sz w:val="28"/>
          <w:szCs w:val="28"/>
        </w:rPr>
        <w:t>in</w:t>
      </w:r>
      <w:r w:rsidR="00FA6431">
        <w:rPr>
          <w:rFonts w:ascii="Garamond" w:hAnsi="Garamond"/>
          <w:i/>
          <w:sz w:val="28"/>
          <w:szCs w:val="28"/>
        </w:rPr>
        <w:t xml:space="preserve"> </w:t>
      </w:r>
      <w:r w:rsidR="00BD00FB" w:rsidRPr="001F4D41">
        <w:rPr>
          <w:rFonts w:ascii="Garamond" w:hAnsi="Garamond"/>
          <w:smallCaps/>
          <w:sz w:val="28"/>
          <w:szCs w:val="28"/>
        </w:rPr>
        <w:t>America’s Experiment with Capital Punishment: Reflections on the Past, Present, and Future of the Ultimate Penal Sanction</w:t>
      </w:r>
      <w:r w:rsidR="00BD00FB">
        <w:rPr>
          <w:rFonts w:ascii="Garamond" w:hAnsi="Garamond"/>
          <w:sz w:val="28"/>
          <w:szCs w:val="28"/>
        </w:rPr>
        <w:t xml:space="preserve"> </w:t>
      </w:r>
      <w:r w:rsidR="00876145">
        <w:rPr>
          <w:rFonts w:ascii="Garamond" w:hAnsi="Garamond"/>
          <w:sz w:val="28"/>
          <w:szCs w:val="28"/>
        </w:rPr>
        <w:t>413</w:t>
      </w:r>
      <w:r w:rsidR="00FA6431">
        <w:rPr>
          <w:rFonts w:ascii="Garamond" w:hAnsi="Garamond"/>
          <w:sz w:val="28"/>
          <w:szCs w:val="28"/>
        </w:rPr>
        <w:t xml:space="preserve"> (James Acker et al. eds., 2d</w:t>
      </w:r>
      <w:r w:rsidR="00BD00FB">
        <w:rPr>
          <w:rFonts w:ascii="Garamond" w:hAnsi="Garamond"/>
          <w:sz w:val="28"/>
          <w:szCs w:val="28"/>
        </w:rPr>
        <w:t xml:space="preserve"> ed.</w:t>
      </w:r>
      <w:r w:rsidR="00FA6431">
        <w:rPr>
          <w:rFonts w:ascii="Garamond" w:hAnsi="Garamond"/>
          <w:sz w:val="28"/>
          <w:szCs w:val="28"/>
        </w:rPr>
        <w:t>, 2003</w:t>
      </w:r>
      <w:r w:rsidR="00BD00FB">
        <w:rPr>
          <w:rFonts w:ascii="Garamond" w:hAnsi="Garamond"/>
          <w:sz w:val="28"/>
          <w:szCs w:val="28"/>
        </w:rPr>
        <w:t>).</w:t>
      </w:r>
      <w:r w:rsidR="00A5657A">
        <w:rPr>
          <w:rFonts w:ascii="Garamond" w:hAnsi="Garamond"/>
          <w:sz w:val="28"/>
          <w:szCs w:val="28"/>
        </w:rPr>
        <w:t xml:space="preserve"> By contrast, white jurors were more likely to view the defendant as dangerous and to underestimate the length of time the defendant would serve in prison if he were not sentenced to death. </w:t>
      </w:r>
      <w:r w:rsidR="00A5657A">
        <w:rPr>
          <w:rFonts w:ascii="Garamond" w:hAnsi="Garamond"/>
          <w:i/>
          <w:sz w:val="28"/>
          <w:szCs w:val="28"/>
        </w:rPr>
        <w:t>Id</w:t>
      </w:r>
      <w:r w:rsidR="00A5657A">
        <w:rPr>
          <w:rFonts w:ascii="Garamond" w:hAnsi="Garamond"/>
          <w:sz w:val="28"/>
          <w:szCs w:val="28"/>
        </w:rPr>
        <w:t xml:space="preserve">. </w:t>
      </w:r>
      <w:r w:rsidR="00B51E0C">
        <w:rPr>
          <w:rFonts w:ascii="Garamond" w:hAnsi="Garamond"/>
          <w:sz w:val="28"/>
          <w:szCs w:val="28"/>
        </w:rPr>
        <w:t>Although the proposed rule change will not</w:t>
      </w:r>
      <w:r w:rsidR="00B058C0">
        <w:rPr>
          <w:rFonts w:ascii="Garamond" w:hAnsi="Garamond"/>
          <w:sz w:val="28"/>
          <w:szCs w:val="28"/>
        </w:rPr>
        <w:t xml:space="preserve"> directly</w:t>
      </w:r>
      <w:r w:rsidR="00B51E0C">
        <w:rPr>
          <w:rFonts w:ascii="Garamond" w:hAnsi="Garamond"/>
          <w:sz w:val="28"/>
          <w:szCs w:val="28"/>
        </w:rPr>
        <w:t xml:space="preserve"> solve the chronic underrepresentation of racial and ethnic minorities in Arizona jury pools, </w:t>
      </w:r>
      <w:r w:rsidR="00E031FB">
        <w:rPr>
          <w:rFonts w:ascii="Garamond" w:hAnsi="Garamond"/>
          <w:sz w:val="28"/>
          <w:szCs w:val="28"/>
        </w:rPr>
        <w:t>it will help mitigate the distorting effects of that underrepresentation and</w:t>
      </w:r>
      <w:r w:rsidR="00B51E0C">
        <w:rPr>
          <w:rFonts w:ascii="Garamond" w:hAnsi="Garamond"/>
          <w:sz w:val="28"/>
          <w:szCs w:val="28"/>
        </w:rPr>
        <w:t xml:space="preserve"> offer a significant step towards protecting the right of defendants and the individual prospective jurors themselves. </w:t>
      </w:r>
    </w:p>
    <w:p w14:paraId="663D5B5F" w14:textId="77777777" w:rsidR="004608B4" w:rsidRDefault="004608B4" w:rsidP="004608B4">
      <w:pPr>
        <w:pStyle w:val="ListParagraph"/>
        <w:numPr>
          <w:ilvl w:val="0"/>
          <w:numId w:val="1"/>
        </w:numPr>
        <w:spacing w:after="0"/>
        <w:rPr>
          <w:rFonts w:ascii="Garamond" w:hAnsi="Garamond"/>
          <w:b/>
          <w:sz w:val="28"/>
          <w:szCs w:val="28"/>
        </w:rPr>
      </w:pPr>
      <w:r>
        <w:rPr>
          <w:rFonts w:ascii="Garamond" w:hAnsi="Garamond"/>
          <w:b/>
          <w:sz w:val="28"/>
          <w:szCs w:val="28"/>
        </w:rPr>
        <w:t>Problems with Batson Framework</w:t>
      </w:r>
    </w:p>
    <w:p w14:paraId="663D5B60" w14:textId="77777777" w:rsidR="00C40916" w:rsidRDefault="00C40916" w:rsidP="00C40916">
      <w:pPr>
        <w:pStyle w:val="ListParagraph"/>
        <w:spacing w:after="0"/>
        <w:ind w:left="1080"/>
        <w:rPr>
          <w:rFonts w:ascii="Garamond" w:hAnsi="Garamond"/>
          <w:b/>
          <w:sz w:val="28"/>
          <w:szCs w:val="28"/>
        </w:rPr>
      </w:pPr>
    </w:p>
    <w:p w14:paraId="663D5B61" w14:textId="77777777" w:rsidR="000807FB" w:rsidRDefault="000807FB" w:rsidP="000807FB">
      <w:pPr>
        <w:pStyle w:val="ListParagraph"/>
        <w:numPr>
          <w:ilvl w:val="1"/>
          <w:numId w:val="1"/>
        </w:numPr>
        <w:spacing w:after="0"/>
        <w:rPr>
          <w:rFonts w:ascii="Garamond" w:hAnsi="Garamond"/>
          <w:b/>
          <w:sz w:val="28"/>
          <w:szCs w:val="28"/>
        </w:rPr>
      </w:pPr>
      <w:r>
        <w:rPr>
          <w:rFonts w:ascii="Garamond" w:hAnsi="Garamond"/>
          <w:b/>
          <w:sz w:val="28"/>
          <w:szCs w:val="28"/>
        </w:rPr>
        <w:t xml:space="preserve">The Current </w:t>
      </w:r>
      <w:r>
        <w:rPr>
          <w:rFonts w:ascii="Garamond" w:hAnsi="Garamond"/>
          <w:b/>
          <w:i/>
          <w:sz w:val="28"/>
          <w:szCs w:val="28"/>
        </w:rPr>
        <w:t>Batson</w:t>
      </w:r>
      <w:r>
        <w:rPr>
          <w:rFonts w:ascii="Garamond" w:hAnsi="Garamond"/>
          <w:b/>
          <w:sz w:val="28"/>
          <w:szCs w:val="28"/>
        </w:rPr>
        <w:t xml:space="preserve"> Analysis Allows Little Opportunity for Trial Counsel to Make a Record of Racially-Motivated Strikes</w:t>
      </w:r>
    </w:p>
    <w:p w14:paraId="663D5B62" w14:textId="77777777" w:rsidR="00A301F7" w:rsidRDefault="00A301F7" w:rsidP="00A301F7">
      <w:pPr>
        <w:spacing w:after="0"/>
        <w:rPr>
          <w:rFonts w:ascii="Garamond" w:hAnsi="Garamond"/>
          <w:b/>
          <w:sz w:val="28"/>
          <w:szCs w:val="28"/>
        </w:rPr>
      </w:pPr>
    </w:p>
    <w:p w14:paraId="663D5B63" w14:textId="24EA2753" w:rsidR="00A301F7" w:rsidRDefault="00364398" w:rsidP="00155247">
      <w:pPr>
        <w:spacing w:after="0" w:line="480" w:lineRule="auto"/>
        <w:ind w:firstLine="720"/>
        <w:rPr>
          <w:rFonts w:ascii="Garamond" w:hAnsi="Garamond"/>
          <w:sz w:val="28"/>
          <w:szCs w:val="28"/>
        </w:rPr>
      </w:pPr>
      <w:r>
        <w:rPr>
          <w:rFonts w:ascii="Garamond" w:hAnsi="Garamond"/>
          <w:sz w:val="28"/>
          <w:szCs w:val="28"/>
        </w:rPr>
        <w:t xml:space="preserve">One of the most significant </w:t>
      </w:r>
      <w:r w:rsidR="00C40916">
        <w:rPr>
          <w:rFonts w:ascii="Garamond" w:hAnsi="Garamond"/>
          <w:sz w:val="28"/>
          <w:szCs w:val="28"/>
        </w:rPr>
        <w:t xml:space="preserve">problems with the </w:t>
      </w:r>
      <w:r w:rsidR="00C40916">
        <w:rPr>
          <w:rFonts w:ascii="Garamond" w:hAnsi="Garamond"/>
          <w:i/>
          <w:sz w:val="28"/>
          <w:szCs w:val="28"/>
        </w:rPr>
        <w:t>Batson</w:t>
      </w:r>
      <w:r w:rsidR="00C40916">
        <w:rPr>
          <w:rFonts w:ascii="Garamond" w:hAnsi="Garamond"/>
          <w:sz w:val="28"/>
          <w:szCs w:val="28"/>
        </w:rPr>
        <w:t xml:space="preserve"> framework is that this Court nearly always finds that trial counsel failed to make a sufficient record on which to find the state</w:t>
      </w:r>
      <w:r w:rsidR="001019A8">
        <w:rPr>
          <w:rStyle w:val="FootnoteReference"/>
          <w:rFonts w:ascii="Garamond" w:hAnsi="Garamond"/>
          <w:sz w:val="28"/>
          <w:szCs w:val="28"/>
        </w:rPr>
        <w:footnoteReference w:id="6"/>
      </w:r>
      <w:r w:rsidR="00C40916">
        <w:rPr>
          <w:rFonts w:ascii="Garamond" w:hAnsi="Garamond"/>
          <w:sz w:val="28"/>
          <w:szCs w:val="28"/>
        </w:rPr>
        <w:t xml:space="preserve"> exercised a peremptory strike on the basis of the prospective juror’s race. </w:t>
      </w:r>
      <w:r w:rsidR="00C40916">
        <w:rPr>
          <w:rFonts w:ascii="Garamond" w:hAnsi="Garamond"/>
          <w:i/>
          <w:sz w:val="28"/>
          <w:szCs w:val="28"/>
        </w:rPr>
        <w:t>See, e.g. State v. Smith</w:t>
      </w:r>
      <w:r w:rsidR="00C40916">
        <w:rPr>
          <w:rFonts w:ascii="Garamond" w:hAnsi="Garamond"/>
          <w:sz w:val="28"/>
          <w:szCs w:val="28"/>
        </w:rPr>
        <w:t xml:space="preserve">, </w:t>
      </w:r>
      <w:r w:rsidR="00C628FE">
        <w:rPr>
          <w:rFonts w:ascii="Garamond" w:hAnsi="Garamond"/>
          <w:sz w:val="28"/>
          <w:szCs w:val="28"/>
        </w:rPr>
        <w:t>250 Ariz. 69, ---</w:t>
      </w:r>
      <w:r w:rsidR="00C40916">
        <w:rPr>
          <w:rFonts w:ascii="Garamond" w:hAnsi="Garamond"/>
          <w:sz w:val="28"/>
          <w:szCs w:val="28"/>
        </w:rPr>
        <w:t xml:space="preserve"> ¶71 (2020) (</w:t>
      </w:r>
      <w:r w:rsidR="00F51508">
        <w:rPr>
          <w:rFonts w:ascii="Garamond" w:hAnsi="Garamond"/>
          <w:sz w:val="28"/>
          <w:szCs w:val="28"/>
        </w:rPr>
        <w:t>a</w:t>
      </w:r>
      <w:r w:rsidR="00C40916">
        <w:rPr>
          <w:rFonts w:ascii="Garamond" w:hAnsi="Garamond"/>
          <w:sz w:val="28"/>
          <w:szCs w:val="28"/>
        </w:rPr>
        <w:t xml:space="preserve">rguing for the first time on </w:t>
      </w:r>
      <w:r w:rsidR="00C40916">
        <w:rPr>
          <w:rFonts w:ascii="Garamond" w:hAnsi="Garamond"/>
          <w:sz w:val="28"/>
          <w:szCs w:val="28"/>
        </w:rPr>
        <w:lastRenderedPageBreak/>
        <w:t>appeal that the Court must conduct a comparative analysis of the jurors).</w:t>
      </w:r>
      <w:r w:rsidR="009F5D74">
        <w:rPr>
          <w:rFonts w:ascii="Garamond" w:hAnsi="Garamond"/>
          <w:sz w:val="28"/>
          <w:szCs w:val="28"/>
        </w:rPr>
        <w:t xml:space="preserve"> </w:t>
      </w:r>
      <w:r w:rsidR="00256BFF">
        <w:rPr>
          <w:rFonts w:ascii="Garamond" w:hAnsi="Garamond"/>
          <w:sz w:val="28"/>
          <w:szCs w:val="28"/>
        </w:rPr>
        <w:t>Comparative juror analysis</w:t>
      </w:r>
      <w:r w:rsidR="00481F01">
        <w:rPr>
          <w:rFonts w:ascii="Garamond" w:hAnsi="Garamond"/>
          <w:sz w:val="28"/>
          <w:szCs w:val="28"/>
        </w:rPr>
        <w:t>, which compares struck minority jurors with similarly situated white jurors who were not struck,</w:t>
      </w:r>
      <w:r w:rsidR="00256BFF">
        <w:rPr>
          <w:rFonts w:ascii="Garamond" w:hAnsi="Garamond"/>
          <w:sz w:val="28"/>
          <w:szCs w:val="28"/>
        </w:rPr>
        <w:t xml:space="preserve"> has been endorsed by the U.S. Supreme Court</w:t>
      </w:r>
      <w:r w:rsidR="002D67B2">
        <w:rPr>
          <w:rStyle w:val="FootnoteReference"/>
          <w:rFonts w:ascii="Garamond" w:hAnsi="Garamond"/>
          <w:sz w:val="28"/>
          <w:szCs w:val="28"/>
        </w:rPr>
        <w:footnoteReference w:id="7"/>
      </w:r>
      <w:r w:rsidR="00256BFF">
        <w:rPr>
          <w:rFonts w:ascii="Garamond" w:hAnsi="Garamond"/>
          <w:sz w:val="28"/>
          <w:szCs w:val="28"/>
        </w:rPr>
        <w:t xml:space="preserve"> and utilized by that Court in its recent </w:t>
      </w:r>
      <w:r w:rsidR="00256BFF">
        <w:rPr>
          <w:rFonts w:ascii="Garamond" w:hAnsi="Garamond"/>
          <w:i/>
          <w:sz w:val="28"/>
          <w:szCs w:val="28"/>
        </w:rPr>
        <w:t>Batson</w:t>
      </w:r>
      <w:r w:rsidR="00256BFF">
        <w:rPr>
          <w:rFonts w:ascii="Garamond" w:hAnsi="Garamond"/>
          <w:sz w:val="28"/>
          <w:szCs w:val="28"/>
        </w:rPr>
        <w:t xml:space="preserve"> cases: </w:t>
      </w:r>
      <w:r w:rsidR="00256BFF">
        <w:rPr>
          <w:rFonts w:ascii="Garamond" w:hAnsi="Garamond"/>
          <w:i/>
          <w:sz w:val="28"/>
          <w:szCs w:val="28"/>
        </w:rPr>
        <w:t>Snyder v. Louisiana</w:t>
      </w:r>
      <w:r w:rsidR="00256BFF">
        <w:rPr>
          <w:rFonts w:ascii="Garamond" w:hAnsi="Garamond"/>
          <w:sz w:val="28"/>
          <w:szCs w:val="28"/>
        </w:rPr>
        <w:t xml:space="preserve">, </w:t>
      </w:r>
      <w:r w:rsidR="002D67B2">
        <w:rPr>
          <w:rFonts w:ascii="Garamond" w:hAnsi="Garamond"/>
          <w:sz w:val="28"/>
          <w:szCs w:val="28"/>
        </w:rPr>
        <w:t xml:space="preserve">552 U.S. 472 (2008); </w:t>
      </w:r>
      <w:r w:rsidR="002D67B2">
        <w:rPr>
          <w:rFonts w:ascii="Garamond" w:hAnsi="Garamond"/>
          <w:i/>
          <w:sz w:val="28"/>
          <w:szCs w:val="28"/>
        </w:rPr>
        <w:t>Foster v. Chatman</w:t>
      </w:r>
      <w:r w:rsidR="002D67B2">
        <w:rPr>
          <w:rFonts w:ascii="Garamond" w:hAnsi="Garamond"/>
          <w:sz w:val="28"/>
          <w:szCs w:val="28"/>
        </w:rPr>
        <w:t xml:space="preserve">, 136 S. Ct. 1737 (2016); </w:t>
      </w:r>
      <w:r w:rsidR="002D67B2">
        <w:rPr>
          <w:rFonts w:ascii="Garamond" w:hAnsi="Garamond"/>
          <w:i/>
          <w:sz w:val="28"/>
          <w:szCs w:val="28"/>
        </w:rPr>
        <w:t>Flowers v. Mississippi</w:t>
      </w:r>
      <w:r w:rsidR="002D67B2">
        <w:rPr>
          <w:rFonts w:ascii="Garamond" w:hAnsi="Garamond"/>
          <w:sz w:val="28"/>
          <w:szCs w:val="28"/>
        </w:rPr>
        <w:t>, 139 S. Ct. 2228 (2019).</w:t>
      </w:r>
    </w:p>
    <w:p w14:paraId="6F0AD804" w14:textId="4950798F" w:rsidR="00CD6A18" w:rsidRPr="00523567" w:rsidRDefault="00F737E4" w:rsidP="000B0528">
      <w:pPr>
        <w:spacing w:after="0" w:line="480" w:lineRule="auto"/>
        <w:ind w:firstLine="720"/>
        <w:rPr>
          <w:rFonts w:ascii="Garamond" w:hAnsi="Garamond"/>
          <w:sz w:val="28"/>
          <w:szCs w:val="28"/>
        </w:rPr>
      </w:pPr>
      <w:r>
        <w:rPr>
          <w:rFonts w:ascii="Garamond" w:hAnsi="Garamond"/>
          <w:sz w:val="28"/>
          <w:szCs w:val="28"/>
        </w:rPr>
        <w:t>Despite the Supreme Court</w:t>
      </w:r>
      <w:r w:rsidR="0042015A">
        <w:rPr>
          <w:rFonts w:ascii="Garamond" w:hAnsi="Garamond"/>
          <w:sz w:val="28"/>
          <w:szCs w:val="28"/>
        </w:rPr>
        <w:t>’s clear adoption of comparative juror analysis</w:t>
      </w:r>
      <w:r>
        <w:rPr>
          <w:rFonts w:ascii="Garamond" w:hAnsi="Garamond"/>
          <w:sz w:val="28"/>
          <w:szCs w:val="28"/>
        </w:rPr>
        <w:t xml:space="preserve"> as the method </w:t>
      </w:r>
      <w:r w:rsidR="0042015A">
        <w:rPr>
          <w:rFonts w:ascii="Garamond" w:hAnsi="Garamond"/>
          <w:sz w:val="28"/>
          <w:szCs w:val="28"/>
        </w:rPr>
        <w:t>for determining whether a purportedly</w:t>
      </w:r>
      <w:r>
        <w:rPr>
          <w:rFonts w:ascii="Garamond" w:hAnsi="Garamond"/>
          <w:sz w:val="28"/>
          <w:szCs w:val="28"/>
        </w:rPr>
        <w:t xml:space="preserve"> race-neutral peremptory strike </w:t>
      </w:r>
      <w:r w:rsidR="0042015A">
        <w:rPr>
          <w:rFonts w:ascii="Garamond" w:hAnsi="Garamond"/>
          <w:sz w:val="28"/>
          <w:szCs w:val="28"/>
        </w:rPr>
        <w:t>was in fact</w:t>
      </w:r>
      <w:r>
        <w:rPr>
          <w:rFonts w:ascii="Garamond" w:hAnsi="Garamond"/>
          <w:sz w:val="28"/>
          <w:szCs w:val="28"/>
        </w:rPr>
        <w:t xml:space="preserve"> motivated by racial bias, this Court has never engaged </w:t>
      </w:r>
      <w:r w:rsidR="00450FBE">
        <w:rPr>
          <w:rFonts w:ascii="Garamond" w:hAnsi="Garamond"/>
          <w:sz w:val="28"/>
          <w:szCs w:val="28"/>
        </w:rPr>
        <w:t>in such analysis.</w:t>
      </w:r>
      <w:r w:rsidR="001019A8">
        <w:rPr>
          <w:rStyle w:val="FootnoteReference"/>
          <w:rFonts w:ascii="Garamond" w:hAnsi="Garamond"/>
          <w:sz w:val="28"/>
          <w:szCs w:val="28"/>
        </w:rPr>
        <w:footnoteReference w:id="8"/>
      </w:r>
      <w:r w:rsidR="007C3249">
        <w:rPr>
          <w:rFonts w:ascii="Garamond" w:hAnsi="Garamond"/>
          <w:sz w:val="28"/>
          <w:szCs w:val="28"/>
        </w:rPr>
        <w:t xml:space="preserve"> </w:t>
      </w:r>
      <w:r w:rsidR="007A27F2">
        <w:rPr>
          <w:rFonts w:ascii="Garamond" w:hAnsi="Garamond"/>
          <w:sz w:val="28"/>
          <w:szCs w:val="28"/>
        </w:rPr>
        <w:t xml:space="preserve">This Court has reviewed </w:t>
      </w:r>
      <w:r w:rsidR="007A27F2" w:rsidRPr="1795564C">
        <w:rPr>
          <w:rFonts w:ascii="Garamond" w:hAnsi="Garamond"/>
          <w:i/>
          <w:iCs/>
          <w:sz w:val="28"/>
          <w:szCs w:val="28"/>
        </w:rPr>
        <w:t>Batson</w:t>
      </w:r>
      <w:r w:rsidR="007A27F2">
        <w:rPr>
          <w:rFonts w:ascii="Garamond" w:hAnsi="Garamond"/>
          <w:sz w:val="28"/>
          <w:szCs w:val="28"/>
        </w:rPr>
        <w:t xml:space="preserve"> challenges in 18 capital cases and has only granted relief a single time, </w:t>
      </w:r>
      <w:r w:rsidR="00316B66">
        <w:rPr>
          <w:rFonts w:ascii="Garamond" w:hAnsi="Garamond"/>
          <w:sz w:val="28"/>
          <w:szCs w:val="28"/>
        </w:rPr>
        <w:t xml:space="preserve">on </w:t>
      </w:r>
      <w:r w:rsidR="00EC32A6">
        <w:rPr>
          <w:rFonts w:ascii="Garamond" w:hAnsi="Garamond"/>
          <w:sz w:val="28"/>
          <w:szCs w:val="28"/>
        </w:rPr>
        <w:t>a principle that has since been overruled</w:t>
      </w:r>
      <w:r w:rsidR="007A27F2">
        <w:rPr>
          <w:rFonts w:ascii="Garamond" w:hAnsi="Garamond"/>
          <w:sz w:val="28"/>
          <w:szCs w:val="28"/>
        </w:rPr>
        <w:t xml:space="preserve">. </w:t>
      </w:r>
      <w:r w:rsidR="007A27F2" w:rsidRPr="1795564C">
        <w:rPr>
          <w:rFonts w:ascii="Garamond" w:hAnsi="Garamond"/>
          <w:i/>
          <w:iCs/>
          <w:sz w:val="28"/>
          <w:szCs w:val="28"/>
        </w:rPr>
        <w:t>State v. Cruz</w:t>
      </w:r>
      <w:r w:rsidR="007A27F2">
        <w:rPr>
          <w:rFonts w:ascii="Garamond" w:hAnsi="Garamond"/>
          <w:sz w:val="28"/>
          <w:szCs w:val="28"/>
        </w:rPr>
        <w:t xml:space="preserve">, 175 Ariz. 395 (1993). In </w:t>
      </w:r>
      <w:r w:rsidR="007A27F2" w:rsidRPr="1795564C">
        <w:rPr>
          <w:rFonts w:ascii="Garamond" w:hAnsi="Garamond"/>
          <w:i/>
          <w:iCs/>
          <w:sz w:val="28"/>
          <w:szCs w:val="28"/>
        </w:rPr>
        <w:t>Cruz</w:t>
      </w:r>
      <w:r w:rsidR="007A27F2">
        <w:rPr>
          <w:rFonts w:ascii="Garamond" w:hAnsi="Garamond"/>
          <w:sz w:val="28"/>
          <w:szCs w:val="28"/>
        </w:rPr>
        <w:t>, this Court held that where “the state offers a facially neutral, but wholly subjective, reason for a peremptory strike, it must be coupled with some form of objective verification before it can overcome the prima facie showing of discrimination.</w:t>
      </w:r>
      <w:r w:rsidR="008667CC">
        <w:rPr>
          <w:rFonts w:ascii="Garamond" w:hAnsi="Garamond"/>
          <w:sz w:val="28"/>
          <w:szCs w:val="28"/>
        </w:rPr>
        <w:t>”</w:t>
      </w:r>
      <w:r w:rsidR="007A27F2">
        <w:rPr>
          <w:rFonts w:ascii="Garamond" w:hAnsi="Garamond"/>
          <w:sz w:val="28"/>
          <w:szCs w:val="28"/>
        </w:rPr>
        <w:t xml:space="preserve"> </w:t>
      </w:r>
      <w:r w:rsidR="007A27F2" w:rsidRPr="1795564C">
        <w:rPr>
          <w:rFonts w:ascii="Garamond" w:hAnsi="Garamond"/>
          <w:i/>
          <w:iCs/>
          <w:sz w:val="28"/>
          <w:szCs w:val="28"/>
        </w:rPr>
        <w:t>Id</w:t>
      </w:r>
      <w:r w:rsidR="007A27F2">
        <w:rPr>
          <w:rFonts w:ascii="Garamond" w:hAnsi="Garamond"/>
          <w:sz w:val="28"/>
          <w:szCs w:val="28"/>
        </w:rPr>
        <w:t xml:space="preserve">. at 399 (citation omitted). Since </w:t>
      </w:r>
      <w:r w:rsidR="007A27F2" w:rsidRPr="1795564C">
        <w:rPr>
          <w:rFonts w:ascii="Garamond" w:hAnsi="Garamond"/>
          <w:i/>
          <w:iCs/>
          <w:sz w:val="28"/>
          <w:szCs w:val="28"/>
        </w:rPr>
        <w:t>Cruz</w:t>
      </w:r>
      <w:r w:rsidR="007A27F2">
        <w:rPr>
          <w:rFonts w:ascii="Garamond" w:hAnsi="Garamond"/>
          <w:sz w:val="28"/>
          <w:szCs w:val="28"/>
        </w:rPr>
        <w:t xml:space="preserve">, the Court has, in all capital cases, affirmed the trial court’s finding that the prosecutor’s race-neutral reasons for striking the jurors were sufficient. </w:t>
      </w:r>
      <w:r w:rsidR="00CD6A18">
        <w:rPr>
          <w:rFonts w:ascii="Garamond" w:hAnsi="Garamond"/>
          <w:sz w:val="28"/>
          <w:szCs w:val="28"/>
        </w:rPr>
        <w:t xml:space="preserve">In some cases, this Court’s analysis has drifted from Supreme Court precedent in ways beyond rejecting comparative juror analysis on appeal. In </w:t>
      </w:r>
      <w:r w:rsidR="00CD6A18" w:rsidRPr="1795564C">
        <w:rPr>
          <w:rFonts w:ascii="Garamond" w:hAnsi="Garamond"/>
          <w:i/>
          <w:iCs/>
          <w:sz w:val="28"/>
          <w:szCs w:val="28"/>
        </w:rPr>
        <w:t>State v. Garcia</w:t>
      </w:r>
      <w:r w:rsidR="00CD6A18">
        <w:rPr>
          <w:rFonts w:ascii="Garamond" w:hAnsi="Garamond"/>
          <w:sz w:val="28"/>
          <w:szCs w:val="28"/>
        </w:rPr>
        <w:t xml:space="preserve">, 224 Ariz. 1, 10 ¶27 (2010), this Court denied the </w:t>
      </w:r>
      <w:r w:rsidR="00CD6A18" w:rsidRPr="1795564C">
        <w:rPr>
          <w:rFonts w:ascii="Garamond" w:hAnsi="Garamond"/>
          <w:i/>
          <w:iCs/>
          <w:sz w:val="28"/>
          <w:szCs w:val="28"/>
        </w:rPr>
        <w:t>Batson</w:t>
      </w:r>
      <w:r w:rsidR="00CD6A18">
        <w:rPr>
          <w:rFonts w:ascii="Garamond" w:hAnsi="Garamond"/>
          <w:sz w:val="28"/>
          <w:szCs w:val="28"/>
        </w:rPr>
        <w:t xml:space="preserve"> claim </w:t>
      </w:r>
      <w:r w:rsidR="00CD6A18">
        <w:rPr>
          <w:rFonts w:ascii="Garamond" w:hAnsi="Garamond"/>
          <w:sz w:val="28"/>
          <w:szCs w:val="28"/>
        </w:rPr>
        <w:lastRenderedPageBreak/>
        <w:t xml:space="preserve">in part because “at least one juror with a Hispanic surname was ultimately chosen.” </w:t>
      </w:r>
      <w:r w:rsidR="00523567" w:rsidRPr="1795564C">
        <w:rPr>
          <w:rFonts w:ascii="Garamond" w:hAnsi="Garamond"/>
          <w:i/>
          <w:iCs/>
          <w:sz w:val="28"/>
          <w:szCs w:val="28"/>
        </w:rPr>
        <w:t>See also State v. Hardy</w:t>
      </w:r>
      <w:r w:rsidR="00523567">
        <w:rPr>
          <w:rFonts w:ascii="Garamond" w:hAnsi="Garamond"/>
          <w:sz w:val="28"/>
          <w:szCs w:val="28"/>
        </w:rPr>
        <w:t xml:space="preserve">, 230 Ariz. 281, 286 ¶15 (2012) (affirming trial court’s denial of </w:t>
      </w:r>
      <w:r w:rsidR="00523567" w:rsidRPr="1795564C">
        <w:rPr>
          <w:rFonts w:ascii="Garamond" w:hAnsi="Garamond"/>
          <w:i/>
          <w:iCs/>
          <w:sz w:val="28"/>
          <w:szCs w:val="28"/>
        </w:rPr>
        <w:t>Batson</w:t>
      </w:r>
      <w:r w:rsidR="00523567">
        <w:rPr>
          <w:rFonts w:ascii="Garamond" w:hAnsi="Garamond"/>
          <w:sz w:val="28"/>
          <w:szCs w:val="28"/>
        </w:rPr>
        <w:t xml:space="preserve"> challenge where “three minority jurors remained on the panel.”); </w:t>
      </w:r>
      <w:r w:rsidR="00523567" w:rsidRPr="1795564C">
        <w:rPr>
          <w:rFonts w:ascii="Garamond" w:hAnsi="Garamond"/>
          <w:i/>
          <w:iCs/>
          <w:sz w:val="28"/>
          <w:szCs w:val="28"/>
        </w:rPr>
        <w:t>State v. Roque</w:t>
      </w:r>
      <w:r w:rsidR="00523567">
        <w:rPr>
          <w:rFonts w:ascii="Garamond" w:hAnsi="Garamond"/>
          <w:sz w:val="28"/>
          <w:szCs w:val="28"/>
        </w:rPr>
        <w:t>, 213 Ariz. 193, 204 ¶15 (2006) (“Although not dispositive,” the state did not strike every minority juror).</w:t>
      </w:r>
      <w:r w:rsidR="00523567" w:rsidRPr="1795564C">
        <w:rPr>
          <w:rFonts w:ascii="Garamond" w:hAnsi="Garamond"/>
          <w:i/>
          <w:iCs/>
          <w:sz w:val="28"/>
          <w:szCs w:val="28"/>
        </w:rPr>
        <w:t xml:space="preserve"> </w:t>
      </w:r>
      <w:r w:rsidR="00CD6A18">
        <w:rPr>
          <w:rFonts w:ascii="Garamond" w:hAnsi="Garamond"/>
          <w:sz w:val="28"/>
          <w:szCs w:val="28"/>
        </w:rPr>
        <w:t xml:space="preserve">Whether one juror with a Hispanic surname survived the state’s peremptory challenges is not part of the three-step </w:t>
      </w:r>
      <w:r w:rsidR="00CD6A18" w:rsidRPr="1795564C">
        <w:rPr>
          <w:rFonts w:ascii="Garamond" w:hAnsi="Garamond"/>
          <w:i/>
          <w:iCs/>
          <w:sz w:val="28"/>
          <w:szCs w:val="28"/>
        </w:rPr>
        <w:t>Batson</w:t>
      </w:r>
      <w:r w:rsidR="00CD6A18">
        <w:rPr>
          <w:rFonts w:ascii="Garamond" w:hAnsi="Garamond"/>
          <w:sz w:val="28"/>
          <w:szCs w:val="28"/>
        </w:rPr>
        <w:t xml:space="preserve"> analysis. </w:t>
      </w:r>
      <w:r w:rsidR="00CD6A18" w:rsidRPr="1795564C">
        <w:rPr>
          <w:rFonts w:ascii="Garamond" w:hAnsi="Garamond"/>
          <w:i/>
          <w:iCs/>
          <w:sz w:val="28"/>
          <w:szCs w:val="28"/>
        </w:rPr>
        <w:t>See, e.g. Flowers v. Mississippi</w:t>
      </w:r>
      <w:r w:rsidR="00CD6A18">
        <w:rPr>
          <w:rFonts w:ascii="Garamond" w:hAnsi="Garamond"/>
          <w:sz w:val="28"/>
          <w:szCs w:val="28"/>
        </w:rPr>
        <w:t>, 139 S. Ct. 2228, 2235 (2019) (</w:t>
      </w:r>
      <w:r w:rsidR="00523567">
        <w:rPr>
          <w:rFonts w:ascii="Garamond" w:hAnsi="Garamond"/>
          <w:sz w:val="28"/>
          <w:szCs w:val="28"/>
        </w:rPr>
        <w:t xml:space="preserve">finding a </w:t>
      </w:r>
      <w:r w:rsidR="00523567" w:rsidRPr="1795564C">
        <w:rPr>
          <w:rFonts w:ascii="Garamond" w:hAnsi="Garamond"/>
          <w:i/>
          <w:iCs/>
          <w:sz w:val="28"/>
          <w:szCs w:val="28"/>
        </w:rPr>
        <w:t>Batson</w:t>
      </w:r>
      <w:r w:rsidR="00523567">
        <w:rPr>
          <w:rFonts w:ascii="Garamond" w:hAnsi="Garamond"/>
          <w:sz w:val="28"/>
          <w:szCs w:val="28"/>
        </w:rPr>
        <w:t xml:space="preserve"> violation where state used peremptory strikes against five of six African American prospective jurors).</w:t>
      </w:r>
    </w:p>
    <w:p w14:paraId="663D5B67" w14:textId="0E0E16D4" w:rsidR="00A301F7" w:rsidRPr="00A301F7" w:rsidRDefault="0036416B" w:rsidP="1795564C">
      <w:pPr>
        <w:spacing w:after="0" w:line="480" w:lineRule="auto"/>
        <w:ind w:firstLine="360"/>
        <w:rPr>
          <w:rFonts w:ascii="Garamond" w:hAnsi="Garamond"/>
          <w:b/>
          <w:bCs/>
          <w:sz w:val="28"/>
          <w:szCs w:val="28"/>
        </w:rPr>
      </w:pPr>
      <w:r w:rsidRPr="1795564C">
        <w:rPr>
          <w:rFonts w:ascii="Garamond" w:hAnsi="Garamond"/>
          <w:sz w:val="28"/>
          <w:szCs w:val="28"/>
        </w:rPr>
        <w:t xml:space="preserve">This Court should adopt the proposed rule change to offer a more achievable way for defendants to assert their right to a jury where peremptories have not been exercised against members of minority classes. </w:t>
      </w:r>
    </w:p>
    <w:p w14:paraId="663D5B68" w14:textId="77777777" w:rsidR="00252CBF" w:rsidRDefault="00252CBF" w:rsidP="000807FB">
      <w:pPr>
        <w:pStyle w:val="ListParagraph"/>
        <w:numPr>
          <w:ilvl w:val="1"/>
          <w:numId w:val="1"/>
        </w:numPr>
        <w:spacing w:after="0"/>
        <w:rPr>
          <w:rFonts w:ascii="Garamond" w:hAnsi="Garamond"/>
          <w:b/>
          <w:sz w:val="28"/>
          <w:szCs w:val="28"/>
        </w:rPr>
      </w:pPr>
      <w:r>
        <w:rPr>
          <w:rFonts w:ascii="Garamond" w:hAnsi="Garamond"/>
          <w:b/>
          <w:i/>
          <w:sz w:val="28"/>
          <w:szCs w:val="28"/>
        </w:rPr>
        <w:t>Batson</w:t>
      </w:r>
      <w:r>
        <w:rPr>
          <w:rFonts w:ascii="Garamond" w:hAnsi="Garamond"/>
          <w:b/>
          <w:sz w:val="28"/>
          <w:szCs w:val="28"/>
        </w:rPr>
        <w:t xml:space="preserve"> Does Not Account for Implicit Bias</w:t>
      </w:r>
    </w:p>
    <w:p w14:paraId="663D5B69" w14:textId="77777777" w:rsidR="00252CBF" w:rsidRDefault="00252CBF" w:rsidP="00252CBF">
      <w:pPr>
        <w:spacing w:after="0"/>
        <w:rPr>
          <w:rFonts w:ascii="Garamond" w:hAnsi="Garamond"/>
          <w:sz w:val="28"/>
          <w:szCs w:val="28"/>
        </w:rPr>
      </w:pPr>
    </w:p>
    <w:p w14:paraId="663D5B6A" w14:textId="0EC8CA3A" w:rsidR="00252CBF" w:rsidRDefault="005A6560" w:rsidP="00C25B17">
      <w:pPr>
        <w:spacing w:after="0" w:line="480" w:lineRule="auto"/>
        <w:ind w:firstLine="720"/>
        <w:rPr>
          <w:rFonts w:ascii="Garamond" w:hAnsi="Garamond"/>
          <w:sz w:val="28"/>
          <w:szCs w:val="28"/>
        </w:rPr>
      </w:pPr>
      <w:r w:rsidRPr="1795564C">
        <w:rPr>
          <w:rFonts w:ascii="Garamond" w:hAnsi="Garamond"/>
          <w:sz w:val="28"/>
          <w:szCs w:val="28"/>
        </w:rPr>
        <w:t xml:space="preserve">This Court should </w:t>
      </w:r>
      <w:r w:rsidR="00DA2525" w:rsidRPr="1795564C">
        <w:rPr>
          <w:rFonts w:ascii="Garamond" w:hAnsi="Garamond"/>
          <w:sz w:val="28"/>
          <w:szCs w:val="28"/>
        </w:rPr>
        <w:t xml:space="preserve">also </w:t>
      </w:r>
      <w:r w:rsidRPr="1795564C">
        <w:rPr>
          <w:rFonts w:ascii="Garamond" w:hAnsi="Garamond"/>
          <w:sz w:val="28"/>
          <w:szCs w:val="28"/>
        </w:rPr>
        <w:t>adopt the proposed rule change because it recogn</w:t>
      </w:r>
      <w:r w:rsidR="00482245" w:rsidRPr="1795564C">
        <w:rPr>
          <w:rFonts w:ascii="Garamond" w:hAnsi="Garamond"/>
          <w:sz w:val="28"/>
          <w:szCs w:val="28"/>
        </w:rPr>
        <w:t>izes the harm of implicit bias.</w:t>
      </w:r>
      <w:r w:rsidR="00306DD7" w:rsidRPr="1795564C">
        <w:rPr>
          <w:rFonts w:ascii="Garamond" w:hAnsi="Garamond"/>
          <w:sz w:val="28"/>
          <w:szCs w:val="28"/>
        </w:rPr>
        <w:t xml:space="preserve"> Petition at 6, 15.</w:t>
      </w:r>
      <w:r w:rsidR="00482245" w:rsidRPr="1795564C">
        <w:rPr>
          <w:rFonts w:ascii="Garamond" w:hAnsi="Garamond"/>
          <w:sz w:val="28"/>
          <w:szCs w:val="28"/>
        </w:rPr>
        <w:t xml:space="preserve"> “Implicit racial bias describes the cognitive processes whereby, despite even the </w:t>
      </w:r>
      <w:r w:rsidR="00150409" w:rsidRPr="1795564C">
        <w:rPr>
          <w:rFonts w:ascii="Garamond" w:hAnsi="Garamond"/>
          <w:sz w:val="28"/>
          <w:szCs w:val="28"/>
        </w:rPr>
        <w:t>b</w:t>
      </w:r>
      <w:r w:rsidR="00482245" w:rsidRPr="1795564C">
        <w:rPr>
          <w:rFonts w:ascii="Garamond" w:hAnsi="Garamond"/>
          <w:sz w:val="28"/>
          <w:szCs w:val="28"/>
        </w:rPr>
        <w:t xml:space="preserve">est intentions, people automatically classify information in racially biased ways.” Robert J. Smith, Justin D. Levinson, </w:t>
      </w:r>
      <w:r w:rsidR="00482245" w:rsidRPr="1795564C">
        <w:rPr>
          <w:rFonts w:ascii="Garamond" w:hAnsi="Garamond"/>
          <w:i/>
          <w:iCs/>
          <w:sz w:val="28"/>
          <w:szCs w:val="28"/>
        </w:rPr>
        <w:t>The Impact of Implicit Racial Bias on the Exercise of Prosecutorial Discretion</w:t>
      </w:r>
      <w:r w:rsidR="00482245" w:rsidRPr="1795564C">
        <w:rPr>
          <w:rFonts w:ascii="Garamond" w:hAnsi="Garamond"/>
          <w:sz w:val="28"/>
          <w:szCs w:val="28"/>
        </w:rPr>
        <w:t xml:space="preserve">, 35 Seattle U. L. Rev. 795, 797 (2012). </w:t>
      </w:r>
      <w:r w:rsidR="00252CBF" w:rsidRPr="1795564C">
        <w:rPr>
          <w:rFonts w:ascii="Garamond" w:hAnsi="Garamond"/>
          <w:sz w:val="28"/>
          <w:szCs w:val="28"/>
        </w:rPr>
        <w:t xml:space="preserve">The </w:t>
      </w:r>
      <w:r w:rsidR="00252CBF" w:rsidRPr="1795564C">
        <w:rPr>
          <w:rFonts w:ascii="Garamond" w:hAnsi="Garamond"/>
          <w:i/>
          <w:iCs/>
          <w:sz w:val="28"/>
          <w:szCs w:val="28"/>
        </w:rPr>
        <w:t>Batson</w:t>
      </w:r>
      <w:r w:rsidR="00252CBF" w:rsidRPr="1795564C">
        <w:rPr>
          <w:rFonts w:ascii="Garamond" w:hAnsi="Garamond"/>
          <w:sz w:val="28"/>
          <w:szCs w:val="28"/>
        </w:rPr>
        <w:t xml:space="preserve"> decision was intended to challenge “purposeful discrimination</w:t>
      </w:r>
      <w:r w:rsidRPr="1795564C">
        <w:rPr>
          <w:rFonts w:ascii="Garamond" w:hAnsi="Garamond"/>
          <w:sz w:val="28"/>
          <w:szCs w:val="28"/>
        </w:rPr>
        <w:t xml:space="preserve">,” and does </w:t>
      </w:r>
      <w:r w:rsidR="00306DD7" w:rsidRPr="1795564C">
        <w:rPr>
          <w:rFonts w:ascii="Garamond" w:hAnsi="Garamond"/>
          <w:sz w:val="28"/>
          <w:szCs w:val="28"/>
        </w:rPr>
        <w:t>not</w:t>
      </w:r>
      <w:r w:rsidRPr="1795564C">
        <w:rPr>
          <w:rFonts w:ascii="Garamond" w:hAnsi="Garamond"/>
          <w:sz w:val="28"/>
          <w:szCs w:val="28"/>
        </w:rPr>
        <w:t xml:space="preserve"> address implicit bias and discrimination.</w:t>
      </w:r>
      <w:r w:rsidR="00252CBF" w:rsidRPr="1795564C">
        <w:rPr>
          <w:rFonts w:ascii="Garamond" w:hAnsi="Garamond"/>
          <w:sz w:val="28"/>
          <w:szCs w:val="28"/>
        </w:rPr>
        <w:t xml:space="preserve"> </w:t>
      </w:r>
      <w:r w:rsidRPr="1795564C">
        <w:rPr>
          <w:rFonts w:ascii="Garamond" w:hAnsi="Garamond"/>
          <w:sz w:val="28"/>
          <w:szCs w:val="28"/>
        </w:rPr>
        <w:t xml:space="preserve">476 U.S. </w:t>
      </w:r>
      <w:r w:rsidR="0056635B" w:rsidRPr="1795564C">
        <w:rPr>
          <w:rFonts w:ascii="Garamond" w:hAnsi="Garamond"/>
          <w:sz w:val="28"/>
          <w:szCs w:val="28"/>
        </w:rPr>
        <w:t>at</w:t>
      </w:r>
      <w:r w:rsidRPr="1795564C">
        <w:rPr>
          <w:rFonts w:ascii="Garamond" w:hAnsi="Garamond"/>
          <w:sz w:val="28"/>
          <w:szCs w:val="28"/>
        </w:rPr>
        <w:t xml:space="preserve"> 98. Justice Marshall, in his </w:t>
      </w:r>
      <w:r w:rsidRPr="1795564C">
        <w:rPr>
          <w:rFonts w:ascii="Garamond" w:hAnsi="Garamond"/>
          <w:i/>
          <w:iCs/>
          <w:sz w:val="28"/>
          <w:szCs w:val="28"/>
        </w:rPr>
        <w:t>Batson</w:t>
      </w:r>
      <w:r w:rsidRPr="1795564C">
        <w:rPr>
          <w:rFonts w:ascii="Garamond" w:hAnsi="Garamond"/>
          <w:sz w:val="28"/>
          <w:szCs w:val="28"/>
        </w:rPr>
        <w:t xml:space="preserve"> concurrence, warned that ending purposeful discrimination “will not end </w:t>
      </w:r>
      <w:r w:rsidRPr="1795564C">
        <w:rPr>
          <w:rFonts w:ascii="Garamond" w:hAnsi="Garamond"/>
          <w:sz w:val="28"/>
          <w:szCs w:val="28"/>
        </w:rPr>
        <w:lastRenderedPageBreak/>
        <w:t xml:space="preserve">the racial discrimination that peremptories inject into the jury-selection process.” </w:t>
      </w:r>
      <w:r w:rsidRPr="1795564C">
        <w:rPr>
          <w:rFonts w:ascii="Garamond" w:hAnsi="Garamond"/>
          <w:i/>
          <w:iCs/>
          <w:sz w:val="28"/>
          <w:szCs w:val="28"/>
        </w:rPr>
        <w:t>Id</w:t>
      </w:r>
      <w:r w:rsidRPr="1795564C">
        <w:rPr>
          <w:rFonts w:ascii="Garamond" w:hAnsi="Garamond"/>
          <w:sz w:val="28"/>
          <w:szCs w:val="28"/>
        </w:rPr>
        <w:t xml:space="preserve">. at 102-03 (Marshall, J., concurring). Justice Marshall foresaw that “[a] prosecutor’s own conscious </w:t>
      </w:r>
      <w:r w:rsidRPr="1795564C">
        <w:rPr>
          <w:rFonts w:ascii="Garamond" w:hAnsi="Garamond"/>
          <w:i/>
          <w:iCs/>
          <w:sz w:val="28"/>
          <w:szCs w:val="28"/>
        </w:rPr>
        <w:t>or unconscious</w:t>
      </w:r>
      <w:r w:rsidRPr="1795564C">
        <w:rPr>
          <w:rFonts w:ascii="Garamond" w:hAnsi="Garamond"/>
          <w:sz w:val="28"/>
          <w:szCs w:val="28"/>
        </w:rPr>
        <w:t xml:space="preserve"> racism may lead him easily to the conclusion that a prospective black juror is ‘sullen’ or ‘distant,’ a characterization that would not have come to his mind if a white juror had acted identically.” </w:t>
      </w:r>
      <w:r w:rsidRPr="1795564C">
        <w:rPr>
          <w:rFonts w:ascii="Garamond" w:hAnsi="Garamond"/>
          <w:i/>
          <w:iCs/>
          <w:sz w:val="28"/>
          <w:szCs w:val="28"/>
        </w:rPr>
        <w:t>Id</w:t>
      </w:r>
      <w:r w:rsidRPr="1795564C">
        <w:rPr>
          <w:rFonts w:ascii="Garamond" w:hAnsi="Garamond"/>
          <w:sz w:val="28"/>
          <w:szCs w:val="28"/>
        </w:rPr>
        <w:t>. at 106</w:t>
      </w:r>
      <w:r w:rsidR="0018777B" w:rsidRPr="1795564C">
        <w:rPr>
          <w:rFonts w:ascii="Garamond" w:hAnsi="Garamond"/>
          <w:sz w:val="28"/>
          <w:szCs w:val="28"/>
        </w:rPr>
        <w:t xml:space="preserve"> (emphasis </w:t>
      </w:r>
      <w:r w:rsidR="00C343C2" w:rsidRPr="1795564C">
        <w:rPr>
          <w:rFonts w:ascii="Garamond" w:hAnsi="Garamond"/>
          <w:sz w:val="28"/>
          <w:szCs w:val="28"/>
        </w:rPr>
        <w:t>supplied</w:t>
      </w:r>
      <w:r w:rsidR="0018777B" w:rsidRPr="1795564C">
        <w:rPr>
          <w:rFonts w:ascii="Garamond" w:hAnsi="Garamond"/>
          <w:sz w:val="28"/>
          <w:szCs w:val="28"/>
        </w:rPr>
        <w:t>)</w:t>
      </w:r>
      <w:r w:rsidRPr="1795564C">
        <w:rPr>
          <w:rFonts w:ascii="Garamond" w:hAnsi="Garamond"/>
          <w:sz w:val="28"/>
          <w:szCs w:val="28"/>
        </w:rPr>
        <w:t xml:space="preserve">. </w:t>
      </w:r>
    </w:p>
    <w:p w14:paraId="663D5B6B" w14:textId="225964FF" w:rsidR="005A6560" w:rsidRPr="00A819C7" w:rsidRDefault="000635EB" w:rsidP="00352C3A">
      <w:pPr>
        <w:spacing w:after="0" w:line="480" w:lineRule="auto"/>
        <w:ind w:firstLine="360"/>
        <w:rPr>
          <w:rFonts w:ascii="Garamond" w:hAnsi="Garamond"/>
          <w:sz w:val="28"/>
          <w:szCs w:val="28"/>
        </w:rPr>
      </w:pPr>
      <w:r w:rsidRPr="1795564C">
        <w:rPr>
          <w:rFonts w:ascii="Garamond" w:hAnsi="Garamond"/>
          <w:sz w:val="28"/>
          <w:szCs w:val="28"/>
        </w:rPr>
        <w:t>“Operating outside of our conscious awareness, implicit biases are pervasive, and they can challenge even the most well-intentioned and egalitarian-minded individuals, resulting in actions and outcomes that do not necessarily align with explicit intentions.</w:t>
      </w:r>
      <w:r w:rsidR="00DC450E" w:rsidRPr="1795564C">
        <w:rPr>
          <w:rFonts w:ascii="Garamond" w:hAnsi="Garamond"/>
          <w:sz w:val="28"/>
          <w:szCs w:val="28"/>
        </w:rPr>
        <w:t xml:space="preserve">” Staats, Cheryl, </w:t>
      </w:r>
      <w:r w:rsidR="0079535A" w:rsidRPr="1795564C">
        <w:rPr>
          <w:rFonts w:ascii="Garamond" w:hAnsi="Garamond"/>
          <w:i/>
          <w:iCs/>
          <w:sz w:val="28"/>
          <w:szCs w:val="28"/>
        </w:rPr>
        <w:t>Understanding Implicit Bias: What Educators Should Know</w:t>
      </w:r>
      <w:r w:rsidR="00B0674A" w:rsidRPr="1795564C">
        <w:rPr>
          <w:rFonts w:ascii="Garamond" w:hAnsi="Garamond"/>
          <w:sz w:val="28"/>
          <w:szCs w:val="28"/>
        </w:rPr>
        <w:t xml:space="preserve">, American Educator </w:t>
      </w:r>
      <w:r w:rsidR="00C52410" w:rsidRPr="1795564C">
        <w:rPr>
          <w:rFonts w:ascii="Garamond" w:hAnsi="Garamond"/>
          <w:sz w:val="28"/>
          <w:szCs w:val="28"/>
        </w:rPr>
        <w:t xml:space="preserve">Winter (2015-16) </w:t>
      </w:r>
      <w:r w:rsidR="00CD7D5C" w:rsidRPr="1795564C">
        <w:rPr>
          <w:rFonts w:ascii="Garamond" w:hAnsi="Garamond"/>
          <w:sz w:val="28"/>
          <w:szCs w:val="28"/>
        </w:rPr>
        <w:t xml:space="preserve">at 29, available at </w:t>
      </w:r>
      <w:r w:rsidR="00C343C2" w:rsidRPr="1795564C">
        <w:rPr>
          <w:rStyle w:val="Hyperlink"/>
          <w:rFonts w:ascii="Garamond" w:hAnsi="Garamond"/>
          <w:color w:val="auto"/>
          <w:sz w:val="28"/>
          <w:szCs w:val="28"/>
          <w:u w:val="none"/>
        </w:rPr>
        <w:t>https://files.eric.ed.gov/</w:t>
      </w:r>
      <w:r>
        <w:br/>
      </w:r>
      <w:r w:rsidR="00C343C2" w:rsidRPr="1795564C">
        <w:rPr>
          <w:rStyle w:val="Hyperlink"/>
          <w:rFonts w:ascii="Garamond" w:hAnsi="Garamond"/>
          <w:color w:val="auto"/>
          <w:sz w:val="28"/>
          <w:szCs w:val="28"/>
          <w:u w:val="none"/>
        </w:rPr>
        <w:t>fulltext/EJ1086492.pdf</w:t>
      </w:r>
      <w:r w:rsidR="006256E4" w:rsidRPr="1795564C">
        <w:rPr>
          <w:rFonts w:ascii="Garamond" w:hAnsi="Garamond"/>
          <w:sz w:val="28"/>
          <w:szCs w:val="28"/>
        </w:rPr>
        <w:t xml:space="preserve">. </w:t>
      </w:r>
      <w:r w:rsidR="00482245" w:rsidRPr="1795564C">
        <w:rPr>
          <w:rFonts w:ascii="Garamond" w:hAnsi="Garamond"/>
          <w:sz w:val="28"/>
          <w:szCs w:val="28"/>
        </w:rPr>
        <w:t xml:space="preserve">Due to implicit bias, </w:t>
      </w:r>
      <w:r w:rsidR="00A819C7" w:rsidRPr="1795564C">
        <w:rPr>
          <w:rFonts w:ascii="Garamond" w:hAnsi="Garamond"/>
          <w:sz w:val="28"/>
          <w:szCs w:val="28"/>
        </w:rPr>
        <w:t xml:space="preserve">lawyers may strike a juror for a racially-motivated reason without knowing or intending as much. Antony Page, </w:t>
      </w:r>
      <w:r w:rsidR="00A819C7" w:rsidRPr="1795564C">
        <w:rPr>
          <w:rFonts w:ascii="Garamond" w:hAnsi="Garamond"/>
          <w:i/>
          <w:iCs/>
          <w:sz w:val="28"/>
          <w:szCs w:val="28"/>
        </w:rPr>
        <w:t>Batson’s Blind-Spot: Unconscious Stereotyping and the Peremptory Challenge</w:t>
      </w:r>
      <w:r w:rsidR="00A819C7" w:rsidRPr="1795564C">
        <w:rPr>
          <w:rFonts w:ascii="Garamond" w:hAnsi="Garamond"/>
          <w:sz w:val="28"/>
          <w:szCs w:val="28"/>
        </w:rPr>
        <w:t xml:space="preserve">, 85 B.U. L. Rev. 155, 234 (2005). Recently, the Arizona Court of Appeals examined a case where </w:t>
      </w:r>
      <w:r w:rsidR="00154545" w:rsidRPr="1795564C">
        <w:rPr>
          <w:rFonts w:ascii="Garamond" w:hAnsi="Garamond"/>
          <w:sz w:val="28"/>
          <w:szCs w:val="28"/>
        </w:rPr>
        <w:t xml:space="preserve">the prosecutor relied on, or at least offered as race-neutral, racial stereotypes to support striking the only African American member of the venire. </w:t>
      </w:r>
      <w:r w:rsidR="00154545" w:rsidRPr="1795564C">
        <w:rPr>
          <w:rFonts w:ascii="Garamond" w:hAnsi="Garamond"/>
          <w:i/>
          <w:iCs/>
          <w:sz w:val="28"/>
          <w:szCs w:val="28"/>
        </w:rPr>
        <w:t>State v. Ross</w:t>
      </w:r>
      <w:r w:rsidR="00154545" w:rsidRPr="1795564C">
        <w:rPr>
          <w:rFonts w:ascii="Garamond" w:hAnsi="Garamond"/>
          <w:sz w:val="28"/>
          <w:szCs w:val="28"/>
        </w:rPr>
        <w:t xml:space="preserve">, </w:t>
      </w:r>
      <w:r w:rsidR="00C628FE" w:rsidRPr="1795564C">
        <w:rPr>
          <w:rFonts w:ascii="Garamond" w:hAnsi="Garamond"/>
          <w:sz w:val="28"/>
          <w:szCs w:val="28"/>
        </w:rPr>
        <w:t>---Ariz. ---, 483 P.3d 251 (</w:t>
      </w:r>
      <w:r w:rsidR="0066596B" w:rsidRPr="1795564C">
        <w:rPr>
          <w:rFonts w:ascii="Garamond" w:hAnsi="Garamond"/>
          <w:sz w:val="28"/>
          <w:szCs w:val="28"/>
        </w:rPr>
        <w:t xml:space="preserve">App. </w:t>
      </w:r>
      <w:r w:rsidR="00C628FE" w:rsidRPr="1795564C">
        <w:rPr>
          <w:rFonts w:ascii="Garamond" w:hAnsi="Garamond"/>
          <w:sz w:val="28"/>
          <w:szCs w:val="28"/>
        </w:rPr>
        <w:t>2021)</w:t>
      </w:r>
      <w:r w:rsidR="00154545" w:rsidRPr="1795564C">
        <w:rPr>
          <w:rFonts w:ascii="Garamond" w:hAnsi="Garamond"/>
          <w:sz w:val="28"/>
          <w:szCs w:val="28"/>
        </w:rPr>
        <w:t xml:space="preserve">. In </w:t>
      </w:r>
      <w:r w:rsidR="00154545" w:rsidRPr="1795564C">
        <w:rPr>
          <w:rFonts w:ascii="Garamond" w:hAnsi="Garamond"/>
          <w:i/>
          <w:iCs/>
          <w:sz w:val="28"/>
          <w:szCs w:val="28"/>
        </w:rPr>
        <w:t>Ross</w:t>
      </w:r>
      <w:r w:rsidR="00154545" w:rsidRPr="1795564C">
        <w:rPr>
          <w:rFonts w:ascii="Garamond" w:hAnsi="Garamond"/>
          <w:sz w:val="28"/>
          <w:szCs w:val="28"/>
        </w:rPr>
        <w:t xml:space="preserve">, the prosecutor claimed, among other reasons, that he struck the juror because he was “extremely inarticulate” and “wasn’t going to mesh well” with the other “more articulate” jurors. </w:t>
      </w:r>
      <w:r w:rsidR="00154545" w:rsidRPr="1795564C">
        <w:rPr>
          <w:rFonts w:ascii="Garamond" w:hAnsi="Garamond"/>
          <w:i/>
          <w:iCs/>
          <w:sz w:val="28"/>
          <w:szCs w:val="28"/>
        </w:rPr>
        <w:t>Id</w:t>
      </w:r>
      <w:r w:rsidR="00154545" w:rsidRPr="1795564C">
        <w:rPr>
          <w:rFonts w:ascii="Garamond" w:hAnsi="Garamond"/>
          <w:sz w:val="28"/>
          <w:szCs w:val="28"/>
        </w:rPr>
        <w:t>. at ¶8.</w:t>
      </w:r>
      <w:r w:rsidR="00162DEC" w:rsidRPr="1795564C">
        <w:rPr>
          <w:rFonts w:ascii="Garamond" w:hAnsi="Garamond"/>
          <w:sz w:val="28"/>
          <w:szCs w:val="28"/>
        </w:rPr>
        <w:t xml:space="preserve"> </w:t>
      </w:r>
      <w:r w:rsidR="00EB50A0" w:rsidRPr="1795564C">
        <w:rPr>
          <w:rFonts w:ascii="Garamond" w:hAnsi="Garamond"/>
          <w:sz w:val="28"/>
          <w:szCs w:val="28"/>
        </w:rPr>
        <w:t>For decades, s</w:t>
      </w:r>
      <w:r w:rsidR="00162DEC" w:rsidRPr="1795564C">
        <w:rPr>
          <w:rFonts w:ascii="Garamond" w:hAnsi="Garamond"/>
          <w:sz w:val="28"/>
          <w:szCs w:val="28"/>
        </w:rPr>
        <w:t xml:space="preserve">uch language </w:t>
      </w:r>
      <w:r w:rsidR="00EB50A0" w:rsidRPr="1795564C">
        <w:rPr>
          <w:rFonts w:ascii="Garamond" w:hAnsi="Garamond"/>
          <w:sz w:val="28"/>
          <w:szCs w:val="28"/>
        </w:rPr>
        <w:t>has been</w:t>
      </w:r>
      <w:r w:rsidR="00162DEC" w:rsidRPr="1795564C">
        <w:rPr>
          <w:rFonts w:ascii="Garamond" w:hAnsi="Garamond"/>
          <w:sz w:val="28"/>
          <w:szCs w:val="28"/>
        </w:rPr>
        <w:t xml:space="preserve"> </w:t>
      </w:r>
      <w:r w:rsidR="00EB50A0" w:rsidRPr="1795564C">
        <w:rPr>
          <w:rFonts w:ascii="Garamond" w:hAnsi="Garamond"/>
          <w:sz w:val="28"/>
          <w:szCs w:val="28"/>
        </w:rPr>
        <w:t xml:space="preserve">commonly </w:t>
      </w:r>
      <w:r w:rsidR="00162DEC" w:rsidRPr="1795564C">
        <w:rPr>
          <w:rFonts w:ascii="Garamond" w:hAnsi="Garamond"/>
          <w:sz w:val="28"/>
          <w:szCs w:val="28"/>
        </w:rPr>
        <w:t xml:space="preserve">invoked as a stereotype of African Americans. </w:t>
      </w:r>
      <w:r w:rsidR="00EB50A0" w:rsidRPr="1795564C">
        <w:rPr>
          <w:rFonts w:ascii="Garamond" w:hAnsi="Garamond"/>
          <w:i/>
          <w:iCs/>
          <w:sz w:val="28"/>
          <w:szCs w:val="28"/>
        </w:rPr>
        <w:t xml:space="preserve">See, e.g. </w:t>
      </w:r>
      <w:r w:rsidR="00162DEC" w:rsidRPr="1795564C">
        <w:rPr>
          <w:rFonts w:ascii="Garamond" w:hAnsi="Garamond"/>
          <w:sz w:val="28"/>
          <w:szCs w:val="28"/>
        </w:rPr>
        <w:t xml:space="preserve">Mikah K. Thompson, </w:t>
      </w:r>
      <w:r w:rsidR="00162DEC" w:rsidRPr="1795564C">
        <w:rPr>
          <w:rFonts w:ascii="Garamond" w:hAnsi="Garamond"/>
          <w:i/>
          <w:iCs/>
          <w:sz w:val="28"/>
          <w:szCs w:val="28"/>
        </w:rPr>
        <w:t>Blackness as Character Evidence</w:t>
      </w:r>
      <w:r w:rsidR="00162DEC" w:rsidRPr="1795564C">
        <w:rPr>
          <w:rFonts w:ascii="Garamond" w:hAnsi="Garamond"/>
          <w:sz w:val="28"/>
          <w:szCs w:val="28"/>
        </w:rPr>
        <w:t xml:space="preserve">, 20 Mich. J. Race &amp; L. 321, 339 (2015); </w:t>
      </w:r>
      <w:r w:rsidR="00EB50A0" w:rsidRPr="1795564C">
        <w:rPr>
          <w:rFonts w:ascii="Garamond" w:hAnsi="Garamond"/>
          <w:sz w:val="28"/>
          <w:szCs w:val="28"/>
        </w:rPr>
        <w:lastRenderedPageBreak/>
        <w:t xml:space="preserve">LaVonda N. Reed-Huff, </w:t>
      </w:r>
      <w:r w:rsidR="00EB50A0" w:rsidRPr="1795564C">
        <w:rPr>
          <w:rFonts w:ascii="Garamond" w:hAnsi="Garamond"/>
          <w:i/>
          <w:iCs/>
          <w:sz w:val="28"/>
          <w:szCs w:val="28"/>
        </w:rPr>
        <w:t>Radio Regulation: The Effect of a Pro-Localism Agenda on Black Radio</w:t>
      </w:r>
      <w:r w:rsidR="00EB50A0" w:rsidRPr="1795564C">
        <w:rPr>
          <w:rFonts w:ascii="Garamond" w:hAnsi="Garamond"/>
          <w:sz w:val="28"/>
          <w:szCs w:val="28"/>
        </w:rPr>
        <w:t>, 12 Wash. &amp; Lee J. Civil Rts. &amp; Soc. Just. 97,</w:t>
      </w:r>
      <w:r w:rsidR="00EB50A0" w:rsidRPr="1795564C">
        <w:rPr>
          <w:rFonts w:ascii="Garamond" w:hAnsi="Garamond"/>
          <w:i/>
          <w:iCs/>
          <w:sz w:val="28"/>
          <w:szCs w:val="28"/>
        </w:rPr>
        <w:t xml:space="preserve"> </w:t>
      </w:r>
      <w:r w:rsidR="00EB50A0" w:rsidRPr="1795564C">
        <w:rPr>
          <w:rFonts w:ascii="Garamond" w:hAnsi="Garamond"/>
          <w:sz w:val="28"/>
          <w:szCs w:val="28"/>
        </w:rPr>
        <w:t>127 (2006).</w:t>
      </w:r>
      <w:r w:rsidR="00306DD7" w:rsidRPr="1795564C">
        <w:rPr>
          <w:rFonts w:ascii="Garamond" w:hAnsi="Garamond"/>
          <w:sz w:val="28"/>
          <w:szCs w:val="28"/>
        </w:rPr>
        <w:t xml:space="preserve"> </w:t>
      </w:r>
      <w:r w:rsidR="00EB50A0" w:rsidRPr="1795564C">
        <w:rPr>
          <w:rFonts w:ascii="Garamond" w:hAnsi="Garamond"/>
          <w:sz w:val="28"/>
          <w:szCs w:val="28"/>
        </w:rPr>
        <w:t>Nevertheless, t</w:t>
      </w:r>
      <w:r w:rsidR="00306DD7" w:rsidRPr="1795564C">
        <w:rPr>
          <w:rFonts w:ascii="Garamond" w:hAnsi="Garamond"/>
          <w:sz w:val="28"/>
          <w:szCs w:val="28"/>
        </w:rPr>
        <w:t xml:space="preserve">he Court of Appeals did not find </w:t>
      </w:r>
      <w:r w:rsidR="00EB50A0" w:rsidRPr="1795564C">
        <w:rPr>
          <w:rFonts w:ascii="Garamond" w:hAnsi="Garamond"/>
          <w:sz w:val="28"/>
          <w:szCs w:val="28"/>
        </w:rPr>
        <w:t xml:space="preserve">that </w:t>
      </w:r>
      <w:r w:rsidR="00C651B2" w:rsidRPr="1795564C">
        <w:rPr>
          <w:rFonts w:ascii="Garamond" w:hAnsi="Garamond"/>
          <w:sz w:val="28"/>
          <w:szCs w:val="28"/>
        </w:rPr>
        <w:t xml:space="preserve">the prosecutor’s use of racially-coded language </w:t>
      </w:r>
      <w:r w:rsidR="00EB50A0" w:rsidRPr="1795564C">
        <w:rPr>
          <w:rFonts w:ascii="Garamond" w:hAnsi="Garamond"/>
          <w:sz w:val="28"/>
          <w:szCs w:val="28"/>
        </w:rPr>
        <w:t>indicated</w:t>
      </w:r>
      <w:r w:rsidR="00C651B2" w:rsidRPr="1795564C">
        <w:rPr>
          <w:rFonts w:ascii="Garamond" w:hAnsi="Garamond"/>
          <w:sz w:val="28"/>
          <w:szCs w:val="28"/>
        </w:rPr>
        <w:t xml:space="preserve"> that the peremptory strike was racially motivated. </w:t>
      </w:r>
      <w:r w:rsidR="00154545" w:rsidRPr="1795564C">
        <w:rPr>
          <w:rFonts w:ascii="Garamond" w:hAnsi="Garamond"/>
          <w:sz w:val="28"/>
          <w:szCs w:val="28"/>
        </w:rPr>
        <w:t xml:space="preserve"> </w:t>
      </w:r>
    </w:p>
    <w:p w14:paraId="663D5B6C" w14:textId="77777777" w:rsidR="00E53C9C" w:rsidRDefault="00E53C9C" w:rsidP="000807FB">
      <w:pPr>
        <w:pStyle w:val="ListParagraph"/>
        <w:numPr>
          <w:ilvl w:val="1"/>
          <w:numId w:val="1"/>
        </w:numPr>
        <w:spacing w:after="0"/>
        <w:rPr>
          <w:rFonts w:ascii="Garamond" w:hAnsi="Garamond"/>
          <w:b/>
          <w:sz w:val="28"/>
          <w:szCs w:val="28"/>
        </w:rPr>
      </w:pPr>
      <w:r>
        <w:rPr>
          <w:rFonts w:ascii="Garamond" w:hAnsi="Garamond"/>
          <w:b/>
          <w:sz w:val="28"/>
          <w:szCs w:val="28"/>
        </w:rPr>
        <w:t>Arizona’s Cons</w:t>
      </w:r>
      <w:r w:rsidR="00F90787">
        <w:rPr>
          <w:rFonts w:ascii="Garamond" w:hAnsi="Garamond"/>
          <w:b/>
          <w:sz w:val="28"/>
          <w:szCs w:val="28"/>
        </w:rPr>
        <w:t xml:space="preserve">titution Provides Greater Protection than the U.S. Constitution for the Right to a Jury Trial and Jurors’ Right Not to be Discriminated </w:t>
      </w:r>
      <w:r w:rsidR="008A1F7B">
        <w:rPr>
          <w:rFonts w:ascii="Garamond" w:hAnsi="Garamond"/>
          <w:b/>
          <w:sz w:val="28"/>
          <w:szCs w:val="28"/>
        </w:rPr>
        <w:t>Against</w:t>
      </w:r>
    </w:p>
    <w:p w14:paraId="663D5B6D" w14:textId="77777777" w:rsidR="004A6069" w:rsidRPr="004A6069" w:rsidRDefault="004A6069" w:rsidP="004A6069">
      <w:pPr>
        <w:spacing w:after="0"/>
        <w:rPr>
          <w:rFonts w:ascii="Garamond" w:hAnsi="Garamond"/>
          <w:sz w:val="28"/>
          <w:szCs w:val="28"/>
        </w:rPr>
      </w:pPr>
    </w:p>
    <w:p w14:paraId="663D5B6E" w14:textId="77777777" w:rsidR="000807FB" w:rsidRDefault="00F375CB" w:rsidP="1795564C">
      <w:pPr>
        <w:spacing w:after="0" w:line="480" w:lineRule="auto"/>
        <w:ind w:firstLine="720"/>
        <w:rPr>
          <w:rFonts w:ascii="Garamond" w:hAnsi="Garamond"/>
          <w:sz w:val="28"/>
          <w:szCs w:val="28"/>
        </w:rPr>
      </w:pPr>
      <w:r w:rsidRPr="1795564C">
        <w:rPr>
          <w:rFonts w:ascii="Garamond" w:hAnsi="Garamond"/>
          <w:sz w:val="28"/>
          <w:szCs w:val="28"/>
        </w:rPr>
        <w:t xml:space="preserve">The proposed rule change should also be adopted because it is necessary to protect the right to a jury trial, which is afforded greater protection under state law than U.S. Constitutional law. </w:t>
      </w:r>
      <w:r w:rsidR="00690F4D" w:rsidRPr="1795564C">
        <w:rPr>
          <w:rFonts w:ascii="Garamond" w:hAnsi="Garamond"/>
          <w:i/>
          <w:iCs/>
          <w:sz w:val="28"/>
          <w:szCs w:val="28"/>
        </w:rPr>
        <w:t>Derendal v. Griffith</w:t>
      </w:r>
      <w:r w:rsidR="00690F4D" w:rsidRPr="1795564C">
        <w:rPr>
          <w:rFonts w:ascii="Garamond" w:hAnsi="Garamond"/>
          <w:sz w:val="28"/>
          <w:szCs w:val="28"/>
        </w:rPr>
        <w:t xml:space="preserve">, 209 Ariz. 416, ¶6 (2005). </w:t>
      </w:r>
      <w:r w:rsidR="00BA51C4" w:rsidRPr="1795564C">
        <w:rPr>
          <w:rFonts w:ascii="Garamond" w:hAnsi="Garamond"/>
          <w:sz w:val="28"/>
          <w:szCs w:val="28"/>
        </w:rPr>
        <w:t>As this Court explained in</w:t>
      </w:r>
      <w:r w:rsidR="00BA51C4" w:rsidRPr="1795564C">
        <w:rPr>
          <w:rFonts w:ascii="Garamond" w:hAnsi="Garamond"/>
          <w:i/>
          <w:iCs/>
          <w:sz w:val="28"/>
          <w:szCs w:val="28"/>
        </w:rPr>
        <w:t xml:space="preserve"> Derendal</w:t>
      </w:r>
      <w:r w:rsidR="00BA51C4" w:rsidRPr="1795564C">
        <w:rPr>
          <w:rFonts w:ascii="Garamond" w:hAnsi="Garamond"/>
          <w:sz w:val="28"/>
          <w:szCs w:val="28"/>
        </w:rPr>
        <w:t xml:space="preserve">, </w:t>
      </w:r>
      <w:r w:rsidR="00FE4FAB" w:rsidRPr="1795564C">
        <w:rPr>
          <w:rFonts w:ascii="Garamond" w:hAnsi="Garamond"/>
          <w:sz w:val="28"/>
          <w:szCs w:val="28"/>
        </w:rPr>
        <w:t xml:space="preserve">Arizona’s constitution preserves the strong right to a jury trial that existed prior to statehood. </w:t>
      </w:r>
      <w:r w:rsidR="00FE4FAB" w:rsidRPr="1795564C">
        <w:rPr>
          <w:rFonts w:ascii="Garamond" w:hAnsi="Garamond"/>
          <w:i/>
          <w:iCs/>
          <w:sz w:val="28"/>
          <w:szCs w:val="28"/>
        </w:rPr>
        <w:t>Id</w:t>
      </w:r>
      <w:r w:rsidR="00FE4FAB" w:rsidRPr="1795564C">
        <w:rPr>
          <w:rFonts w:ascii="Garamond" w:hAnsi="Garamond"/>
          <w:sz w:val="28"/>
          <w:szCs w:val="28"/>
        </w:rPr>
        <w:t xml:space="preserve">. at ¶¶7-8 (citing Ariz.Const. art. 2, §§23, 24). </w:t>
      </w:r>
    </w:p>
    <w:p w14:paraId="663D5B6F" w14:textId="3199F984" w:rsidR="00FE4FAB" w:rsidRDefault="00FE4FAB" w:rsidP="1795564C">
      <w:pPr>
        <w:spacing w:after="0" w:line="480" w:lineRule="auto"/>
        <w:ind w:firstLine="720"/>
        <w:rPr>
          <w:rFonts w:ascii="Garamond" w:hAnsi="Garamond"/>
          <w:sz w:val="28"/>
          <w:szCs w:val="28"/>
        </w:rPr>
      </w:pPr>
      <w:r>
        <w:rPr>
          <w:rFonts w:ascii="Garamond" w:hAnsi="Garamond"/>
          <w:sz w:val="28"/>
          <w:szCs w:val="28"/>
        </w:rPr>
        <w:t>Also unique to Arizona’s constitution is protection for jurors’ right to not be discriminated against for their religious beliefs. Ariz.Const. art. 2, §12. Although the U.S. Supreme Court has recognized a juror</w:t>
      </w:r>
      <w:r w:rsidR="00397689">
        <w:rPr>
          <w:rFonts w:ascii="Garamond" w:hAnsi="Garamond"/>
          <w:sz w:val="28"/>
          <w:szCs w:val="28"/>
        </w:rPr>
        <w:t>’</w:t>
      </w:r>
      <w:r>
        <w:rPr>
          <w:rFonts w:ascii="Garamond" w:hAnsi="Garamond"/>
          <w:sz w:val="28"/>
          <w:szCs w:val="28"/>
        </w:rPr>
        <w:t xml:space="preserve">s right not to be discriminated against, </w:t>
      </w:r>
      <w:r w:rsidRPr="1795564C">
        <w:rPr>
          <w:rFonts w:ascii="Garamond" w:hAnsi="Garamond"/>
          <w:i/>
          <w:iCs/>
          <w:sz w:val="28"/>
          <w:szCs w:val="28"/>
        </w:rPr>
        <w:t>Powers v. Ohio</w:t>
      </w:r>
      <w:r>
        <w:rPr>
          <w:rFonts w:ascii="Garamond" w:hAnsi="Garamond"/>
          <w:sz w:val="28"/>
          <w:szCs w:val="28"/>
        </w:rPr>
        <w:t xml:space="preserve">, 499 U.S. 400, 409 (1991), that Court has not extended </w:t>
      </w:r>
      <w:r w:rsidRPr="1795564C">
        <w:rPr>
          <w:rFonts w:ascii="Garamond" w:hAnsi="Garamond"/>
          <w:i/>
          <w:iCs/>
          <w:sz w:val="28"/>
          <w:szCs w:val="28"/>
        </w:rPr>
        <w:t>Batson</w:t>
      </w:r>
      <w:r>
        <w:rPr>
          <w:rFonts w:ascii="Garamond" w:hAnsi="Garamond"/>
          <w:sz w:val="28"/>
          <w:szCs w:val="28"/>
        </w:rPr>
        <w:t xml:space="preserve"> to jurors’ religious views. Although the Mohave County Superior Court Judges have opposed</w:t>
      </w:r>
      <w:r w:rsidR="00A171B6">
        <w:rPr>
          <w:rStyle w:val="FootnoteReference"/>
          <w:rFonts w:ascii="Garamond" w:hAnsi="Garamond"/>
          <w:sz w:val="28"/>
          <w:szCs w:val="28"/>
        </w:rPr>
        <w:footnoteReference w:id="9"/>
      </w:r>
      <w:r>
        <w:rPr>
          <w:rFonts w:ascii="Garamond" w:hAnsi="Garamond"/>
          <w:sz w:val="28"/>
          <w:szCs w:val="28"/>
        </w:rPr>
        <w:t xml:space="preserve"> the proposed rule change because, among other reasons, it will create too many protected groups of jurors, </w:t>
      </w:r>
      <w:r w:rsidRPr="1795564C">
        <w:rPr>
          <w:rFonts w:ascii="Garamond" w:hAnsi="Garamond"/>
          <w:i/>
          <w:iCs/>
          <w:sz w:val="28"/>
          <w:szCs w:val="28"/>
        </w:rPr>
        <w:t>Batson</w:t>
      </w:r>
      <w:r>
        <w:rPr>
          <w:rFonts w:ascii="Garamond" w:hAnsi="Garamond"/>
          <w:sz w:val="28"/>
          <w:szCs w:val="28"/>
        </w:rPr>
        <w:t xml:space="preserve"> is simply inadequate to protect the state constitutional rights of defendants and jurors. </w:t>
      </w:r>
    </w:p>
    <w:p w14:paraId="2D9B35BC" w14:textId="226C33A1" w:rsidR="00AD362B" w:rsidRDefault="00AD362B" w:rsidP="00242697">
      <w:pPr>
        <w:pStyle w:val="ListParagraph"/>
        <w:numPr>
          <w:ilvl w:val="1"/>
          <w:numId w:val="1"/>
        </w:numPr>
        <w:spacing w:after="0" w:line="240" w:lineRule="auto"/>
        <w:rPr>
          <w:rFonts w:ascii="Garamond" w:hAnsi="Garamond"/>
          <w:b/>
          <w:sz w:val="28"/>
          <w:szCs w:val="28"/>
        </w:rPr>
      </w:pPr>
      <w:r>
        <w:rPr>
          <w:rFonts w:ascii="Garamond" w:hAnsi="Garamond"/>
          <w:b/>
          <w:sz w:val="28"/>
          <w:szCs w:val="28"/>
        </w:rPr>
        <w:lastRenderedPageBreak/>
        <w:t>Similar Rules Are Being Adopted and Implemented in Other Jurisdictions</w:t>
      </w:r>
    </w:p>
    <w:p w14:paraId="6E9B7A25" w14:textId="77777777" w:rsidR="00242697" w:rsidRDefault="00242697" w:rsidP="00242697">
      <w:pPr>
        <w:pStyle w:val="ListParagraph"/>
        <w:spacing w:after="0" w:line="240" w:lineRule="auto"/>
        <w:ind w:left="1440"/>
        <w:rPr>
          <w:rFonts w:ascii="Garamond" w:hAnsi="Garamond"/>
          <w:b/>
          <w:sz w:val="28"/>
          <w:szCs w:val="28"/>
        </w:rPr>
      </w:pPr>
    </w:p>
    <w:p w14:paraId="7A1524C7" w14:textId="2D8C6A6D" w:rsidR="00242697" w:rsidRDefault="00AD362B" w:rsidP="00242697">
      <w:pPr>
        <w:spacing w:after="0" w:line="480" w:lineRule="auto"/>
        <w:ind w:firstLine="720"/>
        <w:rPr>
          <w:rFonts w:ascii="Garamond" w:hAnsi="Garamond"/>
          <w:sz w:val="28"/>
          <w:szCs w:val="28"/>
        </w:rPr>
      </w:pPr>
      <w:r>
        <w:rPr>
          <w:rFonts w:ascii="Garamond" w:hAnsi="Garamond"/>
          <w:sz w:val="28"/>
          <w:szCs w:val="28"/>
        </w:rPr>
        <w:t xml:space="preserve">The judges of the Mohave County Superior Court have submitted </w:t>
      </w:r>
      <w:r w:rsidR="00242697">
        <w:rPr>
          <w:rFonts w:ascii="Garamond" w:hAnsi="Garamond"/>
          <w:sz w:val="28"/>
          <w:szCs w:val="28"/>
        </w:rPr>
        <w:t xml:space="preserve">a comment opposing the Petition because they believe the proposed rule is “impracticable” and they are concerned that “all peremptory strikes will be motivated for inappropriate reasons.” These concerns are unfounded, especially in comparison to the significant problem of racial discrimination in jury selection, which </w:t>
      </w:r>
      <w:r w:rsidR="00242697">
        <w:rPr>
          <w:rFonts w:ascii="Garamond" w:hAnsi="Garamond"/>
          <w:i/>
          <w:sz w:val="28"/>
          <w:szCs w:val="28"/>
        </w:rPr>
        <w:t>Batson</w:t>
      </w:r>
      <w:r w:rsidR="00242697">
        <w:rPr>
          <w:rFonts w:ascii="Garamond" w:hAnsi="Garamond"/>
          <w:sz w:val="28"/>
          <w:szCs w:val="28"/>
        </w:rPr>
        <w:t xml:space="preserve"> has failed to correct. Two other jurisdictions—Washington and California—have recently adopted similar rules.</w:t>
      </w:r>
      <w:r w:rsidR="00242697" w:rsidRPr="00242697">
        <w:rPr>
          <w:rFonts w:ascii="Garamond" w:hAnsi="Garamond"/>
          <w:sz w:val="28"/>
          <w:szCs w:val="28"/>
        </w:rPr>
        <w:t xml:space="preserve"> </w:t>
      </w:r>
      <w:r w:rsidR="00242697" w:rsidRPr="00242697">
        <w:rPr>
          <w:rStyle w:val="cosmallcaps"/>
          <w:rFonts w:ascii="Garamond" w:hAnsi="Garamond" w:cs="Arial"/>
          <w:sz w:val="28"/>
          <w:szCs w:val="28"/>
        </w:rPr>
        <w:t>Wash. Ct. Gen. R.</w:t>
      </w:r>
      <w:r w:rsidR="00242697" w:rsidRPr="00242697">
        <w:rPr>
          <w:rFonts w:ascii="Garamond" w:hAnsi="Garamond" w:cs="Arial"/>
          <w:sz w:val="28"/>
          <w:szCs w:val="28"/>
        </w:rPr>
        <w:t>37;</w:t>
      </w:r>
      <w:r w:rsidR="00242697" w:rsidRPr="00242697">
        <w:rPr>
          <w:rFonts w:ascii="Arial" w:hAnsi="Arial" w:cs="Arial"/>
          <w:sz w:val="17"/>
          <w:szCs w:val="17"/>
        </w:rPr>
        <w:t xml:space="preserve"> </w:t>
      </w:r>
      <w:r w:rsidR="00242697" w:rsidRPr="00242697">
        <w:rPr>
          <w:rFonts w:ascii="Garamond" w:hAnsi="Garamond" w:cs="Arial"/>
          <w:sz w:val="28"/>
          <w:szCs w:val="28"/>
        </w:rPr>
        <w:t>CA</w:t>
      </w:r>
      <w:r w:rsidR="00242697">
        <w:rPr>
          <w:rFonts w:ascii="Garamond" w:hAnsi="Garamond" w:cs="Arial"/>
          <w:sz w:val="28"/>
          <w:szCs w:val="28"/>
        </w:rPr>
        <w:t xml:space="preserve"> Assembly Bill 3070.</w:t>
      </w:r>
      <w:r w:rsidR="00242697">
        <w:rPr>
          <w:rStyle w:val="FootnoteReference"/>
          <w:rFonts w:ascii="Garamond" w:hAnsi="Garamond" w:cs="Arial"/>
          <w:sz w:val="28"/>
          <w:szCs w:val="28"/>
        </w:rPr>
        <w:footnoteReference w:id="10"/>
      </w:r>
      <w:r w:rsidR="00242697">
        <w:rPr>
          <w:rFonts w:ascii="Garamond" w:hAnsi="Garamond" w:cs="Arial"/>
          <w:sz w:val="28"/>
          <w:szCs w:val="28"/>
        </w:rPr>
        <w:t xml:space="preserve"> </w:t>
      </w:r>
      <w:r w:rsidR="00242697">
        <w:rPr>
          <w:rFonts w:ascii="Garamond" w:hAnsi="Garamond"/>
          <w:sz w:val="28"/>
          <w:szCs w:val="28"/>
        </w:rPr>
        <w:t xml:space="preserve">And, while the rules are still fairly new, there is no evidence to indicate they are unworkable or result in all peremptory strikes being challenged. In practice, Washington’s rule seems to have resulted in “a light chilling effect on the use of peremptory challenges against jurors of color.” Annie Sloan, Note, </w:t>
      </w:r>
      <w:r w:rsidR="00242697">
        <w:rPr>
          <w:rFonts w:ascii="Garamond" w:hAnsi="Garamond"/>
          <w:i/>
          <w:sz w:val="28"/>
          <w:szCs w:val="28"/>
        </w:rPr>
        <w:t>What to Do About Batson?: Using A Court Rule to Address Implicit Bias in Jury Selection</w:t>
      </w:r>
      <w:r w:rsidR="00242697">
        <w:rPr>
          <w:rFonts w:ascii="Garamond" w:hAnsi="Garamond"/>
          <w:sz w:val="28"/>
          <w:szCs w:val="28"/>
        </w:rPr>
        <w:t xml:space="preserve">, 108 Cal. L. Rev. 233, 257 (2020). Washington’s rule has not resulted in the elimination of peremptory strikes or bogged down the court system with endless challenges. Like the rule proposed here, Washington’s GR37 “maintains the spirit of peremptory challenges, barring only strikes rooted in bias, implicit or otherwise.” </w:t>
      </w:r>
      <w:r w:rsidR="00242697">
        <w:rPr>
          <w:rFonts w:ascii="Garamond" w:hAnsi="Garamond"/>
          <w:i/>
          <w:sz w:val="28"/>
          <w:szCs w:val="28"/>
        </w:rPr>
        <w:t>Id</w:t>
      </w:r>
      <w:r w:rsidR="00242697">
        <w:rPr>
          <w:rFonts w:ascii="Garamond" w:hAnsi="Garamond"/>
          <w:sz w:val="28"/>
          <w:szCs w:val="28"/>
        </w:rPr>
        <w:t>. at 263</w:t>
      </w:r>
      <w:bookmarkStart w:id="1" w:name="_GoBack"/>
      <w:bookmarkEnd w:id="1"/>
      <w:r w:rsidR="00242697">
        <w:rPr>
          <w:rFonts w:ascii="Garamond" w:hAnsi="Garamond"/>
          <w:sz w:val="28"/>
          <w:szCs w:val="28"/>
        </w:rPr>
        <w:t xml:space="preserve">. </w:t>
      </w:r>
    </w:p>
    <w:p w14:paraId="03DA1890" w14:textId="1E977C3C" w:rsidR="0050371B" w:rsidRPr="00B24E79" w:rsidRDefault="0050371B" w:rsidP="00242697">
      <w:pPr>
        <w:spacing w:after="0" w:line="480" w:lineRule="auto"/>
        <w:ind w:firstLine="720"/>
        <w:rPr>
          <w:rFonts w:ascii="Garamond" w:hAnsi="Garamond"/>
          <w:sz w:val="28"/>
          <w:szCs w:val="28"/>
        </w:rPr>
      </w:pPr>
      <w:r>
        <w:rPr>
          <w:rFonts w:ascii="Garamond" w:hAnsi="Garamond"/>
          <w:sz w:val="28"/>
          <w:szCs w:val="28"/>
        </w:rPr>
        <w:t xml:space="preserve">The Mohave judges’ concern that too many groups are protected by the proposed rule is undermined by the fact that </w:t>
      </w:r>
      <w:r w:rsidRPr="1795564C">
        <w:rPr>
          <w:rFonts w:ascii="Garamond" w:hAnsi="Garamond"/>
          <w:i/>
          <w:iCs/>
          <w:sz w:val="28"/>
          <w:szCs w:val="28"/>
        </w:rPr>
        <w:t>Batson</w:t>
      </w:r>
      <w:r>
        <w:rPr>
          <w:rFonts w:ascii="Garamond" w:hAnsi="Garamond"/>
          <w:sz w:val="28"/>
          <w:szCs w:val="28"/>
        </w:rPr>
        <w:t xml:space="preserve"> itself is evolving to protect more </w:t>
      </w:r>
      <w:r>
        <w:rPr>
          <w:rFonts w:ascii="Garamond" w:hAnsi="Garamond"/>
          <w:sz w:val="28"/>
          <w:szCs w:val="28"/>
        </w:rPr>
        <w:lastRenderedPageBreak/>
        <w:t>groups that have been historically excluded from and underrepresented in juries.</w:t>
      </w:r>
      <w:r w:rsidR="00B24E79">
        <w:rPr>
          <w:rFonts w:ascii="Garamond" w:hAnsi="Garamond"/>
          <w:sz w:val="28"/>
          <w:szCs w:val="28"/>
        </w:rPr>
        <w:t xml:space="preserve"> First, the Supreme Court held that </w:t>
      </w:r>
      <w:r w:rsidR="00B24E79" w:rsidRPr="1795564C">
        <w:rPr>
          <w:rFonts w:ascii="Garamond" w:hAnsi="Garamond"/>
          <w:i/>
          <w:iCs/>
          <w:sz w:val="28"/>
          <w:szCs w:val="28"/>
        </w:rPr>
        <w:t>Batson</w:t>
      </w:r>
      <w:r w:rsidR="00B24E79">
        <w:rPr>
          <w:rFonts w:ascii="Garamond" w:hAnsi="Garamond"/>
          <w:sz w:val="28"/>
          <w:szCs w:val="28"/>
        </w:rPr>
        <w:t xml:space="preserve"> </w:t>
      </w:r>
      <w:r w:rsidR="00F347D8">
        <w:rPr>
          <w:rFonts w:ascii="Garamond" w:hAnsi="Garamond"/>
          <w:sz w:val="28"/>
          <w:szCs w:val="28"/>
        </w:rPr>
        <w:t>prohibits striking jurors on the basis of ethnicity.</w:t>
      </w:r>
      <w:r w:rsidR="00B24E79">
        <w:rPr>
          <w:rFonts w:ascii="Garamond" w:hAnsi="Garamond"/>
          <w:sz w:val="28"/>
          <w:szCs w:val="28"/>
        </w:rPr>
        <w:t xml:space="preserve"> </w:t>
      </w:r>
      <w:r w:rsidR="00B24E79" w:rsidRPr="1795564C">
        <w:rPr>
          <w:rFonts w:ascii="Garamond" w:hAnsi="Garamond"/>
          <w:i/>
          <w:iCs/>
          <w:sz w:val="28"/>
          <w:szCs w:val="28"/>
        </w:rPr>
        <w:t>Hernandez v. New York</w:t>
      </w:r>
      <w:r w:rsidR="00B24E79">
        <w:rPr>
          <w:rFonts w:ascii="Garamond" w:hAnsi="Garamond"/>
          <w:sz w:val="28"/>
          <w:szCs w:val="28"/>
        </w:rPr>
        <w:t>, 500 U.S. 352 (1991).</w:t>
      </w:r>
      <w:r>
        <w:rPr>
          <w:rFonts w:ascii="Garamond" w:hAnsi="Garamond"/>
          <w:sz w:val="28"/>
          <w:szCs w:val="28"/>
        </w:rPr>
        <w:t xml:space="preserve"> In 1994, the Supreme Court held </w:t>
      </w:r>
      <w:r w:rsidRPr="1795564C">
        <w:rPr>
          <w:rFonts w:ascii="Garamond" w:hAnsi="Garamond"/>
          <w:i/>
          <w:iCs/>
          <w:sz w:val="28"/>
          <w:szCs w:val="28"/>
        </w:rPr>
        <w:t>Batson</w:t>
      </w:r>
      <w:r>
        <w:rPr>
          <w:rFonts w:ascii="Garamond" w:hAnsi="Garamond"/>
          <w:sz w:val="28"/>
          <w:szCs w:val="28"/>
        </w:rPr>
        <w:t xml:space="preserve"> applies to gender discrimination, </w:t>
      </w:r>
      <w:r w:rsidR="00F347D8">
        <w:rPr>
          <w:rFonts w:ascii="Garamond" w:hAnsi="Garamond"/>
          <w:sz w:val="28"/>
          <w:szCs w:val="28"/>
        </w:rPr>
        <w:t>a relatively new concern</w:t>
      </w:r>
      <w:r>
        <w:rPr>
          <w:rFonts w:ascii="Garamond" w:hAnsi="Garamond"/>
          <w:sz w:val="28"/>
          <w:szCs w:val="28"/>
        </w:rPr>
        <w:t xml:space="preserve"> because for most of American history, women were not permitted to serve on juries. </w:t>
      </w:r>
      <w:r w:rsidRPr="1795564C">
        <w:rPr>
          <w:rFonts w:ascii="Garamond" w:hAnsi="Garamond"/>
          <w:i/>
          <w:iCs/>
          <w:sz w:val="28"/>
          <w:szCs w:val="28"/>
        </w:rPr>
        <w:t>J.E.B. v. Alabama, ex rel. T.B.</w:t>
      </w:r>
      <w:r>
        <w:rPr>
          <w:rFonts w:ascii="Garamond" w:hAnsi="Garamond"/>
          <w:sz w:val="28"/>
          <w:szCs w:val="28"/>
        </w:rPr>
        <w:t>, 511 U.S. 127 (1994).</w:t>
      </w:r>
      <w:r>
        <w:rPr>
          <w:rStyle w:val="FootnoteReference"/>
          <w:rFonts w:ascii="Garamond" w:hAnsi="Garamond"/>
          <w:sz w:val="28"/>
          <w:szCs w:val="28"/>
        </w:rPr>
        <w:footnoteReference w:id="11"/>
      </w:r>
      <w:r>
        <w:rPr>
          <w:rFonts w:ascii="Garamond" w:hAnsi="Garamond"/>
          <w:sz w:val="28"/>
          <w:szCs w:val="28"/>
        </w:rPr>
        <w:t xml:space="preserve"> </w:t>
      </w:r>
      <w:r w:rsidR="00B24E79" w:rsidRPr="00B24E79">
        <w:rPr>
          <w:rFonts w:ascii="Garamond" w:hAnsi="Garamond"/>
          <w:sz w:val="28"/>
          <w:szCs w:val="28"/>
        </w:rPr>
        <w:t xml:space="preserve">The Second Circuit has extended </w:t>
      </w:r>
      <w:r w:rsidR="00B24E79" w:rsidRPr="1795564C">
        <w:rPr>
          <w:rFonts w:ascii="Garamond" w:hAnsi="Garamond"/>
          <w:i/>
          <w:iCs/>
          <w:sz w:val="28"/>
          <w:szCs w:val="28"/>
        </w:rPr>
        <w:t>Batson</w:t>
      </w:r>
      <w:r w:rsidR="00B24E79" w:rsidRPr="00B24E79">
        <w:rPr>
          <w:rFonts w:ascii="Garamond" w:hAnsi="Garamond"/>
          <w:sz w:val="28"/>
          <w:szCs w:val="28"/>
        </w:rPr>
        <w:t xml:space="preserve"> to religion discrimination. </w:t>
      </w:r>
      <w:r w:rsidR="00B24E79" w:rsidRPr="00B24E79">
        <w:rPr>
          <w:rStyle w:val="Emphasis"/>
          <w:rFonts w:ascii="Garamond" w:hAnsi="Garamond" w:cs="Arial"/>
          <w:sz w:val="28"/>
          <w:szCs w:val="28"/>
        </w:rPr>
        <w:t>U.S. v. Brown</w:t>
      </w:r>
      <w:r w:rsidR="00B24E79" w:rsidRPr="00B24E79">
        <w:rPr>
          <w:rFonts w:ascii="Garamond" w:hAnsi="Garamond" w:cs="Arial"/>
          <w:sz w:val="28"/>
          <w:szCs w:val="28"/>
        </w:rPr>
        <w:t>, 352 F.3d 654 (2nd Cir. 2003).</w:t>
      </w:r>
      <w:r w:rsidR="00B24E79" w:rsidRPr="00B24E79">
        <w:rPr>
          <w:rFonts w:ascii="Garamond" w:hAnsi="Garamond"/>
          <w:sz w:val="28"/>
          <w:szCs w:val="28"/>
        </w:rPr>
        <w:t xml:space="preserve"> The Ninth Circuit has extended </w:t>
      </w:r>
      <w:r w:rsidR="00B24E79" w:rsidRPr="1795564C">
        <w:rPr>
          <w:rFonts w:ascii="Garamond" w:hAnsi="Garamond"/>
          <w:i/>
          <w:iCs/>
          <w:sz w:val="28"/>
          <w:szCs w:val="28"/>
        </w:rPr>
        <w:t>Batson</w:t>
      </w:r>
      <w:r w:rsidR="00B24E79" w:rsidRPr="00B24E79">
        <w:rPr>
          <w:rFonts w:ascii="Garamond" w:hAnsi="Garamond"/>
          <w:sz w:val="28"/>
          <w:szCs w:val="28"/>
        </w:rPr>
        <w:t xml:space="preserve"> to protect against discrimination on the basis of sexual orientation. </w:t>
      </w:r>
      <w:r w:rsidR="00B24E79" w:rsidRPr="00B24E79">
        <w:rPr>
          <w:rStyle w:val="Emphasis"/>
          <w:rFonts w:ascii="Garamond" w:hAnsi="Garamond" w:cs="Arial"/>
          <w:sz w:val="28"/>
          <w:szCs w:val="28"/>
        </w:rPr>
        <w:t>SmithKline Beecham Corp. v. Abbott Laboratories</w:t>
      </w:r>
      <w:r w:rsidR="00B24E79" w:rsidRPr="00B24E79">
        <w:rPr>
          <w:rFonts w:ascii="Garamond" w:hAnsi="Garamond" w:cs="Arial"/>
          <w:sz w:val="28"/>
          <w:szCs w:val="28"/>
        </w:rPr>
        <w:t>, 740 F.3d 471 (9th Cir. 2014).</w:t>
      </w:r>
      <w:r w:rsidR="00B24E79">
        <w:rPr>
          <w:rFonts w:ascii="Garamond" w:hAnsi="Garamond" w:cs="Arial"/>
          <w:sz w:val="28"/>
          <w:szCs w:val="28"/>
        </w:rPr>
        <w:t xml:space="preserve"> </w:t>
      </w:r>
      <w:r w:rsidR="00F347D8">
        <w:rPr>
          <w:rFonts w:ascii="Garamond" w:hAnsi="Garamond" w:cs="Arial"/>
          <w:sz w:val="28"/>
          <w:szCs w:val="28"/>
        </w:rPr>
        <w:t>While the Supreme Court has not yet followed suit, they have, in recent years, found significantly greater protection for LGBTQ individuals</w:t>
      </w:r>
      <w:r w:rsidR="006B79FB">
        <w:rPr>
          <w:rFonts w:ascii="Garamond" w:hAnsi="Garamond" w:cs="Arial"/>
          <w:sz w:val="28"/>
          <w:szCs w:val="28"/>
        </w:rPr>
        <w:t xml:space="preserve">. </w:t>
      </w:r>
      <w:r w:rsidR="006B79FB" w:rsidRPr="1795564C">
        <w:rPr>
          <w:rFonts w:ascii="Garamond" w:hAnsi="Garamond" w:cs="Arial"/>
          <w:i/>
          <w:iCs/>
          <w:sz w:val="28"/>
          <w:szCs w:val="28"/>
        </w:rPr>
        <w:t>E.g. Bostock v. Clayton County</w:t>
      </w:r>
      <w:r w:rsidR="006B79FB">
        <w:rPr>
          <w:rFonts w:ascii="Garamond" w:hAnsi="Garamond" w:cs="Arial"/>
          <w:sz w:val="28"/>
          <w:szCs w:val="28"/>
        </w:rPr>
        <w:t>, 140 S. Ct. 1731 (2020).</w:t>
      </w:r>
      <w:r w:rsidR="00200BC6">
        <w:rPr>
          <w:rFonts w:ascii="Garamond" w:hAnsi="Garamond" w:cs="Arial"/>
          <w:sz w:val="28"/>
          <w:szCs w:val="28"/>
        </w:rPr>
        <w:t xml:space="preserve"> </w:t>
      </w:r>
      <w:r w:rsidR="00200BC6" w:rsidRPr="1795564C">
        <w:rPr>
          <w:rFonts w:ascii="Garamond" w:hAnsi="Garamond" w:cs="Arial"/>
          <w:sz w:val="28"/>
          <w:szCs w:val="28"/>
        </w:rPr>
        <w:t xml:space="preserve">As such, the proposed rule accurately </w:t>
      </w:r>
      <w:r w:rsidR="65201A2F" w:rsidRPr="1795564C">
        <w:rPr>
          <w:rFonts w:ascii="Garamond" w:hAnsi="Garamond" w:cs="Arial"/>
          <w:sz w:val="28"/>
          <w:szCs w:val="28"/>
        </w:rPr>
        <w:t>reflects</w:t>
      </w:r>
      <w:r w:rsidR="00200BC6" w:rsidRPr="1795564C">
        <w:rPr>
          <w:rFonts w:ascii="Garamond" w:hAnsi="Garamond" w:cs="Arial"/>
          <w:sz w:val="28"/>
          <w:szCs w:val="28"/>
        </w:rPr>
        <w:t xml:space="preserve"> </w:t>
      </w:r>
      <w:r w:rsidR="00200BC6">
        <w:rPr>
          <w:rFonts w:ascii="Garamond" w:hAnsi="Garamond" w:cs="Arial"/>
          <w:sz w:val="28"/>
          <w:szCs w:val="28"/>
        </w:rPr>
        <w:t xml:space="preserve">the </w:t>
      </w:r>
      <w:r w:rsidR="006C3091">
        <w:rPr>
          <w:rFonts w:ascii="Garamond" w:hAnsi="Garamond" w:cs="Arial"/>
          <w:sz w:val="28"/>
          <w:szCs w:val="28"/>
        </w:rPr>
        <w:t xml:space="preserve">classes of </w:t>
      </w:r>
      <w:r w:rsidR="00571BFE">
        <w:rPr>
          <w:rFonts w:ascii="Garamond" w:hAnsi="Garamond" w:cs="Arial"/>
          <w:sz w:val="28"/>
          <w:szCs w:val="28"/>
        </w:rPr>
        <w:t>persons</w:t>
      </w:r>
      <w:r w:rsidR="000163D3" w:rsidRPr="1795564C">
        <w:rPr>
          <w:rFonts w:ascii="Garamond" w:hAnsi="Garamond" w:cs="Arial"/>
          <w:sz w:val="28"/>
          <w:szCs w:val="28"/>
        </w:rPr>
        <w:t xml:space="preserve"> that warrant protection from </w:t>
      </w:r>
      <w:r w:rsidR="3AC281BB">
        <w:rPr>
          <w:rFonts w:ascii="Garamond" w:hAnsi="Garamond" w:cs="Arial"/>
          <w:sz w:val="28"/>
          <w:szCs w:val="28"/>
        </w:rPr>
        <w:t>discriminatory peremptory strikes</w:t>
      </w:r>
      <w:r w:rsidR="001F28EF">
        <w:rPr>
          <w:rFonts w:ascii="Garamond" w:hAnsi="Garamond" w:cs="Arial"/>
          <w:sz w:val="28"/>
          <w:szCs w:val="28"/>
        </w:rPr>
        <w:t xml:space="preserve"> </w:t>
      </w:r>
      <w:r w:rsidR="004D730B">
        <w:rPr>
          <w:rFonts w:ascii="Garamond" w:hAnsi="Garamond" w:cs="Arial"/>
          <w:sz w:val="28"/>
          <w:szCs w:val="28"/>
        </w:rPr>
        <w:t xml:space="preserve">under state and federal </w:t>
      </w:r>
      <w:r w:rsidR="00F17B29">
        <w:rPr>
          <w:rFonts w:ascii="Garamond" w:hAnsi="Garamond" w:cs="Arial"/>
          <w:sz w:val="28"/>
          <w:szCs w:val="28"/>
        </w:rPr>
        <w:t>equal protection</w:t>
      </w:r>
      <w:r w:rsidR="00402111">
        <w:rPr>
          <w:rFonts w:ascii="Garamond" w:hAnsi="Garamond" w:cs="Arial"/>
          <w:sz w:val="28"/>
          <w:szCs w:val="28"/>
        </w:rPr>
        <w:t>.</w:t>
      </w:r>
    </w:p>
    <w:p w14:paraId="663D5B70" w14:textId="390464F7" w:rsidR="006C40FF" w:rsidRPr="002570DE" w:rsidRDefault="006C40FF" w:rsidP="002570DE">
      <w:pPr>
        <w:pStyle w:val="ListParagraph"/>
        <w:numPr>
          <w:ilvl w:val="0"/>
          <w:numId w:val="1"/>
        </w:numPr>
        <w:spacing w:after="0" w:line="480" w:lineRule="auto"/>
        <w:rPr>
          <w:rFonts w:ascii="Garamond" w:hAnsi="Garamond"/>
          <w:sz w:val="28"/>
          <w:szCs w:val="28"/>
        </w:rPr>
      </w:pPr>
      <w:r w:rsidRPr="002570DE">
        <w:rPr>
          <w:rFonts w:ascii="Garamond" w:hAnsi="Garamond"/>
          <w:b/>
          <w:sz w:val="28"/>
          <w:szCs w:val="28"/>
        </w:rPr>
        <w:t>Conclusion</w:t>
      </w:r>
    </w:p>
    <w:p w14:paraId="663D5B71" w14:textId="70BDF372" w:rsidR="000807FB" w:rsidRPr="00F347D8" w:rsidRDefault="00B015AD" w:rsidP="00F347D8">
      <w:pPr>
        <w:spacing w:after="0" w:line="480" w:lineRule="auto"/>
        <w:ind w:firstLine="720"/>
        <w:rPr>
          <w:rFonts w:ascii="Garamond" w:hAnsi="Garamond"/>
          <w:sz w:val="28"/>
          <w:szCs w:val="28"/>
        </w:rPr>
      </w:pPr>
      <w:r w:rsidRPr="00F347D8">
        <w:rPr>
          <w:rFonts w:ascii="Garamond" w:hAnsi="Garamond"/>
          <w:sz w:val="28"/>
          <w:szCs w:val="28"/>
        </w:rPr>
        <w:t xml:space="preserve">The Arizona Capital Representation Project supports the proposed rule change and asks this Court to grant the Petition. </w:t>
      </w:r>
    </w:p>
    <w:p w14:paraId="663D5B75" w14:textId="2807A6A4" w:rsidR="001E241D" w:rsidRPr="002D7707" w:rsidRDefault="001E241D" w:rsidP="002D7707">
      <w:pPr>
        <w:spacing w:after="0"/>
        <w:rPr>
          <w:rFonts w:ascii="Garamond" w:hAnsi="Garamond"/>
          <w:b/>
          <w:sz w:val="28"/>
          <w:szCs w:val="28"/>
          <w:highlight w:val="yellow"/>
        </w:rPr>
      </w:pPr>
    </w:p>
    <w:sectPr w:rsidR="001E241D" w:rsidRPr="002D7707">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3A918D" w16cex:dateUtc="2021-05-03T22:13:00Z"/>
</w16cex:commentsExtensible>
</file>

<file path=word/commentsIds.xml><?xml version="1.0" encoding="utf-8"?>
<w16cid:commentsIds xmlns:mc="http://schemas.openxmlformats.org/markup-compatibility/2006" xmlns:w16cid="http://schemas.microsoft.com/office/word/2016/wordml/cid" mc:Ignorable="w16cid">
  <w16cid:commentId w16cid:paraId="52334E2F" w16cid:durableId="243A91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AF47A" w14:textId="77777777" w:rsidR="00EC6DF4" w:rsidRDefault="00EC6DF4" w:rsidP="00391269">
      <w:pPr>
        <w:spacing w:after="0" w:line="240" w:lineRule="auto"/>
      </w:pPr>
      <w:r>
        <w:separator/>
      </w:r>
    </w:p>
  </w:endnote>
  <w:endnote w:type="continuationSeparator" w:id="0">
    <w:p w14:paraId="063C2B09" w14:textId="77777777" w:rsidR="00EC6DF4" w:rsidRDefault="00EC6DF4" w:rsidP="0039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185911369"/>
      <w:docPartObj>
        <w:docPartGallery w:val="Page Numbers (Bottom of Page)"/>
        <w:docPartUnique/>
      </w:docPartObj>
    </w:sdtPr>
    <w:sdtEndPr>
      <w:rPr>
        <w:noProof/>
      </w:rPr>
    </w:sdtEndPr>
    <w:sdtContent>
      <w:p w14:paraId="663D5B7A" w14:textId="77777777" w:rsidR="00A301F7" w:rsidRPr="00DE6E18" w:rsidRDefault="00A301F7">
        <w:pPr>
          <w:pStyle w:val="Footer"/>
          <w:jc w:val="right"/>
          <w:rPr>
            <w:rFonts w:ascii="Garamond" w:hAnsi="Garamond"/>
          </w:rPr>
        </w:pPr>
        <w:r w:rsidRPr="00DE6E18">
          <w:rPr>
            <w:rFonts w:ascii="Garamond" w:hAnsi="Garamond"/>
          </w:rPr>
          <w:fldChar w:fldCharType="begin"/>
        </w:r>
        <w:r w:rsidRPr="00DE6E18">
          <w:rPr>
            <w:rFonts w:ascii="Garamond" w:hAnsi="Garamond"/>
          </w:rPr>
          <w:instrText xml:space="preserve"> PAGE   \* MERGEFORMAT </w:instrText>
        </w:r>
        <w:r w:rsidRPr="00DE6E18">
          <w:rPr>
            <w:rFonts w:ascii="Garamond" w:hAnsi="Garamond"/>
          </w:rPr>
          <w:fldChar w:fldCharType="separate"/>
        </w:r>
        <w:r w:rsidR="00BA303A">
          <w:rPr>
            <w:rFonts w:ascii="Garamond" w:hAnsi="Garamond"/>
            <w:noProof/>
          </w:rPr>
          <w:t>13</w:t>
        </w:r>
        <w:r w:rsidRPr="00DE6E18">
          <w:rPr>
            <w:rFonts w:ascii="Garamond" w:hAnsi="Garamond"/>
            <w:noProof/>
          </w:rPr>
          <w:fldChar w:fldCharType="end"/>
        </w:r>
      </w:p>
    </w:sdtContent>
  </w:sdt>
  <w:p w14:paraId="663D5B7B" w14:textId="77777777" w:rsidR="00A301F7" w:rsidRPr="00DE6E18" w:rsidRDefault="00A301F7">
    <w:pPr>
      <w:pStyle w:val="Foo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31200" w14:textId="77777777" w:rsidR="00EC6DF4" w:rsidRDefault="00EC6DF4" w:rsidP="00391269">
      <w:pPr>
        <w:spacing w:after="0" w:line="240" w:lineRule="auto"/>
      </w:pPr>
      <w:r>
        <w:separator/>
      </w:r>
    </w:p>
  </w:footnote>
  <w:footnote w:type="continuationSeparator" w:id="0">
    <w:p w14:paraId="2D51F549" w14:textId="77777777" w:rsidR="00EC6DF4" w:rsidRDefault="00EC6DF4" w:rsidP="00391269">
      <w:pPr>
        <w:spacing w:after="0" w:line="240" w:lineRule="auto"/>
      </w:pPr>
      <w:r>
        <w:continuationSeparator/>
      </w:r>
    </w:p>
  </w:footnote>
  <w:footnote w:id="1">
    <w:p w14:paraId="03DC99AA" w14:textId="3D804182" w:rsidR="00D55FFB" w:rsidRPr="009623C3" w:rsidRDefault="00D55FFB" w:rsidP="007556AF">
      <w:pPr>
        <w:pStyle w:val="FootnoteText"/>
        <w:spacing w:after="120"/>
        <w:rPr>
          <w:rFonts w:ascii="Garamond" w:hAnsi="Garamond"/>
          <w:color w:val="000000" w:themeColor="text1"/>
          <w:sz w:val="24"/>
          <w:szCs w:val="24"/>
        </w:rPr>
      </w:pPr>
      <w:r w:rsidRPr="009623C3">
        <w:rPr>
          <w:rStyle w:val="FootnoteReference"/>
          <w:rFonts w:ascii="Garamond" w:hAnsi="Garamond"/>
          <w:color w:val="000000" w:themeColor="text1"/>
          <w:sz w:val="24"/>
          <w:szCs w:val="24"/>
        </w:rPr>
        <w:footnoteRef/>
      </w:r>
      <w:r w:rsidRPr="009623C3">
        <w:rPr>
          <w:rFonts w:ascii="Garamond" w:hAnsi="Garamond"/>
          <w:color w:val="000000" w:themeColor="text1"/>
          <w:sz w:val="24"/>
          <w:szCs w:val="24"/>
        </w:rPr>
        <w:t xml:space="preserve"> Of course, African Americans are not only disproportionately subject to the death penalty but are subject to harsher penalties across the board and are incarcerated at significantly disproportionate rates than their white counterparts. African American men make up 13% of the male population, but 35% of the </w:t>
      </w:r>
      <w:r w:rsidR="00F511EF" w:rsidRPr="009623C3">
        <w:rPr>
          <w:rFonts w:ascii="Garamond" w:hAnsi="Garamond"/>
          <w:color w:val="000000" w:themeColor="text1"/>
          <w:sz w:val="24"/>
          <w:szCs w:val="24"/>
        </w:rPr>
        <w:t xml:space="preserve">incarcerated population. Elizabeth Hinton, </w:t>
      </w:r>
      <w:r w:rsidR="00F511EF" w:rsidRPr="009623C3">
        <w:rPr>
          <w:rFonts w:ascii="Garamond" w:hAnsi="Garamond"/>
          <w:i/>
          <w:color w:val="000000" w:themeColor="text1"/>
          <w:sz w:val="24"/>
          <w:szCs w:val="24"/>
        </w:rPr>
        <w:t>An Unjust Burden: The Disparate Treatment of Black Americans in the Criminal Justice System</w:t>
      </w:r>
      <w:r w:rsidR="00F511EF" w:rsidRPr="009623C3">
        <w:rPr>
          <w:rFonts w:ascii="Garamond" w:hAnsi="Garamond"/>
          <w:color w:val="000000" w:themeColor="text1"/>
          <w:sz w:val="24"/>
          <w:szCs w:val="24"/>
        </w:rPr>
        <w:t xml:space="preserve">, </w:t>
      </w:r>
      <w:hyperlink r:id="rId1" w:history="1">
        <w:r w:rsidR="00F511EF" w:rsidRPr="009623C3">
          <w:rPr>
            <w:rStyle w:val="Hyperlink"/>
            <w:rFonts w:ascii="Garamond" w:hAnsi="Garamond"/>
            <w:color w:val="000000" w:themeColor="text1"/>
            <w:sz w:val="24"/>
            <w:szCs w:val="24"/>
          </w:rPr>
          <w:t>https://www.vera.org/downloads/publications/for-the-record-unjust-burden-racial-disparities.pdf</w:t>
        </w:r>
      </w:hyperlink>
      <w:r w:rsidR="00F511EF" w:rsidRPr="009623C3">
        <w:rPr>
          <w:rFonts w:ascii="Garamond" w:hAnsi="Garamond"/>
          <w:color w:val="000000" w:themeColor="text1"/>
          <w:sz w:val="24"/>
          <w:szCs w:val="24"/>
        </w:rPr>
        <w:t xml:space="preserve"> (May 2018).</w:t>
      </w:r>
    </w:p>
  </w:footnote>
  <w:footnote w:id="2">
    <w:p w14:paraId="663D5B7D" w14:textId="207EEDF6" w:rsidR="001B64CC" w:rsidRPr="009623C3" w:rsidRDefault="00E26960" w:rsidP="007556AF">
      <w:pPr>
        <w:pStyle w:val="FootnoteText"/>
        <w:spacing w:after="120"/>
        <w:rPr>
          <w:rFonts w:ascii="Garamond" w:hAnsi="Garamond"/>
          <w:color w:val="000000" w:themeColor="text1"/>
          <w:sz w:val="24"/>
          <w:szCs w:val="24"/>
        </w:rPr>
      </w:pPr>
      <w:r w:rsidRPr="009623C3">
        <w:rPr>
          <w:rStyle w:val="FootnoteReference"/>
          <w:rFonts w:ascii="Garamond" w:hAnsi="Garamond"/>
          <w:color w:val="000000" w:themeColor="text1"/>
          <w:sz w:val="24"/>
          <w:szCs w:val="24"/>
        </w:rPr>
        <w:footnoteRef/>
      </w:r>
      <w:r w:rsidR="1795564C" w:rsidRPr="009623C3">
        <w:rPr>
          <w:rFonts w:ascii="Garamond" w:hAnsi="Garamond"/>
          <w:color w:val="000000" w:themeColor="text1"/>
          <w:sz w:val="24"/>
          <w:szCs w:val="24"/>
        </w:rPr>
        <w:t xml:space="preserve"> The Capital Jury Project (CJP) is a long-term research project that began in 1991 with support from the National Science Foundation. The CJP has conducted thousands of in-depth interviews with jurors across more than a dozen states to assess jurors’ decision-making. “[T]he CJP was designed to: (1) systematically describe jurors’ exercise of capital sentencing discretion; (2) assess the extent of arbitrariness in jurors’ exercise of such discretion; and (3) evaluate the efficacy of capital statutes in controlling such arbitrariness.” Jelani Jefferson Exum, </w:t>
      </w:r>
      <w:r w:rsidR="1795564C" w:rsidRPr="1795564C">
        <w:rPr>
          <w:rFonts w:ascii="Garamond" w:hAnsi="Garamond"/>
          <w:i/>
          <w:iCs/>
          <w:color w:val="000000" w:themeColor="text1"/>
          <w:sz w:val="24"/>
          <w:szCs w:val="24"/>
        </w:rPr>
        <w:t>Should Death Be So Different?: Sentencing Purposes and Capital Jury Decisions in an Era of Smart on Crime Sentencing Reform</w:t>
      </w:r>
      <w:r w:rsidR="1795564C" w:rsidRPr="009623C3">
        <w:rPr>
          <w:rFonts w:ascii="Garamond" w:hAnsi="Garamond"/>
          <w:color w:val="000000" w:themeColor="text1"/>
          <w:sz w:val="24"/>
          <w:szCs w:val="24"/>
        </w:rPr>
        <w:t xml:space="preserve">, 70 Ark. L. Rev. 227, 241-42 (2017) </w:t>
      </w:r>
    </w:p>
  </w:footnote>
  <w:footnote w:id="3">
    <w:p w14:paraId="3B910E67" w14:textId="673DDCEC" w:rsidR="006D0D98" w:rsidRPr="007F60C0" w:rsidRDefault="006D0D98" w:rsidP="009623C3">
      <w:pPr>
        <w:pStyle w:val="FootnoteText"/>
        <w:spacing w:after="120"/>
        <w:rPr>
          <w:rFonts w:ascii="Garamond" w:hAnsi="Garamond"/>
          <w:color w:val="000000" w:themeColor="text1"/>
          <w:sz w:val="24"/>
          <w:szCs w:val="24"/>
        </w:rPr>
      </w:pPr>
      <w:r w:rsidRPr="009623C3">
        <w:rPr>
          <w:rStyle w:val="FootnoteReference"/>
          <w:rFonts w:ascii="Garamond" w:hAnsi="Garamond"/>
          <w:color w:val="000000" w:themeColor="text1"/>
          <w:sz w:val="24"/>
          <w:szCs w:val="24"/>
        </w:rPr>
        <w:footnoteRef/>
      </w:r>
      <w:r w:rsidRPr="009623C3">
        <w:rPr>
          <w:rFonts w:ascii="Garamond" w:hAnsi="Garamond"/>
          <w:color w:val="000000" w:themeColor="text1"/>
          <w:sz w:val="24"/>
          <w:szCs w:val="24"/>
        </w:rPr>
        <w:t xml:space="preserve"> The respondents in this study are individuals who served on capital juries and were subject to death qualification. 74 S.</w:t>
      </w:r>
      <w:r w:rsidR="009623C3">
        <w:rPr>
          <w:rFonts w:ascii="Garamond" w:hAnsi="Garamond"/>
          <w:color w:val="000000" w:themeColor="text1"/>
          <w:sz w:val="24"/>
          <w:szCs w:val="24"/>
        </w:rPr>
        <w:t xml:space="preserve"> </w:t>
      </w:r>
      <w:r w:rsidRPr="009623C3">
        <w:rPr>
          <w:rFonts w:ascii="Garamond" w:hAnsi="Garamond"/>
          <w:color w:val="000000" w:themeColor="text1"/>
          <w:sz w:val="24"/>
          <w:szCs w:val="24"/>
        </w:rPr>
        <w:t>Cal.</w:t>
      </w:r>
      <w:r w:rsidR="009623C3">
        <w:rPr>
          <w:rFonts w:ascii="Garamond" w:hAnsi="Garamond"/>
          <w:color w:val="000000" w:themeColor="text1"/>
          <w:sz w:val="24"/>
          <w:szCs w:val="24"/>
        </w:rPr>
        <w:t xml:space="preserve"> </w:t>
      </w:r>
      <w:r w:rsidRPr="009623C3">
        <w:rPr>
          <w:rFonts w:ascii="Garamond" w:hAnsi="Garamond"/>
          <w:color w:val="000000" w:themeColor="text1"/>
          <w:sz w:val="24"/>
          <w:szCs w:val="24"/>
        </w:rPr>
        <w:t xml:space="preserve">L. Rev. at 380. </w:t>
      </w:r>
      <w:r w:rsidR="00D6451C" w:rsidRPr="009623C3">
        <w:rPr>
          <w:rFonts w:ascii="Garamond" w:hAnsi="Garamond"/>
          <w:color w:val="000000" w:themeColor="text1"/>
          <w:sz w:val="24"/>
          <w:szCs w:val="24"/>
        </w:rPr>
        <w:t xml:space="preserve">Therefore, their “opposition” to the death penalty is not true opposition that would have rendered them ineligible to serve under </w:t>
      </w:r>
      <w:r w:rsidR="00D6451C" w:rsidRPr="007F60C0">
        <w:rPr>
          <w:rFonts w:ascii="Garamond" w:hAnsi="Garamond" w:cs="Arial"/>
          <w:i/>
          <w:iCs/>
          <w:color w:val="000000" w:themeColor="text1"/>
          <w:sz w:val="24"/>
          <w:szCs w:val="24"/>
        </w:rPr>
        <w:t>Wainwright v. Witt</w:t>
      </w:r>
      <w:r w:rsidR="00D6451C" w:rsidRPr="007F60C0">
        <w:rPr>
          <w:rFonts w:ascii="Garamond" w:hAnsi="Garamond" w:cs="Arial"/>
          <w:color w:val="000000" w:themeColor="text1"/>
          <w:sz w:val="24"/>
          <w:szCs w:val="24"/>
        </w:rPr>
        <w:t>, 469 U.S. 412, 424 (1985).</w:t>
      </w:r>
    </w:p>
  </w:footnote>
  <w:footnote w:id="4">
    <w:p w14:paraId="79039D59" w14:textId="4324E04A" w:rsidR="00E26960" w:rsidRPr="007F60C0" w:rsidRDefault="00E26960" w:rsidP="007556AF">
      <w:pPr>
        <w:pStyle w:val="FootnoteText"/>
        <w:spacing w:after="120"/>
        <w:rPr>
          <w:rFonts w:ascii="Garamond" w:hAnsi="Garamond"/>
          <w:color w:val="000000" w:themeColor="text1"/>
          <w:sz w:val="24"/>
          <w:szCs w:val="24"/>
        </w:rPr>
      </w:pPr>
      <w:r w:rsidRPr="007F60C0">
        <w:rPr>
          <w:rStyle w:val="FootnoteReference"/>
          <w:rFonts w:ascii="Garamond" w:hAnsi="Garamond"/>
          <w:color w:val="000000" w:themeColor="text1"/>
          <w:sz w:val="24"/>
          <w:szCs w:val="24"/>
        </w:rPr>
        <w:footnoteRef/>
      </w:r>
      <w:r w:rsidRPr="007F60C0">
        <w:rPr>
          <w:rFonts w:ascii="Garamond" w:hAnsi="Garamond"/>
          <w:color w:val="000000" w:themeColor="text1"/>
          <w:sz w:val="24"/>
          <w:szCs w:val="24"/>
        </w:rPr>
        <w:t xml:space="preserve"> A study published in 2003 examined “the roots of white support for capital punishment in the United States” by conducting “a quantitative case study of white death penalty support in the U.S., as it stood in 1992.” Joe Soss Laura Langbein &amp; Alan R. Metelko, </w:t>
      </w:r>
      <w:r w:rsidRPr="007F60C0">
        <w:rPr>
          <w:rFonts w:ascii="Garamond" w:hAnsi="Garamond"/>
          <w:i/>
          <w:color w:val="000000" w:themeColor="text1"/>
          <w:sz w:val="24"/>
          <w:szCs w:val="24"/>
        </w:rPr>
        <w:t>Why Do White Americans Support the Death Penalty</w:t>
      </w:r>
      <w:r w:rsidRPr="007F60C0">
        <w:rPr>
          <w:rFonts w:ascii="Garamond" w:hAnsi="Garamond"/>
          <w:color w:val="000000" w:themeColor="text1"/>
          <w:sz w:val="24"/>
          <w:szCs w:val="24"/>
        </w:rPr>
        <w:t xml:space="preserve">, 65 J.Pol. 397, 399 (2002). The survey found that racial prejudice is a “comparatively strong predictor of white support for the death penalty.” </w:t>
      </w:r>
      <w:r w:rsidRPr="007F60C0">
        <w:rPr>
          <w:rFonts w:ascii="Garamond" w:hAnsi="Garamond"/>
          <w:i/>
          <w:color w:val="000000" w:themeColor="text1"/>
          <w:sz w:val="24"/>
          <w:szCs w:val="24"/>
        </w:rPr>
        <w:t>Id</w:t>
      </w:r>
      <w:r w:rsidRPr="007F60C0">
        <w:rPr>
          <w:rFonts w:ascii="Garamond" w:hAnsi="Garamond"/>
          <w:color w:val="000000" w:themeColor="text1"/>
          <w:sz w:val="24"/>
          <w:szCs w:val="24"/>
        </w:rPr>
        <w:t>. at 397.</w:t>
      </w:r>
    </w:p>
  </w:footnote>
  <w:footnote w:id="5">
    <w:p w14:paraId="663D5B7E" w14:textId="77777777" w:rsidR="000533C5" w:rsidRPr="007F60C0" w:rsidRDefault="000533C5" w:rsidP="007F60C0">
      <w:pPr>
        <w:pStyle w:val="FootnoteText"/>
        <w:spacing w:after="120"/>
        <w:rPr>
          <w:rFonts w:ascii="Garamond" w:hAnsi="Garamond"/>
          <w:color w:val="000000" w:themeColor="text1"/>
          <w:sz w:val="24"/>
          <w:szCs w:val="24"/>
        </w:rPr>
      </w:pPr>
      <w:r w:rsidRPr="007F60C0">
        <w:rPr>
          <w:rStyle w:val="FootnoteReference"/>
          <w:rFonts w:ascii="Garamond" w:hAnsi="Garamond"/>
          <w:color w:val="000000" w:themeColor="text1"/>
          <w:sz w:val="24"/>
          <w:szCs w:val="24"/>
        </w:rPr>
        <w:footnoteRef/>
      </w:r>
      <w:r w:rsidRPr="007F60C0">
        <w:rPr>
          <w:rFonts w:ascii="Garamond" w:hAnsi="Garamond"/>
          <w:color w:val="000000" w:themeColor="text1"/>
          <w:sz w:val="24"/>
          <w:szCs w:val="24"/>
        </w:rPr>
        <w:t xml:space="preserve"> Although there is less research on the impact of how demographic factors other than race affect jurors’ attitudes about the death penalty, research from the Capital Jury Project shows that “[f]emale jurors were consistently more receptive to mitigation than their male counterpart on the jury.” Thomas W. Brewer, </w:t>
      </w:r>
      <w:r w:rsidRPr="007F60C0">
        <w:rPr>
          <w:rFonts w:ascii="Garamond" w:hAnsi="Garamond"/>
          <w:i/>
          <w:color w:val="000000" w:themeColor="text1"/>
          <w:sz w:val="24"/>
          <w:szCs w:val="24"/>
        </w:rPr>
        <w:t>Race and Jurors’ Receptivity to Mitigation in Capital Cases: The Effect of Jurors’, Defendants’, and Victims’ Race in Combination</w:t>
      </w:r>
      <w:r w:rsidRPr="007F60C0">
        <w:rPr>
          <w:rFonts w:ascii="Garamond" w:hAnsi="Garamond"/>
          <w:color w:val="000000" w:themeColor="text1"/>
          <w:sz w:val="24"/>
          <w:szCs w:val="24"/>
        </w:rPr>
        <w:t>, 28 Law &amp; Hum. Behav. 529, 539 (2004)</w:t>
      </w:r>
      <w:r w:rsidR="00AB5B72" w:rsidRPr="007F60C0">
        <w:rPr>
          <w:rFonts w:ascii="Garamond" w:hAnsi="Garamond"/>
          <w:color w:val="000000" w:themeColor="text1"/>
          <w:sz w:val="24"/>
          <w:szCs w:val="24"/>
        </w:rPr>
        <w:t>.</w:t>
      </w:r>
    </w:p>
  </w:footnote>
  <w:footnote w:id="6">
    <w:p w14:paraId="038E1AE6" w14:textId="7D67229A" w:rsidR="001019A8" w:rsidRPr="009623C3" w:rsidRDefault="001019A8" w:rsidP="009623C3">
      <w:pPr>
        <w:pStyle w:val="FootnoteText"/>
        <w:spacing w:after="120"/>
        <w:rPr>
          <w:rFonts w:ascii="Garamond" w:hAnsi="Garamond"/>
          <w:color w:val="000000" w:themeColor="text1"/>
          <w:sz w:val="24"/>
          <w:szCs w:val="24"/>
        </w:rPr>
      </w:pPr>
      <w:r w:rsidRPr="009623C3">
        <w:rPr>
          <w:rStyle w:val="FootnoteReference"/>
          <w:rFonts w:ascii="Garamond" w:hAnsi="Garamond"/>
          <w:color w:val="000000" w:themeColor="text1"/>
          <w:sz w:val="24"/>
          <w:szCs w:val="24"/>
        </w:rPr>
        <w:footnoteRef/>
      </w:r>
      <w:r w:rsidRPr="009623C3">
        <w:rPr>
          <w:rFonts w:ascii="Garamond" w:hAnsi="Garamond"/>
          <w:color w:val="000000" w:themeColor="text1"/>
          <w:sz w:val="24"/>
          <w:szCs w:val="24"/>
        </w:rPr>
        <w:t xml:space="preserve"> Although racial discrimination is prohibited in civil cases as well as criminal cases, this comment focuses on criminal matters because of the role of the Arizona Capital Representation Project and the uniquely harmful effects of racial discrimination in criminal—and particularly in capital—matters. </w:t>
      </w:r>
    </w:p>
  </w:footnote>
  <w:footnote w:id="7">
    <w:p w14:paraId="663D5B7F" w14:textId="6360633E" w:rsidR="002D67B2" w:rsidRPr="003E4FB3" w:rsidRDefault="002D67B2" w:rsidP="007F60C0">
      <w:pPr>
        <w:pStyle w:val="FootnoteText"/>
        <w:spacing w:after="120"/>
        <w:rPr>
          <w:rFonts w:ascii="Garamond" w:hAnsi="Garamond"/>
          <w:color w:val="000000" w:themeColor="text1"/>
          <w:sz w:val="24"/>
          <w:szCs w:val="24"/>
        </w:rPr>
      </w:pPr>
      <w:r w:rsidRPr="003E4FB3">
        <w:rPr>
          <w:rStyle w:val="FootnoteReference"/>
          <w:rFonts w:ascii="Garamond" w:hAnsi="Garamond"/>
          <w:color w:val="000000" w:themeColor="text1"/>
          <w:sz w:val="24"/>
          <w:szCs w:val="24"/>
        </w:rPr>
        <w:footnoteRef/>
      </w:r>
      <w:r w:rsidRPr="003E4FB3">
        <w:rPr>
          <w:rFonts w:ascii="Garamond" w:hAnsi="Garamond"/>
          <w:color w:val="000000" w:themeColor="text1"/>
          <w:sz w:val="24"/>
          <w:szCs w:val="24"/>
        </w:rPr>
        <w:t xml:space="preserve"> </w:t>
      </w:r>
      <w:r w:rsidRPr="003E4FB3">
        <w:rPr>
          <w:rFonts w:ascii="Garamond" w:hAnsi="Garamond"/>
          <w:i/>
          <w:color w:val="000000" w:themeColor="text1"/>
          <w:sz w:val="24"/>
          <w:szCs w:val="24"/>
        </w:rPr>
        <w:t>Miller-El v. Cockrell</w:t>
      </w:r>
      <w:r w:rsidRPr="003E4FB3">
        <w:rPr>
          <w:rFonts w:ascii="Garamond" w:hAnsi="Garamond"/>
          <w:color w:val="000000" w:themeColor="text1"/>
          <w:sz w:val="24"/>
          <w:szCs w:val="24"/>
        </w:rPr>
        <w:t>, 537 U.S. 322 (2003)</w:t>
      </w:r>
      <w:r w:rsidR="00B058C0" w:rsidRPr="003E4FB3">
        <w:rPr>
          <w:rFonts w:ascii="Garamond" w:hAnsi="Garamond"/>
          <w:color w:val="000000" w:themeColor="text1"/>
          <w:sz w:val="24"/>
          <w:szCs w:val="24"/>
        </w:rPr>
        <w:t>;</w:t>
      </w:r>
      <w:r w:rsidRPr="003E4FB3">
        <w:rPr>
          <w:rFonts w:ascii="Garamond" w:hAnsi="Garamond"/>
          <w:color w:val="000000" w:themeColor="text1"/>
          <w:sz w:val="24"/>
          <w:szCs w:val="24"/>
        </w:rPr>
        <w:t xml:space="preserve"> </w:t>
      </w:r>
      <w:r w:rsidRPr="003E4FB3">
        <w:rPr>
          <w:rFonts w:ascii="Garamond" w:hAnsi="Garamond"/>
          <w:i/>
          <w:color w:val="000000" w:themeColor="text1"/>
          <w:sz w:val="24"/>
          <w:szCs w:val="24"/>
        </w:rPr>
        <w:t>Miller-El v. Dretke</w:t>
      </w:r>
      <w:r w:rsidRPr="003E4FB3">
        <w:rPr>
          <w:rFonts w:ascii="Garamond" w:hAnsi="Garamond"/>
          <w:color w:val="000000" w:themeColor="text1"/>
          <w:sz w:val="24"/>
          <w:szCs w:val="24"/>
        </w:rPr>
        <w:t>, 545 U.S. 231 (2005)</w:t>
      </w:r>
    </w:p>
  </w:footnote>
  <w:footnote w:id="8">
    <w:p w14:paraId="46EF3F85" w14:textId="0718816E" w:rsidR="001019A8" w:rsidRPr="003E4FB3" w:rsidRDefault="001019A8" w:rsidP="003E4FB3">
      <w:pPr>
        <w:pStyle w:val="FootnoteText"/>
        <w:spacing w:after="120"/>
        <w:rPr>
          <w:rFonts w:ascii="Garamond" w:hAnsi="Garamond"/>
          <w:color w:val="000000" w:themeColor="text1"/>
          <w:sz w:val="24"/>
          <w:szCs w:val="24"/>
        </w:rPr>
      </w:pPr>
      <w:r w:rsidRPr="003E4FB3">
        <w:rPr>
          <w:rStyle w:val="FootnoteReference"/>
          <w:rFonts w:ascii="Garamond" w:hAnsi="Garamond"/>
          <w:color w:val="000000" w:themeColor="text1"/>
          <w:sz w:val="24"/>
          <w:szCs w:val="24"/>
        </w:rPr>
        <w:footnoteRef/>
      </w:r>
      <w:r w:rsidRPr="003E4FB3">
        <w:rPr>
          <w:rFonts w:ascii="Garamond" w:hAnsi="Garamond"/>
          <w:color w:val="000000" w:themeColor="text1"/>
          <w:sz w:val="24"/>
          <w:szCs w:val="24"/>
        </w:rPr>
        <w:t xml:space="preserve"> This Court </w:t>
      </w:r>
      <w:r w:rsidR="00B015AD" w:rsidRPr="003E4FB3">
        <w:rPr>
          <w:rFonts w:ascii="Garamond" w:hAnsi="Garamond"/>
          <w:color w:val="000000" w:themeColor="text1"/>
          <w:sz w:val="24"/>
          <w:szCs w:val="24"/>
        </w:rPr>
        <w:t xml:space="preserve">has rejected arguments that comparative juror analysis can be conducted on appeal when such analysis was not done in the trial court. </w:t>
      </w:r>
      <w:r w:rsidR="00B015AD" w:rsidRPr="003E4FB3">
        <w:rPr>
          <w:rFonts w:ascii="Garamond" w:hAnsi="Garamond"/>
          <w:i/>
          <w:color w:val="000000" w:themeColor="text1"/>
          <w:sz w:val="24"/>
          <w:szCs w:val="24"/>
        </w:rPr>
        <w:t>E.g. State v. Medina</w:t>
      </w:r>
      <w:r w:rsidR="00C628FE" w:rsidRPr="003E4FB3">
        <w:rPr>
          <w:rFonts w:ascii="Garamond" w:hAnsi="Garamond"/>
          <w:color w:val="000000" w:themeColor="text1"/>
          <w:sz w:val="24"/>
          <w:szCs w:val="24"/>
        </w:rPr>
        <w:t>, 232 Ariz. 391</w:t>
      </w:r>
      <w:r w:rsidR="00B015AD" w:rsidRPr="003E4FB3">
        <w:rPr>
          <w:rFonts w:ascii="Garamond" w:hAnsi="Garamond"/>
          <w:color w:val="000000" w:themeColor="text1"/>
          <w:sz w:val="24"/>
          <w:szCs w:val="24"/>
        </w:rPr>
        <w:t xml:space="preserve"> (2013).</w:t>
      </w:r>
    </w:p>
  </w:footnote>
  <w:footnote w:id="9">
    <w:p w14:paraId="663D5B81" w14:textId="77777777" w:rsidR="00A171B6" w:rsidRPr="006B2C5A" w:rsidRDefault="00A171B6" w:rsidP="003E4FB3">
      <w:pPr>
        <w:pStyle w:val="FootnoteText"/>
        <w:spacing w:after="120"/>
        <w:rPr>
          <w:rFonts w:ascii="Garamond" w:hAnsi="Garamond"/>
          <w:color w:val="000000" w:themeColor="text1"/>
          <w:sz w:val="24"/>
          <w:szCs w:val="24"/>
        </w:rPr>
      </w:pPr>
      <w:r w:rsidRPr="006B2C5A">
        <w:rPr>
          <w:rStyle w:val="FootnoteReference"/>
          <w:rFonts w:ascii="Garamond" w:hAnsi="Garamond"/>
          <w:color w:val="000000" w:themeColor="text1"/>
          <w:sz w:val="24"/>
          <w:szCs w:val="24"/>
        </w:rPr>
        <w:footnoteRef/>
      </w:r>
      <w:r w:rsidRPr="006B2C5A">
        <w:rPr>
          <w:rFonts w:ascii="Garamond" w:hAnsi="Garamond"/>
          <w:color w:val="000000" w:themeColor="text1"/>
          <w:sz w:val="24"/>
          <w:szCs w:val="24"/>
        </w:rPr>
        <w:t xml:space="preserve"> Comment to R-21-0008 (4/16/2021)</w:t>
      </w:r>
      <w:r w:rsidR="001E241D" w:rsidRPr="006B2C5A">
        <w:rPr>
          <w:rFonts w:ascii="Garamond" w:hAnsi="Garamond"/>
          <w:color w:val="000000" w:themeColor="text1"/>
          <w:sz w:val="24"/>
          <w:szCs w:val="24"/>
        </w:rPr>
        <w:t>.</w:t>
      </w:r>
    </w:p>
  </w:footnote>
  <w:footnote w:id="10">
    <w:p w14:paraId="51ABA625" w14:textId="08DCD9B9" w:rsidR="00242697" w:rsidRPr="0020646A" w:rsidRDefault="00242697" w:rsidP="0020646A">
      <w:pPr>
        <w:pStyle w:val="FootnoteText"/>
        <w:spacing w:after="120"/>
        <w:rPr>
          <w:rFonts w:ascii="Garamond" w:hAnsi="Garamond"/>
          <w:color w:val="000000" w:themeColor="text1"/>
          <w:sz w:val="24"/>
          <w:szCs w:val="24"/>
        </w:rPr>
      </w:pPr>
      <w:r w:rsidRPr="0020646A">
        <w:rPr>
          <w:rStyle w:val="FootnoteReference"/>
          <w:rFonts w:ascii="Garamond" w:hAnsi="Garamond"/>
          <w:color w:val="000000" w:themeColor="text1"/>
          <w:sz w:val="24"/>
          <w:szCs w:val="24"/>
        </w:rPr>
        <w:footnoteRef/>
      </w:r>
      <w:r w:rsidRPr="0020646A">
        <w:rPr>
          <w:rFonts w:ascii="Garamond" w:hAnsi="Garamond"/>
          <w:color w:val="000000" w:themeColor="text1"/>
          <w:sz w:val="24"/>
          <w:szCs w:val="24"/>
        </w:rPr>
        <w:t xml:space="preserve"> California’s AB3070 will take effect in criminal cases in 2022 and civil cases in 2026.</w:t>
      </w:r>
    </w:p>
  </w:footnote>
  <w:footnote w:id="11">
    <w:p w14:paraId="6E36B3B0" w14:textId="7A21D4DC" w:rsidR="0050371B" w:rsidRPr="00791096" w:rsidRDefault="0050371B" w:rsidP="0020646A">
      <w:pPr>
        <w:pStyle w:val="FootnoteText"/>
        <w:spacing w:after="120"/>
        <w:rPr>
          <w:rFonts w:ascii="Garamond" w:hAnsi="Garamond"/>
          <w:color w:val="000000" w:themeColor="text1"/>
          <w:sz w:val="24"/>
          <w:szCs w:val="24"/>
        </w:rPr>
      </w:pPr>
      <w:r w:rsidRPr="00791096">
        <w:rPr>
          <w:rStyle w:val="FootnoteReference"/>
          <w:rFonts w:ascii="Garamond" w:hAnsi="Garamond"/>
          <w:color w:val="000000" w:themeColor="text1"/>
          <w:sz w:val="24"/>
          <w:szCs w:val="24"/>
        </w:rPr>
        <w:footnoteRef/>
      </w:r>
      <w:r w:rsidRPr="00791096">
        <w:rPr>
          <w:rFonts w:ascii="Garamond" w:hAnsi="Garamond"/>
          <w:color w:val="000000" w:themeColor="text1"/>
          <w:sz w:val="24"/>
          <w:szCs w:val="24"/>
        </w:rPr>
        <w:t xml:space="preserve"> In 1968, Mississippi became the last state to allow women to serve on juries. </w:t>
      </w:r>
      <w:r w:rsidR="00F347D8" w:rsidRPr="00791096">
        <w:rPr>
          <w:rFonts w:ascii="Garamond" w:hAnsi="Garamond"/>
          <w:i/>
          <w:color w:val="000000" w:themeColor="text1"/>
          <w:sz w:val="24"/>
          <w:szCs w:val="24"/>
        </w:rPr>
        <w:t>Breaking into the Glass Box (Women as Jurors</w:t>
      </w:r>
      <w:r w:rsidR="00F347D8" w:rsidRPr="00791096">
        <w:rPr>
          <w:rFonts w:ascii="Garamond" w:hAnsi="Garamond"/>
          <w:color w:val="000000" w:themeColor="text1"/>
          <w:sz w:val="24"/>
          <w:szCs w:val="24"/>
        </w:rPr>
        <w:t xml:space="preserve">), </w:t>
      </w:r>
      <w:hyperlink r:id="rId2" w:history="1">
        <w:r w:rsidR="00F347D8" w:rsidRPr="00791096">
          <w:rPr>
            <w:rStyle w:val="Hyperlink"/>
            <w:rFonts w:ascii="Garamond" w:hAnsi="Garamond"/>
            <w:color w:val="000000" w:themeColor="text1"/>
            <w:sz w:val="24"/>
            <w:szCs w:val="24"/>
          </w:rPr>
          <w:t>https://ramseylawlibrary.org/?p=1805</w:t>
        </w:r>
      </w:hyperlink>
      <w:r w:rsidR="00F347D8" w:rsidRPr="00791096">
        <w:rPr>
          <w:rFonts w:ascii="Garamond" w:hAnsi="Garamond"/>
          <w:color w:val="000000" w:themeColor="text1"/>
          <w:sz w:val="24"/>
          <w:szCs w:val="24"/>
        </w:rPr>
        <w:t xml:space="preserve"> (last accessed 5/3/21).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6C1E"/>
    <w:multiLevelType w:val="hybridMultilevel"/>
    <w:tmpl w:val="67CA1E72"/>
    <w:lvl w:ilvl="0" w:tplc="1048EF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A7916"/>
    <w:multiLevelType w:val="hybridMultilevel"/>
    <w:tmpl w:val="5EAEC2DA"/>
    <w:lvl w:ilvl="0" w:tplc="BE7069A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EB15A5"/>
    <w:multiLevelType w:val="hybridMultilevel"/>
    <w:tmpl w:val="C1DC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02"/>
    <w:rsid w:val="00011C7A"/>
    <w:rsid w:val="00013E31"/>
    <w:rsid w:val="0001520D"/>
    <w:rsid w:val="000163D3"/>
    <w:rsid w:val="00023339"/>
    <w:rsid w:val="0002540F"/>
    <w:rsid w:val="000533C5"/>
    <w:rsid w:val="000635EB"/>
    <w:rsid w:val="000807FB"/>
    <w:rsid w:val="00081559"/>
    <w:rsid w:val="00097DBB"/>
    <w:rsid w:val="000B0528"/>
    <w:rsid w:val="001019A8"/>
    <w:rsid w:val="00102B00"/>
    <w:rsid w:val="00106016"/>
    <w:rsid w:val="0012193C"/>
    <w:rsid w:val="00150409"/>
    <w:rsid w:val="00154545"/>
    <w:rsid w:val="00155247"/>
    <w:rsid w:val="001560A2"/>
    <w:rsid w:val="00162DEC"/>
    <w:rsid w:val="0018777B"/>
    <w:rsid w:val="001A2066"/>
    <w:rsid w:val="001A26FA"/>
    <w:rsid w:val="001A62DA"/>
    <w:rsid w:val="001B64CC"/>
    <w:rsid w:val="001B7E59"/>
    <w:rsid w:val="001C461C"/>
    <w:rsid w:val="001E241D"/>
    <w:rsid w:val="001F28EF"/>
    <w:rsid w:val="001F4D41"/>
    <w:rsid w:val="00200BC6"/>
    <w:rsid w:val="0020646A"/>
    <w:rsid w:val="0021109B"/>
    <w:rsid w:val="002140B4"/>
    <w:rsid w:val="00242697"/>
    <w:rsid w:val="002452DC"/>
    <w:rsid w:val="00252CBF"/>
    <w:rsid w:val="00256BFF"/>
    <w:rsid w:val="002570DE"/>
    <w:rsid w:val="00286DC7"/>
    <w:rsid w:val="0029186B"/>
    <w:rsid w:val="00291F21"/>
    <w:rsid w:val="00292811"/>
    <w:rsid w:val="002A49B4"/>
    <w:rsid w:val="002B4464"/>
    <w:rsid w:val="002B67A2"/>
    <w:rsid w:val="002D67B2"/>
    <w:rsid w:val="002D7707"/>
    <w:rsid w:val="00306DD7"/>
    <w:rsid w:val="00316B66"/>
    <w:rsid w:val="003201AC"/>
    <w:rsid w:val="00342AF5"/>
    <w:rsid w:val="00343402"/>
    <w:rsid w:val="0034419D"/>
    <w:rsid w:val="00352C3A"/>
    <w:rsid w:val="0036416B"/>
    <w:rsid w:val="00364398"/>
    <w:rsid w:val="00391269"/>
    <w:rsid w:val="00397689"/>
    <w:rsid w:val="00397718"/>
    <w:rsid w:val="003E4FB3"/>
    <w:rsid w:val="003F1924"/>
    <w:rsid w:val="003F5126"/>
    <w:rsid w:val="00402111"/>
    <w:rsid w:val="0040244C"/>
    <w:rsid w:val="004102B1"/>
    <w:rsid w:val="0042015A"/>
    <w:rsid w:val="004244AF"/>
    <w:rsid w:val="00430325"/>
    <w:rsid w:val="00444B89"/>
    <w:rsid w:val="00444FE8"/>
    <w:rsid w:val="00450FBE"/>
    <w:rsid w:val="004572E7"/>
    <w:rsid w:val="004608B4"/>
    <w:rsid w:val="00481F01"/>
    <w:rsid w:val="00482245"/>
    <w:rsid w:val="004A6069"/>
    <w:rsid w:val="004D2331"/>
    <w:rsid w:val="004D2884"/>
    <w:rsid w:val="004D730B"/>
    <w:rsid w:val="004F210A"/>
    <w:rsid w:val="004F4C15"/>
    <w:rsid w:val="0050371B"/>
    <w:rsid w:val="00523567"/>
    <w:rsid w:val="0052644A"/>
    <w:rsid w:val="00557BA3"/>
    <w:rsid w:val="00563417"/>
    <w:rsid w:val="0056635B"/>
    <w:rsid w:val="00571BFE"/>
    <w:rsid w:val="005A6560"/>
    <w:rsid w:val="005D6E7A"/>
    <w:rsid w:val="005D7692"/>
    <w:rsid w:val="005E1A46"/>
    <w:rsid w:val="005E441B"/>
    <w:rsid w:val="005F22E1"/>
    <w:rsid w:val="00602A78"/>
    <w:rsid w:val="006051A6"/>
    <w:rsid w:val="00614815"/>
    <w:rsid w:val="006256E4"/>
    <w:rsid w:val="00631B5D"/>
    <w:rsid w:val="0066596B"/>
    <w:rsid w:val="00690F4D"/>
    <w:rsid w:val="006A1034"/>
    <w:rsid w:val="006B2C5A"/>
    <w:rsid w:val="006B79FB"/>
    <w:rsid w:val="006C3091"/>
    <w:rsid w:val="006C40FF"/>
    <w:rsid w:val="006D0D98"/>
    <w:rsid w:val="007023F1"/>
    <w:rsid w:val="0070511F"/>
    <w:rsid w:val="00711D08"/>
    <w:rsid w:val="007556AF"/>
    <w:rsid w:val="00766249"/>
    <w:rsid w:val="00791096"/>
    <w:rsid w:val="0079535A"/>
    <w:rsid w:val="007A27F2"/>
    <w:rsid w:val="007A28AD"/>
    <w:rsid w:val="007C3249"/>
    <w:rsid w:val="007E163F"/>
    <w:rsid w:val="007E459B"/>
    <w:rsid w:val="007F60C0"/>
    <w:rsid w:val="00802049"/>
    <w:rsid w:val="00822043"/>
    <w:rsid w:val="00845FE2"/>
    <w:rsid w:val="0086556C"/>
    <w:rsid w:val="00865BE1"/>
    <w:rsid w:val="008667CC"/>
    <w:rsid w:val="00876145"/>
    <w:rsid w:val="0088573E"/>
    <w:rsid w:val="008922E9"/>
    <w:rsid w:val="008A1F7B"/>
    <w:rsid w:val="008B0EEE"/>
    <w:rsid w:val="008B2506"/>
    <w:rsid w:val="008C3478"/>
    <w:rsid w:val="008C6111"/>
    <w:rsid w:val="008E07E5"/>
    <w:rsid w:val="00913466"/>
    <w:rsid w:val="00916593"/>
    <w:rsid w:val="00916F8F"/>
    <w:rsid w:val="00917317"/>
    <w:rsid w:val="00930387"/>
    <w:rsid w:val="00935384"/>
    <w:rsid w:val="00940220"/>
    <w:rsid w:val="00940974"/>
    <w:rsid w:val="00940BA1"/>
    <w:rsid w:val="00941D23"/>
    <w:rsid w:val="009474C2"/>
    <w:rsid w:val="009623C3"/>
    <w:rsid w:val="009652B5"/>
    <w:rsid w:val="0099628C"/>
    <w:rsid w:val="009962F9"/>
    <w:rsid w:val="009B2408"/>
    <w:rsid w:val="009D67B8"/>
    <w:rsid w:val="009F3FD7"/>
    <w:rsid w:val="009F5D74"/>
    <w:rsid w:val="00A171B6"/>
    <w:rsid w:val="00A301F7"/>
    <w:rsid w:val="00A5221B"/>
    <w:rsid w:val="00A5657A"/>
    <w:rsid w:val="00A73BCA"/>
    <w:rsid w:val="00A819C7"/>
    <w:rsid w:val="00A82F4C"/>
    <w:rsid w:val="00A85D83"/>
    <w:rsid w:val="00A911EF"/>
    <w:rsid w:val="00AA69EE"/>
    <w:rsid w:val="00AB5B72"/>
    <w:rsid w:val="00AC12A0"/>
    <w:rsid w:val="00AD362B"/>
    <w:rsid w:val="00AE18A7"/>
    <w:rsid w:val="00AE2A91"/>
    <w:rsid w:val="00B015AD"/>
    <w:rsid w:val="00B0582B"/>
    <w:rsid w:val="00B058C0"/>
    <w:rsid w:val="00B0674A"/>
    <w:rsid w:val="00B24E79"/>
    <w:rsid w:val="00B507DE"/>
    <w:rsid w:val="00B51E0C"/>
    <w:rsid w:val="00B539F4"/>
    <w:rsid w:val="00B66B5F"/>
    <w:rsid w:val="00BA303A"/>
    <w:rsid w:val="00BA51C4"/>
    <w:rsid w:val="00BA72B1"/>
    <w:rsid w:val="00BC2F9D"/>
    <w:rsid w:val="00BC6910"/>
    <w:rsid w:val="00BC6A97"/>
    <w:rsid w:val="00BD00FB"/>
    <w:rsid w:val="00BE07FE"/>
    <w:rsid w:val="00BF44B3"/>
    <w:rsid w:val="00BF7956"/>
    <w:rsid w:val="00C01D02"/>
    <w:rsid w:val="00C032EC"/>
    <w:rsid w:val="00C1428D"/>
    <w:rsid w:val="00C205AC"/>
    <w:rsid w:val="00C25B17"/>
    <w:rsid w:val="00C26580"/>
    <w:rsid w:val="00C343C2"/>
    <w:rsid w:val="00C40916"/>
    <w:rsid w:val="00C45F05"/>
    <w:rsid w:val="00C51809"/>
    <w:rsid w:val="00C52410"/>
    <w:rsid w:val="00C54A5C"/>
    <w:rsid w:val="00C6184F"/>
    <w:rsid w:val="00C628FE"/>
    <w:rsid w:val="00C651B2"/>
    <w:rsid w:val="00C958B1"/>
    <w:rsid w:val="00CA4EE0"/>
    <w:rsid w:val="00CC3C5D"/>
    <w:rsid w:val="00CC720F"/>
    <w:rsid w:val="00CD6A18"/>
    <w:rsid w:val="00CD7D5C"/>
    <w:rsid w:val="00CE7A93"/>
    <w:rsid w:val="00CF302A"/>
    <w:rsid w:val="00CF796C"/>
    <w:rsid w:val="00D1784B"/>
    <w:rsid w:val="00D42CF2"/>
    <w:rsid w:val="00D543C0"/>
    <w:rsid w:val="00D55FFB"/>
    <w:rsid w:val="00D6451C"/>
    <w:rsid w:val="00D84F26"/>
    <w:rsid w:val="00D94C0F"/>
    <w:rsid w:val="00DA2525"/>
    <w:rsid w:val="00DC450E"/>
    <w:rsid w:val="00DE11D2"/>
    <w:rsid w:val="00DE6E18"/>
    <w:rsid w:val="00E031FB"/>
    <w:rsid w:val="00E070DC"/>
    <w:rsid w:val="00E26960"/>
    <w:rsid w:val="00E466DB"/>
    <w:rsid w:val="00E53C9C"/>
    <w:rsid w:val="00E620E9"/>
    <w:rsid w:val="00E7081A"/>
    <w:rsid w:val="00E93CE7"/>
    <w:rsid w:val="00EA206B"/>
    <w:rsid w:val="00EA31D8"/>
    <w:rsid w:val="00EA5F19"/>
    <w:rsid w:val="00EB50A0"/>
    <w:rsid w:val="00EC32A6"/>
    <w:rsid w:val="00EC6DF4"/>
    <w:rsid w:val="00EE6EAB"/>
    <w:rsid w:val="00F17B29"/>
    <w:rsid w:val="00F30ECB"/>
    <w:rsid w:val="00F31466"/>
    <w:rsid w:val="00F347D8"/>
    <w:rsid w:val="00F375CB"/>
    <w:rsid w:val="00F511EF"/>
    <w:rsid w:val="00F51508"/>
    <w:rsid w:val="00F56430"/>
    <w:rsid w:val="00F70EBA"/>
    <w:rsid w:val="00F737E4"/>
    <w:rsid w:val="00F77BCF"/>
    <w:rsid w:val="00F90787"/>
    <w:rsid w:val="00FA09BD"/>
    <w:rsid w:val="00FA6431"/>
    <w:rsid w:val="00FD6AE1"/>
    <w:rsid w:val="00FE1122"/>
    <w:rsid w:val="00FE4FAB"/>
    <w:rsid w:val="00FF3632"/>
    <w:rsid w:val="00FF6FE9"/>
    <w:rsid w:val="05CDA797"/>
    <w:rsid w:val="09C1E161"/>
    <w:rsid w:val="1795564C"/>
    <w:rsid w:val="3AC281BB"/>
    <w:rsid w:val="5246D4BF"/>
    <w:rsid w:val="61B4EB1B"/>
    <w:rsid w:val="6350BB7C"/>
    <w:rsid w:val="6520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5B31"/>
  <w15:chartTrackingRefBased/>
  <w15:docId w15:val="{245DC68B-591A-4479-B740-7A224B27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8B4"/>
    <w:pPr>
      <w:ind w:left="720"/>
      <w:contextualSpacing/>
    </w:pPr>
  </w:style>
  <w:style w:type="character" w:styleId="Hyperlink">
    <w:name w:val="Hyperlink"/>
    <w:basedOn w:val="DefaultParagraphFont"/>
    <w:uiPriority w:val="99"/>
    <w:unhideWhenUsed/>
    <w:rsid w:val="001C461C"/>
    <w:rPr>
      <w:color w:val="0563C1" w:themeColor="hyperlink"/>
      <w:u w:val="single"/>
    </w:rPr>
  </w:style>
  <w:style w:type="paragraph" w:styleId="FootnoteText">
    <w:name w:val="footnote text"/>
    <w:basedOn w:val="Normal"/>
    <w:link w:val="FootnoteTextChar"/>
    <w:uiPriority w:val="99"/>
    <w:semiHidden/>
    <w:unhideWhenUsed/>
    <w:rsid w:val="00391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269"/>
    <w:rPr>
      <w:sz w:val="20"/>
      <w:szCs w:val="20"/>
    </w:rPr>
  </w:style>
  <w:style w:type="character" w:styleId="FootnoteReference">
    <w:name w:val="footnote reference"/>
    <w:basedOn w:val="DefaultParagraphFont"/>
    <w:uiPriority w:val="99"/>
    <w:semiHidden/>
    <w:unhideWhenUsed/>
    <w:rsid w:val="00391269"/>
    <w:rPr>
      <w:vertAlign w:val="superscript"/>
    </w:rPr>
  </w:style>
  <w:style w:type="paragraph" w:styleId="Header">
    <w:name w:val="header"/>
    <w:basedOn w:val="Normal"/>
    <w:link w:val="HeaderChar"/>
    <w:uiPriority w:val="99"/>
    <w:unhideWhenUsed/>
    <w:rsid w:val="00A30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1F7"/>
  </w:style>
  <w:style w:type="paragraph" w:styleId="Footer">
    <w:name w:val="footer"/>
    <w:basedOn w:val="Normal"/>
    <w:link w:val="FooterChar"/>
    <w:uiPriority w:val="99"/>
    <w:unhideWhenUsed/>
    <w:rsid w:val="00A30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1F7"/>
  </w:style>
  <w:style w:type="character" w:styleId="CommentReference">
    <w:name w:val="annotation reference"/>
    <w:basedOn w:val="DefaultParagraphFont"/>
    <w:uiPriority w:val="99"/>
    <w:semiHidden/>
    <w:unhideWhenUsed/>
    <w:rsid w:val="00822043"/>
    <w:rPr>
      <w:sz w:val="16"/>
      <w:szCs w:val="16"/>
    </w:rPr>
  </w:style>
  <w:style w:type="paragraph" w:styleId="CommentText">
    <w:name w:val="annotation text"/>
    <w:basedOn w:val="Normal"/>
    <w:link w:val="CommentTextChar"/>
    <w:uiPriority w:val="99"/>
    <w:semiHidden/>
    <w:unhideWhenUsed/>
    <w:rsid w:val="00822043"/>
    <w:pPr>
      <w:spacing w:line="240" w:lineRule="auto"/>
    </w:pPr>
    <w:rPr>
      <w:sz w:val="20"/>
      <w:szCs w:val="20"/>
    </w:rPr>
  </w:style>
  <w:style w:type="character" w:customStyle="1" w:styleId="CommentTextChar">
    <w:name w:val="Comment Text Char"/>
    <w:basedOn w:val="DefaultParagraphFont"/>
    <w:link w:val="CommentText"/>
    <w:uiPriority w:val="99"/>
    <w:semiHidden/>
    <w:rsid w:val="00822043"/>
    <w:rPr>
      <w:sz w:val="20"/>
      <w:szCs w:val="20"/>
    </w:rPr>
  </w:style>
  <w:style w:type="paragraph" w:styleId="CommentSubject">
    <w:name w:val="annotation subject"/>
    <w:basedOn w:val="CommentText"/>
    <w:next w:val="CommentText"/>
    <w:link w:val="CommentSubjectChar"/>
    <w:uiPriority w:val="99"/>
    <w:semiHidden/>
    <w:unhideWhenUsed/>
    <w:rsid w:val="00822043"/>
    <w:rPr>
      <w:b/>
      <w:bCs/>
    </w:rPr>
  </w:style>
  <w:style w:type="character" w:customStyle="1" w:styleId="CommentSubjectChar">
    <w:name w:val="Comment Subject Char"/>
    <w:basedOn w:val="CommentTextChar"/>
    <w:link w:val="CommentSubject"/>
    <w:uiPriority w:val="99"/>
    <w:semiHidden/>
    <w:rsid w:val="00822043"/>
    <w:rPr>
      <w:b/>
      <w:bCs/>
      <w:sz w:val="20"/>
      <w:szCs w:val="20"/>
    </w:rPr>
  </w:style>
  <w:style w:type="paragraph" w:styleId="BalloonText">
    <w:name w:val="Balloon Text"/>
    <w:basedOn w:val="Normal"/>
    <w:link w:val="BalloonTextChar"/>
    <w:uiPriority w:val="99"/>
    <w:semiHidden/>
    <w:unhideWhenUsed/>
    <w:rsid w:val="00822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4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2049"/>
    <w:rPr>
      <w:color w:val="605E5C"/>
      <w:shd w:val="clear" w:color="auto" w:fill="E1DFDD"/>
    </w:rPr>
  </w:style>
  <w:style w:type="character" w:customStyle="1" w:styleId="cosmallcaps">
    <w:name w:val="co_smallcaps"/>
    <w:basedOn w:val="DefaultParagraphFont"/>
    <w:rsid w:val="00242697"/>
  </w:style>
  <w:style w:type="character" w:styleId="Emphasis">
    <w:name w:val="Emphasis"/>
    <w:basedOn w:val="DefaultParagraphFont"/>
    <w:uiPriority w:val="20"/>
    <w:qFormat/>
    <w:rsid w:val="00503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543535">
      <w:bodyDiv w:val="1"/>
      <w:marLeft w:val="0"/>
      <w:marRight w:val="0"/>
      <w:marTop w:val="0"/>
      <w:marBottom w:val="0"/>
      <w:divBdr>
        <w:top w:val="none" w:sz="0" w:space="0" w:color="auto"/>
        <w:left w:val="none" w:sz="0" w:space="0" w:color="auto"/>
        <w:bottom w:val="none" w:sz="0" w:space="0" w:color="auto"/>
        <w:right w:val="none" w:sz="0" w:space="0" w:color="auto"/>
      </w:divBdr>
    </w:div>
    <w:div w:id="634945062">
      <w:bodyDiv w:val="1"/>
      <w:marLeft w:val="0"/>
      <w:marRight w:val="0"/>
      <w:marTop w:val="0"/>
      <w:marBottom w:val="0"/>
      <w:divBdr>
        <w:top w:val="none" w:sz="0" w:space="0" w:color="auto"/>
        <w:left w:val="none" w:sz="0" w:space="0" w:color="auto"/>
        <w:bottom w:val="none" w:sz="0" w:space="0" w:color="auto"/>
        <w:right w:val="none" w:sz="0" w:space="0" w:color="auto"/>
      </w:divBdr>
    </w:div>
    <w:div w:id="847409255">
      <w:bodyDiv w:val="1"/>
      <w:marLeft w:val="0"/>
      <w:marRight w:val="0"/>
      <w:marTop w:val="0"/>
      <w:marBottom w:val="0"/>
      <w:divBdr>
        <w:top w:val="none" w:sz="0" w:space="0" w:color="auto"/>
        <w:left w:val="none" w:sz="0" w:space="0" w:color="auto"/>
        <w:bottom w:val="none" w:sz="0" w:space="0" w:color="auto"/>
        <w:right w:val="none" w:sz="0" w:space="0" w:color="auto"/>
      </w:divBdr>
    </w:div>
    <w:div w:id="1475371206">
      <w:bodyDiv w:val="1"/>
      <w:marLeft w:val="0"/>
      <w:marRight w:val="0"/>
      <w:marTop w:val="0"/>
      <w:marBottom w:val="0"/>
      <w:divBdr>
        <w:top w:val="none" w:sz="0" w:space="0" w:color="auto"/>
        <w:left w:val="none" w:sz="0" w:space="0" w:color="auto"/>
        <w:bottom w:val="none" w:sz="0" w:space="0" w:color="auto"/>
        <w:right w:val="none" w:sz="0" w:space="0" w:color="auto"/>
      </w:divBdr>
    </w:div>
    <w:div w:id="1496187390">
      <w:bodyDiv w:val="1"/>
      <w:marLeft w:val="0"/>
      <w:marRight w:val="0"/>
      <w:marTop w:val="0"/>
      <w:marBottom w:val="0"/>
      <w:divBdr>
        <w:top w:val="none" w:sz="0" w:space="0" w:color="auto"/>
        <w:left w:val="none" w:sz="0" w:space="0" w:color="auto"/>
        <w:bottom w:val="none" w:sz="0" w:space="0" w:color="auto"/>
        <w:right w:val="none" w:sz="0" w:space="0" w:color="auto"/>
      </w:divBdr>
    </w:div>
    <w:div w:id="1513256610">
      <w:bodyDiv w:val="1"/>
      <w:marLeft w:val="0"/>
      <w:marRight w:val="0"/>
      <w:marTop w:val="0"/>
      <w:marBottom w:val="0"/>
      <w:divBdr>
        <w:top w:val="none" w:sz="0" w:space="0" w:color="auto"/>
        <w:left w:val="none" w:sz="0" w:space="0" w:color="auto"/>
        <w:bottom w:val="none" w:sz="0" w:space="0" w:color="auto"/>
        <w:right w:val="none" w:sz="0" w:space="0" w:color="auto"/>
      </w:divBdr>
    </w:div>
    <w:div w:id="1529365521">
      <w:bodyDiv w:val="1"/>
      <w:marLeft w:val="0"/>
      <w:marRight w:val="0"/>
      <w:marTop w:val="0"/>
      <w:marBottom w:val="0"/>
      <w:divBdr>
        <w:top w:val="none" w:sz="0" w:space="0" w:color="auto"/>
        <w:left w:val="none" w:sz="0" w:space="0" w:color="auto"/>
        <w:bottom w:val="none" w:sz="0" w:space="0" w:color="auto"/>
        <w:right w:val="none" w:sz="0" w:space="0" w:color="auto"/>
      </w:divBdr>
    </w:div>
    <w:div w:id="16980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amseylawlibrary.org/?p=1805" TargetMode="External"/><Relationship Id="rId1" Type="http://schemas.openxmlformats.org/officeDocument/2006/relationships/hyperlink" Target="https://www.vera.org/downloads/publications/for-the-record-unjust-burden-racial-disparit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A0441515E84E9ABB8C64A5B51C542F"/>
        <w:category>
          <w:name w:val="General"/>
          <w:gallery w:val="placeholder"/>
        </w:category>
        <w:types>
          <w:type w:val="bbPlcHdr"/>
        </w:types>
        <w:behaviors>
          <w:behavior w:val="content"/>
        </w:behaviors>
        <w:guid w:val="{6F83B5FA-96C1-487C-A82D-1FE9A5E022F0}"/>
      </w:docPartPr>
      <w:docPartBody>
        <w:p w:rsidR="00854C75" w:rsidRDefault="001A2066" w:rsidP="001A2066">
          <w:pPr>
            <w:pStyle w:val="CEA0441515E84E9ABB8C64A5B51C542F"/>
          </w:pPr>
          <w:r w:rsidRPr="00CA6B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66"/>
    <w:rsid w:val="0010779C"/>
    <w:rsid w:val="00132972"/>
    <w:rsid w:val="00180527"/>
    <w:rsid w:val="00191E8F"/>
    <w:rsid w:val="001A2066"/>
    <w:rsid w:val="001E32E1"/>
    <w:rsid w:val="00220BF1"/>
    <w:rsid w:val="00262656"/>
    <w:rsid w:val="005F3DC9"/>
    <w:rsid w:val="007C6C51"/>
    <w:rsid w:val="00854C75"/>
    <w:rsid w:val="00913937"/>
    <w:rsid w:val="00A45DE2"/>
    <w:rsid w:val="00B8266C"/>
    <w:rsid w:val="00C24AE4"/>
    <w:rsid w:val="00E33032"/>
    <w:rsid w:val="00F5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066"/>
    <w:rPr>
      <w:color w:val="808080"/>
    </w:rPr>
  </w:style>
  <w:style w:type="paragraph" w:customStyle="1" w:styleId="CEA0441515E84E9ABB8C64A5B51C542F">
    <w:name w:val="CEA0441515E84E9ABB8C64A5B51C542F"/>
    <w:rsid w:val="001A2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21330AA670E4492521B50E00AEA14" ma:contentTypeVersion="6" ma:contentTypeDescription="Create a new document." ma:contentTypeScope="" ma:versionID="09edae78b7f7d67114db4b042589cdab">
  <xsd:schema xmlns:xsd="http://www.w3.org/2001/XMLSchema" xmlns:xs="http://www.w3.org/2001/XMLSchema" xmlns:p="http://schemas.microsoft.com/office/2006/metadata/properties" xmlns:ns2="10ceb447-3bdc-41a4-901a-d77058fe1c17" targetNamespace="http://schemas.microsoft.com/office/2006/metadata/properties" ma:root="true" ma:fieldsID="cf9a08276a2437a88069dd9960345eaf" ns2:_="">
    <xsd:import namespace="10ceb447-3bdc-41a4-901a-d77058fe1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b447-3bdc-41a4-901a-d77058fe1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9066-FEBE-400C-A3F2-161F83BF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b447-3bdc-41a4-901a-d77058fe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CE39F-952B-456A-9D40-FA182AC1AD2D}">
  <ds:schemaRefs>
    <ds:schemaRef ds:uri="http://schemas.microsoft.com/sharepoint/v3/contenttype/forms"/>
  </ds:schemaRefs>
</ds:datastoreItem>
</file>

<file path=customXml/itemProps3.xml><?xml version="1.0" encoding="utf-8"?>
<ds:datastoreItem xmlns:ds="http://schemas.openxmlformats.org/officeDocument/2006/customXml" ds:itemID="{EF0BB252-44D7-4233-803E-46F2C6A42B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60AF69-3D28-4FF5-B6F1-3A4EA4E1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Skinner</dc:creator>
  <cp:keywords/>
  <dc:description/>
  <cp:lastModifiedBy>Emily Skinner</cp:lastModifiedBy>
  <cp:revision>2</cp:revision>
  <dcterms:created xsi:type="dcterms:W3CDTF">2021-05-03T23:50:00Z</dcterms:created>
  <dcterms:modified xsi:type="dcterms:W3CDTF">2021-05-03T23:50:00Z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0x0101004CF21330AA670E4492521B50E00AEA14</vt:lpwstr>
  </property>
</Properties>
</file>