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A" w14:textId="77777777" w:rsidR="00F72E82" w:rsidRPr="006E5E11" w:rsidRDefault="00F72E82" w:rsidP="00F72E82">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268AB7EB" w14:textId="77777777" w:rsidR="00F72E82" w:rsidRPr="006E5E11" w:rsidRDefault="00C7306D" w:rsidP="00F72E82">
      <w:pPr>
        <w:pStyle w:val="AttorneyName"/>
        <w:spacing w:line="240" w:lineRule="auto"/>
        <w:rPr>
          <w:rFonts w:ascii="Times New Roman" w:hAnsi="Times New Roman"/>
          <w:b/>
          <w:sz w:val="28"/>
          <w:szCs w:val="28"/>
        </w:rPr>
      </w:pPr>
      <w:hyperlink r:id="rId11" w:history="1">
        <w:r w:rsidR="00F72E82" w:rsidRPr="006E5E11">
          <w:rPr>
            <w:rStyle w:val="Hyperlink"/>
            <w:rFonts w:ascii="Times New Roman" w:hAnsi="Times New Roman"/>
            <w:b/>
            <w:sz w:val="28"/>
            <w:szCs w:val="28"/>
          </w:rPr>
          <w:t>David.Euchner@pima.gov</w:t>
        </w:r>
      </w:hyperlink>
    </w:p>
    <w:p w14:paraId="243BD39B" w14:textId="7660C045" w:rsidR="00327BAA" w:rsidRDefault="00327BAA" w:rsidP="002E545E">
      <w:pPr>
        <w:pStyle w:val="AttorneyName"/>
        <w:spacing w:line="240" w:lineRule="auto"/>
        <w:rPr>
          <w:rFonts w:ascii="Times New Roman" w:hAnsi="Times New Roman"/>
          <w:b/>
          <w:sz w:val="28"/>
          <w:szCs w:val="28"/>
        </w:rPr>
      </w:pPr>
      <w:r>
        <w:rPr>
          <w:rFonts w:ascii="Times New Roman" w:hAnsi="Times New Roman"/>
          <w:b/>
          <w:sz w:val="28"/>
          <w:szCs w:val="28"/>
        </w:rPr>
        <w:t>Pima County Public Defender’s Office</w:t>
      </w:r>
    </w:p>
    <w:p w14:paraId="268AB7EC" w14:textId="740CA5A6"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60482DCD" w14:textId="5D7CE20F" w:rsidR="00327BAA"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1BEEC0DD" w14:textId="73BDBFA7" w:rsidR="00901B5C" w:rsidRPr="00901B5C" w:rsidRDefault="00901B5C" w:rsidP="0049789A">
      <w:pPr>
        <w:pStyle w:val="AttorneyName"/>
        <w:spacing w:line="240" w:lineRule="auto"/>
        <w:rPr>
          <w:rFonts w:ascii="Times New Roman" w:hAnsi="Times New Roman"/>
          <w:b/>
          <w:i/>
          <w:sz w:val="28"/>
          <w:szCs w:val="28"/>
        </w:rPr>
      </w:pPr>
      <w:r w:rsidRPr="00901B5C">
        <w:rPr>
          <w:rFonts w:ascii="Times New Roman" w:hAnsi="Times New Roman"/>
          <w:b/>
          <w:i/>
          <w:sz w:val="28"/>
          <w:szCs w:val="28"/>
        </w:rPr>
        <w:t>Attorney for Arizona Attorneys for Criminal Justice</w:t>
      </w: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950"/>
        <w:gridCol w:w="180"/>
        <w:gridCol w:w="4230"/>
      </w:tblGrid>
      <w:tr w:rsidR="00DC38DE" w:rsidRPr="0014499B" w14:paraId="268AB804" w14:textId="77777777" w:rsidTr="002D7ECF">
        <w:tc>
          <w:tcPr>
            <w:tcW w:w="4950"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44C965F" w:rsidR="00DC38DE" w:rsidRPr="0014499B" w:rsidRDefault="00DC38DE" w:rsidP="002D7ECF">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Pr>
                <w:rFonts w:ascii="Times New Roman" w:hAnsi="Times New Roman"/>
                <w:sz w:val="28"/>
                <w:szCs w:val="28"/>
              </w:rPr>
              <w:t>Rule</w:t>
            </w:r>
            <w:r w:rsidR="002D7ECF">
              <w:rPr>
                <w:rFonts w:ascii="Times New Roman" w:hAnsi="Times New Roman"/>
                <w:sz w:val="28"/>
                <w:szCs w:val="28"/>
              </w:rPr>
              <w:t>s</w:t>
            </w:r>
            <w:r w:rsidR="001B62F8">
              <w:rPr>
                <w:rFonts w:ascii="Times New Roman" w:hAnsi="Times New Roman"/>
                <w:sz w:val="28"/>
                <w:szCs w:val="28"/>
              </w:rPr>
              <w:t xml:space="preserve"> </w:t>
            </w:r>
            <w:r w:rsidR="002D7ECF">
              <w:rPr>
                <w:rFonts w:ascii="Times New Roman" w:hAnsi="Times New Roman"/>
                <w:sz w:val="28"/>
                <w:szCs w:val="28"/>
              </w:rPr>
              <w:t>10.2, 17.4, 32.10(a), 33.10(a), and 35.4, Rules of Criminal Procedure; Rule 42.1, Rules of Civil Procedure for the Superior Courts; Rule 6, Rules of Family Law Procedure; Rule 2(B), Rules of Procedure for the Juvenile Court; Rule 9(c), Rules of Procedure for Eviction Actions; Rule 133(d), Justice Court Rules of Civil Procedure; Rule 7, Rules of Court Procedure for Civil Traffic and Civil Boating Violations; and Ethical Rule 8.4(g) of Rule 42, Rules of the Supreme Court.</w:t>
            </w:r>
          </w:p>
        </w:tc>
        <w:tc>
          <w:tcPr>
            <w:tcW w:w="180"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D"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636040C4"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42D9040A" w14:textId="77777777" w:rsidR="002D7ECF"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5BE163A2" w14:textId="77777777" w:rsidR="002D7ECF"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1B4ABC18" w14:textId="77777777" w:rsidR="002D7ECF"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3FACB20C" w14:textId="77777777" w:rsidR="002D7ECF"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02BD98AC" w14:textId="77777777" w:rsidR="002D7ECF"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7E1E6571" w14:textId="77777777" w:rsidR="002D7ECF"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1F4C5F20" w:rsidR="002D7ECF" w:rsidRPr="0014499B"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230" w:type="dxa"/>
            <w:shd w:val="clear" w:color="auto" w:fill="auto"/>
          </w:tcPr>
          <w:p w14:paraId="268AB801" w14:textId="7CAF7025"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w:t>
            </w:r>
            <w:r w:rsidR="009B2386">
              <w:rPr>
                <w:rFonts w:ascii="Times New Roman" w:hAnsi="Times New Roman"/>
                <w:sz w:val="28"/>
                <w:szCs w:val="28"/>
              </w:rPr>
              <w:t>1</w:t>
            </w:r>
            <w:r w:rsidRPr="0014499B">
              <w:rPr>
                <w:rFonts w:ascii="Times New Roman" w:hAnsi="Times New Roman"/>
                <w:sz w:val="28"/>
                <w:szCs w:val="28"/>
              </w:rPr>
              <w:t>-00</w:t>
            </w:r>
            <w:r w:rsidR="009B2386">
              <w:rPr>
                <w:rFonts w:ascii="Times New Roman" w:hAnsi="Times New Roman"/>
                <w:sz w:val="28"/>
                <w:szCs w:val="28"/>
              </w:rPr>
              <w:t>06</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53BC25C2" w:rsidR="00DC38DE" w:rsidRPr="00F84E06" w:rsidRDefault="00DC38DE" w:rsidP="002D7ECF">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w:t>
            </w:r>
            <w:r w:rsidR="002A36E1">
              <w:rPr>
                <w:rFonts w:ascii="Times New Roman" w:hAnsi="Times New Roman"/>
                <w:b/>
                <w:sz w:val="28"/>
                <w:szCs w:val="28"/>
              </w:rPr>
              <w:t xml:space="preserve"> </w:t>
            </w:r>
            <w:r>
              <w:rPr>
                <w:rFonts w:ascii="Times New Roman" w:hAnsi="Times New Roman"/>
                <w:b/>
                <w:sz w:val="28"/>
                <w:szCs w:val="28"/>
              </w:rPr>
              <w:t>REGARDING</w:t>
            </w:r>
            <w:r w:rsidRPr="0014499B">
              <w:rPr>
                <w:rFonts w:ascii="Times New Roman" w:hAnsi="Times New Roman"/>
                <w:b/>
                <w:sz w:val="28"/>
                <w:szCs w:val="28"/>
              </w:rPr>
              <w:t xml:space="preserve"> PETITION TO </w:t>
            </w:r>
            <w:r w:rsidR="002D7ECF">
              <w:rPr>
                <w:rFonts w:ascii="Times New Roman" w:hAnsi="Times New Roman"/>
                <w:b/>
                <w:sz w:val="28"/>
                <w:szCs w:val="28"/>
              </w:rPr>
              <w:t>ABROGATE RULES OF PROCEDURE RELATED TO PEREMPTORY CHANGES OF JUDGE</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768BFF28"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hereby submit</w:t>
      </w:r>
      <w:r w:rsidR="002D7ECF">
        <w:rPr>
          <w:rFonts w:ascii="Times New Roman" w:hAnsi="Times New Roman"/>
          <w:sz w:val="28"/>
          <w:szCs w:val="28"/>
        </w:rPr>
        <w:t>s</w:t>
      </w:r>
      <w:r w:rsidRPr="0014499B">
        <w:rPr>
          <w:rFonts w:ascii="Times New Roman" w:hAnsi="Times New Roman"/>
          <w:sz w:val="28"/>
          <w:szCs w:val="28"/>
        </w:rPr>
        <w:t xml:space="preserve"> the following comment to</w:t>
      </w:r>
      <w:r w:rsidR="002D7ECF">
        <w:rPr>
          <w:rFonts w:ascii="Times New Roman" w:hAnsi="Times New Roman"/>
          <w:sz w:val="28"/>
          <w:szCs w:val="28"/>
        </w:rPr>
        <w:t xml:space="preserve"> the above-referenced petition.</w:t>
      </w:r>
    </w:p>
    <w:p w14:paraId="268AB806" w14:textId="669C638E"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w:t>
      </w:r>
      <w:r w:rsidRPr="00A629F8">
        <w:rPr>
          <w:rFonts w:ascii="Times New Roman" w:hAnsi="Times New Roman"/>
          <w:sz w:val="28"/>
          <w:szCs w:val="28"/>
        </w:rPr>
        <w:lastRenderedPageBreak/>
        <w:t>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21DA0057" w14:textId="7DF0FAF1" w:rsidR="00E466AC" w:rsidRDefault="00E466AC" w:rsidP="001D0E6C">
      <w:pPr>
        <w:spacing w:line="480" w:lineRule="auto"/>
        <w:ind w:firstLine="720"/>
        <w:jc w:val="both"/>
        <w:rPr>
          <w:rFonts w:ascii="Times New Roman" w:hAnsi="Times New Roman"/>
          <w:sz w:val="28"/>
          <w:szCs w:val="28"/>
        </w:rPr>
      </w:pPr>
      <w:r>
        <w:rPr>
          <w:rFonts w:ascii="Times New Roman" w:hAnsi="Times New Roman"/>
          <w:sz w:val="28"/>
          <w:szCs w:val="28"/>
        </w:rPr>
        <w:t>AACJ</w:t>
      </w:r>
      <w:r w:rsidR="00327BAA">
        <w:rPr>
          <w:rFonts w:ascii="Times New Roman" w:hAnsi="Times New Roman"/>
          <w:sz w:val="28"/>
          <w:szCs w:val="28"/>
        </w:rPr>
        <w:t xml:space="preserve"> </w:t>
      </w:r>
      <w:r w:rsidR="002D7ECF">
        <w:rPr>
          <w:rFonts w:ascii="Times New Roman" w:hAnsi="Times New Roman"/>
          <w:sz w:val="28"/>
          <w:szCs w:val="28"/>
        </w:rPr>
        <w:t>opposes</w:t>
      </w:r>
      <w:r>
        <w:rPr>
          <w:rFonts w:ascii="Times New Roman" w:hAnsi="Times New Roman"/>
          <w:sz w:val="28"/>
          <w:szCs w:val="28"/>
        </w:rPr>
        <w:t xml:space="preserve"> the </w:t>
      </w:r>
      <w:r w:rsidR="00077E06">
        <w:rPr>
          <w:rFonts w:ascii="Times New Roman" w:hAnsi="Times New Roman"/>
          <w:sz w:val="28"/>
          <w:szCs w:val="28"/>
        </w:rPr>
        <w:t xml:space="preserve">proposal of the </w:t>
      </w:r>
      <w:r w:rsidR="002D7ECF">
        <w:rPr>
          <w:rFonts w:ascii="Times New Roman" w:hAnsi="Times New Roman"/>
          <w:sz w:val="28"/>
          <w:szCs w:val="28"/>
        </w:rPr>
        <w:t>Committee of Presiding Judges</w:t>
      </w:r>
      <w:r w:rsidR="00B8570B">
        <w:rPr>
          <w:rFonts w:ascii="Times New Roman" w:hAnsi="Times New Roman"/>
          <w:sz w:val="28"/>
          <w:szCs w:val="28"/>
        </w:rPr>
        <w:t xml:space="preserve"> (hereinafter, “the Committee”)</w:t>
      </w:r>
      <w:r w:rsidR="002D7ECF">
        <w:rPr>
          <w:rFonts w:ascii="Times New Roman" w:hAnsi="Times New Roman"/>
          <w:sz w:val="28"/>
          <w:szCs w:val="28"/>
        </w:rPr>
        <w:t xml:space="preserve"> for three reasons. First, the proposal </w:t>
      </w:r>
      <w:r w:rsidR="00501EC6">
        <w:rPr>
          <w:rFonts w:ascii="Times New Roman" w:hAnsi="Times New Roman"/>
          <w:sz w:val="28"/>
          <w:szCs w:val="28"/>
        </w:rPr>
        <w:t xml:space="preserve">assumes judges have a possessory interest over individual cases and it </w:t>
      </w:r>
      <w:r w:rsidR="002D7ECF">
        <w:rPr>
          <w:rFonts w:ascii="Times New Roman" w:hAnsi="Times New Roman"/>
          <w:sz w:val="28"/>
          <w:szCs w:val="28"/>
        </w:rPr>
        <w:t xml:space="preserve">disregards Arizona’s history of use of peremptory changes of judge. Second, it </w:t>
      </w:r>
      <w:r w:rsidR="00501EC6">
        <w:rPr>
          <w:rFonts w:ascii="Times New Roman" w:hAnsi="Times New Roman"/>
          <w:sz w:val="28"/>
          <w:szCs w:val="28"/>
        </w:rPr>
        <w:t>makes a non sequitur argument by pointing</w:t>
      </w:r>
      <w:r w:rsidR="002D7ECF">
        <w:rPr>
          <w:rFonts w:ascii="Times New Roman" w:hAnsi="Times New Roman"/>
          <w:sz w:val="28"/>
          <w:szCs w:val="28"/>
        </w:rPr>
        <w:t xml:space="preserve"> to the temporary suspension of these rules during the COVID-19 pandemic as proof that the rules are not needed</w:t>
      </w:r>
      <w:r w:rsidR="00501EC6">
        <w:rPr>
          <w:rFonts w:ascii="Times New Roman" w:hAnsi="Times New Roman"/>
          <w:sz w:val="28"/>
          <w:szCs w:val="28"/>
        </w:rPr>
        <w:t>. Finally, it seeks to address abuses of rules by throwing the baby out with the bathwater, when less drastic alternatives may be employed.</w:t>
      </w:r>
    </w:p>
    <w:p w14:paraId="20D7EB2F" w14:textId="7E32E2E8" w:rsidR="009B5E32" w:rsidRDefault="009B5E32"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What is notably absent from the Committee’s brief petition is any evidence supporting its claims that repealing the rules permitting peremptory changes of judge is necessary either to promote judicial independence or to facilitate administrative duties. </w:t>
      </w:r>
      <w:r w:rsidR="0049789A">
        <w:rPr>
          <w:rFonts w:ascii="Times New Roman" w:hAnsi="Times New Roman"/>
          <w:sz w:val="28"/>
          <w:szCs w:val="28"/>
        </w:rPr>
        <w:t>If the Committee has such information, it should share it with the public, because failure to include this information defeats the purpose of Supreme Court Rule 28(D) insofar as the public cannot comment on information it does not have.</w:t>
      </w:r>
    </w:p>
    <w:p w14:paraId="470A7205" w14:textId="6C7CD317" w:rsidR="002D7ECF" w:rsidRPr="000D5746" w:rsidRDefault="000D5746" w:rsidP="000D5746">
      <w:pPr>
        <w:spacing w:line="240" w:lineRule="auto"/>
        <w:ind w:left="720" w:hanging="720"/>
        <w:jc w:val="both"/>
        <w:rPr>
          <w:rFonts w:ascii="Times New Roman" w:hAnsi="Times New Roman"/>
          <w:b/>
          <w:sz w:val="28"/>
          <w:szCs w:val="28"/>
        </w:rPr>
      </w:pPr>
      <w:r>
        <w:rPr>
          <w:rFonts w:ascii="Times New Roman" w:hAnsi="Times New Roman"/>
          <w:b/>
          <w:sz w:val="28"/>
          <w:szCs w:val="28"/>
        </w:rPr>
        <w:lastRenderedPageBreak/>
        <w:t xml:space="preserve">I. </w:t>
      </w:r>
      <w:r>
        <w:rPr>
          <w:rFonts w:ascii="Times New Roman" w:hAnsi="Times New Roman"/>
          <w:b/>
          <w:sz w:val="28"/>
          <w:szCs w:val="28"/>
        </w:rPr>
        <w:tab/>
        <w:t>ARIZONA’S HISTORY PERMITTING PEREMPTORY CHANGES OF JUDGES</w:t>
      </w:r>
      <w:r w:rsidR="00B8570B">
        <w:rPr>
          <w:rFonts w:ascii="Times New Roman" w:hAnsi="Times New Roman"/>
          <w:b/>
          <w:sz w:val="28"/>
          <w:szCs w:val="28"/>
        </w:rPr>
        <w:t xml:space="preserve"> SHOWS THAT</w:t>
      </w:r>
      <w:r w:rsidR="00161CD3">
        <w:rPr>
          <w:rFonts w:ascii="Times New Roman" w:hAnsi="Times New Roman"/>
          <w:b/>
          <w:sz w:val="28"/>
          <w:szCs w:val="28"/>
        </w:rPr>
        <w:t xml:space="preserve"> NEITHER</w:t>
      </w:r>
      <w:r w:rsidR="00B8570B">
        <w:rPr>
          <w:rFonts w:ascii="Times New Roman" w:hAnsi="Times New Roman"/>
          <w:b/>
          <w:sz w:val="28"/>
          <w:szCs w:val="28"/>
        </w:rPr>
        <w:t xml:space="preserve"> JUDICIAL INDEPENDENCE </w:t>
      </w:r>
      <w:r w:rsidR="00161CD3">
        <w:rPr>
          <w:rFonts w:ascii="Times New Roman" w:hAnsi="Times New Roman"/>
          <w:b/>
          <w:sz w:val="28"/>
          <w:szCs w:val="28"/>
        </w:rPr>
        <w:t xml:space="preserve">NOR CASE ADMINISTRATION </w:t>
      </w:r>
      <w:r w:rsidR="00B8570B">
        <w:rPr>
          <w:rFonts w:ascii="Times New Roman" w:hAnsi="Times New Roman"/>
          <w:b/>
          <w:sz w:val="28"/>
          <w:szCs w:val="28"/>
        </w:rPr>
        <w:t>IS THREATENED BY THE PROCEDURE</w:t>
      </w:r>
    </w:p>
    <w:p w14:paraId="523B05F9" w14:textId="77777777" w:rsidR="000D5746" w:rsidRDefault="000D5746" w:rsidP="000D5746">
      <w:pPr>
        <w:spacing w:line="240" w:lineRule="auto"/>
        <w:ind w:firstLine="720"/>
        <w:jc w:val="both"/>
        <w:rPr>
          <w:rFonts w:ascii="Times New Roman" w:hAnsi="Times New Roman"/>
          <w:sz w:val="28"/>
          <w:szCs w:val="28"/>
        </w:rPr>
      </w:pPr>
    </w:p>
    <w:p w14:paraId="5367EAA8" w14:textId="6E7C0F5A" w:rsidR="000D5746" w:rsidRDefault="002B26A0"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Arizona </w:t>
      </w:r>
      <w:r w:rsidR="00BA567E">
        <w:rPr>
          <w:rFonts w:ascii="Times New Roman" w:hAnsi="Times New Roman"/>
          <w:sz w:val="28"/>
          <w:szCs w:val="28"/>
        </w:rPr>
        <w:t>Rule</w:t>
      </w:r>
      <w:r>
        <w:rPr>
          <w:rFonts w:ascii="Times New Roman" w:hAnsi="Times New Roman"/>
          <w:sz w:val="28"/>
          <w:szCs w:val="28"/>
        </w:rPr>
        <w:t xml:space="preserve"> of Criminal Procedure</w:t>
      </w:r>
      <w:r w:rsidR="00BA567E">
        <w:rPr>
          <w:rFonts w:ascii="Times New Roman" w:hAnsi="Times New Roman"/>
          <w:sz w:val="28"/>
          <w:szCs w:val="28"/>
        </w:rPr>
        <w:t xml:space="preserve"> 10.2</w:t>
      </w:r>
      <w:r w:rsidR="00BA567E">
        <w:rPr>
          <w:rStyle w:val="FootnoteReference"/>
          <w:rFonts w:ascii="Times New Roman" w:hAnsi="Times New Roman"/>
          <w:sz w:val="28"/>
          <w:szCs w:val="28"/>
        </w:rPr>
        <w:footnoteReference w:id="1"/>
      </w:r>
      <w:r w:rsidR="00BA567E">
        <w:rPr>
          <w:rFonts w:ascii="Times New Roman" w:hAnsi="Times New Roman"/>
          <w:sz w:val="28"/>
          <w:szCs w:val="28"/>
        </w:rPr>
        <w:t xml:space="preserve"> </w:t>
      </w:r>
      <w:r w:rsidR="0049789A">
        <w:rPr>
          <w:rFonts w:ascii="Times New Roman" w:hAnsi="Times New Roman"/>
          <w:sz w:val="28"/>
          <w:szCs w:val="28"/>
        </w:rPr>
        <w:t>exists for the purpose of avoiding public battles involving claims of bias.</w:t>
      </w:r>
      <w:r w:rsidR="00004317">
        <w:rPr>
          <w:rFonts w:ascii="Times New Roman" w:hAnsi="Times New Roman"/>
          <w:sz w:val="28"/>
          <w:szCs w:val="28"/>
        </w:rPr>
        <w:t xml:space="preserve"> Some version of this procedure has existed since statehood. </w:t>
      </w:r>
      <w:r w:rsidR="005E0DC8">
        <w:rPr>
          <w:rFonts w:ascii="Times New Roman" w:hAnsi="Times New Roman"/>
          <w:sz w:val="28"/>
          <w:szCs w:val="28"/>
        </w:rPr>
        <w:t>In</w:t>
      </w:r>
      <w:r w:rsidR="00004317" w:rsidRPr="00004317">
        <w:rPr>
          <w:rFonts w:ascii="Times New Roman" w:hAnsi="Times New Roman"/>
          <w:i/>
          <w:sz w:val="28"/>
          <w:szCs w:val="28"/>
        </w:rPr>
        <w:t xml:space="preserve"> Stephens v. Stephens</w:t>
      </w:r>
      <w:r w:rsidR="00004317">
        <w:rPr>
          <w:rFonts w:ascii="Times New Roman" w:hAnsi="Times New Roman"/>
          <w:sz w:val="28"/>
          <w:szCs w:val="28"/>
        </w:rPr>
        <w:t>, 17 Ariz. 306, 308-09 (1915)</w:t>
      </w:r>
      <w:r w:rsidR="005E0DC8">
        <w:rPr>
          <w:rFonts w:ascii="Times New Roman" w:hAnsi="Times New Roman"/>
          <w:sz w:val="28"/>
          <w:szCs w:val="28"/>
        </w:rPr>
        <w:t>, this Court</w:t>
      </w:r>
      <w:r w:rsidR="00004317">
        <w:rPr>
          <w:rFonts w:ascii="Times New Roman" w:hAnsi="Times New Roman"/>
          <w:sz w:val="28"/>
          <w:szCs w:val="28"/>
        </w:rPr>
        <w:t xml:space="preserve"> interpret</w:t>
      </w:r>
      <w:r w:rsidR="005E0DC8">
        <w:rPr>
          <w:rFonts w:ascii="Times New Roman" w:hAnsi="Times New Roman"/>
          <w:sz w:val="28"/>
          <w:szCs w:val="28"/>
        </w:rPr>
        <w:t>ed</w:t>
      </w:r>
      <w:r w:rsidR="00004317">
        <w:rPr>
          <w:rFonts w:ascii="Times New Roman" w:hAnsi="Times New Roman"/>
          <w:sz w:val="28"/>
          <w:szCs w:val="28"/>
        </w:rPr>
        <w:t xml:space="preserve"> the 1913 Civil Code</w:t>
      </w:r>
      <w:r w:rsidR="006443C6">
        <w:rPr>
          <w:rStyle w:val="FootnoteReference"/>
          <w:rFonts w:ascii="Times New Roman" w:hAnsi="Times New Roman"/>
          <w:sz w:val="28"/>
          <w:szCs w:val="28"/>
        </w:rPr>
        <w:footnoteReference w:id="2"/>
      </w:r>
      <w:r w:rsidR="00004317">
        <w:rPr>
          <w:rFonts w:ascii="Times New Roman" w:hAnsi="Times New Roman"/>
          <w:sz w:val="28"/>
          <w:szCs w:val="28"/>
        </w:rPr>
        <w:t xml:space="preserve"> as requiring a judge’s recusal upon the filing of an affidavit by a party that states “[t]hat the affiant has cause to believe and does believe that </w:t>
      </w:r>
      <w:r w:rsidR="00004317" w:rsidRPr="00004317">
        <w:rPr>
          <w:rFonts w:ascii="Times New Roman" w:hAnsi="Times New Roman"/>
          <w:sz w:val="28"/>
          <w:szCs w:val="28"/>
        </w:rPr>
        <w:t>on account of the bias or prejudice or interest of said judge he cannot obtain a fair and impartial trial</w:t>
      </w:r>
      <w:r w:rsidR="005E0DC8">
        <w:rPr>
          <w:rFonts w:ascii="Times New Roman" w:hAnsi="Times New Roman"/>
          <w:sz w:val="28"/>
          <w:szCs w:val="28"/>
        </w:rPr>
        <w:t>,</w:t>
      </w:r>
      <w:r w:rsidR="00004317">
        <w:rPr>
          <w:rFonts w:ascii="Times New Roman" w:hAnsi="Times New Roman"/>
          <w:sz w:val="28"/>
          <w:szCs w:val="28"/>
        </w:rPr>
        <w:t>”</w:t>
      </w:r>
      <w:r w:rsidR="005E0DC8">
        <w:rPr>
          <w:rFonts w:ascii="Times New Roman" w:hAnsi="Times New Roman"/>
          <w:sz w:val="28"/>
          <w:szCs w:val="28"/>
        </w:rPr>
        <w:t xml:space="preserve"> without requiring the party to state facts to support the claim</w:t>
      </w:r>
      <w:r w:rsidR="00004317">
        <w:rPr>
          <w:rFonts w:ascii="Times New Roman" w:hAnsi="Times New Roman"/>
          <w:sz w:val="28"/>
          <w:szCs w:val="28"/>
        </w:rPr>
        <w:t xml:space="preserve">. The Rules of Criminal Procedure adopted in 1956 established a procedural right </w:t>
      </w:r>
      <w:r w:rsidR="005E0DC8">
        <w:rPr>
          <w:rFonts w:ascii="Times New Roman" w:hAnsi="Times New Roman"/>
          <w:sz w:val="28"/>
          <w:szCs w:val="28"/>
        </w:rPr>
        <w:t xml:space="preserve">for any party to file one peremptory challenge to a judge. </w:t>
      </w:r>
      <w:r w:rsidR="005E0DC8" w:rsidRPr="005E0DC8">
        <w:rPr>
          <w:rFonts w:ascii="Times New Roman" w:hAnsi="Times New Roman"/>
          <w:i/>
          <w:sz w:val="28"/>
          <w:szCs w:val="28"/>
        </w:rPr>
        <w:t>See State v. Neil</w:t>
      </w:r>
      <w:r w:rsidR="005E0DC8">
        <w:rPr>
          <w:rFonts w:ascii="Times New Roman" w:hAnsi="Times New Roman"/>
          <w:sz w:val="28"/>
          <w:szCs w:val="28"/>
        </w:rPr>
        <w:t>, 102 Ariz. 110, 112 (1967) (describing history of practice).</w:t>
      </w:r>
    </w:p>
    <w:p w14:paraId="30E49F79" w14:textId="6A0FF3A2" w:rsidR="00CF2261" w:rsidRDefault="00CF2261"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Committee notes that “this Court appointed an ad hoc committee to study attorneys’ use of the rule and to recommend whether the rule should be repealed or </w:t>
      </w:r>
      <w:r>
        <w:rPr>
          <w:rFonts w:ascii="Times New Roman" w:hAnsi="Times New Roman"/>
          <w:sz w:val="28"/>
          <w:szCs w:val="28"/>
        </w:rPr>
        <w:lastRenderedPageBreak/>
        <w:t xml:space="preserve">somehow amended to curb perceived abuses.” Petition at 2. The “experimental” amendments to Rule 10.2 were added in 2001 and have remained in effect to this day (except for suspension during the pandemic). </w:t>
      </w:r>
      <w:r w:rsidRPr="00CF2261">
        <w:rPr>
          <w:rFonts w:ascii="Times New Roman" w:hAnsi="Times New Roman"/>
          <w:i/>
          <w:sz w:val="28"/>
          <w:szCs w:val="28"/>
        </w:rPr>
        <w:t>Gilbert Prosecutor’s Office v. Foster</w:t>
      </w:r>
      <w:r>
        <w:rPr>
          <w:rFonts w:ascii="Times New Roman" w:hAnsi="Times New Roman"/>
          <w:sz w:val="28"/>
          <w:szCs w:val="28"/>
        </w:rPr>
        <w:t xml:space="preserve">, 245 Ariz. 15, 17-18 ¶ 8 (App. 2018) (citing </w:t>
      </w:r>
      <w:r w:rsidRPr="00CF2261">
        <w:rPr>
          <w:rFonts w:ascii="Times New Roman" w:hAnsi="Times New Roman"/>
          <w:i/>
          <w:sz w:val="28"/>
          <w:szCs w:val="28"/>
        </w:rPr>
        <w:t>Bergeron ex rel. Perez v. O’Neil</w:t>
      </w:r>
      <w:r>
        <w:rPr>
          <w:rFonts w:ascii="Times New Roman" w:hAnsi="Times New Roman"/>
          <w:sz w:val="28"/>
          <w:szCs w:val="28"/>
        </w:rPr>
        <w:t>, 205 Ariz. 640, 647-48 ¶¶ 21-22 (App. 2003)). The Committee notes that it was tasked with colle</w:t>
      </w:r>
      <w:r w:rsidR="00E756CD">
        <w:rPr>
          <w:rFonts w:ascii="Times New Roman" w:hAnsi="Times New Roman"/>
          <w:sz w:val="28"/>
          <w:szCs w:val="28"/>
        </w:rPr>
        <w:t>cting data to determine whether perceived abuses of the rule subsided, but it misrepresents this Court’s motive for consideration of repeal of Rule 10.2. Whereas the Committee suggests that the number of filings would be determinative, Petition at 2-3, the Court’s Comment stated that repeal would occur “[i]f such abuse [of the rule] is not substantially reduced as a result of the amendments at the conclusion of the one-year experiment</w:t>
      </w:r>
      <w:r w:rsidR="00C637AE">
        <w:rPr>
          <w:rFonts w:ascii="Times New Roman" w:hAnsi="Times New Roman"/>
          <w:sz w:val="28"/>
          <w:szCs w:val="28"/>
        </w:rPr>
        <w:t>…”</w:t>
      </w:r>
      <w:r w:rsidR="00C637AE">
        <w:rPr>
          <w:rStyle w:val="FootnoteReference"/>
          <w:rFonts w:ascii="Times New Roman" w:hAnsi="Times New Roman"/>
          <w:sz w:val="28"/>
          <w:szCs w:val="28"/>
        </w:rPr>
        <w:footnoteReference w:id="3"/>
      </w:r>
      <w:r w:rsidR="00E756CD">
        <w:rPr>
          <w:rFonts w:ascii="Times New Roman" w:hAnsi="Times New Roman"/>
          <w:sz w:val="28"/>
          <w:szCs w:val="28"/>
        </w:rPr>
        <w:t xml:space="preserve"> </w:t>
      </w:r>
      <w:r w:rsidR="00ED2EE4">
        <w:rPr>
          <w:rFonts w:ascii="Times New Roman" w:hAnsi="Times New Roman"/>
          <w:sz w:val="28"/>
          <w:szCs w:val="28"/>
        </w:rPr>
        <w:t>T</w:t>
      </w:r>
      <w:r w:rsidR="00C637AE">
        <w:rPr>
          <w:rFonts w:ascii="Times New Roman" w:hAnsi="Times New Roman"/>
          <w:sz w:val="28"/>
          <w:szCs w:val="28"/>
        </w:rPr>
        <w:t>he Committee</w:t>
      </w:r>
      <w:r w:rsidR="00ED2EE4">
        <w:rPr>
          <w:rFonts w:ascii="Times New Roman" w:hAnsi="Times New Roman"/>
          <w:sz w:val="28"/>
          <w:szCs w:val="28"/>
        </w:rPr>
        <w:t>’s</w:t>
      </w:r>
      <w:r w:rsidR="00C637AE">
        <w:rPr>
          <w:rFonts w:ascii="Times New Roman" w:hAnsi="Times New Roman"/>
          <w:sz w:val="28"/>
          <w:szCs w:val="28"/>
        </w:rPr>
        <w:t xml:space="preserve"> petition </w:t>
      </w:r>
      <w:r w:rsidR="00ED2EE4">
        <w:rPr>
          <w:rFonts w:ascii="Times New Roman" w:hAnsi="Times New Roman"/>
          <w:sz w:val="28"/>
          <w:szCs w:val="28"/>
        </w:rPr>
        <w:t>cites problems that were present</w:t>
      </w:r>
      <w:r w:rsidR="00C637AE">
        <w:rPr>
          <w:rFonts w:ascii="Times New Roman" w:hAnsi="Times New Roman"/>
          <w:sz w:val="28"/>
          <w:szCs w:val="28"/>
        </w:rPr>
        <w:t xml:space="preserve"> twenty years ago</w:t>
      </w:r>
      <w:r w:rsidR="00ED2EE4">
        <w:rPr>
          <w:rFonts w:ascii="Times New Roman" w:hAnsi="Times New Roman"/>
          <w:sz w:val="28"/>
          <w:szCs w:val="28"/>
        </w:rPr>
        <w:t>, but it does not even suggest that these problems still exist today</w:t>
      </w:r>
      <w:r w:rsidR="00C637AE">
        <w:rPr>
          <w:rFonts w:ascii="Times New Roman" w:hAnsi="Times New Roman"/>
          <w:sz w:val="28"/>
          <w:szCs w:val="28"/>
        </w:rPr>
        <w:t xml:space="preserve">. Petition at 3. </w:t>
      </w:r>
      <w:r w:rsidR="00ED2EE4">
        <w:rPr>
          <w:rFonts w:ascii="Times New Roman" w:hAnsi="Times New Roman"/>
          <w:sz w:val="28"/>
          <w:szCs w:val="28"/>
        </w:rPr>
        <w:t>Therefore, it can only be presumed that no such problems exist today that require abrogating these rules.</w:t>
      </w:r>
    </w:p>
    <w:p w14:paraId="2799232B" w14:textId="2D8A0092" w:rsidR="00E756CD" w:rsidRDefault="00E756CD"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Notably absent from the Committee’s petition is any reference to the language of this Court’s 2001 </w:t>
      </w:r>
      <w:r w:rsidR="005914BD">
        <w:rPr>
          <w:rFonts w:ascii="Times New Roman" w:hAnsi="Times New Roman"/>
          <w:sz w:val="28"/>
          <w:szCs w:val="28"/>
        </w:rPr>
        <w:t xml:space="preserve">comment </w:t>
      </w:r>
      <w:r>
        <w:rPr>
          <w:rFonts w:ascii="Times New Roman" w:hAnsi="Times New Roman"/>
          <w:sz w:val="28"/>
          <w:szCs w:val="28"/>
        </w:rPr>
        <w:t xml:space="preserve">that “Rule 10.2 </w:t>
      </w:r>
      <w:r w:rsidRPr="00E756CD">
        <w:rPr>
          <w:rFonts w:ascii="Times New Roman" w:hAnsi="Times New Roman"/>
          <w:sz w:val="28"/>
          <w:szCs w:val="28"/>
        </w:rPr>
        <w:t>is intended to ensure a party</w:t>
      </w:r>
      <w:r>
        <w:rPr>
          <w:rFonts w:ascii="Times New Roman" w:hAnsi="Times New Roman"/>
          <w:sz w:val="28"/>
          <w:szCs w:val="28"/>
        </w:rPr>
        <w:t>’</w:t>
      </w:r>
      <w:r w:rsidRPr="00E756CD">
        <w:rPr>
          <w:rFonts w:ascii="Times New Roman" w:hAnsi="Times New Roman"/>
          <w:sz w:val="28"/>
          <w:szCs w:val="28"/>
        </w:rPr>
        <w:t xml:space="preserve">s right to have a matter heard before a fair and impartial judge without the necessity of </w:t>
      </w:r>
      <w:r w:rsidRPr="00E756CD">
        <w:rPr>
          <w:rFonts w:ascii="Times New Roman" w:hAnsi="Times New Roman"/>
          <w:sz w:val="28"/>
          <w:szCs w:val="28"/>
        </w:rPr>
        <w:lastRenderedPageBreak/>
        <w:t>divulging details that could cause needless embarrassment and antagonism or showing actual bias which may be difficult to prove.”</w:t>
      </w:r>
      <w:r>
        <w:rPr>
          <w:rFonts w:ascii="Times New Roman" w:hAnsi="Times New Roman"/>
          <w:sz w:val="28"/>
          <w:szCs w:val="28"/>
        </w:rPr>
        <w:t xml:space="preserve"> </w:t>
      </w:r>
      <w:r w:rsidR="007D5168">
        <w:rPr>
          <w:rFonts w:ascii="Times New Roman" w:hAnsi="Times New Roman"/>
          <w:sz w:val="28"/>
          <w:szCs w:val="28"/>
        </w:rPr>
        <w:t xml:space="preserve">Rule 10.2, 2001 cmt. </w:t>
      </w:r>
      <w:r>
        <w:rPr>
          <w:rFonts w:ascii="Times New Roman" w:hAnsi="Times New Roman"/>
          <w:sz w:val="28"/>
          <w:szCs w:val="28"/>
        </w:rPr>
        <w:t>The court of appeals relied on this language in</w:t>
      </w:r>
      <w:r w:rsidR="00CF2261">
        <w:rPr>
          <w:rFonts w:ascii="Times New Roman" w:hAnsi="Times New Roman"/>
          <w:sz w:val="28"/>
          <w:szCs w:val="28"/>
        </w:rPr>
        <w:t xml:space="preserve"> </w:t>
      </w:r>
      <w:r w:rsidR="00CF2261" w:rsidRPr="00CF2261">
        <w:rPr>
          <w:rFonts w:ascii="Times New Roman" w:hAnsi="Times New Roman"/>
          <w:i/>
          <w:sz w:val="28"/>
          <w:szCs w:val="28"/>
        </w:rPr>
        <w:t>Bergeron</w:t>
      </w:r>
      <w:r w:rsidR="00CF2261">
        <w:rPr>
          <w:rFonts w:ascii="Times New Roman" w:hAnsi="Times New Roman"/>
          <w:sz w:val="28"/>
          <w:szCs w:val="28"/>
        </w:rPr>
        <w:t xml:space="preserve">, </w:t>
      </w:r>
      <w:r>
        <w:rPr>
          <w:rFonts w:ascii="Times New Roman" w:hAnsi="Times New Roman"/>
          <w:sz w:val="28"/>
          <w:szCs w:val="28"/>
        </w:rPr>
        <w:t xml:space="preserve">noting the </w:t>
      </w:r>
      <w:r w:rsidR="00CF2261">
        <w:rPr>
          <w:rFonts w:ascii="Times New Roman" w:hAnsi="Times New Roman"/>
          <w:sz w:val="28"/>
          <w:szCs w:val="28"/>
        </w:rPr>
        <w:t xml:space="preserve">Court’s </w:t>
      </w:r>
      <w:r>
        <w:rPr>
          <w:rFonts w:ascii="Times New Roman" w:hAnsi="Times New Roman"/>
          <w:sz w:val="28"/>
          <w:szCs w:val="28"/>
        </w:rPr>
        <w:t>comment also:</w:t>
      </w:r>
    </w:p>
    <w:p w14:paraId="44AE5FDB" w14:textId="576BF1EF" w:rsidR="00E756CD" w:rsidRDefault="00E756CD" w:rsidP="00E756CD">
      <w:pPr>
        <w:spacing w:line="240" w:lineRule="auto"/>
        <w:ind w:left="720" w:right="720"/>
        <w:jc w:val="both"/>
        <w:rPr>
          <w:rFonts w:ascii="Times New Roman" w:hAnsi="Times New Roman"/>
          <w:sz w:val="28"/>
          <w:szCs w:val="28"/>
        </w:rPr>
      </w:pPr>
      <w:r>
        <w:rPr>
          <w:rFonts w:ascii="Times New Roman" w:hAnsi="Times New Roman"/>
          <w:sz w:val="28"/>
          <w:szCs w:val="28"/>
        </w:rPr>
        <w:t xml:space="preserve">cited with approval our opinion in </w:t>
      </w:r>
      <w:r w:rsidRPr="00E756CD">
        <w:rPr>
          <w:rFonts w:ascii="Times New Roman" w:hAnsi="Times New Roman"/>
          <w:i/>
          <w:sz w:val="28"/>
          <w:szCs w:val="28"/>
        </w:rPr>
        <w:t>Anonymous v. Superior Court ex rel. County of Pima</w:t>
      </w:r>
      <w:r>
        <w:rPr>
          <w:rFonts w:ascii="Times New Roman" w:hAnsi="Times New Roman"/>
          <w:sz w:val="28"/>
          <w:szCs w:val="28"/>
        </w:rPr>
        <w:t xml:space="preserve">, </w:t>
      </w:r>
      <w:r w:rsidRPr="00E756CD">
        <w:rPr>
          <w:rFonts w:ascii="Times New Roman" w:hAnsi="Times New Roman"/>
          <w:sz w:val="28"/>
          <w:szCs w:val="28"/>
        </w:rPr>
        <w:t>14 Ariz.</w:t>
      </w:r>
      <w:r>
        <w:rPr>
          <w:rFonts w:ascii="Times New Roman" w:hAnsi="Times New Roman"/>
          <w:sz w:val="28"/>
          <w:szCs w:val="28"/>
        </w:rPr>
        <w:t xml:space="preserve"> </w:t>
      </w:r>
      <w:r w:rsidRPr="00E756CD">
        <w:rPr>
          <w:rFonts w:ascii="Times New Roman" w:hAnsi="Times New Roman"/>
          <w:sz w:val="28"/>
          <w:szCs w:val="28"/>
        </w:rPr>
        <w:t>App. 502, 484 P.2d 655 (1971)</w:t>
      </w:r>
      <w:r>
        <w:rPr>
          <w:rFonts w:ascii="Times New Roman" w:hAnsi="Times New Roman"/>
          <w:sz w:val="28"/>
          <w:szCs w:val="28"/>
        </w:rPr>
        <w:t>. In that case, we observed:</w:t>
      </w:r>
    </w:p>
    <w:p w14:paraId="25DF5C31" w14:textId="77777777" w:rsidR="00E756CD" w:rsidRDefault="00E756CD" w:rsidP="00E756CD">
      <w:pPr>
        <w:spacing w:line="240" w:lineRule="auto"/>
        <w:ind w:left="720" w:right="720"/>
        <w:jc w:val="both"/>
        <w:rPr>
          <w:rFonts w:ascii="Times New Roman" w:hAnsi="Times New Roman"/>
          <w:sz w:val="28"/>
          <w:szCs w:val="28"/>
        </w:rPr>
      </w:pPr>
    </w:p>
    <w:p w14:paraId="7B49E288" w14:textId="692BF226" w:rsidR="00CF2261" w:rsidRDefault="00E756CD" w:rsidP="00E756CD">
      <w:pPr>
        <w:spacing w:line="240" w:lineRule="auto"/>
        <w:ind w:left="720" w:right="720"/>
        <w:jc w:val="both"/>
        <w:rPr>
          <w:rFonts w:ascii="Times New Roman" w:hAnsi="Times New Roman"/>
          <w:sz w:val="28"/>
          <w:szCs w:val="28"/>
        </w:rPr>
      </w:pPr>
      <w:r>
        <w:rPr>
          <w:rFonts w:ascii="Times New Roman" w:hAnsi="Times New Roman"/>
          <w:sz w:val="28"/>
          <w:szCs w:val="28"/>
        </w:rPr>
        <w:t>“</w:t>
      </w:r>
      <w:r w:rsidRPr="00E756CD">
        <w:rPr>
          <w:rFonts w:ascii="Times New Roman" w:hAnsi="Times New Roman"/>
          <w:sz w:val="28"/>
          <w:szCs w:val="28"/>
        </w:rPr>
        <w:t>While other states require that the affidavit of bias and prejudice set forth the facts upon which the allegation of bias and prejudice is based ..., Arizona has the salutary rule making disqualification automatic. Thus, in this state it is not necessary to embarrass the judge by setting forth in detail the facts of bias, prejudice or interests which may disqualify him nor is it necessary for judge, litigant and attorney to involve themselves in an imbroglio which might result in everlasting bitterness on the part of the judge and the lawyer.</w:t>
      </w:r>
      <w:r>
        <w:rPr>
          <w:rFonts w:ascii="Times New Roman" w:hAnsi="Times New Roman"/>
          <w:sz w:val="28"/>
          <w:szCs w:val="28"/>
        </w:rPr>
        <w:t xml:space="preserve">” </w:t>
      </w:r>
    </w:p>
    <w:p w14:paraId="0683EDF0" w14:textId="77777777" w:rsidR="00CF2261" w:rsidRPr="000D5746" w:rsidRDefault="00CF2261" w:rsidP="00E756CD">
      <w:pPr>
        <w:spacing w:line="240" w:lineRule="auto"/>
        <w:ind w:left="720" w:right="720" w:firstLine="720"/>
        <w:jc w:val="both"/>
        <w:rPr>
          <w:rFonts w:ascii="Times New Roman" w:hAnsi="Times New Roman"/>
          <w:sz w:val="28"/>
          <w:szCs w:val="28"/>
        </w:rPr>
      </w:pPr>
    </w:p>
    <w:p w14:paraId="10E1EFC9" w14:textId="77777777" w:rsidR="007D5168" w:rsidRDefault="00E756CD" w:rsidP="00E756CD">
      <w:pPr>
        <w:spacing w:line="480" w:lineRule="auto"/>
        <w:jc w:val="both"/>
        <w:rPr>
          <w:rFonts w:ascii="Times New Roman" w:hAnsi="Times New Roman"/>
          <w:sz w:val="28"/>
          <w:szCs w:val="28"/>
        </w:rPr>
      </w:pPr>
      <w:r w:rsidRPr="00E756CD">
        <w:rPr>
          <w:rFonts w:ascii="Times New Roman" w:hAnsi="Times New Roman"/>
          <w:i/>
          <w:sz w:val="28"/>
          <w:szCs w:val="28"/>
        </w:rPr>
        <w:t>Bergeron</w:t>
      </w:r>
      <w:r>
        <w:rPr>
          <w:rFonts w:ascii="Times New Roman" w:hAnsi="Times New Roman"/>
          <w:sz w:val="28"/>
          <w:szCs w:val="28"/>
        </w:rPr>
        <w:t xml:space="preserve">, 205 Ariz. at 648 ¶ 23 (quoting </w:t>
      </w:r>
      <w:r w:rsidRPr="00E756CD">
        <w:rPr>
          <w:rFonts w:ascii="Times New Roman" w:hAnsi="Times New Roman"/>
          <w:i/>
          <w:sz w:val="28"/>
          <w:szCs w:val="28"/>
        </w:rPr>
        <w:t>Anonymous</w:t>
      </w:r>
      <w:r>
        <w:rPr>
          <w:rFonts w:ascii="Times New Roman" w:hAnsi="Times New Roman"/>
          <w:sz w:val="28"/>
          <w:szCs w:val="28"/>
        </w:rPr>
        <w:t>, 14 Ariz. App. at 504)).</w:t>
      </w:r>
      <w:r w:rsidR="0093190C">
        <w:rPr>
          <w:rFonts w:ascii="Times New Roman" w:hAnsi="Times New Roman"/>
          <w:sz w:val="28"/>
          <w:szCs w:val="28"/>
        </w:rPr>
        <w:t xml:space="preserve"> </w:t>
      </w:r>
    </w:p>
    <w:p w14:paraId="066993BB" w14:textId="058F8976" w:rsidR="00E756CD" w:rsidRDefault="007D5168" w:rsidP="007D5168">
      <w:pPr>
        <w:spacing w:line="480" w:lineRule="auto"/>
        <w:ind w:firstLine="720"/>
        <w:jc w:val="both"/>
        <w:rPr>
          <w:rFonts w:ascii="Times New Roman" w:hAnsi="Times New Roman"/>
          <w:sz w:val="28"/>
          <w:szCs w:val="28"/>
        </w:rPr>
      </w:pPr>
      <w:r>
        <w:rPr>
          <w:rFonts w:ascii="Times New Roman" w:hAnsi="Times New Roman"/>
          <w:sz w:val="28"/>
          <w:szCs w:val="28"/>
        </w:rPr>
        <w:t xml:space="preserve">The Committee suggests, without any supportive reasoning, that an “unintended consequence” of the peremptory change of judge “is </w:t>
      </w:r>
      <w:r w:rsidRPr="007D5168">
        <w:rPr>
          <w:rFonts w:ascii="Times New Roman" w:hAnsi="Times New Roman"/>
          <w:sz w:val="28"/>
          <w:szCs w:val="28"/>
        </w:rPr>
        <w:t>that they can operate to hide the truth when a judge needs to be removed for cause or needs to address deficiencies in areas such as judicial demeanor or knowledge of the law</w:t>
      </w:r>
      <w:r>
        <w:rPr>
          <w:rFonts w:ascii="Times New Roman" w:hAnsi="Times New Roman"/>
          <w:sz w:val="28"/>
          <w:szCs w:val="28"/>
        </w:rPr>
        <w:t xml:space="preserve">.” Petition at 4. Presumably, judges who </w:t>
      </w:r>
      <w:r w:rsidRPr="007D5168">
        <w:rPr>
          <w:rFonts w:ascii="Times New Roman" w:hAnsi="Times New Roman"/>
          <w:b/>
          <w:i/>
          <w:sz w:val="28"/>
          <w:szCs w:val="28"/>
        </w:rPr>
        <w:t>need</w:t>
      </w:r>
      <w:r>
        <w:rPr>
          <w:rFonts w:ascii="Times New Roman" w:hAnsi="Times New Roman"/>
          <w:sz w:val="28"/>
          <w:szCs w:val="28"/>
        </w:rPr>
        <w:t xml:space="preserve"> to be removed for cause are already the subject of motions pursuant to Rule 10.1. The whole point of Rule 10.2 is to avoid public battles over a judge’s perceived bias</w:t>
      </w:r>
      <w:r w:rsidR="004E46A6">
        <w:rPr>
          <w:rFonts w:ascii="Times New Roman" w:hAnsi="Times New Roman"/>
          <w:sz w:val="28"/>
          <w:szCs w:val="28"/>
        </w:rPr>
        <w:t>. If the challenge is successful, the judge suffers severe credibility damage. If it is unsuccessful, then the party (or more to the point, the lawyer) will likely have difficulties practicing in front of the challeng</w:t>
      </w:r>
      <w:r w:rsidR="007E538C">
        <w:rPr>
          <w:rFonts w:ascii="Times New Roman" w:hAnsi="Times New Roman"/>
          <w:sz w:val="28"/>
          <w:szCs w:val="28"/>
        </w:rPr>
        <w:t>ed judge in the future. Lawyers are</w:t>
      </w:r>
      <w:r w:rsidR="004E46A6">
        <w:rPr>
          <w:rFonts w:ascii="Times New Roman" w:hAnsi="Times New Roman"/>
          <w:sz w:val="28"/>
          <w:szCs w:val="28"/>
        </w:rPr>
        <w:t xml:space="preserve"> generally familiar with the saying, “If you shoot at </w:t>
      </w:r>
      <w:r w:rsidR="004E46A6">
        <w:rPr>
          <w:rFonts w:ascii="Times New Roman" w:hAnsi="Times New Roman"/>
          <w:sz w:val="28"/>
          <w:szCs w:val="28"/>
        </w:rPr>
        <w:lastRenderedPageBreak/>
        <w:t>the king, you better not miss,”</w:t>
      </w:r>
      <w:r w:rsidR="007E538C">
        <w:rPr>
          <w:rFonts w:ascii="Times New Roman" w:hAnsi="Times New Roman"/>
          <w:sz w:val="28"/>
          <w:szCs w:val="28"/>
        </w:rPr>
        <w:t xml:space="preserve"> and they</w:t>
      </w:r>
      <w:r w:rsidR="004E46A6">
        <w:rPr>
          <w:rFonts w:ascii="Times New Roman" w:hAnsi="Times New Roman"/>
          <w:sz w:val="28"/>
          <w:szCs w:val="28"/>
        </w:rPr>
        <w:t xml:space="preserve"> are understandably reluctant to file motions under Rule 10.1.</w:t>
      </w:r>
      <w:r w:rsidR="007E538C">
        <w:rPr>
          <w:rFonts w:ascii="Times New Roman" w:hAnsi="Times New Roman"/>
          <w:sz w:val="28"/>
          <w:szCs w:val="28"/>
        </w:rPr>
        <w:t xml:space="preserve"> Even if a motion to recuse a judge would prove to be successful, that lawyer may fear incurring the wrath of other judges in that court for embarrassing a judge. These are real concerns across the Arizona bar.</w:t>
      </w:r>
    </w:p>
    <w:p w14:paraId="074BE69A" w14:textId="5E7248C3" w:rsidR="004401EB" w:rsidRDefault="00E756CD" w:rsidP="000861C0">
      <w:pPr>
        <w:spacing w:line="480" w:lineRule="auto"/>
        <w:ind w:firstLine="720"/>
        <w:jc w:val="both"/>
        <w:rPr>
          <w:rFonts w:ascii="Times New Roman" w:hAnsi="Times New Roman"/>
          <w:sz w:val="28"/>
          <w:szCs w:val="28"/>
        </w:rPr>
      </w:pPr>
      <w:r>
        <w:rPr>
          <w:rFonts w:ascii="Times New Roman" w:hAnsi="Times New Roman"/>
          <w:sz w:val="28"/>
          <w:szCs w:val="28"/>
        </w:rPr>
        <w:t xml:space="preserve">The Committee also relies on Wyoming’s repeal of its rule to suggest a trend. </w:t>
      </w:r>
      <w:r w:rsidR="000861C0">
        <w:rPr>
          <w:rFonts w:ascii="Times New Roman" w:hAnsi="Times New Roman"/>
          <w:sz w:val="28"/>
          <w:szCs w:val="28"/>
        </w:rPr>
        <w:t>But the Committee is wrong to rely on the experience of one state to justify repeal of a time-honored tradition</w:t>
      </w:r>
      <w:r w:rsidR="0064587B">
        <w:rPr>
          <w:rFonts w:ascii="Times New Roman" w:hAnsi="Times New Roman"/>
          <w:sz w:val="28"/>
          <w:szCs w:val="28"/>
        </w:rPr>
        <w:t xml:space="preserve"> in our state</w:t>
      </w:r>
      <w:r w:rsidR="000861C0">
        <w:rPr>
          <w:rFonts w:ascii="Times New Roman" w:hAnsi="Times New Roman"/>
          <w:sz w:val="28"/>
          <w:szCs w:val="28"/>
        </w:rPr>
        <w:t xml:space="preserve">. In </w:t>
      </w:r>
      <w:r w:rsidR="000861C0" w:rsidRPr="005E0DC8">
        <w:rPr>
          <w:rFonts w:ascii="Times New Roman" w:hAnsi="Times New Roman"/>
          <w:i/>
          <w:sz w:val="28"/>
          <w:szCs w:val="28"/>
        </w:rPr>
        <w:t>State v. City Court of City of Tucson</w:t>
      </w:r>
      <w:r w:rsidR="000861C0">
        <w:rPr>
          <w:rFonts w:ascii="Times New Roman" w:hAnsi="Times New Roman"/>
          <w:sz w:val="28"/>
          <w:szCs w:val="28"/>
        </w:rPr>
        <w:t>, 150 Ariz. 99, 102 (1986), this Court noted, “</w:t>
      </w:r>
      <w:r w:rsidR="000861C0" w:rsidRPr="000861C0">
        <w:rPr>
          <w:rFonts w:ascii="Times New Roman" w:hAnsi="Times New Roman"/>
          <w:sz w:val="28"/>
          <w:szCs w:val="28"/>
        </w:rPr>
        <w:t xml:space="preserve">Arizona is part of a minority of three states, along with Indiana and North Dakota, with such a </w:t>
      </w:r>
      <w:r w:rsidR="000861C0">
        <w:rPr>
          <w:rFonts w:ascii="Times New Roman" w:hAnsi="Times New Roman"/>
          <w:sz w:val="28"/>
          <w:szCs w:val="28"/>
        </w:rPr>
        <w:t>‘</w:t>
      </w:r>
      <w:r w:rsidR="000861C0" w:rsidRPr="000861C0">
        <w:rPr>
          <w:rFonts w:ascii="Times New Roman" w:hAnsi="Times New Roman"/>
          <w:sz w:val="28"/>
          <w:szCs w:val="28"/>
        </w:rPr>
        <w:t>liberal</w:t>
      </w:r>
      <w:r w:rsidR="000861C0">
        <w:rPr>
          <w:rFonts w:ascii="Times New Roman" w:hAnsi="Times New Roman"/>
          <w:sz w:val="28"/>
          <w:szCs w:val="28"/>
        </w:rPr>
        <w:t>’</w:t>
      </w:r>
      <w:r w:rsidR="000861C0" w:rsidRPr="000861C0">
        <w:rPr>
          <w:rFonts w:ascii="Times New Roman" w:hAnsi="Times New Roman"/>
          <w:sz w:val="28"/>
          <w:szCs w:val="28"/>
        </w:rPr>
        <w:t xml:space="preserve"> rule of disqualification.</w:t>
      </w:r>
      <w:r w:rsidR="000861C0">
        <w:rPr>
          <w:rFonts w:ascii="Times New Roman" w:hAnsi="Times New Roman"/>
          <w:sz w:val="28"/>
          <w:szCs w:val="28"/>
        </w:rPr>
        <w:t xml:space="preserve">” This Court cited favorably to </w:t>
      </w:r>
      <w:r w:rsidR="000861C0" w:rsidRPr="000861C0">
        <w:rPr>
          <w:rFonts w:ascii="Times New Roman" w:hAnsi="Times New Roman"/>
          <w:i/>
          <w:sz w:val="28"/>
          <w:szCs w:val="28"/>
        </w:rPr>
        <w:t>State v. Keel</w:t>
      </w:r>
      <w:r w:rsidR="000861C0">
        <w:rPr>
          <w:rFonts w:ascii="Times New Roman" w:hAnsi="Times New Roman"/>
          <w:sz w:val="28"/>
          <w:szCs w:val="28"/>
        </w:rPr>
        <w:t>, 137 Ariz. 532, 534 (App. 1983), which stated that “[t]he right to a change of judge without cause is zealously protected…”</w:t>
      </w:r>
      <w:r w:rsidR="000861C0">
        <w:rPr>
          <w:rStyle w:val="FootnoteReference"/>
          <w:rFonts w:ascii="Times New Roman" w:hAnsi="Times New Roman"/>
          <w:sz w:val="28"/>
          <w:szCs w:val="28"/>
        </w:rPr>
        <w:footnoteReference w:id="4"/>
      </w:r>
      <w:r w:rsidR="000861C0">
        <w:rPr>
          <w:rFonts w:ascii="Times New Roman" w:hAnsi="Times New Roman"/>
          <w:sz w:val="28"/>
          <w:szCs w:val="28"/>
        </w:rPr>
        <w:t xml:space="preserve"> </w:t>
      </w:r>
      <w:r w:rsidR="0064587B">
        <w:rPr>
          <w:rFonts w:ascii="Times New Roman" w:hAnsi="Times New Roman"/>
          <w:sz w:val="28"/>
          <w:szCs w:val="28"/>
        </w:rPr>
        <w:t xml:space="preserve">Thus, Arizona has not only recognized but embraced its outlier status in this regard. </w:t>
      </w:r>
    </w:p>
    <w:p w14:paraId="39730685" w14:textId="7EEF9395" w:rsidR="000861C0" w:rsidRDefault="006443C6" w:rsidP="000861C0">
      <w:pPr>
        <w:spacing w:line="480" w:lineRule="auto"/>
        <w:ind w:firstLine="720"/>
        <w:jc w:val="both"/>
        <w:rPr>
          <w:rFonts w:ascii="Times New Roman" w:hAnsi="Times New Roman"/>
          <w:sz w:val="28"/>
          <w:szCs w:val="28"/>
        </w:rPr>
      </w:pPr>
      <w:r>
        <w:rPr>
          <w:rFonts w:ascii="Times New Roman" w:hAnsi="Times New Roman"/>
          <w:sz w:val="28"/>
          <w:szCs w:val="28"/>
        </w:rPr>
        <w:t>Sometimes it is appropriate to revisit old ideas and even to change one’s mind. In</w:t>
      </w:r>
      <w:r w:rsidR="0064587B">
        <w:rPr>
          <w:rFonts w:ascii="Times New Roman" w:hAnsi="Times New Roman"/>
          <w:sz w:val="28"/>
          <w:szCs w:val="28"/>
        </w:rPr>
        <w:t xml:space="preserve"> </w:t>
      </w:r>
      <w:r w:rsidR="0064587B" w:rsidRPr="0064587B">
        <w:rPr>
          <w:rFonts w:ascii="Times New Roman" w:hAnsi="Times New Roman"/>
          <w:i/>
          <w:sz w:val="28"/>
          <w:szCs w:val="28"/>
        </w:rPr>
        <w:t>State v. Hickman</w:t>
      </w:r>
      <w:r>
        <w:rPr>
          <w:rFonts w:ascii="Times New Roman" w:hAnsi="Times New Roman"/>
          <w:sz w:val="28"/>
          <w:szCs w:val="28"/>
        </w:rPr>
        <w:t>, 205 Ariz. 192, 193 ¶ 1</w:t>
      </w:r>
      <w:r w:rsidR="0064587B">
        <w:rPr>
          <w:rFonts w:ascii="Times New Roman" w:hAnsi="Times New Roman"/>
          <w:sz w:val="28"/>
          <w:szCs w:val="28"/>
        </w:rPr>
        <w:t xml:space="preserve"> (2003), this Court revisited </w:t>
      </w:r>
      <w:r>
        <w:rPr>
          <w:rFonts w:ascii="Times New Roman" w:hAnsi="Times New Roman"/>
          <w:sz w:val="28"/>
          <w:szCs w:val="28"/>
        </w:rPr>
        <w:t>a court-created</w:t>
      </w:r>
      <w:r w:rsidR="0064587B">
        <w:rPr>
          <w:rFonts w:ascii="Times New Roman" w:hAnsi="Times New Roman"/>
          <w:sz w:val="28"/>
          <w:szCs w:val="28"/>
        </w:rPr>
        <w:t xml:space="preserve"> rule permitting for “automatic reversal of a criminal trial when a defendant uses a peremptory strike to remove a prospective juror whom the trial court should have excused for cause.” </w:t>
      </w:r>
      <w:r>
        <w:rPr>
          <w:rFonts w:ascii="Times New Roman" w:hAnsi="Times New Roman"/>
          <w:sz w:val="28"/>
          <w:szCs w:val="28"/>
        </w:rPr>
        <w:t xml:space="preserve">But it only did so after thoroughly discussing changes in </w:t>
      </w:r>
      <w:r>
        <w:rPr>
          <w:rFonts w:ascii="Times New Roman" w:hAnsi="Times New Roman"/>
          <w:sz w:val="28"/>
          <w:szCs w:val="28"/>
        </w:rPr>
        <w:lastRenderedPageBreak/>
        <w:t xml:space="preserve">circumstances justifying the change and carefully explaining why the rule was bad policy. </w:t>
      </w:r>
      <w:r w:rsidR="004401EB">
        <w:rPr>
          <w:rFonts w:ascii="Times New Roman" w:hAnsi="Times New Roman"/>
          <w:sz w:val="28"/>
          <w:szCs w:val="28"/>
        </w:rPr>
        <w:t xml:space="preserve">Unlike the rule overturned in </w:t>
      </w:r>
      <w:r w:rsidR="004401EB" w:rsidRPr="004401EB">
        <w:rPr>
          <w:rFonts w:ascii="Times New Roman" w:hAnsi="Times New Roman"/>
          <w:i/>
          <w:sz w:val="28"/>
          <w:szCs w:val="28"/>
        </w:rPr>
        <w:t>Hickman</w:t>
      </w:r>
      <w:r w:rsidR="004401EB">
        <w:rPr>
          <w:rFonts w:ascii="Times New Roman" w:hAnsi="Times New Roman"/>
          <w:sz w:val="28"/>
          <w:szCs w:val="28"/>
        </w:rPr>
        <w:t>,</w:t>
      </w:r>
      <w:r>
        <w:rPr>
          <w:rFonts w:ascii="Times New Roman" w:hAnsi="Times New Roman"/>
          <w:sz w:val="28"/>
          <w:szCs w:val="28"/>
        </w:rPr>
        <w:t xml:space="preserve"> the Committee has provided no reason to revisit </w:t>
      </w:r>
      <w:r w:rsidR="004401EB">
        <w:rPr>
          <w:rFonts w:ascii="Times New Roman" w:hAnsi="Times New Roman"/>
          <w:sz w:val="28"/>
          <w:szCs w:val="28"/>
        </w:rPr>
        <w:t>the procedural right of a peremptory change of judge</w:t>
      </w:r>
      <w:r>
        <w:rPr>
          <w:rFonts w:ascii="Times New Roman" w:hAnsi="Times New Roman"/>
          <w:sz w:val="28"/>
          <w:szCs w:val="28"/>
        </w:rPr>
        <w:t>, and there is overwhelming reason to maintain it</w:t>
      </w:r>
      <w:r w:rsidR="004401EB">
        <w:rPr>
          <w:rFonts w:ascii="Times New Roman" w:hAnsi="Times New Roman"/>
          <w:sz w:val="28"/>
          <w:szCs w:val="28"/>
        </w:rPr>
        <w:t>.</w:t>
      </w:r>
    </w:p>
    <w:p w14:paraId="70CEF561" w14:textId="77777777" w:rsidR="00B8570B" w:rsidRDefault="00B8570B" w:rsidP="001D0E6C">
      <w:pPr>
        <w:spacing w:line="480" w:lineRule="auto"/>
        <w:ind w:firstLine="720"/>
        <w:jc w:val="both"/>
        <w:rPr>
          <w:rFonts w:ascii="Times New Roman" w:hAnsi="Times New Roman"/>
          <w:sz w:val="28"/>
          <w:szCs w:val="28"/>
        </w:rPr>
      </w:pPr>
    </w:p>
    <w:p w14:paraId="6C165CF7" w14:textId="227B9911" w:rsidR="000D5746" w:rsidRPr="000D5746" w:rsidRDefault="000D5746" w:rsidP="000D5746">
      <w:pPr>
        <w:spacing w:line="240" w:lineRule="auto"/>
        <w:ind w:left="720" w:hanging="720"/>
        <w:jc w:val="both"/>
        <w:rPr>
          <w:rFonts w:ascii="Times New Roman" w:hAnsi="Times New Roman"/>
          <w:b/>
          <w:sz w:val="28"/>
          <w:szCs w:val="28"/>
        </w:rPr>
      </w:pPr>
      <w:r>
        <w:rPr>
          <w:rFonts w:ascii="Times New Roman" w:hAnsi="Times New Roman"/>
          <w:b/>
          <w:sz w:val="28"/>
          <w:szCs w:val="28"/>
        </w:rPr>
        <w:t xml:space="preserve">II. </w:t>
      </w:r>
      <w:r>
        <w:rPr>
          <w:rFonts w:ascii="Times New Roman" w:hAnsi="Times New Roman"/>
          <w:b/>
          <w:sz w:val="28"/>
          <w:szCs w:val="28"/>
        </w:rPr>
        <w:tab/>
      </w:r>
      <w:r w:rsidR="00EC423D">
        <w:rPr>
          <w:rFonts w:ascii="Times New Roman" w:hAnsi="Times New Roman"/>
          <w:b/>
          <w:sz w:val="28"/>
          <w:szCs w:val="28"/>
        </w:rPr>
        <w:t xml:space="preserve">THE EXISTING RULES FOR PEREMPTORY CHANGES OF JUDGE ALREADY ACCOUNT FOR MINIMIZING INTERRUPTIONS TO </w:t>
      </w:r>
      <w:r>
        <w:rPr>
          <w:rFonts w:ascii="Times New Roman" w:hAnsi="Times New Roman"/>
          <w:b/>
          <w:sz w:val="28"/>
          <w:szCs w:val="28"/>
        </w:rPr>
        <w:t>J</w:t>
      </w:r>
      <w:r w:rsidR="00EC423D">
        <w:rPr>
          <w:rFonts w:ascii="Times New Roman" w:hAnsi="Times New Roman"/>
          <w:b/>
          <w:sz w:val="28"/>
          <w:szCs w:val="28"/>
        </w:rPr>
        <w:t>UDICIAL DOCKETS</w:t>
      </w:r>
    </w:p>
    <w:p w14:paraId="30F97063" w14:textId="77777777" w:rsidR="000D5746" w:rsidRDefault="000D5746" w:rsidP="000D5746">
      <w:pPr>
        <w:spacing w:line="240" w:lineRule="auto"/>
        <w:ind w:firstLine="720"/>
        <w:jc w:val="both"/>
        <w:rPr>
          <w:rFonts w:ascii="Times New Roman" w:hAnsi="Times New Roman"/>
          <w:sz w:val="28"/>
          <w:szCs w:val="28"/>
        </w:rPr>
      </w:pPr>
    </w:p>
    <w:p w14:paraId="2F266088" w14:textId="77777777" w:rsidR="00364D73" w:rsidRDefault="00364D73" w:rsidP="00364D73">
      <w:pPr>
        <w:spacing w:line="480" w:lineRule="auto"/>
        <w:ind w:firstLine="720"/>
        <w:jc w:val="both"/>
        <w:rPr>
          <w:rFonts w:ascii="Times New Roman" w:hAnsi="Times New Roman"/>
          <w:sz w:val="28"/>
          <w:szCs w:val="28"/>
        </w:rPr>
      </w:pPr>
      <w:r>
        <w:rPr>
          <w:rFonts w:ascii="Times New Roman" w:hAnsi="Times New Roman"/>
          <w:sz w:val="28"/>
          <w:szCs w:val="28"/>
        </w:rPr>
        <w:t>The Committee states that “the challenges posed by peremptory change of judge rules cannot be overstated,” Petition at 4, but in fact these challenges have been overstated. AACJ does not question that some individual cases may be affected, and that there might be a more noticeable impact in “</w:t>
      </w:r>
      <w:proofErr w:type="gramStart"/>
      <w:r>
        <w:rPr>
          <w:rFonts w:ascii="Times New Roman" w:hAnsi="Times New Roman"/>
          <w:sz w:val="28"/>
          <w:szCs w:val="28"/>
        </w:rPr>
        <w:t>smaller[</w:t>
      </w:r>
      <w:proofErr w:type="gramEnd"/>
      <w:r>
        <w:rPr>
          <w:rFonts w:ascii="Times New Roman" w:hAnsi="Times New Roman"/>
          <w:sz w:val="28"/>
          <w:szCs w:val="28"/>
        </w:rPr>
        <w:t xml:space="preserve">,] more geographically remote courts.” </w:t>
      </w:r>
      <w:r w:rsidRPr="00C03FBA">
        <w:rPr>
          <w:rFonts w:ascii="Times New Roman" w:hAnsi="Times New Roman"/>
          <w:i/>
          <w:sz w:val="28"/>
          <w:szCs w:val="28"/>
        </w:rPr>
        <w:t>Id</w:t>
      </w:r>
      <w:r>
        <w:rPr>
          <w:rFonts w:ascii="Times New Roman" w:hAnsi="Times New Roman"/>
          <w:sz w:val="28"/>
          <w:szCs w:val="28"/>
        </w:rPr>
        <w:t>. Absent evidence to support the Committee’s claims, however, it is hard to agree that judicial efficiency is “threatened.”</w:t>
      </w:r>
    </w:p>
    <w:p w14:paraId="2BC69289" w14:textId="0BFE62A0" w:rsidR="00161CD3" w:rsidRDefault="00161CD3" w:rsidP="00161CD3">
      <w:pPr>
        <w:spacing w:line="480" w:lineRule="auto"/>
        <w:ind w:firstLine="720"/>
        <w:jc w:val="both"/>
        <w:rPr>
          <w:rFonts w:ascii="Times New Roman" w:hAnsi="Times New Roman"/>
          <w:sz w:val="28"/>
          <w:szCs w:val="28"/>
        </w:rPr>
      </w:pPr>
      <w:r>
        <w:rPr>
          <w:rFonts w:ascii="Times New Roman" w:hAnsi="Times New Roman"/>
          <w:sz w:val="28"/>
          <w:szCs w:val="28"/>
        </w:rPr>
        <w:t xml:space="preserve">To </w:t>
      </w:r>
      <w:r w:rsidR="00364D73">
        <w:rPr>
          <w:rFonts w:ascii="Times New Roman" w:hAnsi="Times New Roman"/>
          <w:sz w:val="28"/>
          <w:szCs w:val="28"/>
        </w:rPr>
        <w:t>support</w:t>
      </w:r>
      <w:r>
        <w:rPr>
          <w:rFonts w:ascii="Times New Roman" w:hAnsi="Times New Roman"/>
          <w:sz w:val="28"/>
          <w:szCs w:val="28"/>
        </w:rPr>
        <w:t xml:space="preserve"> its claim that peremptory changes of judge </w:t>
      </w:r>
      <w:r w:rsidRPr="00C74052">
        <w:rPr>
          <w:rFonts w:ascii="Times New Roman" w:hAnsi="Times New Roman"/>
          <w:sz w:val="28"/>
          <w:szCs w:val="28"/>
        </w:rPr>
        <w:t>wreak havoc</w:t>
      </w:r>
      <w:r>
        <w:rPr>
          <w:rFonts w:ascii="Times New Roman" w:hAnsi="Times New Roman"/>
          <w:sz w:val="28"/>
          <w:szCs w:val="28"/>
        </w:rPr>
        <w:t xml:space="preserve"> on judicial dockets, the Committee quotes the order of the Wyoming Supreme Court repealing their similar rule in 2013.</w:t>
      </w:r>
      <w:r w:rsidR="00BF387F">
        <w:rPr>
          <w:rFonts w:ascii="Times New Roman" w:hAnsi="Times New Roman"/>
          <w:sz w:val="28"/>
          <w:szCs w:val="28"/>
        </w:rPr>
        <w:t xml:space="preserve"> The Committee did not supply any of the evidence upon which that court relied.</w:t>
      </w:r>
      <w:r>
        <w:rPr>
          <w:rFonts w:ascii="Times New Roman" w:hAnsi="Times New Roman"/>
          <w:sz w:val="28"/>
          <w:szCs w:val="28"/>
        </w:rPr>
        <w:t xml:space="preserve"> Some of those findings</w:t>
      </w:r>
      <w:r w:rsidR="00477B15">
        <w:rPr>
          <w:rFonts w:ascii="Times New Roman" w:hAnsi="Times New Roman"/>
          <w:sz w:val="28"/>
          <w:szCs w:val="28"/>
        </w:rPr>
        <w:t xml:space="preserve"> do not apply in Arizona</w:t>
      </w:r>
      <w:r w:rsidR="00187F69">
        <w:rPr>
          <w:rFonts w:ascii="Times New Roman" w:hAnsi="Times New Roman"/>
          <w:sz w:val="28"/>
          <w:szCs w:val="28"/>
        </w:rPr>
        <w:t xml:space="preserve"> (for example, that “</w:t>
      </w:r>
      <w:r w:rsidR="00187F69" w:rsidRPr="00927224">
        <w:rPr>
          <w:rFonts w:ascii="Times New Roman" w:hAnsi="Times New Roman"/>
          <w:sz w:val="28"/>
          <w:szCs w:val="28"/>
        </w:rPr>
        <w:t>unfettered peremptory challenges of judges encourages judge shopping</w:t>
      </w:r>
      <w:r w:rsidR="00187F69">
        <w:rPr>
          <w:rFonts w:ascii="Times New Roman" w:hAnsi="Times New Roman"/>
          <w:sz w:val="28"/>
          <w:szCs w:val="28"/>
        </w:rPr>
        <w:t xml:space="preserve">”), </w:t>
      </w:r>
      <w:r w:rsidR="00477B15">
        <w:rPr>
          <w:rFonts w:ascii="Times New Roman" w:hAnsi="Times New Roman"/>
          <w:sz w:val="28"/>
          <w:szCs w:val="28"/>
        </w:rPr>
        <w:t>while others require factual support that might exist in Wyoming but was not provided by the Committee in support of the petition to repeal Arizona’s rules.</w:t>
      </w:r>
    </w:p>
    <w:p w14:paraId="0C094AF3" w14:textId="73EC2C75" w:rsidR="00411233" w:rsidRDefault="00411233" w:rsidP="00161CD3">
      <w:pPr>
        <w:spacing w:line="480" w:lineRule="auto"/>
        <w:ind w:firstLine="720"/>
        <w:jc w:val="both"/>
        <w:rPr>
          <w:rFonts w:ascii="Times New Roman" w:hAnsi="Times New Roman"/>
          <w:sz w:val="28"/>
          <w:szCs w:val="28"/>
        </w:rPr>
      </w:pPr>
      <w:r>
        <w:rPr>
          <w:rFonts w:ascii="Times New Roman" w:hAnsi="Times New Roman"/>
          <w:sz w:val="28"/>
          <w:szCs w:val="28"/>
        </w:rPr>
        <w:lastRenderedPageBreak/>
        <w:t>Perhaps the most striking difference between Wyoming and Arizona is the population of each state. Wyoming is the least populated state in the country</w:t>
      </w:r>
      <w:r w:rsidR="003D728D">
        <w:rPr>
          <w:rFonts w:ascii="Times New Roman" w:hAnsi="Times New Roman"/>
          <w:sz w:val="28"/>
          <w:szCs w:val="28"/>
        </w:rPr>
        <w:t xml:space="preserve"> and ahead of only Alaska in terms of population density</w:t>
      </w:r>
      <w:r>
        <w:rPr>
          <w:rFonts w:ascii="Times New Roman" w:hAnsi="Times New Roman"/>
          <w:sz w:val="28"/>
          <w:szCs w:val="28"/>
        </w:rPr>
        <w:t xml:space="preserve">, whereas Arizona’s population is 7.5 million and </w:t>
      </w:r>
      <w:r w:rsidR="003D728D">
        <w:rPr>
          <w:rFonts w:ascii="Times New Roman" w:hAnsi="Times New Roman"/>
          <w:sz w:val="28"/>
          <w:szCs w:val="28"/>
        </w:rPr>
        <w:t>growing significantly each year. Of course, Arizona is a very diverse state, with the population base almost entirely in two counties.</w:t>
      </w:r>
      <w:r w:rsidR="00BF387F">
        <w:rPr>
          <w:rFonts w:ascii="Times New Roman" w:hAnsi="Times New Roman"/>
          <w:sz w:val="28"/>
          <w:szCs w:val="28"/>
        </w:rPr>
        <w:t xml:space="preserve"> But challenges faced by Arizona’s rural counties is not a new circumstance; those counties did not suddenly become rural in the last twenty years since this Court last considered abrogating Rule 10.2</w:t>
      </w:r>
      <w:r w:rsidR="000861C0">
        <w:rPr>
          <w:rFonts w:ascii="Times New Roman" w:hAnsi="Times New Roman"/>
          <w:sz w:val="28"/>
          <w:szCs w:val="28"/>
        </w:rPr>
        <w:t>.</w:t>
      </w:r>
      <w:r w:rsidR="00965D1E">
        <w:rPr>
          <w:rFonts w:ascii="Times New Roman" w:hAnsi="Times New Roman"/>
          <w:sz w:val="28"/>
          <w:szCs w:val="28"/>
        </w:rPr>
        <w:t xml:space="preserve"> “</w:t>
      </w:r>
      <w:r w:rsidR="00965D1E" w:rsidRPr="00965D1E">
        <w:rPr>
          <w:rFonts w:ascii="Times New Roman" w:hAnsi="Times New Roman"/>
          <w:sz w:val="28"/>
          <w:szCs w:val="28"/>
        </w:rPr>
        <w:t xml:space="preserve">The supreme court was aware when it issued its decision in </w:t>
      </w:r>
      <w:r w:rsidR="00965D1E" w:rsidRPr="00965D1E">
        <w:rPr>
          <w:rFonts w:ascii="Times New Roman" w:hAnsi="Times New Roman"/>
          <w:i/>
          <w:sz w:val="28"/>
          <w:szCs w:val="28"/>
        </w:rPr>
        <w:t>State v. City Court</w:t>
      </w:r>
      <w:r w:rsidR="00965D1E" w:rsidRPr="00965D1E">
        <w:rPr>
          <w:rFonts w:ascii="Times New Roman" w:hAnsi="Times New Roman"/>
          <w:sz w:val="28"/>
          <w:szCs w:val="28"/>
        </w:rPr>
        <w:t xml:space="preserve"> that the situation present in this case is common in many counties with smaller populations, that is, where the prosecutor’s office consists of one or two prosecutors who have available to them only one or two justice court precincts and superior court divisions</w:t>
      </w:r>
      <w:r w:rsidR="00965D1E">
        <w:rPr>
          <w:rFonts w:ascii="Times New Roman" w:hAnsi="Times New Roman"/>
          <w:sz w:val="28"/>
          <w:szCs w:val="28"/>
        </w:rPr>
        <w:t xml:space="preserve">.” </w:t>
      </w:r>
      <w:r w:rsidR="00965D1E" w:rsidRPr="00965D1E">
        <w:rPr>
          <w:rFonts w:ascii="Times New Roman" w:hAnsi="Times New Roman"/>
          <w:i/>
          <w:sz w:val="28"/>
          <w:szCs w:val="28"/>
        </w:rPr>
        <w:t>State v. Greenlee County Justice Court, Precinct 2</w:t>
      </w:r>
      <w:r w:rsidR="00965D1E">
        <w:rPr>
          <w:rFonts w:ascii="Times New Roman" w:hAnsi="Times New Roman"/>
          <w:sz w:val="28"/>
          <w:szCs w:val="28"/>
        </w:rPr>
        <w:t>, 157 Ariz. 270, 275 n.3 (App. 1988).</w:t>
      </w:r>
    </w:p>
    <w:p w14:paraId="6374A84C" w14:textId="13B554A2" w:rsidR="00364D73" w:rsidRDefault="00364D73" w:rsidP="00364D73">
      <w:pPr>
        <w:spacing w:line="480" w:lineRule="auto"/>
        <w:ind w:firstLine="720"/>
        <w:jc w:val="both"/>
        <w:rPr>
          <w:rFonts w:ascii="Times New Roman" w:hAnsi="Times New Roman"/>
          <w:sz w:val="28"/>
          <w:szCs w:val="28"/>
        </w:rPr>
      </w:pPr>
      <w:r>
        <w:rPr>
          <w:rFonts w:ascii="Times New Roman" w:hAnsi="Times New Roman"/>
          <w:sz w:val="28"/>
          <w:szCs w:val="28"/>
        </w:rPr>
        <w:t>Because the right to a fair and unbiased tribunal is protected by Rule 10.1</w:t>
      </w:r>
      <w:r w:rsidR="00BF387F">
        <w:rPr>
          <w:rFonts w:ascii="Times New Roman" w:hAnsi="Times New Roman"/>
          <w:sz w:val="28"/>
          <w:szCs w:val="28"/>
        </w:rPr>
        <w:t>,</w:t>
      </w:r>
      <w:r>
        <w:rPr>
          <w:rFonts w:ascii="Times New Roman" w:hAnsi="Times New Roman"/>
          <w:sz w:val="28"/>
          <w:szCs w:val="28"/>
        </w:rPr>
        <w:t xml:space="preserve"> and Rule 10.2 exists independently of that right, this Court is free to require litigant</w:t>
      </w:r>
      <w:r w:rsidR="007E538C">
        <w:rPr>
          <w:rFonts w:ascii="Times New Roman" w:hAnsi="Times New Roman"/>
          <w:sz w:val="28"/>
          <w:szCs w:val="28"/>
        </w:rPr>
        <w:t>s</w:t>
      </w:r>
      <w:r>
        <w:rPr>
          <w:rFonts w:ascii="Times New Roman" w:hAnsi="Times New Roman"/>
          <w:sz w:val="28"/>
          <w:szCs w:val="28"/>
        </w:rPr>
        <w:t xml:space="preserve"> to follow strict procedures. In</w:t>
      </w:r>
      <w:r w:rsidRPr="00477B15">
        <w:rPr>
          <w:rFonts w:ascii="Times New Roman" w:hAnsi="Times New Roman"/>
          <w:i/>
          <w:sz w:val="28"/>
          <w:szCs w:val="28"/>
        </w:rPr>
        <w:t xml:space="preserve"> </w:t>
      </w:r>
      <w:r w:rsidRPr="000D5746">
        <w:rPr>
          <w:rFonts w:ascii="Times New Roman" w:hAnsi="Times New Roman"/>
          <w:i/>
          <w:sz w:val="28"/>
          <w:szCs w:val="28"/>
        </w:rPr>
        <w:t>Higuera v. Lee</w:t>
      </w:r>
      <w:r w:rsidRPr="000D5746">
        <w:rPr>
          <w:rFonts w:ascii="Times New Roman" w:hAnsi="Times New Roman"/>
          <w:sz w:val="28"/>
          <w:szCs w:val="28"/>
        </w:rPr>
        <w:t>,</w:t>
      </w:r>
      <w:r>
        <w:rPr>
          <w:rFonts w:ascii="Times New Roman" w:hAnsi="Times New Roman"/>
          <w:sz w:val="28"/>
          <w:szCs w:val="28"/>
        </w:rPr>
        <w:t xml:space="preserve"> </w:t>
      </w:r>
      <w:r w:rsidRPr="000D5746">
        <w:rPr>
          <w:rFonts w:ascii="Times New Roman" w:hAnsi="Times New Roman"/>
          <w:sz w:val="28"/>
          <w:szCs w:val="28"/>
        </w:rPr>
        <w:t xml:space="preserve">241 Ariz. 76, </w:t>
      </w:r>
      <w:r>
        <w:rPr>
          <w:rFonts w:ascii="Times New Roman" w:hAnsi="Times New Roman"/>
          <w:sz w:val="28"/>
          <w:szCs w:val="28"/>
        </w:rPr>
        <w:t xml:space="preserve">77 </w:t>
      </w:r>
      <w:r w:rsidRPr="000D5746">
        <w:rPr>
          <w:rFonts w:ascii="Times New Roman" w:hAnsi="Times New Roman"/>
          <w:sz w:val="28"/>
          <w:szCs w:val="28"/>
        </w:rPr>
        <w:t>¶¶ 2</w:t>
      </w:r>
      <w:r>
        <w:rPr>
          <w:rFonts w:ascii="Times New Roman" w:hAnsi="Times New Roman"/>
          <w:sz w:val="28"/>
          <w:szCs w:val="28"/>
        </w:rPr>
        <w:t>-</w:t>
      </w:r>
      <w:r w:rsidRPr="000D5746">
        <w:rPr>
          <w:rFonts w:ascii="Times New Roman" w:hAnsi="Times New Roman"/>
          <w:sz w:val="28"/>
          <w:szCs w:val="28"/>
        </w:rPr>
        <w:t>3 (App. 2016)</w:t>
      </w:r>
      <w:r>
        <w:rPr>
          <w:rFonts w:ascii="Times New Roman" w:hAnsi="Times New Roman"/>
          <w:sz w:val="28"/>
          <w:szCs w:val="28"/>
        </w:rPr>
        <w:t>,</w:t>
      </w:r>
      <w:r w:rsidRPr="000D5746">
        <w:rPr>
          <w:rFonts w:ascii="Times New Roman" w:hAnsi="Times New Roman"/>
          <w:sz w:val="28"/>
          <w:szCs w:val="28"/>
        </w:rPr>
        <w:t xml:space="preserve"> </w:t>
      </w:r>
      <w:r>
        <w:rPr>
          <w:rFonts w:ascii="Times New Roman" w:hAnsi="Times New Roman"/>
          <w:sz w:val="28"/>
          <w:szCs w:val="28"/>
        </w:rPr>
        <w:t xml:space="preserve">the defendant failed to comply with </w:t>
      </w:r>
      <w:r w:rsidRPr="000D5746">
        <w:rPr>
          <w:rFonts w:ascii="Times New Roman" w:hAnsi="Times New Roman"/>
          <w:sz w:val="28"/>
          <w:szCs w:val="28"/>
        </w:rPr>
        <w:t>Pima County Local Rule 3.1</w:t>
      </w:r>
      <w:r>
        <w:rPr>
          <w:rFonts w:ascii="Times New Roman" w:hAnsi="Times New Roman"/>
          <w:sz w:val="28"/>
          <w:szCs w:val="28"/>
        </w:rPr>
        <w:t>, which requires a copy of all pleadings to be distributed to the assigned judge</w:t>
      </w:r>
      <w:r w:rsidR="007E538C">
        <w:rPr>
          <w:rFonts w:ascii="Times New Roman" w:hAnsi="Times New Roman"/>
          <w:sz w:val="28"/>
          <w:szCs w:val="28"/>
        </w:rPr>
        <w:t>. As a result</w:t>
      </w:r>
      <w:r>
        <w:rPr>
          <w:rFonts w:ascii="Times New Roman" w:hAnsi="Times New Roman"/>
          <w:sz w:val="28"/>
          <w:szCs w:val="28"/>
        </w:rPr>
        <w:t xml:space="preserve">, the judge </w:t>
      </w:r>
      <w:r w:rsidR="007E538C">
        <w:rPr>
          <w:rFonts w:ascii="Times New Roman" w:hAnsi="Times New Roman"/>
          <w:sz w:val="28"/>
          <w:szCs w:val="28"/>
        </w:rPr>
        <w:t>presided over</w:t>
      </w:r>
      <w:r>
        <w:rPr>
          <w:rFonts w:ascii="Times New Roman" w:hAnsi="Times New Roman"/>
          <w:sz w:val="28"/>
          <w:szCs w:val="28"/>
        </w:rPr>
        <w:t xml:space="preserve"> a schedu</w:t>
      </w:r>
      <w:r w:rsidR="007E538C">
        <w:rPr>
          <w:rFonts w:ascii="Times New Roman" w:hAnsi="Times New Roman"/>
          <w:sz w:val="28"/>
          <w:szCs w:val="28"/>
        </w:rPr>
        <w:t xml:space="preserve">led case management conference </w:t>
      </w:r>
      <w:r>
        <w:rPr>
          <w:rFonts w:ascii="Times New Roman" w:hAnsi="Times New Roman"/>
          <w:sz w:val="28"/>
          <w:szCs w:val="28"/>
        </w:rPr>
        <w:t>with no objection from the defendant</w:t>
      </w:r>
      <w:r w:rsidR="007E538C">
        <w:rPr>
          <w:rFonts w:ascii="Times New Roman" w:hAnsi="Times New Roman"/>
          <w:sz w:val="28"/>
          <w:szCs w:val="28"/>
        </w:rPr>
        <w:t>, and the defendant’s request for change of judge was deemed waived</w:t>
      </w:r>
      <w:r>
        <w:rPr>
          <w:rFonts w:ascii="Times New Roman" w:hAnsi="Times New Roman"/>
          <w:sz w:val="28"/>
          <w:szCs w:val="28"/>
        </w:rPr>
        <w:t xml:space="preserve">. Similarly, </w:t>
      </w:r>
      <w:r>
        <w:rPr>
          <w:rFonts w:ascii="Times New Roman" w:hAnsi="Times New Roman"/>
          <w:sz w:val="28"/>
          <w:szCs w:val="28"/>
        </w:rPr>
        <w:lastRenderedPageBreak/>
        <w:t xml:space="preserve">because changes of judge are not for cause and are thus “a matter of grace,” a party may not appeal that denial but must file a special action. </w:t>
      </w:r>
      <w:r w:rsidRPr="00930C81">
        <w:rPr>
          <w:rFonts w:ascii="Times New Roman" w:hAnsi="Times New Roman"/>
          <w:i/>
          <w:sz w:val="28"/>
          <w:szCs w:val="28"/>
        </w:rPr>
        <w:t>State v. Ingram</w:t>
      </w:r>
      <w:r>
        <w:rPr>
          <w:rFonts w:ascii="Times New Roman" w:hAnsi="Times New Roman"/>
          <w:sz w:val="28"/>
          <w:szCs w:val="28"/>
        </w:rPr>
        <w:t xml:space="preserve">, 239 Ariz. 228, 230-31 ¶¶ 8-10 (App. 2016) (quoting </w:t>
      </w:r>
      <w:r w:rsidRPr="00930C81">
        <w:rPr>
          <w:rFonts w:ascii="Times New Roman" w:hAnsi="Times New Roman"/>
          <w:i/>
          <w:sz w:val="28"/>
          <w:szCs w:val="28"/>
        </w:rPr>
        <w:t>Taliaferro v. Taliaferro</w:t>
      </w:r>
      <w:r>
        <w:rPr>
          <w:rFonts w:ascii="Times New Roman" w:hAnsi="Times New Roman"/>
          <w:sz w:val="28"/>
          <w:szCs w:val="28"/>
        </w:rPr>
        <w:t>, 186 Ariz. 221, 223-24 (1996)).</w:t>
      </w:r>
    </w:p>
    <w:p w14:paraId="10CC1EBA" w14:textId="1151AFD2" w:rsidR="00411233" w:rsidRDefault="00411233" w:rsidP="00161CD3">
      <w:pPr>
        <w:spacing w:line="480" w:lineRule="auto"/>
        <w:ind w:firstLine="720"/>
        <w:jc w:val="both"/>
        <w:rPr>
          <w:rFonts w:ascii="Times New Roman" w:hAnsi="Times New Roman"/>
          <w:sz w:val="28"/>
          <w:szCs w:val="28"/>
        </w:rPr>
      </w:pPr>
      <w:r>
        <w:rPr>
          <w:rFonts w:ascii="Times New Roman" w:hAnsi="Times New Roman"/>
          <w:sz w:val="28"/>
          <w:szCs w:val="28"/>
        </w:rPr>
        <w:t xml:space="preserve">The notice must be filed early in the case, and prior to any rulings on contested matters or participation in pre-trial hearings. </w:t>
      </w:r>
      <w:r w:rsidR="009B5E32" w:rsidRPr="009B5E32">
        <w:rPr>
          <w:rFonts w:ascii="Times New Roman" w:hAnsi="Times New Roman"/>
          <w:i/>
          <w:sz w:val="28"/>
          <w:szCs w:val="28"/>
        </w:rPr>
        <w:t xml:space="preserve">See also </w:t>
      </w:r>
      <w:r w:rsidR="009B5E32" w:rsidRPr="000D5746">
        <w:rPr>
          <w:rFonts w:ascii="Times New Roman" w:hAnsi="Times New Roman"/>
          <w:i/>
          <w:sz w:val="28"/>
          <w:szCs w:val="28"/>
        </w:rPr>
        <w:t>Higuera</w:t>
      </w:r>
      <w:r w:rsidR="009B5E32" w:rsidRPr="000D5746">
        <w:rPr>
          <w:rFonts w:ascii="Times New Roman" w:hAnsi="Times New Roman"/>
          <w:sz w:val="28"/>
          <w:szCs w:val="28"/>
        </w:rPr>
        <w:t xml:space="preserve">, 241 Ariz. </w:t>
      </w:r>
      <w:r w:rsidR="009B5E32">
        <w:rPr>
          <w:rFonts w:ascii="Times New Roman" w:hAnsi="Times New Roman"/>
          <w:sz w:val="28"/>
          <w:szCs w:val="28"/>
        </w:rPr>
        <w:t>at 81-82</w:t>
      </w:r>
      <w:r w:rsidR="009B5E32" w:rsidRPr="000D5746">
        <w:rPr>
          <w:rFonts w:ascii="Times New Roman" w:hAnsi="Times New Roman"/>
          <w:sz w:val="28"/>
          <w:szCs w:val="28"/>
        </w:rPr>
        <w:t xml:space="preserve"> n.7</w:t>
      </w:r>
      <w:r w:rsidR="009B5E32">
        <w:rPr>
          <w:rFonts w:ascii="Times New Roman" w:hAnsi="Times New Roman"/>
          <w:sz w:val="28"/>
          <w:szCs w:val="28"/>
        </w:rPr>
        <w:t xml:space="preserve"> (</w:t>
      </w:r>
      <w:r w:rsidR="009B5E32" w:rsidRPr="000D5746">
        <w:rPr>
          <w:rFonts w:ascii="Times New Roman" w:hAnsi="Times New Roman"/>
          <w:sz w:val="28"/>
          <w:szCs w:val="28"/>
        </w:rPr>
        <w:t>“Nothing in Rule 10 requires a judge to transfer the proceeding to the presiding judge if a notice is untimely</w:t>
      </w:r>
      <w:r w:rsidR="009B5E32">
        <w:rPr>
          <w:rFonts w:ascii="Times New Roman" w:hAnsi="Times New Roman"/>
          <w:sz w:val="28"/>
          <w:szCs w:val="28"/>
        </w:rPr>
        <w:t xml:space="preserve"> or the right has been waived.”). </w:t>
      </w:r>
      <w:r>
        <w:rPr>
          <w:rFonts w:ascii="Times New Roman" w:hAnsi="Times New Roman"/>
          <w:sz w:val="28"/>
          <w:szCs w:val="28"/>
        </w:rPr>
        <w:t>The entirety of this process takes a couple of days. The only cases where this process might cause undue delay are those that are assigned to a new judge on the eve of trial, in which case a party must file “no later than 5:00 p.m. on the next business day … or by the start of trial, whichever occurs earlier.” Rule 10.2(c</w:t>
      </w:r>
      <w:proofErr w:type="gramStart"/>
      <w:r>
        <w:rPr>
          <w:rFonts w:ascii="Times New Roman" w:hAnsi="Times New Roman"/>
          <w:sz w:val="28"/>
          <w:szCs w:val="28"/>
        </w:rPr>
        <w:t>)(</w:t>
      </w:r>
      <w:proofErr w:type="gramEnd"/>
      <w:r>
        <w:rPr>
          <w:rFonts w:ascii="Times New Roman" w:hAnsi="Times New Roman"/>
          <w:sz w:val="28"/>
          <w:szCs w:val="28"/>
        </w:rPr>
        <w:t xml:space="preserve">2). It should be a rare occurrence that a new judge is assigned less than two days before trial begins; it certainly is not so common so as to have a drastic effect on administration of court dockets. </w:t>
      </w:r>
      <w:r w:rsidR="00187F69">
        <w:rPr>
          <w:rFonts w:ascii="Times New Roman" w:hAnsi="Times New Roman"/>
          <w:sz w:val="28"/>
          <w:szCs w:val="28"/>
        </w:rPr>
        <w:t>AACJ is unaware of any case where a defendant was denied a speedy trial as a result of a peremptory change of judge;</w:t>
      </w:r>
      <w:r w:rsidR="00187F69">
        <w:rPr>
          <w:rStyle w:val="FootnoteReference"/>
          <w:rFonts w:ascii="Times New Roman" w:hAnsi="Times New Roman"/>
          <w:sz w:val="28"/>
          <w:szCs w:val="28"/>
        </w:rPr>
        <w:footnoteReference w:id="5"/>
      </w:r>
      <w:r w:rsidR="00187F69">
        <w:rPr>
          <w:rFonts w:ascii="Times New Roman" w:hAnsi="Times New Roman"/>
          <w:sz w:val="28"/>
          <w:szCs w:val="28"/>
        </w:rPr>
        <w:t xml:space="preserve"> if such ever occurs, the court should honor the constitutional right to a speedy trial over the rule-based right to a peremptory change </w:t>
      </w:r>
      <w:r w:rsidR="00187F69">
        <w:rPr>
          <w:rFonts w:ascii="Times New Roman" w:hAnsi="Times New Roman"/>
          <w:sz w:val="28"/>
          <w:szCs w:val="28"/>
        </w:rPr>
        <w:lastRenderedPageBreak/>
        <w:t xml:space="preserve">of judge. </w:t>
      </w:r>
      <w:r>
        <w:rPr>
          <w:rFonts w:ascii="Times New Roman" w:hAnsi="Times New Roman"/>
          <w:sz w:val="28"/>
          <w:szCs w:val="28"/>
        </w:rPr>
        <w:t>Thus, the finding of the Wyoming Supreme Court that “</w:t>
      </w:r>
      <w:r w:rsidRPr="00411233">
        <w:rPr>
          <w:rFonts w:ascii="Times New Roman" w:hAnsi="Times New Roman"/>
          <w:sz w:val="28"/>
          <w:szCs w:val="28"/>
        </w:rPr>
        <w:t>delays in the timely resolution of juvenile and criminal cases may result</w:t>
      </w:r>
      <w:r>
        <w:rPr>
          <w:rFonts w:ascii="Times New Roman" w:hAnsi="Times New Roman"/>
          <w:sz w:val="28"/>
          <w:szCs w:val="28"/>
        </w:rPr>
        <w:t>” does not apply in Arizona.</w:t>
      </w:r>
    </w:p>
    <w:p w14:paraId="521FCBE2" w14:textId="6BEEE364" w:rsidR="00ED2EE4" w:rsidRDefault="00ED2EE4" w:rsidP="00161CD3">
      <w:pPr>
        <w:spacing w:line="480" w:lineRule="auto"/>
        <w:ind w:firstLine="720"/>
        <w:jc w:val="both"/>
        <w:rPr>
          <w:rFonts w:ascii="Times New Roman" w:hAnsi="Times New Roman"/>
          <w:sz w:val="28"/>
          <w:szCs w:val="28"/>
        </w:rPr>
      </w:pPr>
      <w:r>
        <w:rPr>
          <w:rFonts w:ascii="Times New Roman" w:hAnsi="Times New Roman"/>
          <w:sz w:val="28"/>
          <w:szCs w:val="28"/>
        </w:rPr>
        <w:t xml:space="preserve">Perhaps the least persuasive argument in favor of abrogating the peremptory change of judge is </w:t>
      </w:r>
      <w:r w:rsidR="00C03FBA">
        <w:rPr>
          <w:rFonts w:ascii="Times New Roman" w:hAnsi="Times New Roman"/>
          <w:sz w:val="28"/>
          <w:szCs w:val="28"/>
        </w:rPr>
        <w:t xml:space="preserve">the assertion that “[m]any superior court judges and all justices of the peace are elected in Arizona, yet these rules allow parties to remove a judge from serving thereby contravening </w:t>
      </w:r>
      <w:r w:rsidRPr="00ED2EE4">
        <w:rPr>
          <w:rFonts w:ascii="Times New Roman" w:hAnsi="Times New Roman"/>
          <w:sz w:val="28"/>
          <w:szCs w:val="28"/>
        </w:rPr>
        <w:t>the will of the voters</w:t>
      </w:r>
      <w:r w:rsidR="007E538C">
        <w:rPr>
          <w:rFonts w:ascii="Times New Roman" w:hAnsi="Times New Roman"/>
          <w:sz w:val="28"/>
          <w:szCs w:val="28"/>
        </w:rPr>
        <w:t>.</w:t>
      </w:r>
      <w:r>
        <w:rPr>
          <w:rFonts w:ascii="Times New Roman" w:hAnsi="Times New Roman"/>
          <w:sz w:val="28"/>
          <w:szCs w:val="28"/>
        </w:rPr>
        <w:t>” Petition at 4.</w:t>
      </w:r>
      <w:r w:rsidR="00C03FBA">
        <w:rPr>
          <w:rFonts w:ascii="Times New Roman" w:hAnsi="Times New Roman"/>
          <w:sz w:val="28"/>
          <w:szCs w:val="28"/>
        </w:rPr>
        <w:t xml:space="preserve"> This ignores the fact that for more than half of Arizona’s statehood, voters elected all judges—including justices of this Court. The Arizona Constitution was amended in 1974 to require merit selection for members of the appellate courts and for superior court judges in counties exceeding a population threshold. The manner of selecting judges in this state has never been a relevant consideration in determining whether there should be a procedural right of a peremptory change of judge.</w:t>
      </w:r>
      <w:r w:rsidR="007E538C">
        <w:rPr>
          <w:rFonts w:ascii="Times New Roman" w:hAnsi="Times New Roman"/>
          <w:sz w:val="28"/>
          <w:szCs w:val="28"/>
        </w:rPr>
        <w:t xml:space="preserve"> The voters may get to elect who presides in a particular courtroom, but they do not get to decide which judge hears a particular case.</w:t>
      </w:r>
    </w:p>
    <w:p w14:paraId="061C5D08" w14:textId="71D93198" w:rsidR="00EC423D" w:rsidRDefault="00EC423D" w:rsidP="00901B5C">
      <w:pPr>
        <w:spacing w:line="480" w:lineRule="auto"/>
        <w:ind w:firstLine="720"/>
        <w:jc w:val="both"/>
        <w:rPr>
          <w:rFonts w:ascii="Times New Roman" w:hAnsi="Times New Roman"/>
          <w:sz w:val="28"/>
          <w:szCs w:val="28"/>
        </w:rPr>
      </w:pPr>
    </w:p>
    <w:p w14:paraId="04E9BDB8" w14:textId="586CC99F" w:rsidR="00EC423D" w:rsidRPr="000D5746" w:rsidRDefault="00EC423D" w:rsidP="00EC423D">
      <w:pPr>
        <w:spacing w:line="240" w:lineRule="auto"/>
        <w:ind w:left="720" w:hanging="720"/>
        <w:jc w:val="both"/>
        <w:rPr>
          <w:rFonts w:ascii="Times New Roman" w:hAnsi="Times New Roman"/>
          <w:b/>
          <w:sz w:val="28"/>
          <w:szCs w:val="28"/>
        </w:rPr>
      </w:pPr>
      <w:r>
        <w:rPr>
          <w:rFonts w:ascii="Times New Roman" w:hAnsi="Times New Roman"/>
          <w:b/>
          <w:sz w:val="28"/>
          <w:szCs w:val="28"/>
        </w:rPr>
        <w:t xml:space="preserve">III. </w:t>
      </w:r>
      <w:r>
        <w:rPr>
          <w:rFonts w:ascii="Times New Roman" w:hAnsi="Times New Roman"/>
          <w:b/>
          <w:sz w:val="28"/>
          <w:szCs w:val="28"/>
        </w:rPr>
        <w:tab/>
        <w:t xml:space="preserve">RATHER THAN ABROGATE THESE RULES ENTIRELY, THIS COURT CAN </w:t>
      </w:r>
      <w:r w:rsidR="001E0C16">
        <w:rPr>
          <w:rFonts w:ascii="Times New Roman" w:hAnsi="Times New Roman"/>
          <w:b/>
          <w:sz w:val="28"/>
          <w:szCs w:val="28"/>
        </w:rPr>
        <w:t>MAKE APPROPRIATE CHANGES TO THE EXISTING RULES</w:t>
      </w:r>
    </w:p>
    <w:p w14:paraId="161FF565" w14:textId="77777777" w:rsidR="00EC423D" w:rsidRDefault="00EC423D" w:rsidP="00EC423D">
      <w:pPr>
        <w:spacing w:line="240" w:lineRule="auto"/>
        <w:ind w:firstLine="720"/>
        <w:jc w:val="both"/>
        <w:rPr>
          <w:rFonts w:ascii="Times New Roman" w:hAnsi="Times New Roman"/>
          <w:sz w:val="28"/>
          <w:szCs w:val="28"/>
        </w:rPr>
      </w:pPr>
    </w:p>
    <w:p w14:paraId="1F366A46" w14:textId="1BD3EF67" w:rsidR="001E0C16" w:rsidRDefault="001E0C16"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To the extent that Rule 10.2 is imperfect, the better practice would be to fix any problems. Such a process requires collecting and sharing information with </w:t>
      </w:r>
      <w:r>
        <w:rPr>
          <w:rFonts w:ascii="Times New Roman" w:hAnsi="Times New Roman"/>
          <w:sz w:val="28"/>
          <w:szCs w:val="28"/>
        </w:rPr>
        <w:lastRenderedPageBreak/>
        <w:t>stakeholders—including practitioners in criminal, civil, and juvenile law, as well as all other areas of specialization that might be affected.</w:t>
      </w:r>
      <w:r w:rsidR="00C637AE">
        <w:rPr>
          <w:rFonts w:ascii="Times New Roman" w:hAnsi="Times New Roman"/>
          <w:sz w:val="28"/>
          <w:szCs w:val="28"/>
        </w:rPr>
        <w:t xml:space="preserve"> </w:t>
      </w:r>
    </w:p>
    <w:p w14:paraId="341D6050" w14:textId="5CED85E4" w:rsidR="005E0DC8" w:rsidRDefault="005E0DC8"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In </w:t>
      </w:r>
      <w:r w:rsidRPr="005E0DC8">
        <w:rPr>
          <w:rFonts w:ascii="Times New Roman" w:hAnsi="Times New Roman"/>
          <w:i/>
          <w:sz w:val="28"/>
          <w:szCs w:val="28"/>
        </w:rPr>
        <w:t>City Court of City of Tucson</w:t>
      </w:r>
      <w:r>
        <w:rPr>
          <w:rFonts w:ascii="Times New Roman" w:hAnsi="Times New Roman"/>
          <w:sz w:val="28"/>
          <w:szCs w:val="28"/>
        </w:rPr>
        <w:t xml:space="preserve">, </w:t>
      </w:r>
      <w:r w:rsidR="000861C0">
        <w:rPr>
          <w:rFonts w:ascii="Times New Roman" w:hAnsi="Times New Roman"/>
          <w:sz w:val="28"/>
          <w:szCs w:val="28"/>
        </w:rPr>
        <w:t>150 Ariz. at 102-03, this Court held that a prosecuting agency may not “blanket order” a judge to be noticed on all cases from that office.</w:t>
      </w:r>
      <w:r w:rsidR="0093190C">
        <w:rPr>
          <w:rFonts w:ascii="Times New Roman" w:hAnsi="Times New Roman"/>
          <w:sz w:val="28"/>
          <w:szCs w:val="28"/>
        </w:rPr>
        <w:t xml:space="preserve"> In </w:t>
      </w:r>
      <w:r w:rsidR="0093190C" w:rsidRPr="0093190C">
        <w:rPr>
          <w:rFonts w:ascii="Times New Roman" w:hAnsi="Times New Roman"/>
          <w:i/>
          <w:sz w:val="28"/>
          <w:szCs w:val="28"/>
        </w:rPr>
        <w:t>Gilbert Prosecutor’s Office</w:t>
      </w:r>
      <w:r w:rsidR="0093190C">
        <w:rPr>
          <w:rFonts w:ascii="Times New Roman" w:hAnsi="Times New Roman"/>
          <w:sz w:val="28"/>
          <w:szCs w:val="28"/>
        </w:rPr>
        <w:t xml:space="preserve">, 245 Ariz. at 18-19 ¶ 14, the court of appeals stated that the remedy for abuse of Rule 10.2 “is to report the abuse to the State Bar.” </w:t>
      </w:r>
      <w:r w:rsidR="00817350">
        <w:rPr>
          <w:rFonts w:ascii="Times New Roman" w:hAnsi="Times New Roman"/>
          <w:sz w:val="28"/>
          <w:szCs w:val="28"/>
        </w:rPr>
        <w:t xml:space="preserve">The problem with this remedy is that judges and defense attorneys </w:t>
      </w:r>
      <w:r w:rsidR="001E0C16">
        <w:rPr>
          <w:rFonts w:ascii="Times New Roman" w:hAnsi="Times New Roman"/>
          <w:sz w:val="28"/>
          <w:szCs w:val="28"/>
        </w:rPr>
        <w:t>rarely file bar charges.</w:t>
      </w:r>
    </w:p>
    <w:p w14:paraId="4E6041F4" w14:textId="11A50918" w:rsidR="0070136E" w:rsidRDefault="00032CBD"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Abuse of Rule 10.2 is most likely to come from a prosecuting agency, </w:t>
      </w:r>
      <w:r w:rsidR="00960C32">
        <w:rPr>
          <w:rFonts w:ascii="Times New Roman" w:hAnsi="Times New Roman"/>
          <w:sz w:val="28"/>
          <w:szCs w:val="28"/>
        </w:rPr>
        <w:t xml:space="preserve">primarily </w:t>
      </w:r>
      <w:r>
        <w:rPr>
          <w:rFonts w:ascii="Times New Roman" w:hAnsi="Times New Roman"/>
          <w:sz w:val="28"/>
          <w:szCs w:val="28"/>
        </w:rPr>
        <w:t xml:space="preserve">because of the unequal control the State has to dismiss and re-file prosecutions. If a motion to remand to the grand jury is granted, the State can either obtain a new probable cause finding under the existing case number, or it can dismiss that case and refile under a new case number. If the former, then it is the same case for purposes of Rule 10.2. </w:t>
      </w:r>
      <w:r w:rsidRPr="00032CBD">
        <w:rPr>
          <w:rFonts w:ascii="Times New Roman" w:hAnsi="Times New Roman"/>
          <w:i/>
          <w:sz w:val="28"/>
          <w:szCs w:val="28"/>
        </w:rPr>
        <w:t>Woodington v. Browning</w:t>
      </w:r>
      <w:r>
        <w:rPr>
          <w:rFonts w:ascii="Times New Roman" w:hAnsi="Times New Roman"/>
          <w:sz w:val="28"/>
          <w:szCs w:val="28"/>
        </w:rPr>
        <w:t xml:space="preserve">, </w:t>
      </w:r>
      <w:r w:rsidR="00960C32">
        <w:rPr>
          <w:rFonts w:ascii="Times New Roman" w:hAnsi="Times New Roman"/>
          <w:sz w:val="28"/>
          <w:szCs w:val="28"/>
        </w:rPr>
        <w:t xml:space="preserve">240 Ariz. 288, 291 ¶¶ 10-12 </w:t>
      </w:r>
      <w:r>
        <w:rPr>
          <w:rFonts w:ascii="Times New Roman" w:hAnsi="Times New Roman"/>
          <w:sz w:val="28"/>
          <w:szCs w:val="28"/>
        </w:rPr>
        <w:t xml:space="preserve">(App. </w:t>
      </w:r>
      <w:r w:rsidR="00960C32">
        <w:rPr>
          <w:rFonts w:ascii="Times New Roman" w:hAnsi="Times New Roman"/>
          <w:sz w:val="28"/>
          <w:szCs w:val="28"/>
        </w:rPr>
        <w:t>2016</w:t>
      </w:r>
      <w:r>
        <w:rPr>
          <w:rFonts w:ascii="Times New Roman" w:hAnsi="Times New Roman"/>
          <w:sz w:val="28"/>
          <w:szCs w:val="28"/>
        </w:rPr>
        <w:t xml:space="preserve">). If the State dismisses and refiles in a new case, however, </w:t>
      </w:r>
      <w:r w:rsidR="00960C32">
        <w:rPr>
          <w:rFonts w:ascii="Times New Roman" w:hAnsi="Times New Roman"/>
          <w:sz w:val="28"/>
          <w:szCs w:val="28"/>
        </w:rPr>
        <w:t xml:space="preserve">the parties </w:t>
      </w:r>
      <w:r w:rsidR="001C38CB">
        <w:rPr>
          <w:rFonts w:ascii="Times New Roman" w:hAnsi="Times New Roman"/>
          <w:sz w:val="28"/>
          <w:szCs w:val="28"/>
        </w:rPr>
        <w:t>may file a notice under</w:t>
      </w:r>
      <w:r w:rsidR="00960C32">
        <w:rPr>
          <w:rFonts w:ascii="Times New Roman" w:hAnsi="Times New Roman"/>
          <w:sz w:val="28"/>
          <w:szCs w:val="28"/>
        </w:rPr>
        <w:t xml:space="preserve"> </w:t>
      </w:r>
      <w:r>
        <w:rPr>
          <w:rFonts w:ascii="Times New Roman" w:hAnsi="Times New Roman"/>
          <w:sz w:val="28"/>
          <w:szCs w:val="28"/>
        </w:rPr>
        <w:t xml:space="preserve">Rule 10.2 </w:t>
      </w:r>
      <w:r w:rsidR="001C38CB">
        <w:rPr>
          <w:rFonts w:ascii="Times New Roman" w:hAnsi="Times New Roman"/>
          <w:sz w:val="28"/>
          <w:szCs w:val="28"/>
        </w:rPr>
        <w:t>regardless of what actions were taken in the prior case</w:t>
      </w:r>
      <w:r>
        <w:rPr>
          <w:rFonts w:ascii="Times New Roman" w:hAnsi="Times New Roman"/>
          <w:sz w:val="28"/>
          <w:szCs w:val="28"/>
        </w:rPr>
        <w:t xml:space="preserve">. </w:t>
      </w:r>
      <w:r w:rsidRPr="00032CBD">
        <w:rPr>
          <w:rFonts w:ascii="Times New Roman" w:hAnsi="Times New Roman"/>
          <w:i/>
          <w:sz w:val="28"/>
          <w:szCs w:val="28"/>
        </w:rPr>
        <w:t>Godoy v. Hantman</w:t>
      </w:r>
      <w:r>
        <w:rPr>
          <w:rFonts w:ascii="Times New Roman" w:hAnsi="Times New Roman"/>
          <w:sz w:val="28"/>
          <w:szCs w:val="28"/>
        </w:rPr>
        <w:t>, 205 Ariz. 104</w:t>
      </w:r>
      <w:r w:rsidR="00960C32">
        <w:rPr>
          <w:rFonts w:ascii="Times New Roman" w:hAnsi="Times New Roman"/>
          <w:sz w:val="28"/>
          <w:szCs w:val="28"/>
        </w:rPr>
        <w:t>, 105 ¶ 1</w:t>
      </w:r>
      <w:r>
        <w:rPr>
          <w:rFonts w:ascii="Times New Roman" w:hAnsi="Times New Roman"/>
          <w:sz w:val="28"/>
          <w:szCs w:val="28"/>
        </w:rPr>
        <w:t xml:space="preserve"> (2003). </w:t>
      </w:r>
      <w:r w:rsidRPr="00032CBD">
        <w:rPr>
          <w:rFonts w:ascii="Times New Roman" w:hAnsi="Times New Roman"/>
          <w:i/>
          <w:sz w:val="28"/>
          <w:szCs w:val="28"/>
        </w:rPr>
        <w:t>See also Mesa v. Granville</w:t>
      </w:r>
      <w:r>
        <w:rPr>
          <w:rFonts w:ascii="Times New Roman" w:hAnsi="Times New Roman"/>
          <w:sz w:val="28"/>
          <w:szCs w:val="28"/>
        </w:rPr>
        <w:t>, 241 Ariz. 201 (2016) (deadline for filing notice of intent to seek death penalty restarts if State dismisses and refiles).</w:t>
      </w:r>
      <w:r w:rsidR="0070136E">
        <w:rPr>
          <w:rFonts w:ascii="Times New Roman" w:hAnsi="Times New Roman"/>
          <w:sz w:val="28"/>
          <w:szCs w:val="28"/>
        </w:rPr>
        <w:t xml:space="preserve"> </w:t>
      </w:r>
    </w:p>
    <w:p w14:paraId="34508955" w14:textId="12E6A1FE" w:rsidR="00EC423D" w:rsidRDefault="0070136E" w:rsidP="00901B5C">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In </w:t>
      </w:r>
      <w:r w:rsidRPr="0070136E">
        <w:rPr>
          <w:rFonts w:ascii="Times New Roman" w:hAnsi="Times New Roman"/>
          <w:i/>
          <w:sz w:val="28"/>
          <w:szCs w:val="28"/>
        </w:rPr>
        <w:t>Polk v. Hancock</w:t>
      </w:r>
      <w:r>
        <w:rPr>
          <w:rFonts w:ascii="Times New Roman" w:hAnsi="Times New Roman"/>
          <w:sz w:val="28"/>
          <w:szCs w:val="28"/>
        </w:rPr>
        <w:t xml:space="preserve">, 236 Ariz. 301, 304 ¶ 9 &amp; n.4 (App. 2014), </w:t>
      </w:r>
      <w:r w:rsidRPr="0070136E">
        <w:rPr>
          <w:rFonts w:ascii="Times New Roman" w:hAnsi="Times New Roman"/>
          <w:i/>
          <w:sz w:val="28"/>
          <w:szCs w:val="28"/>
        </w:rPr>
        <w:t>vacated</w:t>
      </w:r>
      <w:r>
        <w:rPr>
          <w:rFonts w:ascii="Times New Roman" w:hAnsi="Times New Roman"/>
          <w:sz w:val="28"/>
          <w:szCs w:val="28"/>
        </w:rPr>
        <w:t xml:space="preserve">, 237 Ariz. 125 (2015), the court of appeals noted the Yavapai “County Attorney sent an email to the trial judge and others” stating that she “will instruct [her] attorneys” to impose a blanket policy striking the respondent judge. The court implied that the email constituted “an ‘improper attempt to influence a judge in his judicial decisions.’” </w:t>
      </w:r>
      <w:r w:rsidRPr="0070136E">
        <w:rPr>
          <w:rFonts w:ascii="Times New Roman" w:hAnsi="Times New Roman"/>
          <w:i/>
          <w:sz w:val="28"/>
          <w:szCs w:val="28"/>
        </w:rPr>
        <w:t>Id</w:t>
      </w:r>
      <w:r>
        <w:rPr>
          <w:rFonts w:ascii="Times New Roman" w:hAnsi="Times New Roman"/>
          <w:sz w:val="28"/>
          <w:szCs w:val="28"/>
        </w:rPr>
        <w:t xml:space="preserve">. at 307 ¶ 24 (quoting </w:t>
      </w:r>
      <w:r w:rsidRPr="005E0DC8">
        <w:rPr>
          <w:rFonts w:ascii="Times New Roman" w:hAnsi="Times New Roman"/>
          <w:i/>
          <w:sz w:val="28"/>
          <w:szCs w:val="28"/>
        </w:rPr>
        <w:t>City Court of City of Tucson</w:t>
      </w:r>
      <w:r>
        <w:rPr>
          <w:rFonts w:ascii="Times New Roman" w:hAnsi="Times New Roman"/>
          <w:sz w:val="28"/>
          <w:szCs w:val="28"/>
        </w:rPr>
        <w:t xml:space="preserve">, 150 Ariz. at 102). Most other agencies will not be so brazen as to advertise </w:t>
      </w:r>
      <w:r w:rsidR="007D39DE">
        <w:rPr>
          <w:rFonts w:ascii="Times New Roman" w:hAnsi="Times New Roman"/>
          <w:sz w:val="28"/>
          <w:szCs w:val="28"/>
        </w:rPr>
        <w:t xml:space="preserve">their intent to engage in expressly prohibited conduct. </w:t>
      </w:r>
    </w:p>
    <w:p w14:paraId="7CC98846" w14:textId="687D8D56" w:rsidR="001E0C16" w:rsidRDefault="001E0C16"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To the extent abuse is occurring, this Court could create alternative remedies to requiring a report to the State Bar. For example, to combat abuse by prosecuting agencies, this Court “could, for example, </w:t>
      </w:r>
      <w:r w:rsidRPr="001E0C16">
        <w:rPr>
          <w:rFonts w:ascii="Times New Roman" w:hAnsi="Times New Roman"/>
          <w:sz w:val="28"/>
          <w:szCs w:val="28"/>
        </w:rPr>
        <w:t>grant the defendant a right to peremptory challenge of a judge and not give that same right to the prosecutor. Indeed, some states do give this right to the defendant only and not to the state.</w:t>
      </w:r>
      <w:r>
        <w:rPr>
          <w:rFonts w:ascii="Times New Roman" w:hAnsi="Times New Roman"/>
          <w:sz w:val="28"/>
          <w:szCs w:val="28"/>
        </w:rPr>
        <w:t xml:space="preserve">” </w:t>
      </w:r>
      <w:r w:rsidRPr="005E0DC8">
        <w:rPr>
          <w:rFonts w:ascii="Times New Roman" w:hAnsi="Times New Roman"/>
          <w:i/>
          <w:sz w:val="28"/>
          <w:szCs w:val="28"/>
        </w:rPr>
        <w:t>City Court of City of Tucson</w:t>
      </w:r>
      <w:r>
        <w:rPr>
          <w:rFonts w:ascii="Times New Roman" w:hAnsi="Times New Roman"/>
          <w:sz w:val="28"/>
          <w:szCs w:val="28"/>
        </w:rPr>
        <w:t xml:space="preserve">, 150 Ariz. at 103-04. Alternatively, it could overrule </w:t>
      </w:r>
      <w:r w:rsidRPr="0093190C">
        <w:rPr>
          <w:rFonts w:ascii="Times New Roman" w:hAnsi="Times New Roman"/>
          <w:i/>
          <w:sz w:val="28"/>
          <w:szCs w:val="28"/>
        </w:rPr>
        <w:t>Gilbert Prosecutor’s Office</w:t>
      </w:r>
      <w:r>
        <w:rPr>
          <w:rFonts w:ascii="Times New Roman" w:hAnsi="Times New Roman"/>
          <w:sz w:val="28"/>
          <w:szCs w:val="28"/>
        </w:rPr>
        <w:t xml:space="preserve"> through a rule change that permits a court to hold a hearing to determine whether a peremptory change of judge is for an improper purpose. AACJ is not opposed to modifications to the rules that would address such abuses.</w:t>
      </w:r>
    </w:p>
    <w:p w14:paraId="33A410AF" w14:textId="45A50038" w:rsidR="001E0C16" w:rsidRDefault="00C637AE"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Nor is AACJ opposed to the creation of a task force, comprised not only of judges but also practitioners in all areas of law affected by the proposal, </w:t>
      </w:r>
      <w:r w:rsidR="00BF387F">
        <w:rPr>
          <w:rFonts w:ascii="Times New Roman" w:hAnsi="Times New Roman"/>
          <w:sz w:val="28"/>
          <w:szCs w:val="28"/>
        </w:rPr>
        <w:t>which</w:t>
      </w:r>
      <w:r>
        <w:rPr>
          <w:rFonts w:ascii="Times New Roman" w:hAnsi="Times New Roman"/>
          <w:sz w:val="28"/>
          <w:szCs w:val="28"/>
        </w:rPr>
        <w:t xml:space="preserve"> could study the question and collect evidence that could support and/or refute the </w:t>
      </w:r>
      <w:r>
        <w:rPr>
          <w:rFonts w:ascii="Times New Roman" w:hAnsi="Times New Roman"/>
          <w:sz w:val="28"/>
          <w:szCs w:val="28"/>
        </w:rPr>
        <w:lastRenderedPageBreak/>
        <w:t>Committee’s assertions.</w:t>
      </w:r>
      <w:r w:rsidR="00BF387F">
        <w:rPr>
          <w:rFonts w:ascii="Times New Roman" w:hAnsi="Times New Roman"/>
          <w:sz w:val="28"/>
          <w:szCs w:val="28"/>
        </w:rPr>
        <w:t xml:space="preserve"> More information is always better than less</w:t>
      </w:r>
      <w:r w:rsidR="00965D1E">
        <w:rPr>
          <w:rFonts w:ascii="Times New Roman" w:hAnsi="Times New Roman"/>
          <w:sz w:val="28"/>
          <w:szCs w:val="28"/>
        </w:rPr>
        <w:t>. But if the Committee is going to ask</w:t>
      </w:r>
      <w:r w:rsidR="00BF387F">
        <w:rPr>
          <w:rFonts w:ascii="Times New Roman" w:hAnsi="Times New Roman"/>
          <w:sz w:val="28"/>
          <w:szCs w:val="28"/>
        </w:rPr>
        <w:t xml:space="preserve"> this Court to throw out a practice that has existed since statehood</w:t>
      </w:r>
      <w:r w:rsidR="00965D1E">
        <w:rPr>
          <w:rFonts w:ascii="Times New Roman" w:hAnsi="Times New Roman"/>
          <w:sz w:val="28"/>
          <w:szCs w:val="28"/>
        </w:rPr>
        <w:t>, more information is not only better, but it is necessary</w:t>
      </w:r>
      <w:r w:rsidR="00BF387F">
        <w:rPr>
          <w:rFonts w:ascii="Times New Roman" w:hAnsi="Times New Roman"/>
          <w:sz w:val="28"/>
          <w:szCs w:val="28"/>
        </w:rPr>
        <w:t>.</w:t>
      </w:r>
    </w:p>
    <w:p w14:paraId="6606315E" w14:textId="77777777" w:rsidR="001C38CB" w:rsidRDefault="001C38CB" w:rsidP="00901B5C">
      <w:pPr>
        <w:spacing w:line="480" w:lineRule="auto"/>
        <w:ind w:firstLine="720"/>
        <w:jc w:val="both"/>
        <w:rPr>
          <w:rFonts w:ascii="Times New Roman" w:hAnsi="Times New Roman"/>
          <w:sz w:val="28"/>
          <w:szCs w:val="28"/>
        </w:rPr>
      </w:pPr>
    </w:p>
    <w:p w14:paraId="0E5EDC77" w14:textId="316D10A7" w:rsidR="00501EC6" w:rsidRPr="00501EC6" w:rsidRDefault="00501EC6" w:rsidP="00501EC6">
      <w:pPr>
        <w:spacing w:line="480" w:lineRule="auto"/>
        <w:jc w:val="both"/>
        <w:rPr>
          <w:rFonts w:ascii="Times New Roman" w:hAnsi="Times New Roman"/>
          <w:b/>
          <w:sz w:val="28"/>
          <w:szCs w:val="28"/>
        </w:rPr>
      </w:pPr>
      <w:r w:rsidRPr="00501EC6">
        <w:rPr>
          <w:rFonts w:ascii="Times New Roman" w:hAnsi="Times New Roman"/>
          <w:b/>
          <w:sz w:val="28"/>
          <w:szCs w:val="28"/>
        </w:rPr>
        <w:t>CONCLUSION</w:t>
      </w:r>
    </w:p>
    <w:p w14:paraId="2ED64C26" w14:textId="0ED772CD" w:rsidR="006E5E11" w:rsidRDefault="008B6F6A"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w:t>
      </w:r>
      <w:r w:rsidR="00420484">
        <w:rPr>
          <w:rFonts w:ascii="Times New Roman" w:hAnsi="Times New Roman"/>
          <w:sz w:val="28"/>
          <w:szCs w:val="28"/>
        </w:rPr>
        <w:t xml:space="preserve">AACJ </w:t>
      </w:r>
      <w:r>
        <w:rPr>
          <w:rFonts w:ascii="Times New Roman" w:hAnsi="Times New Roman"/>
          <w:sz w:val="28"/>
          <w:szCs w:val="28"/>
        </w:rPr>
        <w:t>request</w:t>
      </w:r>
      <w:r w:rsidR="00501EC6">
        <w:rPr>
          <w:rFonts w:ascii="Times New Roman" w:hAnsi="Times New Roman"/>
          <w:sz w:val="28"/>
          <w:szCs w:val="28"/>
        </w:rPr>
        <w:t>s</w:t>
      </w:r>
      <w:r>
        <w:rPr>
          <w:rFonts w:ascii="Times New Roman" w:hAnsi="Times New Roman"/>
          <w:sz w:val="28"/>
          <w:szCs w:val="28"/>
        </w:rPr>
        <w:t xml:space="preserve"> this Court </w:t>
      </w:r>
      <w:r w:rsidR="00501EC6">
        <w:rPr>
          <w:rFonts w:ascii="Times New Roman" w:hAnsi="Times New Roman"/>
          <w:sz w:val="28"/>
          <w:szCs w:val="28"/>
        </w:rPr>
        <w:t>deny</w:t>
      </w:r>
      <w:r>
        <w:rPr>
          <w:rFonts w:ascii="Times New Roman" w:hAnsi="Times New Roman"/>
          <w:sz w:val="28"/>
          <w:szCs w:val="28"/>
        </w:rPr>
        <w:t xml:space="preserve"> the petition.</w:t>
      </w:r>
      <w:r w:rsidR="00501EC6">
        <w:rPr>
          <w:rFonts w:ascii="Times New Roman" w:hAnsi="Times New Roman"/>
          <w:sz w:val="28"/>
          <w:szCs w:val="28"/>
        </w:rPr>
        <w:t xml:space="preserve"> AACJ </w:t>
      </w:r>
      <w:r w:rsidR="00C637AE">
        <w:rPr>
          <w:rFonts w:ascii="Times New Roman" w:hAnsi="Times New Roman"/>
          <w:sz w:val="28"/>
          <w:szCs w:val="28"/>
        </w:rPr>
        <w:t>does not oppose</w:t>
      </w:r>
      <w:r w:rsidR="00501EC6">
        <w:rPr>
          <w:rFonts w:ascii="Times New Roman" w:hAnsi="Times New Roman"/>
          <w:sz w:val="28"/>
          <w:szCs w:val="28"/>
        </w:rPr>
        <w:t xml:space="preserve"> </w:t>
      </w:r>
      <w:r w:rsidR="00C637AE">
        <w:rPr>
          <w:rFonts w:ascii="Times New Roman" w:hAnsi="Times New Roman"/>
          <w:sz w:val="28"/>
          <w:szCs w:val="28"/>
        </w:rPr>
        <w:t>creation</w:t>
      </w:r>
      <w:r w:rsidR="00501EC6">
        <w:rPr>
          <w:rFonts w:ascii="Times New Roman" w:hAnsi="Times New Roman"/>
          <w:sz w:val="28"/>
          <w:szCs w:val="28"/>
        </w:rPr>
        <w:t xml:space="preserve"> of a task force to look at abuses of the rules and ways to improve the process.</w:t>
      </w:r>
    </w:p>
    <w:p w14:paraId="268AB80E" w14:textId="57A8559C" w:rsidR="00DC38DE" w:rsidRPr="0014499B" w:rsidRDefault="00DC38DE" w:rsidP="00CA5689">
      <w:pPr>
        <w:spacing w:line="480" w:lineRule="auto"/>
        <w:ind w:firstLine="720"/>
        <w:jc w:val="both"/>
        <w:rPr>
          <w:rFonts w:ascii="Times New Roman" w:hAnsi="Times New Roman"/>
          <w:sz w:val="28"/>
          <w:szCs w:val="28"/>
        </w:rPr>
      </w:pPr>
      <w:bookmarkStart w:id="2" w:name="_GoBack"/>
      <w:bookmarkEnd w:id="2"/>
      <w:r w:rsidRPr="0014499B">
        <w:rPr>
          <w:rFonts w:ascii="Times New Roman" w:hAnsi="Times New Roman"/>
          <w:sz w:val="28"/>
          <w:szCs w:val="28"/>
        </w:rPr>
        <w:t>DATED:  May</w:t>
      </w:r>
      <w:r w:rsidR="006E5E11">
        <w:rPr>
          <w:rFonts w:ascii="Times New Roman" w:hAnsi="Times New Roman"/>
          <w:sz w:val="28"/>
          <w:szCs w:val="28"/>
        </w:rPr>
        <w:t xml:space="preserve"> </w:t>
      </w:r>
      <w:r w:rsidR="00501EC6">
        <w:rPr>
          <w:rFonts w:ascii="Times New Roman" w:hAnsi="Times New Roman"/>
          <w:sz w:val="28"/>
          <w:szCs w:val="28"/>
        </w:rPr>
        <w:t>3</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w:t>
      </w:r>
      <w:r w:rsidR="00501EC6">
        <w:rPr>
          <w:rFonts w:ascii="Times New Roman" w:hAnsi="Times New Roman"/>
          <w:sz w:val="28"/>
          <w:szCs w:val="28"/>
        </w:rPr>
        <w:t>1</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11" w14:textId="77777777" w:rsidR="00DC38DE" w:rsidRPr="0014499B" w:rsidRDefault="00DC38DE" w:rsidP="00DC38DE">
      <w:pPr>
        <w:spacing w:line="240" w:lineRule="auto"/>
        <w:rPr>
          <w:rFonts w:ascii="Times New Roman" w:hAnsi="Times New Roman"/>
          <w:sz w:val="28"/>
          <w:szCs w:val="28"/>
        </w:rPr>
      </w:pP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74FA0CD3"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3E44EA8D" w14:textId="77777777" w:rsidR="00420484" w:rsidRPr="0014499B" w:rsidRDefault="00420484" w:rsidP="00420484">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6628D12E" w:rsidR="00DC38DE" w:rsidRPr="0014499B" w:rsidRDefault="00901B5C" w:rsidP="00DC38DE">
      <w:pPr>
        <w:spacing w:line="240" w:lineRule="auto"/>
        <w:rPr>
          <w:rFonts w:ascii="Times New Roman" w:hAnsi="Times New Roman"/>
          <w:sz w:val="28"/>
          <w:szCs w:val="28"/>
        </w:rPr>
      </w:pPr>
      <w:r>
        <w:rPr>
          <w:rFonts w:ascii="Times New Roman" w:hAnsi="Times New Roman"/>
          <w:sz w:val="28"/>
          <w:szCs w:val="28"/>
        </w:rPr>
        <w:t>M</w:t>
      </w:r>
      <w:r w:rsidR="00DC38DE">
        <w:rPr>
          <w:rFonts w:ascii="Times New Roman" w:hAnsi="Times New Roman"/>
          <w:sz w:val="28"/>
          <w:szCs w:val="28"/>
        </w:rPr>
        <w:t>ailed</w:t>
      </w:r>
      <w:r w:rsidR="00DC38DE" w:rsidRPr="0014499B">
        <w:rPr>
          <w:rFonts w:ascii="Times New Roman" w:hAnsi="Times New Roman"/>
          <w:sz w:val="28"/>
          <w:szCs w:val="28"/>
        </w:rPr>
        <w:t xml:space="preserve"> this </w:t>
      </w:r>
      <w:r w:rsidR="00DC38DE" w:rsidRPr="000A06FE">
        <w:rPr>
          <w:rFonts w:ascii="Times New Roman" w:hAnsi="Times New Roman"/>
          <w:sz w:val="28"/>
          <w:szCs w:val="28"/>
        </w:rPr>
        <w:t>date</w:t>
      </w:r>
      <w:r w:rsidR="00DC38DE"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7E3E06B2" w14:textId="2D1A68F3" w:rsidR="00901B5C" w:rsidRDefault="00501EC6" w:rsidP="00DC38DE">
      <w:pPr>
        <w:spacing w:line="240" w:lineRule="auto"/>
        <w:rPr>
          <w:rFonts w:ascii="Times New Roman" w:hAnsi="Times New Roman"/>
          <w:sz w:val="28"/>
          <w:szCs w:val="28"/>
        </w:rPr>
      </w:pPr>
      <w:r>
        <w:rPr>
          <w:rFonts w:ascii="Times New Roman" w:hAnsi="Times New Roman"/>
          <w:sz w:val="28"/>
          <w:szCs w:val="28"/>
        </w:rPr>
        <w:t>Supreme Court Committee of Presiding Judges</w:t>
      </w:r>
    </w:p>
    <w:p w14:paraId="62CEB4AA" w14:textId="0BE9C242" w:rsidR="00901B5C" w:rsidRDefault="00501EC6" w:rsidP="00DC38DE">
      <w:pPr>
        <w:spacing w:line="240" w:lineRule="auto"/>
        <w:rPr>
          <w:rFonts w:ascii="Times New Roman" w:hAnsi="Times New Roman"/>
          <w:sz w:val="28"/>
          <w:szCs w:val="28"/>
        </w:rPr>
      </w:pPr>
      <w:proofErr w:type="gramStart"/>
      <w:r>
        <w:rPr>
          <w:rFonts w:ascii="Times New Roman" w:hAnsi="Times New Roman"/>
          <w:sz w:val="28"/>
          <w:szCs w:val="28"/>
        </w:rPr>
        <w:t>c/o</w:t>
      </w:r>
      <w:proofErr w:type="gramEnd"/>
      <w:r>
        <w:rPr>
          <w:rFonts w:ascii="Times New Roman" w:hAnsi="Times New Roman"/>
          <w:sz w:val="28"/>
          <w:szCs w:val="28"/>
        </w:rPr>
        <w:t xml:space="preserve"> Administrative Office of the Courts</w:t>
      </w:r>
    </w:p>
    <w:p w14:paraId="21CE0504" w14:textId="5182CB7A" w:rsidR="00501EC6" w:rsidRDefault="00501EC6" w:rsidP="00DC38DE">
      <w:pPr>
        <w:spacing w:line="240" w:lineRule="auto"/>
        <w:rPr>
          <w:rFonts w:ascii="Times New Roman" w:hAnsi="Times New Roman"/>
          <w:sz w:val="28"/>
          <w:szCs w:val="28"/>
        </w:rPr>
      </w:pPr>
      <w:r>
        <w:rPr>
          <w:rFonts w:ascii="Times New Roman" w:hAnsi="Times New Roman"/>
          <w:sz w:val="28"/>
          <w:szCs w:val="28"/>
        </w:rPr>
        <w:t>1501 W. Washington, Suite 411</w:t>
      </w:r>
    </w:p>
    <w:p w14:paraId="24087E1D" w14:textId="559D9B0E" w:rsidR="00901B5C" w:rsidRDefault="00901B5C" w:rsidP="00DC38DE">
      <w:pPr>
        <w:spacing w:line="240" w:lineRule="auto"/>
        <w:rPr>
          <w:rFonts w:ascii="Times New Roman" w:hAnsi="Times New Roman"/>
          <w:sz w:val="28"/>
          <w:szCs w:val="28"/>
        </w:rPr>
      </w:pPr>
      <w:r>
        <w:rPr>
          <w:rFonts w:ascii="Times New Roman" w:hAnsi="Times New Roman"/>
          <w:sz w:val="28"/>
          <w:szCs w:val="28"/>
        </w:rPr>
        <w:t>Phoenix, AZ 8500</w:t>
      </w:r>
      <w:r w:rsidR="00501EC6">
        <w:rPr>
          <w:rFonts w:ascii="Times New Roman" w:hAnsi="Times New Roman"/>
          <w:sz w:val="28"/>
          <w:szCs w:val="28"/>
        </w:rPr>
        <w:t>7</w:t>
      </w:r>
    </w:p>
    <w:p w14:paraId="1A525316" w14:textId="468ED242" w:rsidR="00501EC6" w:rsidRDefault="00C7306D" w:rsidP="00DC38DE">
      <w:pPr>
        <w:spacing w:line="240" w:lineRule="auto"/>
        <w:rPr>
          <w:rFonts w:ascii="Times New Roman" w:hAnsi="Times New Roman"/>
          <w:sz w:val="28"/>
          <w:szCs w:val="28"/>
        </w:rPr>
      </w:pPr>
      <w:hyperlink r:id="rId12" w:history="1">
        <w:r w:rsidR="00501EC6" w:rsidRPr="002B380D">
          <w:rPr>
            <w:rStyle w:val="Hyperlink"/>
            <w:rFonts w:ascii="Times New Roman" w:hAnsi="Times New Roman"/>
            <w:sz w:val="28"/>
            <w:szCs w:val="28"/>
          </w:rPr>
          <w:t>Projects2@courts.az.gov</w:t>
        </w:r>
      </w:hyperlink>
    </w:p>
    <w:sectPr w:rsidR="00501EC6"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85FD6" w14:textId="77777777" w:rsidR="00C7306D" w:rsidRDefault="00C7306D">
      <w:r>
        <w:separator/>
      </w:r>
    </w:p>
  </w:endnote>
  <w:endnote w:type="continuationSeparator" w:id="0">
    <w:p w14:paraId="75F754D0" w14:textId="77777777" w:rsidR="00C7306D" w:rsidRDefault="00C7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4E46A6" w:rsidRDefault="004E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7F2DC4F5"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8CB">
      <w:rPr>
        <w:rStyle w:val="PageNumber"/>
        <w:noProof/>
      </w:rPr>
      <w:t>13</w:t>
    </w:r>
    <w:r>
      <w:rPr>
        <w:rStyle w:val="PageNumber"/>
      </w:rPr>
      <w:fldChar w:fldCharType="end"/>
    </w:r>
  </w:p>
  <w:p w14:paraId="268AB82E" w14:textId="77777777" w:rsidR="004E46A6" w:rsidRDefault="004E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5671A" w14:textId="77777777" w:rsidR="00C7306D" w:rsidRDefault="00C7306D">
      <w:r>
        <w:separator/>
      </w:r>
    </w:p>
  </w:footnote>
  <w:footnote w:type="continuationSeparator" w:id="0">
    <w:p w14:paraId="428BFBCD" w14:textId="77777777" w:rsidR="00C7306D" w:rsidRDefault="00C7306D">
      <w:r>
        <w:continuationSeparator/>
      </w:r>
    </w:p>
  </w:footnote>
  <w:footnote w:id="1">
    <w:p w14:paraId="722D4852" w14:textId="08827434" w:rsidR="004E46A6" w:rsidRDefault="004E46A6" w:rsidP="00BA567E">
      <w:pPr>
        <w:pStyle w:val="FootnoteText"/>
        <w:spacing w:line="240" w:lineRule="auto"/>
        <w:jc w:val="both"/>
        <w:rPr>
          <w:rFonts w:ascii="Times New Roman" w:hAnsi="Times New Roman"/>
          <w:sz w:val="28"/>
          <w:szCs w:val="28"/>
        </w:rPr>
      </w:pPr>
      <w:r w:rsidRPr="00CD6A76">
        <w:rPr>
          <w:rStyle w:val="FootnoteReference"/>
          <w:rFonts w:ascii="Times New Roman" w:hAnsi="Times New Roman"/>
          <w:sz w:val="28"/>
          <w:szCs w:val="28"/>
        </w:rPr>
        <w:footnoteRef/>
      </w:r>
      <w:r w:rsidRPr="00CD6A76">
        <w:rPr>
          <w:rFonts w:ascii="Times New Roman" w:hAnsi="Times New Roman"/>
          <w:sz w:val="28"/>
          <w:szCs w:val="28"/>
        </w:rPr>
        <w:t xml:space="preserve"> </w:t>
      </w:r>
      <w:r>
        <w:rPr>
          <w:rFonts w:ascii="Times New Roman" w:hAnsi="Times New Roman"/>
          <w:sz w:val="28"/>
          <w:szCs w:val="28"/>
        </w:rPr>
        <w:t>Because AACJ is an association of criminal defense attorneys, its focus is on Criminal Rule 10.2.</w:t>
      </w:r>
    </w:p>
    <w:p w14:paraId="0FB095DB" w14:textId="77777777" w:rsidR="006443C6" w:rsidRPr="00CD6A76" w:rsidRDefault="006443C6" w:rsidP="00BA567E">
      <w:pPr>
        <w:pStyle w:val="FootnoteText"/>
        <w:spacing w:line="240" w:lineRule="auto"/>
        <w:jc w:val="both"/>
        <w:rPr>
          <w:rFonts w:ascii="Times New Roman" w:hAnsi="Times New Roman"/>
          <w:sz w:val="28"/>
          <w:szCs w:val="28"/>
        </w:rPr>
      </w:pPr>
    </w:p>
  </w:footnote>
  <w:footnote w:id="2">
    <w:p w14:paraId="2865DAEB" w14:textId="2416A145" w:rsidR="006443C6" w:rsidRPr="00CD6A76" w:rsidRDefault="006443C6" w:rsidP="006443C6">
      <w:pPr>
        <w:pStyle w:val="FootnoteText"/>
        <w:spacing w:line="240" w:lineRule="auto"/>
        <w:jc w:val="both"/>
        <w:rPr>
          <w:rFonts w:ascii="Times New Roman" w:hAnsi="Times New Roman"/>
          <w:sz w:val="28"/>
          <w:szCs w:val="28"/>
        </w:rPr>
      </w:pPr>
      <w:r w:rsidRPr="00CD6A76">
        <w:rPr>
          <w:rStyle w:val="FootnoteReference"/>
          <w:rFonts w:ascii="Times New Roman" w:hAnsi="Times New Roman"/>
          <w:sz w:val="28"/>
          <w:szCs w:val="28"/>
        </w:rPr>
        <w:footnoteRef/>
      </w:r>
      <w:r w:rsidRPr="00CD6A76">
        <w:rPr>
          <w:rFonts w:ascii="Times New Roman" w:hAnsi="Times New Roman"/>
          <w:sz w:val="28"/>
          <w:szCs w:val="28"/>
        </w:rPr>
        <w:t xml:space="preserve"> </w:t>
      </w:r>
      <w:r>
        <w:rPr>
          <w:rFonts w:ascii="Times New Roman" w:hAnsi="Times New Roman"/>
          <w:sz w:val="28"/>
          <w:szCs w:val="28"/>
        </w:rPr>
        <w:t>This provision is now codified at A.R.S. § 12-409 and controls civil cases. AACJ agrees with the Comment filed by Hon. Greg Sakall, Andrew Jacobs, Hon. Kenneth Lee, and Hon. Richard Gordon, which states that this Court has no authority to abrogate the peremptory change of judge in civil cases because the legislature has created a substantive right for civil litigants. Ariz. Const. art. 3.</w:t>
      </w:r>
    </w:p>
  </w:footnote>
  <w:footnote w:id="3">
    <w:p w14:paraId="0C168CEC" w14:textId="1B1A5F58" w:rsidR="00C637AE" w:rsidRPr="00CD6A76" w:rsidRDefault="00C637AE" w:rsidP="00C637AE">
      <w:pPr>
        <w:pStyle w:val="FootnoteText"/>
        <w:spacing w:line="240" w:lineRule="auto"/>
        <w:jc w:val="both"/>
        <w:rPr>
          <w:rFonts w:ascii="Times New Roman" w:hAnsi="Times New Roman"/>
          <w:sz w:val="28"/>
          <w:szCs w:val="28"/>
        </w:rPr>
      </w:pPr>
      <w:r w:rsidRPr="00CD6A76">
        <w:rPr>
          <w:rStyle w:val="FootnoteReference"/>
          <w:rFonts w:ascii="Times New Roman" w:hAnsi="Times New Roman"/>
          <w:sz w:val="28"/>
          <w:szCs w:val="28"/>
        </w:rPr>
        <w:footnoteRef/>
      </w:r>
      <w:r w:rsidRPr="00CD6A76">
        <w:rPr>
          <w:rFonts w:ascii="Times New Roman" w:hAnsi="Times New Roman"/>
          <w:sz w:val="28"/>
          <w:szCs w:val="28"/>
        </w:rPr>
        <w:t xml:space="preserve"> </w:t>
      </w:r>
      <w:r>
        <w:rPr>
          <w:rFonts w:ascii="Times New Roman" w:hAnsi="Times New Roman"/>
          <w:sz w:val="28"/>
          <w:szCs w:val="28"/>
        </w:rPr>
        <w:t xml:space="preserve">The comment states that the period of time would expire on June 30, 2002, but it was extended multiple times until 2004. </w:t>
      </w:r>
      <w:r w:rsidRPr="00CA3271">
        <w:rPr>
          <w:rFonts w:ascii="Times New Roman" w:hAnsi="Times New Roman"/>
          <w:i/>
          <w:sz w:val="28"/>
          <w:szCs w:val="28"/>
        </w:rPr>
        <w:t>Gilbert Prosecutor’s Office</w:t>
      </w:r>
      <w:r>
        <w:rPr>
          <w:rFonts w:ascii="Times New Roman" w:hAnsi="Times New Roman"/>
          <w:sz w:val="28"/>
          <w:szCs w:val="28"/>
        </w:rPr>
        <w:t>, 245 Ariz. at 18 n.2.</w:t>
      </w:r>
    </w:p>
  </w:footnote>
  <w:footnote w:id="4">
    <w:p w14:paraId="24E9DF93" w14:textId="6C30F8FB" w:rsidR="004E46A6" w:rsidRPr="00CD6A76" w:rsidRDefault="004E46A6" w:rsidP="000861C0">
      <w:pPr>
        <w:pStyle w:val="FootnoteText"/>
        <w:spacing w:line="240" w:lineRule="auto"/>
        <w:jc w:val="both"/>
        <w:rPr>
          <w:rFonts w:ascii="Times New Roman" w:hAnsi="Times New Roman"/>
          <w:sz w:val="28"/>
          <w:szCs w:val="28"/>
        </w:rPr>
      </w:pPr>
      <w:r w:rsidRPr="00CD6A76">
        <w:rPr>
          <w:rStyle w:val="FootnoteReference"/>
          <w:rFonts w:ascii="Times New Roman" w:hAnsi="Times New Roman"/>
          <w:sz w:val="28"/>
          <w:szCs w:val="28"/>
        </w:rPr>
        <w:footnoteRef/>
      </w:r>
      <w:r w:rsidRPr="00CD6A76">
        <w:rPr>
          <w:rFonts w:ascii="Times New Roman" w:hAnsi="Times New Roman"/>
          <w:sz w:val="28"/>
          <w:szCs w:val="28"/>
        </w:rPr>
        <w:t xml:space="preserve"> </w:t>
      </w:r>
      <w:r w:rsidRPr="000861C0">
        <w:rPr>
          <w:rFonts w:ascii="Times New Roman" w:hAnsi="Times New Roman"/>
          <w:i/>
          <w:sz w:val="28"/>
          <w:szCs w:val="28"/>
        </w:rPr>
        <w:t>Keel</w:t>
      </w:r>
      <w:r>
        <w:rPr>
          <w:rFonts w:ascii="Times New Roman" w:hAnsi="Times New Roman"/>
          <w:sz w:val="28"/>
          <w:szCs w:val="28"/>
        </w:rPr>
        <w:t xml:space="preserve"> is no longer good law to the extent that it permits a wrongful denial of a peremptory change of judge to be raised on</w:t>
      </w:r>
      <w:r w:rsidR="007E538C">
        <w:rPr>
          <w:rFonts w:ascii="Times New Roman" w:hAnsi="Times New Roman"/>
          <w:sz w:val="28"/>
          <w:szCs w:val="28"/>
        </w:rPr>
        <w:t xml:space="preserve"> direct</w:t>
      </w:r>
      <w:r>
        <w:rPr>
          <w:rFonts w:ascii="Times New Roman" w:hAnsi="Times New Roman"/>
          <w:sz w:val="28"/>
          <w:szCs w:val="28"/>
        </w:rPr>
        <w:t xml:space="preserve"> appeal</w:t>
      </w:r>
      <w:r w:rsidR="007E538C">
        <w:rPr>
          <w:rFonts w:ascii="Times New Roman" w:hAnsi="Times New Roman"/>
          <w:sz w:val="28"/>
          <w:szCs w:val="28"/>
        </w:rPr>
        <w:t xml:space="preserve"> after a conviction</w:t>
      </w:r>
      <w:r>
        <w:rPr>
          <w:rFonts w:ascii="Times New Roman" w:hAnsi="Times New Roman"/>
          <w:sz w:val="28"/>
          <w:szCs w:val="28"/>
        </w:rPr>
        <w:t xml:space="preserve">. </w:t>
      </w:r>
      <w:r w:rsidRPr="006604EF">
        <w:rPr>
          <w:rFonts w:ascii="Times New Roman" w:hAnsi="Times New Roman"/>
          <w:i/>
          <w:sz w:val="28"/>
          <w:szCs w:val="28"/>
        </w:rPr>
        <w:t>See State v. Ingram</w:t>
      </w:r>
      <w:r>
        <w:rPr>
          <w:rFonts w:ascii="Times New Roman" w:hAnsi="Times New Roman"/>
          <w:sz w:val="28"/>
          <w:szCs w:val="28"/>
        </w:rPr>
        <w:t>, 239 Ariz. 228, 231-32 ¶¶ 11-16 (App. 2016).</w:t>
      </w:r>
    </w:p>
  </w:footnote>
  <w:footnote w:id="5">
    <w:p w14:paraId="20EFF652" w14:textId="2227C7C1" w:rsidR="00187F69" w:rsidRPr="00CD6A76" w:rsidRDefault="00187F69" w:rsidP="00187F69">
      <w:pPr>
        <w:pStyle w:val="FootnoteText"/>
        <w:spacing w:line="240" w:lineRule="auto"/>
        <w:jc w:val="both"/>
        <w:rPr>
          <w:rFonts w:ascii="Times New Roman" w:hAnsi="Times New Roman"/>
          <w:sz w:val="28"/>
          <w:szCs w:val="28"/>
        </w:rPr>
      </w:pPr>
      <w:r w:rsidRPr="00CD6A76">
        <w:rPr>
          <w:rStyle w:val="FootnoteReference"/>
          <w:rFonts w:ascii="Times New Roman" w:hAnsi="Times New Roman"/>
          <w:sz w:val="28"/>
          <w:szCs w:val="28"/>
        </w:rPr>
        <w:footnoteRef/>
      </w:r>
      <w:r w:rsidRPr="00CD6A76">
        <w:rPr>
          <w:rFonts w:ascii="Times New Roman" w:hAnsi="Times New Roman"/>
          <w:sz w:val="28"/>
          <w:szCs w:val="28"/>
        </w:rPr>
        <w:t xml:space="preserve"> </w:t>
      </w:r>
      <w:r w:rsidR="00BF387F" w:rsidRPr="00BF387F">
        <w:rPr>
          <w:rFonts w:ascii="Times New Roman" w:hAnsi="Times New Roman"/>
          <w:i/>
          <w:sz w:val="28"/>
          <w:szCs w:val="28"/>
        </w:rPr>
        <w:t xml:space="preserve">But see </w:t>
      </w:r>
      <w:r w:rsidRPr="006604EF">
        <w:rPr>
          <w:rFonts w:ascii="Times New Roman" w:hAnsi="Times New Roman"/>
          <w:i/>
          <w:sz w:val="28"/>
          <w:szCs w:val="28"/>
        </w:rPr>
        <w:t xml:space="preserve">State v. </w:t>
      </w:r>
      <w:r>
        <w:rPr>
          <w:rFonts w:ascii="Times New Roman" w:hAnsi="Times New Roman"/>
          <w:i/>
          <w:sz w:val="28"/>
          <w:szCs w:val="28"/>
        </w:rPr>
        <w:t>Lukezic</w:t>
      </w:r>
      <w:r>
        <w:rPr>
          <w:rFonts w:ascii="Times New Roman" w:hAnsi="Times New Roman"/>
          <w:sz w:val="28"/>
          <w:szCs w:val="28"/>
        </w:rPr>
        <w:t xml:space="preserve">, </w:t>
      </w:r>
      <w:r w:rsidRPr="00187F69">
        <w:rPr>
          <w:rFonts w:ascii="Times New Roman" w:hAnsi="Times New Roman"/>
          <w:sz w:val="28"/>
          <w:szCs w:val="28"/>
        </w:rPr>
        <w:t>143 Ariz. 60, 70, 691 P.2d 1088, 1098 (1984</w:t>
      </w:r>
      <w:r>
        <w:rPr>
          <w:rFonts w:ascii="Times New Roman" w:hAnsi="Times New Roman"/>
          <w:sz w:val="28"/>
          <w:szCs w:val="28"/>
        </w:rPr>
        <w:t>)</w:t>
      </w:r>
      <w:r w:rsidR="00BF387F">
        <w:rPr>
          <w:rFonts w:ascii="Times New Roman" w:hAnsi="Times New Roman"/>
          <w:sz w:val="28"/>
          <w:szCs w:val="28"/>
        </w:rPr>
        <w:t xml:space="preserve"> (</w:t>
      </w:r>
      <w:r w:rsidRPr="00187F69">
        <w:rPr>
          <w:rFonts w:ascii="Times New Roman" w:hAnsi="Times New Roman"/>
          <w:sz w:val="28"/>
          <w:szCs w:val="28"/>
        </w:rPr>
        <w:t>trial judge</w:t>
      </w:r>
      <w:r w:rsidR="00BF387F">
        <w:rPr>
          <w:rFonts w:ascii="Times New Roman" w:hAnsi="Times New Roman"/>
          <w:sz w:val="28"/>
          <w:szCs w:val="28"/>
        </w:rPr>
        <w:t>’s</w:t>
      </w:r>
      <w:r w:rsidRPr="00187F69">
        <w:rPr>
          <w:rFonts w:ascii="Times New Roman" w:hAnsi="Times New Roman"/>
          <w:sz w:val="28"/>
          <w:szCs w:val="28"/>
        </w:rPr>
        <w:t xml:space="preserve"> unexpected hospitaliz</w:t>
      </w:r>
      <w:r w:rsidR="00BF387F">
        <w:rPr>
          <w:rFonts w:ascii="Times New Roman" w:hAnsi="Times New Roman"/>
          <w:sz w:val="28"/>
          <w:szCs w:val="28"/>
        </w:rPr>
        <w:t>ation necessitated brief trial continuance because</w:t>
      </w:r>
      <w:r w:rsidRPr="00187F69">
        <w:rPr>
          <w:rFonts w:ascii="Times New Roman" w:hAnsi="Times New Roman"/>
          <w:sz w:val="28"/>
          <w:szCs w:val="28"/>
        </w:rPr>
        <w:t xml:space="preserve"> no other judge could be available for 15 days</w:t>
      </w:r>
      <w:r w:rsidR="00BF387F">
        <w:rPr>
          <w:rFonts w:ascii="Times New Roman" w:hAnsi="Times New Roman"/>
          <w:sz w:val="28"/>
          <w:szCs w:val="28"/>
        </w:rPr>
        <w:t>)</w:t>
      </w:r>
      <w:r>
        <w:rPr>
          <w:rFonts w:ascii="Times New Roman" w:hAnsi="Times New Roman"/>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04317"/>
    <w:rsid w:val="000170EA"/>
    <w:rsid w:val="00030DFC"/>
    <w:rsid w:val="00032CBD"/>
    <w:rsid w:val="000347CF"/>
    <w:rsid w:val="00036CF2"/>
    <w:rsid w:val="000506CE"/>
    <w:rsid w:val="000539C9"/>
    <w:rsid w:val="00057960"/>
    <w:rsid w:val="00061BE6"/>
    <w:rsid w:val="000759BB"/>
    <w:rsid w:val="000763D7"/>
    <w:rsid w:val="00076CBE"/>
    <w:rsid w:val="00077E06"/>
    <w:rsid w:val="000861C0"/>
    <w:rsid w:val="00092D1D"/>
    <w:rsid w:val="00095786"/>
    <w:rsid w:val="000B1D0D"/>
    <w:rsid w:val="000B3D5C"/>
    <w:rsid w:val="000D5746"/>
    <w:rsid w:val="000E2821"/>
    <w:rsid w:val="000E4E45"/>
    <w:rsid w:val="000E6C47"/>
    <w:rsid w:val="000E7FAC"/>
    <w:rsid w:val="00117CB3"/>
    <w:rsid w:val="00125A1E"/>
    <w:rsid w:val="001269D9"/>
    <w:rsid w:val="00141C61"/>
    <w:rsid w:val="001516C5"/>
    <w:rsid w:val="0016125C"/>
    <w:rsid w:val="00161CD3"/>
    <w:rsid w:val="00175B0A"/>
    <w:rsid w:val="00181DEB"/>
    <w:rsid w:val="00186903"/>
    <w:rsid w:val="00187F69"/>
    <w:rsid w:val="001A27C7"/>
    <w:rsid w:val="001B62F8"/>
    <w:rsid w:val="001C02C6"/>
    <w:rsid w:val="001C30CE"/>
    <w:rsid w:val="001C38CB"/>
    <w:rsid w:val="001C60A4"/>
    <w:rsid w:val="001D0E6C"/>
    <w:rsid w:val="001E0C16"/>
    <w:rsid w:val="00200607"/>
    <w:rsid w:val="00205E43"/>
    <w:rsid w:val="00221A90"/>
    <w:rsid w:val="00230545"/>
    <w:rsid w:val="00235C89"/>
    <w:rsid w:val="00247855"/>
    <w:rsid w:val="00284E5B"/>
    <w:rsid w:val="00285283"/>
    <w:rsid w:val="00295ADD"/>
    <w:rsid w:val="002A3420"/>
    <w:rsid w:val="002A36E1"/>
    <w:rsid w:val="002B26A0"/>
    <w:rsid w:val="002B5B1B"/>
    <w:rsid w:val="002C0EDD"/>
    <w:rsid w:val="002D7ECF"/>
    <w:rsid w:val="002E545E"/>
    <w:rsid w:val="002F0B9F"/>
    <w:rsid w:val="002F1FBD"/>
    <w:rsid w:val="003055A7"/>
    <w:rsid w:val="00305CB1"/>
    <w:rsid w:val="00311552"/>
    <w:rsid w:val="00327BAA"/>
    <w:rsid w:val="00357C78"/>
    <w:rsid w:val="00364D73"/>
    <w:rsid w:val="00370284"/>
    <w:rsid w:val="003732CB"/>
    <w:rsid w:val="00380B0B"/>
    <w:rsid w:val="00386CFE"/>
    <w:rsid w:val="003A2343"/>
    <w:rsid w:val="003A63AE"/>
    <w:rsid w:val="003B384D"/>
    <w:rsid w:val="003C15EA"/>
    <w:rsid w:val="003C6246"/>
    <w:rsid w:val="003D728D"/>
    <w:rsid w:val="003E2487"/>
    <w:rsid w:val="003E5927"/>
    <w:rsid w:val="00411233"/>
    <w:rsid w:val="0041282A"/>
    <w:rsid w:val="00420484"/>
    <w:rsid w:val="00421E9E"/>
    <w:rsid w:val="00422E72"/>
    <w:rsid w:val="00431309"/>
    <w:rsid w:val="00431887"/>
    <w:rsid w:val="004401EB"/>
    <w:rsid w:val="004434F1"/>
    <w:rsid w:val="00444BE7"/>
    <w:rsid w:val="00451F00"/>
    <w:rsid w:val="00454AE0"/>
    <w:rsid w:val="0047497F"/>
    <w:rsid w:val="00477B15"/>
    <w:rsid w:val="0048373C"/>
    <w:rsid w:val="00485FAA"/>
    <w:rsid w:val="00493A61"/>
    <w:rsid w:val="004963BA"/>
    <w:rsid w:val="0049789A"/>
    <w:rsid w:val="004A2829"/>
    <w:rsid w:val="004B3410"/>
    <w:rsid w:val="004C7133"/>
    <w:rsid w:val="004D0144"/>
    <w:rsid w:val="004D72A3"/>
    <w:rsid w:val="004E46A6"/>
    <w:rsid w:val="004E66AE"/>
    <w:rsid w:val="004E6839"/>
    <w:rsid w:val="004F3B51"/>
    <w:rsid w:val="00501EC6"/>
    <w:rsid w:val="00502211"/>
    <w:rsid w:val="00512EB9"/>
    <w:rsid w:val="005252FB"/>
    <w:rsid w:val="0054468B"/>
    <w:rsid w:val="005453BE"/>
    <w:rsid w:val="00553515"/>
    <w:rsid w:val="00556A2D"/>
    <w:rsid w:val="005914BD"/>
    <w:rsid w:val="005924A7"/>
    <w:rsid w:val="005B0C4F"/>
    <w:rsid w:val="005B53BE"/>
    <w:rsid w:val="005B7899"/>
    <w:rsid w:val="005C0ED4"/>
    <w:rsid w:val="005C109B"/>
    <w:rsid w:val="005C6E61"/>
    <w:rsid w:val="005D06D5"/>
    <w:rsid w:val="005D7DCC"/>
    <w:rsid w:val="005E0DC8"/>
    <w:rsid w:val="005E3003"/>
    <w:rsid w:val="005F0195"/>
    <w:rsid w:val="005F4669"/>
    <w:rsid w:val="0060208D"/>
    <w:rsid w:val="0060353C"/>
    <w:rsid w:val="006114B6"/>
    <w:rsid w:val="006235B5"/>
    <w:rsid w:val="0062703F"/>
    <w:rsid w:val="00627DBE"/>
    <w:rsid w:val="00635786"/>
    <w:rsid w:val="006378F2"/>
    <w:rsid w:val="006443C6"/>
    <w:rsid w:val="0064587B"/>
    <w:rsid w:val="006463AE"/>
    <w:rsid w:val="00646589"/>
    <w:rsid w:val="0064750C"/>
    <w:rsid w:val="00656061"/>
    <w:rsid w:val="006604EF"/>
    <w:rsid w:val="00671A36"/>
    <w:rsid w:val="00674178"/>
    <w:rsid w:val="0067683D"/>
    <w:rsid w:val="00692962"/>
    <w:rsid w:val="006C0F08"/>
    <w:rsid w:val="006C2808"/>
    <w:rsid w:val="006C3DAE"/>
    <w:rsid w:val="006C5B68"/>
    <w:rsid w:val="006C648E"/>
    <w:rsid w:val="006D0A62"/>
    <w:rsid w:val="006D4397"/>
    <w:rsid w:val="006E34AB"/>
    <w:rsid w:val="006E5E11"/>
    <w:rsid w:val="006F5562"/>
    <w:rsid w:val="006F594D"/>
    <w:rsid w:val="0070136E"/>
    <w:rsid w:val="00701CE7"/>
    <w:rsid w:val="0070604A"/>
    <w:rsid w:val="007109BB"/>
    <w:rsid w:val="00720596"/>
    <w:rsid w:val="007275B6"/>
    <w:rsid w:val="00734F6C"/>
    <w:rsid w:val="00744748"/>
    <w:rsid w:val="00760549"/>
    <w:rsid w:val="007626EF"/>
    <w:rsid w:val="00764591"/>
    <w:rsid w:val="007669E7"/>
    <w:rsid w:val="007741E6"/>
    <w:rsid w:val="00781317"/>
    <w:rsid w:val="00787905"/>
    <w:rsid w:val="00794743"/>
    <w:rsid w:val="007973A8"/>
    <w:rsid w:val="007A3B11"/>
    <w:rsid w:val="007A5AD8"/>
    <w:rsid w:val="007B4B94"/>
    <w:rsid w:val="007C17AC"/>
    <w:rsid w:val="007D2D04"/>
    <w:rsid w:val="007D39DE"/>
    <w:rsid w:val="007D5168"/>
    <w:rsid w:val="007E229C"/>
    <w:rsid w:val="007E3F63"/>
    <w:rsid w:val="007E538C"/>
    <w:rsid w:val="007F091F"/>
    <w:rsid w:val="007F35A8"/>
    <w:rsid w:val="0081534B"/>
    <w:rsid w:val="00817350"/>
    <w:rsid w:val="008272AA"/>
    <w:rsid w:val="00831FE6"/>
    <w:rsid w:val="0083406F"/>
    <w:rsid w:val="008409ED"/>
    <w:rsid w:val="00841AB1"/>
    <w:rsid w:val="008425DB"/>
    <w:rsid w:val="0085222A"/>
    <w:rsid w:val="0085452D"/>
    <w:rsid w:val="00854B4F"/>
    <w:rsid w:val="008579E3"/>
    <w:rsid w:val="0086599B"/>
    <w:rsid w:val="00876503"/>
    <w:rsid w:val="008940B3"/>
    <w:rsid w:val="008B4F0F"/>
    <w:rsid w:val="008B54C8"/>
    <w:rsid w:val="008B6F6A"/>
    <w:rsid w:val="008B7D55"/>
    <w:rsid w:val="008C682F"/>
    <w:rsid w:val="008D1F4D"/>
    <w:rsid w:val="008D575C"/>
    <w:rsid w:val="008E04BA"/>
    <w:rsid w:val="008E1DD6"/>
    <w:rsid w:val="00901B5C"/>
    <w:rsid w:val="009049C6"/>
    <w:rsid w:val="0091770C"/>
    <w:rsid w:val="00923420"/>
    <w:rsid w:val="00930C81"/>
    <w:rsid w:val="0093190C"/>
    <w:rsid w:val="00936450"/>
    <w:rsid w:val="00956F98"/>
    <w:rsid w:val="00960C32"/>
    <w:rsid w:val="009630C1"/>
    <w:rsid w:val="00965D1E"/>
    <w:rsid w:val="009815B4"/>
    <w:rsid w:val="009823DE"/>
    <w:rsid w:val="009923CC"/>
    <w:rsid w:val="009B2386"/>
    <w:rsid w:val="009B5E32"/>
    <w:rsid w:val="009C232A"/>
    <w:rsid w:val="009C525E"/>
    <w:rsid w:val="009F0CE6"/>
    <w:rsid w:val="00A00B20"/>
    <w:rsid w:val="00A0443C"/>
    <w:rsid w:val="00A42EAA"/>
    <w:rsid w:val="00A629F8"/>
    <w:rsid w:val="00A8196F"/>
    <w:rsid w:val="00A86C90"/>
    <w:rsid w:val="00AB2212"/>
    <w:rsid w:val="00AB5BD4"/>
    <w:rsid w:val="00AC2655"/>
    <w:rsid w:val="00AD0B66"/>
    <w:rsid w:val="00AF0F4B"/>
    <w:rsid w:val="00B07A76"/>
    <w:rsid w:val="00B16F3E"/>
    <w:rsid w:val="00B40EF1"/>
    <w:rsid w:val="00B43E0F"/>
    <w:rsid w:val="00B67571"/>
    <w:rsid w:val="00B73ACD"/>
    <w:rsid w:val="00B8570B"/>
    <w:rsid w:val="00B90C53"/>
    <w:rsid w:val="00BA567E"/>
    <w:rsid w:val="00BA7D16"/>
    <w:rsid w:val="00BB1D01"/>
    <w:rsid w:val="00BB2A3A"/>
    <w:rsid w:val="00BB652F"/>
    <w:rsid w:val="00BF346E"/>
    <w:rsid w:val="00BF387F"/>
    <w:rsid w:val="00BF6973"/>
    <w:rsid w:val="00C03FBA"/>
    <w:rsid w:val="00C10845"/>
    <w:rsid w:val="00C30A6D"/>
    <w:rsid w:val="00C3108B"/>
    <w:rsid w:val="00C347AE"/>
    <w:rsid w:val="00C3520D"/>
    <w:rsid w:val="00C37271"/>
    <w:rsid w:val="00C40941"/>
    <w:rsid w:val="00C44CA0"/>
    <w:rsid w:val="00C516BC"/>
    <w:rsid w:val="00C637AE"/>
    <w:rsid w:val="00C71726"/>
    <w:rsid w:val="00C7306D"/>
    <w:rsid w:val="00C74052"/>
    <w:rsid w:val="00C838EB"/>
    <w:rsid w:val="00C8556E"/>
    <w:rsid w:val="00C97315"/>
    <w:rsid w:val="00C9771B"/>
    <w:rsid w:val="00CA18B8"/>
    <w:rsid w:val="00CA3271"/>
    <w:rsid w:val="00CA5449"/>
    <w:rsid w:val="00CA5689"/>
    <w:rsid w:val="00CC3610"/>
    <w:rsid w:val="00CD45E7"/>
    <w:rsid w:val="00CD6A76"/>
    <w:rsid w:val="00CE08E0"/>
    <w:rsid w:val="00CF2261"/>
    <w:rsid w:val="00CF43EE"/>
    <w:rsid w:val="00D0294B"/>
    <w:rsid w:val="00D134BB"/>
    <w:rsid w:val="00D145C4"/>
    <w:rsid w:val="00D26ED2"/>
    <w:rsid w:val="00D37836"/>
    <w:rsid w:val="00D407F7"/>
    <w:rsid w:val="00D43EF2"/>
    <w:rsid w:val="00D65584"/>
    <w:rsid w:val="00D77E36"/>
    <w:rsid w:val="00D94D24"/>
    <w:rsid w:val="00DA2BE7"/>
    <w:rsid w:val="00DB048B"/>
    <w:rsid w:val="00DB2614"/>
    <w:rsid w:val="00DB3C6C"/>
    <w:rsid w:val="00DC38DE"/>
    <w:rsid w:val="00DC6C0A"/>
    <w:rsid w:val="00DC787E"/>
    <w:rsid w:val="00DD121E"/>
    <w:rsid w:val="00E16B5B"/>
    <w:rsid w:val="00E2055B"/>
    <w:rsid w:val="00E23568"/>
    <w:rsid w:val="00E33388"/>
    <w:rsid w:val="00E34337"/>
    <w:rsid w:val="00E379BB"/>
    <w:rsid w:val="00E45F50"/>
    <w:rsid w:val="00E466AC"/>
    <w:rsid w:val="00E72B8D"/>
    <w:rsid w:val="00E756CD"/>
    <w:rsid w:val="00E82BBA"/>
    <w:rsid w:val="00E833FA"/>
    <w:rsid w:val="00E84532"/>
    <w:rsid w:val="00E92880"/>
    <w:rsid w:val="00EC423D"/>
    <w:rsid w:val="00ED2EE4"/>
    <w:rsid w:val="00EE2ABA"/>
    <w:rsid w:val="00EF5061"/>
    <w:rsid w:val="00F01BD2"/>
    <w:rsid w:val="00F03F5F"/>
    <w:rsid w:val="00F05072"/>
    <w:rsid w:val="00F16ADA"/>
    <w:rsid w:val="00F306C9"/>
    <w:rsid w:val="00F33A8F"/>
    <w:rsid w:val="00F4743E"/>
    <w:rsid w:val="00F5250E"/>
    <w:rsid w:val="00F54AAE"/>
    <w:rsid w:val="00F72E82"/>
    <w:rsid w:val="00F76DF4"/>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09EE9367-4250-46C0-A019-6DA1BEEF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13</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18232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14</cp:revision>
  <cp:lastPrinted>2021-05-03T23:06:00Z</cp:lastPrinted>
  <dcterms:created xsi:type="dcterms:W3CDTF">2021-04-26T13:47:00Z</dcterms:created>
  <dcterms:modified xsi:type="dcterms:W3CDTF">2021-05-03T23:07:00Z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