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75" w:type="dxa"/>
        <w:tblInd w:w="-108" w:type="dxa"/>
        <w:tblLayout w:type="fixed"/>
        <w:tblCellMar>
          <w:left w:w="0" w:type="dxa"/>
          <w:right w:w="0" w:type="dxa"/>
        </w:tblCellMar>
        <w:tblLook w:val="04A0" w:firstRow="1" w:lastRow="0" w:firstColumn="1" w:lastColumn="0" w:noHBand="0" w:noVBand="1"/>
      </w:tblPr>
      <w:tblGrid>
        <w:gridCol w:w="5474"/>
        <w:gridCol w:w="4201"/>
      </w:tblGrid>
      <w:tr w:rsidR="00933C40" w14:paraId="45D06DF6" w14:textId="77777777" w:rsidTr="00933C40">
        <w:trPr>
          <w:cantSplit/>
          <w:trHeight w:val="1987"/>
        </w:trPr>
        <w:tc>
          <w:tcPr>
            <w:tcW w:w="5472" w:type="dxa"/>
          </w:tcPr>
          <w:p w14:paraId="18D9EECF" w14:textId="77777777" w:rsidR="00954AE1" w:rsidRPr="0032491E" w:rsidRDefault="00954AE1" w:rsidP="00954AE1">
            <w:pPr>
              <w:pStyle w:val="FirmInformation"/>
              <w:rPr>
                <w:sz w:val="28"/>
                <w:szCs w:val="28"/>
              </w:rPr>
            </w:pPr>
            <w:bookmarkStart w:id="0" w:name="_zzmpFIXED_CounselTable"/>
            <w:r w:rsidRPr="0032491E">
              <w:rPr>
                <w:sz w:val="28"/>
                <w:szCs w:val="28"/>
              </w:rPr>
              <w:t>Randal B. McDonald (#032008)</w:t>
            </w:r>
          </w:p>
          <w:p w14:paraId="7BAB3DF5" w14:textId="77777777" w:rsidR="00954AE1" w:rsidRPr="0032491E" w:rsidRDefault="00954AE1" w:rsidP="00954AE1">
            <w:pPr>
              <w:pStyle w:val="FirmInformation"/>
              <w:rPr>
                <w:caps/>
                <w:sz w:val="28"/>
                <w:szCs w:val="28"/>
              </w:rPr>
            </w:pPr>
            <w:r w:rsidRPr="0032491E">
              <w:rPr>
                <w:caps/>
                <w:sz w:val="28"/>
                <w:szCs w:val="28"/>
              </w:rPr>
              <w:t>LAW OFFICE OF RANDAL B. MCDONALD</w:t>
            </w:r>
          </w:p>
          <w:p w14:paraId="7374DA22" w14:textId="77777777" w:rsidR="00954AE1" w:rsidRPr="0032491E" w:rsidRDefault="00954AE1" w:rsidP="00954AE1">
            <w:pPr>
              <w:pStyle w:val="FirmInformation"/>
              <w:rPr>
                <w:sz w:val="28"/>
                <w:szCs w:val="28"/>
              </w:rPr>
            </w:pPr>
            <w:r w:rsidRPr="0032491E">
              <w:rPr>
                <w:sz w:val="28"/>
                <w:szCs w:val="28"/>
              </w:rPr>
              <w:t>112 North Central Avenue, Suite 100</w:t>
            </w:r>
            <w:r w:rsidRPr="0032491E">
              <w:rPr>
                <w:sz w:val="28"/>
                <w:szCs w:val="28"/>
              </w:rPr>
              <w:br/>
              <w:t>Phoenix, Arizona 85004</w:t>
            </w:r>
          </w:p>
          <w:p w14:paraId="64E14D8D" w14:textId="77777777" w:rsidR="00954AE1" w:rsidRDefault="00954AE1" w:rsidP="00954AE1">
            <w:pPr>
              <w:pStyle w:val="FirmInformation"/>
              <w:rPr>
                <w:sz w:val="28"/>
                <w:szCs w:val="28"/>
              </w:rPr>
            </w:pPr>
            <w:r w:rsidRPr="0032491E">
              <w:rPr>
                <w:sz w:val="28"/>
                <w:szCs w:val="28"/>
              </w:rPr>
              <w:t>Telephone:  602.352.3092</w:t>
            </w:r>
          </w:p>
          <w:p w14:paraId="3268F629" w14:textId="77777777" w:rsidR="00544690" w:rsidRPr="0032491E" w:rsidRDefault="00544690" w:rsidP="00544690">
            <w:pPr>
              <w:pStyle w:val="FirmInformation"/>
              <w:rPr>
                <w:sz w:val="28"/>
                <w:szCs w:val="28"/>
              </w:rPr>
            </w:pPr>
            <w:r w:rsidRPr="0032491E">
              <w:rPr>
                <w:sz w:val="28"/>
                <w:szCs w:val="28"/>
              </w:rPr>
              <w:t>randy@rbmcdonaldlaw.com</w:t>
            </w:r>
          </w:p>
          <w:p w14:paraId="7FB857DC" w14:textId="0FB3DB6E" w:rsidR="00954AE1" w:rsidRPr="0032491E" w:rsidRDefault="00FE6A61" w:rsidP="00954AE1">
            <w:pPr>
              <w:pStyle w:val="FirmInformation"/>
              <w:spacing w:before="240"/>
              <w:rPr>
                <w:sz w:val="28"/>
                <w:szCs w:val="28"/>
              </w:rPr>
            </w:pPr>
            <w:r>
              <w:rPr>
                <w:sz w:val="28"/>
                <w:szCs w:val="28"/>
              </w:rPr>
              <w:t xml:space="preserve">On behalf of the </w:t>
            </w:r>
            <w:r w:rsidR="003B4FD0">
              <w:rPr>
                <w:sz w:val="28"/>
                <w:szCs w:val="28"/>
              </w:rPr>
              <w:t>AZ-</w:t>
            </w:r>
            <w:r>
              <w:rPr>
                <w:sz w:val="28"/>
                <w:szCs w:val="28"/>
              </w:rPr>
              <w:t xml:space="preserve"> LGBT Bar Association</w:t>
            </w:r>
          </w:p>
          <w:p w14:paraId="5E0F9260" w14:textId="77777777" w:rsidR="00933C40" w:rsidRDefault="00933C40">
            <w:pPr>
              <w:pStyle w:val="FirmInformation"/>
            </w:pPr>
          </w:p>
        </w:tc>
        <w:tc>
          <w:tcPr>
            <w:tcW w:w="4200" w:type="dxa"/>
          </w:tcPr>
          <w:p w14:paraId="166F45AB" w14:textId="77777777" w:rsidR="00933C40" w:rsidRDefault="00933C40">
            <w:pPr>
              <w:ind w:left="221" w:right="221"/>
            </w:pPr>
          </w:p>
        </w:tc>
      </w:tr>
    </w:tbl>
    <w:bookmarkEnd w:id="0"/>
    <w:p w14:paraId="68176316" w14:textId="77777777" w:rsidR="00933C40" w:rsidRPr="00933C40" w:rsidRDefault="00933C40" w:rsidP="00933C40">
      <w:pPr>
        <w:pStyle w:val="Court"/>
        <w:rPr>
          <w:sz w:val="28"/>
          <w:szCs w:val="28"/>
        </w:rPr>
      </w:pPr>
      <w:r>
        <w:rPr>
          <w:sz w:val="28"/>
          <w:szCs w:val="28"/>
        </w:rPr>
        <w:t>Arizona supreme court</w:t>
      </w:r>
    </w:p>
    <w:tbl>
      <w:tblPr>
        <w:tblW w:w="9675" w:type="dxa"/>
        <w:tblInd w:w="-108" w:type="dxa"/>
        <w:tblBorders>
          <w:insideH w:val="single" w:sz="4" w:space="0" w:color="auto"/>
        </w:tblBorders>
        <w:tblLayout w:type="fixed"/>
        <w:tblCellMar>
          <w:left w:w="0" w:type="dxa"/>
          <w:right w:w="0" w:type="dxa"/>
        </w:tblCellMar>
        <w:tblLook w:val="04A0" w:firstRow="1" w:lastRow="0" w:firstColumn="1" w:lastColumn="0" w:noHBand="0" w:noVBand="1"/>
      </w:tblPr>
      <w:tblGrid>
        <w:gridCol w:w="4970"/>
        <w:gridCol w:w="4705"/>
      </w:tblGrid>
      <w:tr w:rsidR="00933C40" w:rsidRPr="00933C40" w14:paraId="1787FE92" w14:textId="77777777" w:rsidTr="001F441A">
        <w:trPr>
          <w:trHeight w:val="3175"/>
        </w:trPr>
        <w:tc>
          <w:tcPr>
            <w:tcW w:w="4970" w:type="dxa"/>
            <w:tcBorders>
              <w:top w:val="nil"/>
              <w:left w:val="nil"/>
              <w:bottom w:val="single" w:sz="4" w:space="0" w:color="auto"/>
              <w:right w:val="single" w:sz="4" w:space="0" w:color="auto"/>
            </w:tcBorders>
            <w:hideMark/>
          </w:tcPr>
          <w:p w14:paraId="64413255" w14:textId="77777777" w:rsidR="00933C40" w:rsidRDefault="00FE6A61" w:rsidP="00FE6A61">
            <w:pPr>
              <w:pStyle w:val="Caption"/>
              <w:spacing w:before="240" w:after="240"/>
              <w:ind w:left="15"/>
              <w:rPr>
                <w:sz w:val="28"/>
                <w:szCs w:val="28"/>
              </w:rPr>
            </w:pPr>
            <w:bookmarkStart w:id="1" w:name="_zzmpFIXED_CaptionTable"/>
            <w:r>
              <w:rPr>
                <w:sz w:val="28"/>
                <w:szCs w:val="28"/>
              </w:rPr>
              <w:t>In the matter of:</w:t>
            </w:r>
          </w:p>
          <w:p w14:paraId="3434E3EF" w14:textId="77777777" w:rsidR="00FE6A61" w:rsidRPr="00FE6A61" w:rsidRDefault="00FE6A61" w:rsidP="00FE6A61">
            <w:r>
              <w:t>PETITION TO AMEND THE RULES OF THE SUPREME COURT OF ARIZONA TO ADOPT RULE 24 – JURY SELECTION</w:t>
            </w:r>
          </w:p>
        </w:tc>
        <w:tc>
          <w:tcPr>
            <w:tcW w:w="4705" w:type="dxa"/>
            <w:tcBorders>
              <w:top w:val="nil"/>
              <w:left w:val="single" w:sz="4" w:space="0" w:color="auto"/>
              <w:bottom w:val="nil"/>
              <w:right w:val="nil"/>
            </w:tcBorders>
          </w:tcPr>
          <w:p w14:paraId="6C1927BB" w14:textId="77777777" w:rsidR="00933C40" w:rsidRDefault="00933C40" w:rsidP="00FE6A61">
            <w:pPr>
              <w:pStyle w:val="Caption"/>
              <w:tabs>
                <w:tab w:val="left" w:pos="1346"/>
              </w:tabs>
              <w:spacing w:before="240" w:after="480"/>
              <w:ind w:left="367" w:right="223"/>
              <w:rPr>
                <w:b/>
                <w:sz w:val="28"/>
                <w:szCs w:val="28"/>
              </w:rPr>
            </w:pPr>
            <w:r>
              <w:rPr>
                <w:sz w:val="28"/>
                <w:szCs w:val="28"/>
              </w:rPr>
              <w:t>Arizona Supreme Court</w:t>
            </w:r>
            <w:r>
              <w:rPr>
                <w:sz w:val="28"/>
                <w:szCs w:val="28"/>
              </w:rPr>
              <w:br/>
              <w:t xml:space="preserve">No. </w:t>
            </w:r>
            <w:r w:rsidR="00FE6A61">
              <w:rPr>
                <w:sz w:val="28"/>
                <w:szCs w:val="28"/>
              </w:rPr>
              <w:t>R-21-0008</w:t>
            </w:r>
            <w:r>
              <w:rPr>
                <w:sz w:val="28"/>
                <w:szCs w:val="28"/>
              </w:rPr>
              <w:br/>
            </w:r>
            <w:r>
              <w:rPr>
                <w:sz w:val="28"/>
                <w:szCs w:val="28"/>
              </w:rPr>
              <w:br/>
            </w:r>
            <w:r w:rsidR="00FE6A61">
              <w:rPr>
                <w:b/>
                <w:sz w:val="28"/>
                <w:szCs w:val="28"/>
              </w:rPr>
              <w:t>COMMENT IN SUPPORT OF THE PETITION TO AMEND THE RULES OF THE SUPREME COURT</w:t>
            </w:r>
          </w:p>
          <w:p w14:paraId="1C161DF5" w14:textId="77777777" w:rsidR="00933C40" w:rsidRPr="00933C40" w:rsidRDefault="00933C40">
            <w:pPr>
              <w:pStyle w:val="Caption"/>
              <w:ind w:left="1620" w:right="223" w:hanging="1253"/>
              <w:jc w:val="center"/>
              <w:rPr>
                <w:sz w:val="28"/>
                <w:szCs w:val="28"/>
              </w:rPr>
            </w:pPr>
          </w:p>
        </w:tc>
      </w:tr>
    </w:tbl>
    <w:bookmarkEnd w:id="1"/>
    <w:p w14:paraId="7ECEBF43" w14:textId="67EF5B7F" w:rsidR="00FE6A61" w:rsidRDefault="00FE6A61" w:rsidP="003B4FD0">
      <w:pPr>
        <w:keepNext/>
        <w:widowControl/>
        <w:spacing w:before="240" w:line="480" w:lineRule="auto"/>
        <w:ind w:firstLine="720"/>
        <w:jc w:val="both"/>
        <w:rPr>
          <w:sz w:val="28"/>
          <w:szCs w:val="28"/>
        </w:rPr>
      </w:pPr>
      <w:r>
        <w:rPr>
          <w:sz w:val="28"/>
          <w:szCs w:val="28"/>
        </w:rPr>
        <w:t xml:space="preserve">Pursuant to Rule 28(D), Rules of the Supreme Court, the </w:t>
      </w:r>
      <w:r w:rsidR="003B4FD0">
        <w:rPr>
          <w:sz w:val="28"/>
          <w:szCs w:val="28"/>
        </w:rPr>
        <w:t>AZ-</w:t>
      </w:r>
      <w:r>
        <w:rPr>
          <w:sz w:val="28"/>
          <w:szCs w:val="28"/>
        </w:rPr>
        <w:t>LGBT Bar Association (“LGBT Bar”) respectfully submits this Comment in support of Rule Change Petition R-21-0008 (“Petition”) for the Court’s consideration.</w:t>
      </w:r>
      <w:r w:rsidR="003B4FD0">
        <w:rPr>
          <w:sz w:val="28"/>
          <w:szCs w:val="28"/>
        </w:rPr>
        <w:t xml:space="preserve"> </w:t>
      </w:r>
      <w:r w:rsidR="00962C28">
        <w:rPr>
          <w:sz w:val="28"/>
          <w:szCs w:val="28"/>
        </w:rPr>
        <w:t>T</w:t>
      </w:r>
      <w:r w:rsidR="00962C28" w:rsidRPr="00962C28">
        <w:rPr>
          <w:sz w:val="28"/>
          <w:szCs w:val="28"/>
        </w:rPr>
        <w:t xml:space="preserve">he </w:t>
      </w:r>
      <w:r w:rsidR="00962C28">
        <w:rPr>
          <w:sz w:val="28"/>
          <w:szCs w:val="28"/>
        </w:rPr>
        <w:t>AZ-</w:t>
      </w:r>
      <w:r w:rsidR="00962C28" w:rsidRPr="00962C28">
        <w:rPr>
          <w:sz w:val="28"/>
          <w:szCs w:val="28"/>
        </w:rPr>
        <w:t xml:space="preserve">LGBT Bar Association is </w:t>
      </w:r>
      <w:r w:rsidR="00962C28">
        <w:rPr>
          <w:sz w:val="28"/>
          <w:szCs w:val="28"/>
        </w:rPr>
        <w:t>an organization comprised of</w:t>
      </w:r>
      <w:r w:rsidR="00962C28" w:rsidRPr="00962C28">
        <w:rPr>
          <w:sz w:val="28"/>
          <w:szCs w:val="28"/>
        </w:rPr>
        <w:t xml:space="preserve"> gay, lesbian, bisexual and transgender </w:t>
      </w:r>
      <w:r w:rsidR="00962C28">
        <w:rPr>
          <w:sz w:val="28"/>
          <w:szCs w:val="28"/>
        </w:rPr>
        <w:t xml:space="preserve">(“LGBT”) </w:t>
      </w:r>
      <w:r w:rsidR="00962C28" w:rsidRPr="00962C28">
        <w:rPr>
          <w:sz w:val="28"/>
          <w:szCs w:val="28"/>
        </w:rPr>
        <w:t>persons in the Arizona legal profession and in the community at large</w:t>
      </w:r>
      <w:r w:rsidR="00962C28">
        <w:rPr>
          <w:sz w:val="28"/>
          <w:szCs w:val="28"/>
        </w:rPr>
        <w:t xml:space="preserve"> who are </w:t>
      </w:r>
      <w:r w:rsidR="00962C28" w:rsidRPr="00962C28">
        <w:rPr>
          <w:sz w:val="28"/>
          <w:szCs w:val="28"/>
        </w:rPr>
        <w:t>committed to community, visibility, and equality through education, legal advocacy, and participation in political, civic, and social activities</w:t>
      </w:r>
      <w:r w:rsidR="00962C28">
        <w:rPr>
          <w:sz w:val="28"/>
          <w:szCs w:val="28"/>
        </w:rPr>
        <w:t>.</w:t>
      </w:r>
    </w:p>
    <w:p w14:paraId="5C8C7303" w14:textId="0F9495BB" w:rsidR="00FE6A61" w:rsidRDefault="00FE6A61" w:rsidP="00FE6A61">
      <w:pPr>
        <w:keepNext/>
        <w:widowControl/>
        <w:spacing w:line="480" w:lineRule="auto"/>
        <w:ind w:firstLine="720"/>
        <w:jc w:val="both"/>
        <w:rPr>
          <w:sz w:val="28"/>
          <w:szCs w:val="28"/>
        </w:rPr>
      </w:pPr>
      <w:r>
        <w:rPr>
          <w:sz w:val="28"/>
          <w:szCs w:val="28"/>
        </w:rPr>
        <w:t>For most of American history, “[g]</w:t>
      </w:r>
      <w:proofErr w:type="spellStart"/>
      <w:r>
        <w:rPr>
          <w:sz w:val="28"/>
          <w:szCs w:val="28"/>
        </w:rPr>
        <w:t>ays</w:t>
      </w:r>
      <w:proofErr w:type="spellEnd"/>
      <w:r>
        <w:rPr>
          <w:sz w:val="28"/>
          <w:szCs w:val="28"/>
        </w:rPr>
        <w:t xml:space="preserve"> and lesbians have been systematically excluded from the most important institutions of self-governance.” </w:t>
      </w:r>
      <w:r>
        <w:rPr>
          <w:i/>
          <w:sz w:val="28"/>
          <w:szCs w:val="28"/>
        </w:rPr>
        <w:t xml:space="preserve">SmithKline </w:t>
      </w:r>
      <w:r>
        <w:rPr>
          <w:i/>
          <w:sz w:val="28"/>
          <w:szCs w:val="28"/>
        </w:rPr>
        <w:lastRenderedPageBreak/>
        <w:t xml:space="preserve">Beecham Corp. v. Abbott Labs., </w:t>
      </w:r>
      <w:r>
        <w:rPr>
          <w:sz w:val="28"/>
          <w:szCs w:val="28"/>
        </w:rPr>
        <w:t>740 F.3d 471, 484 (9th Ci</w:t>
      </w:r>
      <w:r w:rsidR="00962C28">
        <w:rPr>
          <w:sz w:val="28"/>
          <w:szCs w:val="28"/>
        </w:rPr>
        <w:t>r</w:t>
      </w:r>
      <w:r>
        <w:rPr>
          <w:sz w:val="28"/>
          <w:szCs w:val="28"/>
        </w:rPr>
        <w:t>. 2014).</w:t>
      </w:r>
      <w:r w:rsidR="004850A5">
        <w:rPr>
          <w:sz w:val="28"/>
          <w:szCs w:val="28"/>
        </w:rPr>
        <w:t xml:space="preserve"> Despite much progress toward eliminating bias based on sexual orientation</w:t>
      </w:r>
      <w:r w:rsidR="009207C4">
        <w:rPr>
          <w:sz w:val="28"/>
          <w:szCs w:val="28"/>
        </w:rPr>
        <w:t xml:space="preserve"> and gender identity</w:t>
      </w:r>
      <w:r w:rsidR="004850A5">
        <w:rPr>
          <w:sz w:val="28"/>
          <w:szCs w:val="28"/>
        </w:rPr>
        <w:t xml:space="preserve">, LGBT people continue to experience significant discrimination. </w:t>
      </w:r>
      <w:r w:rsidR="00373C95">
        <w:rPr>
          <w:sz w:val="28"/>
          <w:szCs w:val="28"/>
        </w:rPr>
        <w:t>Such</w:t>
      </w:r>
      <w:r w:rsidR="004850A5">
        <w:rPr>
          <w:sz w:val="28"/>
          <w:szCs w:val="28"/>
        </w:rPr>
        <w:t xml:space="preserve"> discrimination is particularly </w:t>
      </w:r>
      <w:r w:rsidR="00373C95">
        <w:rPr>
          <w:sz w:val="28"/>
          <w:szCs w:val="28"/>
        </w:rPr>
        <w:t>discouraging</w:t>
      </w:r>
      <w:r w:rsidR="004850A5">
        <w:rPr>
          <w:sz w:val="28"/>
          <w:szCs w:val="28"/>
        </w:rPr>
        <w:t xml:space="preserve"> when it is experienced within </w:t>
      </w:r>
      <w:r w:rsidR="00373C95">
        <w:rPr>
          <w:sz w:val="28"/>
          <w:szCs w:val="28"/>
        </w:rPr>
        <w:t xml:space="preserve">a system “committed to an impartial judiciary that provides due process and equal justice to all.” Chief Justice Robert </w:t>
      </w:r>
      <w:proofErr w:type="spellStart"/>
      <w:r w:rsidR="00373C95">
        <w:rPr>
          <w:sz w:val="28"/>
          <w:szCs w:val="28"/>
        </w:rPr>
        <w:t>Brutinel</w:t>
      </w:r>
      <w:proofErr w:type="spellEnd"/>
      <w:r w:rsidR="00373C95">
        <w:rPr>
          <w:sz w:val="28"/>
          <w:szCs w:val="28"/>
        </w:rPr>
        <w:t xml:space="preserve">, </w:t>
      </w:r>
      <w:r w:rsidR="00373C95">
        <w:rPr>
          <w:i/>
          <w:sz w:val="28"/>
          <w:szCs w:val="28"/>
        </w:rPr>
        <w:t>2019-2024</w:t>
      </w:r>
      <w:r w:rsidR="00373C95" w:rsidRPr="00373C95">
        <w:rPr>
          <w:i/>
          <w:sz w:val="28"/>
          <w:szCs w:val="28"/>
        </w:rPr>
        <w:t xml:space="preserve"> Strategic Agenda: Justice for the Futur</w:t>
      </w:r>
      <w:r w:rsidR="00373C95">
        <w:rPr>
          <w:i/>
          <w:sz w:val="28"/>
          <w:szCs w:val="28"/>
        </w:rPr>
        <w:t>e</w:t>
      </w:r>
      <w:r w:rsidR="00373C95">
        <w:rPr>
          <w:sz w:val="28"/>
          <w:szCs w:val="28"/>
        </w:rPr>
        <w:t xml:space="preserve"> (</w:t>
      </w:r>
      <w:hyperlink r:id="rId8" w:history="1">
        <w:r w:rsidR="00373C95" w:rsidRPr="00E62432">
          <w:rPr>
            <w:rStyle w:val="Hyperlink"/>
            <w:sz w:val="28"/>
            <w:szCs w:val="28"/>
          </w:rPr>
          <w:t>https://www.azcourts.gov/Portals/0/Communications/JusticeForTheFuture.pdf</w:t>
        </w:r>
      </w:hyperlink>
      <w:r w:rsidR="00373C95">
        <w:rPr>
          <w:sz w:val="28"/>
          <w:szCs w:val="28"/>
        </w:rPr>
        <w:t>).</w:t>
      </w:r>
    </w:p>
    <w:p w14:paraId="132515BB" w14:textId="77777777" w:rsidR="00373C95" w:rsidRDefault="00EC6C0C" w:rsidP="003B4FD0">
      <w:pPr>
        <w:spacing w:line="480" w:lineRule="auto"/>
        <w:ind w:firstLine="720"/>
        <w:jc w:val="both"/>
        <w:rPr>
          <w:sz w:val="28"/>
          <w:szCs w:val="28"/>
        </w:rPr>
      </w:pPr>
      <w:r>
        <w:rPr>
          <w:sz w:val="28"/>
          <w:szCs w:val="28"/>
        </w:rPr>
        <w:t>Government discrimination against LGBT people has a long history. From 1953 until 1975</w:t>
      </w:r>
      <w:r w:rsidR="00411A0D">
        <w:rPr>
          <w:sz w:val="28"/>
          <w:szCs w:val="28"/>
        </w:rPr>
        <w:t>, the federal government required that private contractors “search out and termi</w:t>
      </w:r>
      <w:bookmarkStart w:id="2" w:name="_GoBack"/>
      <w:bookmarkEnd w:id="2"/>
      <w:r w:rsidR="00411A0D">
        <w:rPr>
          <w:sz w:val="28"/>
          <w:szCs w:val="28"/>
        </w:rPr>
        <w:t xml:space="preserve">nate” LGBT individuals working for them. </w:t>
      </w:r>
      <w:r w:rsidR="00411A0D" w:rsidRPr="00411A0D">
        <w:rPr>
          <w:i/>
          <w:sz w:val="28"/>
          <w:szCs w:val="28"/>
        </w:rPr>
        <w:t>Whitewood v. Wolf</w:t>
      </w:r>
      <w:r w:rsidR="00411A0D" w:rsidRPr="00411A0D">
        <w:rPr>
          <w:sz w:val="28"/>
          <w:szCs w:val="28"/>
        </w:rPr>
        <w:t>,</w:t>
      </w:r>
      <w:r w:rsidR="00411A0D">
        <w:rPr>
          <w:sz w:val="28"/>
          <w:szCs w:val="28"/>
        </w:rPr>
        <w:t xml:space="preserve"> </w:t>
      </w:r>
      <w:r w:rsidR="00411A0D" w:rsidRPr="00411A0D">
        <w:rPr>
          <w:sz w:val="28"/>
          <w:szCs w:val="28"/>
        </w:rPr>
        <w:t>992 F. Supp. 2d 410, 427 (M.D. Pa. 2014).</w:t>
      </w:r>
      <w:r w:rsidR="00411A0D">
        <w:rPr>
          <w:sz w:val="28"/>
          <w:szCs w:val="28"/>
        </w:rPr>
        <w:t xml:space="preserve"> Even after this ban on LGBT federal contractors was lifted, the federal government permitted its agencies to freely discriminate based on sexual orientation until 1998. </w:t>
      </w:r>
      <w:r w:rsidR="00411A0D">
        <w:rPr>
          <w:i/>
          <w:sz w:val="28"/>
          <w:szCs w:val="28"/>
        </w:rPr>
        <w:t>Id.</w:t>
      </w:r>
      <w:r w:rsidR="00411A0D">
        <w:rPr>
          <w:sz w:val="28"/>
          <w:szCs w:val="28"/>
        </w:rPr>
        <w:t xml:space="preserve"> LGBT people have also frequently been denied a raft of private and government benefits based on their sexual orientation. </w:t>
      </w:r>
      <w:r w:rsidR="00411A0D" w:rsidRPr="00411A0D">
        <w:rPr>
          <w:sz w:val="28"/>
          <w:szCs w:val="28"/>
        </w:rPr>
        <w:t xml:space="preserve">Elvia R. Arriola, </w:t>
      </w:r>
      <w:r w:rsidR="00411A0D" w:rsidRPr="00411A0D">
        <w:rPr>
          <w:i/>
          <w:sz w:val="28"/>
          <w:szCs w:val="28"/>
        </w:rPr>
        <w:t>Sexual Identity and the Constitution: Homosexual Persons as a Discrete and Insular Minority</w:t>
      </w:r>
      <w:r w:rsidR="00411A0D" w:rsidRPr="00411A0D">
        <w:rPr>
          <w:sz w:val="28"/>
          <w:szCs w:val="28"/>
        </w:rPr>
        <w:t xml:space="preserve">, 10 </w:t>
      </w:r>
      <w:r w:rsidR="00E6282A">
        <w:rPr>
          <w:sz w:val="28"/>
          <w:szCs w:val="28"/>
        </w:rPr>
        <w:t xml:space="preserve">Women’s </w:t>
      </w:r>
      <w:proofErr w:type="spellStart"/>
      <w:r w:rsidR="00E6282A">
        <w:rPr>
          <w:sz w:val="28"/>
          <w:szCs w:val="28"/>
        </w:rPr>
        <w:t>Rts</w:t>
      </w:r>
      <w:proofErr w:type="spellEnd"/>
      <w:r w:rsidR="00E6282A">
        <w:rPr>
          <w:sz w:val="28"/>
          <w:szCs w:val="28"/>
        </w:rPr>
        <w:t>. L. Rep.</w:t>
      </w:r>
      <w:r w:rsidR="00411A0D" w:rsidRPr="00411A0D">
        <w:rPr>
          <w:sz w:val="28"/>
          <w:szCs w:val="28"/>
        </w:rPr>
        <w:t xml:space="preserve"> 143, 157 (1988)</w:t>
      </w:r>
      <w:r w:rsidR="00411A0D">
        <w:rPr>
          <w:sz w:val="28"/>
          <w:szCs w:val="28"/>
        </w:rPr>
        <w:t xml:space="preserve"> (</w:t>
      </w:r>
      <w:r w:rsidR="00411A0D" w:rsidRPr="00411A0D">
        <w:rPr>
          <w:sz w:val="28"/>
          <w:szCs w:val="28"/>
        </w:rPr>
        <w:t>“</w:t>
      </w:r>
      <w:r w:rsidR="00411A0D">
        <w:rPr>
          <w:sz w:val="28"/>
          <w:szCs w:val="28"/>
        </w:rPr>
        <w:t>B</w:t>
      </w:r>
      <w:r w:rsidR="00411A0D" w:rsidRPr="00411A0D">
        <w:rPr>
          <w:sz w:val="28"/>
          <w:szCs w:val="28"/>
        </w:rPr>
        <w:t xml:space="preserve">eing identified with homosexuality has been the basis of refusals to hire, the ruin of careers, undesirable military discharges, denials of occupational licenses, denials of the right </w:t>
      </w:r>
      <w:r w:rsidR="00411A0D" w:rsidRPr="00411A0D">
        <w:rPr>
          <w:sz w:val="28"/>
          <w:szCs w:val="28"/>
        </w:rPr>
        <w:lastRenderedPageBreak/>
        <w:t>to adopt, to the custody of children and visitation rights, denials of national security clearances and denials of the right to enter the country.”</w:t>
      </w:r>
      <w:r w:rsidR="00411A0D">
        <w:rPr>
          <w:sz w:val="28"/>
          <w:szCs w:val="28"/>
        </w:rPr>
        <w:t>).</w:t>
      </w:r>
    </w:p>
    <w:p w14:paraId="10BF6008" w14:textId="77777777" w:rsidR="00411A0D" w:rsidRDefault="00411A0D" w:rsidP="003B4FD0">
      <w:pPr>
        <w:keepNext/>
        <w:widowControl/>
        <w:spacing w:line="480" w:lineRule="auto"/>
        <w:ind w:firstLine="720"/>
        <w:jc w:val="both"/>
        <w:rPr>
          <w:sz w:val="28"/>
          <w:szCs w:val="28"/>
        </w:rPr>
      </w:pPr>
      <w:r>
        <w:rPr>
          <w:sz w:val="28"/>
          <w:szCs w:val="28"/>
        </w:rPr>
        <w:t xml:space="preserve">Indeed, federal immigration policy reflected that identifying as LGBT was a mental illness as late as 1990. </w:t>
      </w:r>
      <w:r w:rsidRPr="00411A0D">
        <w:rPr>
          <w:i/>
          <w:sz w:val="28"/>
          <w:szCs w:val="28"/>
        </w:rPr>
        <w:t>Bassett v. Snyder</w:t>
      </w:r>
      <w:r w:rsidRPr="00411A0D">
        <w:rPr>
          <w:sz w:val="28"/>
          <w:szCs w:val="28"/>
        </w:rPr>
        <w:t>, 59 F. Supp. 3d 837, 849 (E.D. Mich.</w:t>
      </w:r>
      <w:r>
        <w:rPr>
          <w:sz w:val="28"/>
          <w:szCs w:val="28"/>
        </w:rPr>
        <w:t xml:space="preserve"> </w:t>
      </w:r>
      <w:r w:rsidRPr="00411A0D">
        <w:rPr>
          <w:sz w:val="28"/>
          <w:szCs w:val="28"/>
        </w:rPr>
        <w:t xml:space="preserve">2014); </w:t>
      </w:r>
      <w:r w:rsidRPr="00411A0D">
        <w:rPr>
          <w:i/>
          <w:sz w:val="28"/>
          <w:szCs w:val="28"/>
        </w:rPr>
        <w:t xml:space="preserve">see also </w:t>
      </w:r>
      <w:proofErr w:type="spellStart"/>
      <w:r w:rsidRPr="00411A0D">
        <w:rPr>
          <w:i/>
          <w:sz w:val="28"/>
          <w:szCs w:val="28"/>
        </w:rPr>
        <w:t>Boutilier</w:t>
      </w:r>
      <w:proofErr w:type="spellEnd"/>
      <w:r w:rsidRPr="00411A0D">
        <w:rPr>
          <w:i/>
          <w:sz w:val="28"/>
          <w:szCs w:val="28"/>
        </w:rPr>
        <w:t xml:space="preserve"> v. I.N.S.</w:t>
      </w:r>
      <w:r w:rsidRPr="00411A0D">
        <w:rPr>
          <w:sz w:val="28"/>
          <w:szCs w:val="28"/>
        </w:rPr>
        <w:t>, 387 U.S. 118, 122</w:t>
      </w:r>
      <w:r>
        <w:rPr>
          <w:sz w:val="28"/>
          <w:szCs w:val="28"/>
        </w:rPr>
        <w:t xml:space="preserve"> </w:t>
      </w:r>
      <w:r w:rsidRPr="00411A0D">
        <w:rPr>
          <w:sz w:val="28"/>
          <w:szCs w:val="28"/>
        </w:rPr>
        <w:t xml:space="preserve">(1967) </w:t>
      </w:r>
      <w:r>
        <w:rPr>
          <w:sz w:val="28"/>
          <w:szCs w:val="28"/>
        </w:rPr>
        <w:t>(concluding that the legislative history of the</w:t>
      </w:r>
      <w:r w:rsidRPr="00411A0D">
        <w:rPr>
          <w:sz w:val="28"/>
          <w:szCs w:val="28"/>
        </w:rPr>
        <w:t xml:space="preserve"> Immigration and Nationality Act</w:t>
      </w:r>
      <w:r>
        <w:rPr>
          <w:sz w:val="28"/>
          <w:szCs w:val="28"/>
        </w:rPr>
        <w:t xml:space="preserve"> </w:t>
      </w:r>
      <w:r w:rsidRPr="00411A0D">
        <w:rPr>
          <w:sz w:val="28"/>
          <w:szCs w:val="28"/>
        </w:rPr>
        <w:t>of 1952</w:t>
      </w:r>
      <w:r>
        <w:rPr>
          <w:sz w:val="28"/>
          <w:szCs w:val="28"/>
        </w:rPr>
        <w:t xml:space="preserve"> “indicated beyond a shadow of a doubt that Congress intended the phrase ‘psychopathic personality’</w:t>
      </w:r>
      <w:r w:rsidRPr="00411A0D">
        <w:rPr>
          <w:sz w:val="28"/>
          <w:szCs w:val="28"/>
        </w:rPr>
        <w:t xml:space="preserve"> </w:t>
      </w:r>
      <w:r>
        <w:rPr>
          <w:sz w:val="28"/>
          <w:szCs w:val="28"/>
        </w:rPr>
        <w:t>to include</w:t>
      </w:r>
      <w:r w:rsidRPr="00411A0D">
        <w:rPr>
          <w:sz w:val="28"/>
          <w:szCs w:val="28"/>
        </w:rPr>
        <w:t xml:space="preserve"> homosexuals”).</w:t>
      </w:r>
      <w:r>
        <w:rPr>
          <w:sz w:val="28"/>
          <w:szCs w:val="28"/>
        </w:rPr>
        <w:t xml:space="preserve"> Even after this prohibition was removed, the Defense of Marriage Act (“DOMA”) </w:t>
      </w:r>
      <w:r w:rsidR="00AE427E">
        <w:rPr>
          <w:sz w:val="28"/>
          <w:szCs w:val="28"/>
        </w:rPr>
        <w:t xml:space="preserve">prevented LGBT people in the United States from reuniting with their partners of different nationalities until it was struck down in 2013. </w:t>
      </w:r>
      <w:r w:rsidR="00AE427E">
        <w:rPr>
          <w:i/>
          <w:sz w:val="28"/>
          <w:szCs w:val="28"/>
        </w:rPr>
        <w:t>See United States v. Windsor</w:t>
      </w:r>
      <w:r w:rsidR="00AE427E">
        <w:rPr>
          <w:sz w:val="28"/>
          <w:szCs w:val="28"/>
        </w:rPr>
        <w:t xml:space="preserve">, 570 U.S. 744, 765 (2013). </w:t>
      </w:r>
    </w:p>
    <w:p w14:paraId="18D3D61F" w14:textId="7F716448" w:rsidR="00AE427E" w:rsidRDefault="00AE427E" w:rsidP="00AE427E">
      <w:pPr>
        <w:keepNext/>
        <w:widowControl/>
        <w:spacing w:line="480" w:lineRule="auto"/>
        <w:ind w:firstLine="720"/>
        <w:jc w:val="both"/>
        <w:rPr>
          <w:sz w:val="28"/>
          <w:szCs w:val="28"/>
        </w:rPr>
      </w:pPr>
      <w:r>
        <w:rPr>
          <w:sz w:val="28"/>
          <w:szCs w:val="28"/>
        </w:rPr>
        <w:t xml:space="preserve">Discrimination against LGBT people has also been prevalent in the private sector. </w:t>
      </w:r>
      <w:r w:rsidRPr="00AE427E">
        <w:rPr>
          <w:sz w:val="28"/>
          <w:szCs w:val="28"/>
        </w:rPr>
        <w:t>“For centuries, the prevailing attitude</w:t>
      </w:r>
      <w:r>
        <w:rPr>
          <w:sz w:val="28"/>
          <w:szCs w:val="28"/>
        </w:rPr>
        <w:t xml:space="preserve"> </w:t>
      </w:r>
      <w:r w:rsidRPr="00AE427E">
        <w:rPr>
          <w:sz w:val="28"/>
          <w:szCs w:val="28"/>
        </w:rPr>
        <w:t>toward gay persons has been one of strong</w:t>
      </w:r>
      <w:r>
        <w:rPr>
          <w:sz w:val="28"/>
          <w:szCs w:val="28"/>
        </w:rPr>
        <w:t xml:space="preserve"> </w:t>
      </w:r>
      <w:r w:rsidRPr="00AE427E">
        <w:rPr>
          <w:sz w:val="28"/>
          <w:szCs w:val="28"/>
        </w:rPr>
        <w:t>disapproval, frequent ostracism, social</w:t>
      </w:r>
      <w:r w:rsidR="009207C4">
        <w:rPr>
          <w:sz w:val="28"/>
          <w:szCs w:val="28"/>
        </w:rPr>
        <w:t xml:space="preserve"> . . . </w:t>
      </w:r>
      <w:r w:rsidRPr="00AE427E">
        <w:rPr>
          <w:sz w:val="28"/>
          <w:szCs w:val="28"/>
        </w:rPr>
        <w:t>discrimination, and at times ferocious punishment,”</w:t>
      </w:r>
      <w:r>
        <w:rPr>
          <w:sz w:val="28"/>
          <w:szCs w:val="28"/>
        </w:rPr>
        <w:t xml:space="preserve"> </w:t>
      </w:r>
      <w:r w:rsidRPr="00AE427E">
        <w:rPr>
          <w:i/>
          <w:sz w:val="28"/>
          <w:szCs w:val="28"/>
        </w:rPr>
        <w:t>Kerrigan v. Comm’r of Pub. Health</w:t>
      </w:r>
      <w:r w:rsidRPr="00AE427E">
        <w:rPr>
          <w:sz w:val="28"/>
          <w:szCs w:val="28"/>
        </w:rPr>
        <w:t>, 957 A.2d 407</w:t>
      </w:r>
      <w:r>
        <w:rPr>
          <w:sz w:val="28"/>
          <w:szCs w:val="28"/>
        </w:rPr>
        <w:t xml:space="preserve"> </w:t>
      </w:r>
      <w:r w:rsidRPr="00AE427E">
        <w:rPr>
          <w:sz w:val="28"/>
          <w:szCs w:val="28"/>
        </w:rPr>
        <w:t>(Conn. 2008) (internal quotation marks omitted),</w:t>
      </w:r>
      <w:r>
        <w:rPr>
          <w:sz w:val="28"/>
          <w:szCs w:val="28"/>
        </w:rPr>
        <w:t xml:space="preserve"> </w:t>
      </w:r>
      <w:r w:rsidRPr="00AE427E">
        <w:rPr>
          <w:sz w:val="28"/>
          <w:szCs w:val="28"/>
        </w:rPr>
        <w:t>adversely affecting gay people’s access to jobs,</w:t>
      </w:r>
      <w:r>
        <w:rPr>
          <w:sz w:val="28"/>
          <w:szCs w:val="28"/>
        </w:rPr>
        <w:t xml:space="preserve"> </w:t>
      </w:r>
      <w:r w:rsidRPr="00AE427E">
        <w:rPr>
          <w:sz w:val="28"/>
          <w:szCs w:val="28"/>
        </w:rPr>
        <w:t xml:space="preserve">housing, and public accommodations. </w:t>
      </w:r>
      <w:r w:rsidRPr="00AE427E">
        <w:rPr>
          <w:i/>
          <w:sz w:val="28"/>
          <w:szCs w:val="28"/>
        </w:rPr>
        <w:t>See Campaign for S. Equal.</w:t>
      </w:r>
      <w:r>
        <w:rPr>
          <w:i/>
          <w:sz w:val="28"/>
          <w:szCs w:val="28"/>
        </w:rPr>
        <w:t xml:space="preserve"> v. Bryant</w:t>
      </w:r>
      <w:r w:rsidRPr="00AE427E">
        <w:rPr>
          <w:sz w:val="28"/>
          <w:szCs w:val="28"/>
        </w:rPr>
        <w:t xml:space="preserve">, 64 F. Supp. 3d </w:t>
      </w:r>
      <w:r>
        <w:rPr>
          <w:sz w:val="28"/>
          <w:szCs w:val="28"/>
        </w:rPr>
        <w:t>906,</w:t>
      </w:r>
      <w:r w:rsidRPr="00AE427E">
        <w:rPr>
          <w:sz w:val="28"/>
          <w:szCs w:val="28"/>
        </w:rPr>
        <w:t xml:space="preserve"> 933 </w:t>
      </w:r>
      <w:r>
        <w:rPr>
          <w:sz w:val="28"/>
          <w:szCs w:val="28"/>
        </w:rPr>
        <w:t xml:space="preserve">(S.D. Miss. 2014) </w:t>
      </w:r>
      <w:r w:rsidRPr="00AE427E">
        <w:rPr>
          <w:sz w:val="28"/>
          <w:szCs w:val="28"/>
        </w:rPr>
        <w:t>(</w:t>
      </w:r>
      <w:r w:rsidR="009207C4">
        <w:rPr>
          <w:sz w:val="28"/>
          <w:szCs w:val="28"/>
        </w:rPr>
        <w:t xml:space="preserve">recognizing that </w:t>
      </w:r>
      <w:r w:rsidRPr="00AE427E">
        <w:rPr>
          <w:sz w:val="28"/>
          <w:szCs w:val="28"/>
        </w:rPr>
        <w:t>being</w:t>
      </w:r>
      <w:r>
        <w:rPr>
          <w:sz w:val="28"/>
          <w:szCs w:val="28"/>
        </w:rPr>
        <w:t xml:space="preserve"> </w:t>
      </w:r>
      <w:r w:rsidRPr="00AE427E">
        <w:rPr>
          <w:sz w:val="28"/>
          <w:szCs w:val="28"/>
        </w:rPr>
        <w:t>open about one’s sexual orientation “invited scrutiny</w:t>
      </w:r>
      <w:r>
        <w:rPr>
          <w:sz w:val="28"/>
          <w:szCs w:val="28"/>
        </w:rPr>
        <w:t xml:space="preserve"> </w:t>
      </w:r>
      <w:r w:rsidRPr="00AE427E">
        <w:rPr>
          <w:sz w:val="28"/>
          <w:szCs w:val="28"/>
        </w:rPr>
        <w:t xml:space="preserve">and professional consequences”); </w:t>
      </w:r>
      <w:r w:rsidRPr="00AE427E">
        <w:rPr>
          <w:i/>
          <w:sz w:val="28"/>
          <w:szCs w:val="28"/>
        </w:rPr>
        <w:t>Bassett</w:t>
      </w:r>
      <w:r w:rsidRPr="00AE427E">
        <w:rPr>
          <w:sz w:val="28"/>
          <w:szCs w:val="28"/>
        </w:rPr>
        <w:t>, 59 F. Supp.</w:t>
      </w:r>
      <w:r w:rsidRPr="00AE427E">
        <w:t xml:space="preserve"> </w:t>
      </w:r>
      <w:r w:rsidRPr="00AE427E">
        <w:rPr>
          <w:sz w:val="28"/>
          <w:szCs w:val="28"/>
        </w:rPr>
        <w:t>3d at 848 (noting that gay people in Michigan “have a</w:t>
      </w:r>
      <w:r>
        <w:rPr>
          <w:sz w:val="28"/>
          <w:szCs w:val="28"/>
        </w:rPr>
        <w:t xml:space="preserve"> </w:t>
      </w:r>
      <w:r w:rsidRPr="00AE427E">
        <w:rPr>
          <w:sz w:val="28"/>
          <w:szCs w:val="28"/>
        </w:rPr>
        <w:t xml:space="preserve">27 percent chance of </w:t>
      </w:r>
      <w:r w:rsidRPr="00AE427E">
        <w:rPr>
          <w:sz w:val="28"/>
          <w:szCs w:val="28"/>
        </w:rPr>
        <w:lastRenderedPageBreak/>
        <w:t>experiencing discrimination in</w:t>
      </w:r>
      <w:r>
        <w:rPr>
          <w:sz w:val="28"/>
          <w:szCs w:val="28"/>
        </w:rPr>
        <w:t xml:space="preserve"> </w:t>
      </w:r>
      <w:r w:rsidRPr="00AE427E">
        <w:rPr>
          <w:sz w:val="28"/>
          <w:szCs w:val="28"/>
        </w:rPr>
        <w:t xml:space="preserve">obtaining housing”); </w:t>
      </w:r>
      <w:r w:rsidRPr="00AE427E">
        <w:rPr>
          <w:i/>
          <w:sz w:val="28"/>
          <w:szCs w:val="28"/>
        </w:rPr>
        <w:t xml:space="preserve">Obergefell v. </w:t>
      </w:r>
      <w:proofErr w:type="spellStart"/>
      <w:r w:rsidRPr="00AE427E">
        <w:rPr>
          <w:i/>
          <w:sz w:val="28"/>
          <w:szCs w:val="28"/>
        </w:rPr>
        <w:t>Wymyslo</w:t>
      </w:r>
      <w:proofErr w:type="spellEnd"/>
      <w:r w:rsidRPr="00AE427E">
        <w:rPr>
          <w:sz w:val="28"/>
          <w:szCs w:val="28"/>
        </w:rPr>
        <w:t>, 962 F.</w:t>
      </w:r>
      <w:r>
        <w:rPr>
          <w:sz w:val="28"/>
          <w:szCs w:val="28"/>
        </w:rPr>
        <w:t xml:space="preserve"> </w:t>
      </w:r>
      <w:r w:rsidRPr="00AE427E">
        <w:rPr>
          <w:sz w:val="28"/>
          <w:szCs w:val="28"/>
        </w:rPr>
        <w:t xml:space="preserve">Supp. 2d 968, 988 (S.D. Ohio 2013) (“In the </w:t>
      </w:r>
      <w:proofErr w:type="spellStart"/>
      <w:r w:rsidRPr="00AE427E">
        <w:rPr>
          <w:sz w:val="28"/>
          <w:szCs w:val="28"/>
        </w:rPr>
        <w:t>midtwentieth</w:t>
      </w:r>
      <w:proofErr w:type="spellEnd"/>
      <w:r>
        <w:rPr>
          <w:sz w:val="28"/>
          <w:szCs w:val="28"/>
        </w:rPr>
        <w:t xml:space="preserve"> </w:t>
      </w:r>
      <w:r w:rsidRPr="00AE427E">
        <w:rPr>
          <w:sz w:val="28"/>
          <w:szCs w:val="28"/>
        </w:rPr>
        <w:t>century, bars in major American cities</w:t>
      </w:r>
      <w:r>
        <w:rPr>
          <w:sz w:val="28"/>
          <w:szCs w:val="28"/>
        </w:rPr>
        <w:t xml:space="preserve"> </w:t>
      </w:r>
      <w:r w:rsidRPr="00AE427E">
        <w:rPr>
          <w:sz w:val="28"/>
          <w:szCs w:val="28"/>
        </w:rPr>
        <w:t>posted signs telling potential gay customers they</w:t>
      </w:r>
      <w:r>
        <w:rPr>
          <w:sz w:val="28"/>
          <w:szCs w:val="28"/>
        </w:rPr>
        <w:t xml:space="preserve"> </w:t>
      </w:r>
      <w:r w:rsidRPr="00AE427E">
        <w:rPr>
          <w:sz w:val="28"/>
          <w:szCs w:val="28"/>
        </w:rPr>
        <w:t>were not welcome</w:t>
      </w:r>
      <w:r w:rsidR="009207C4">
        <w:rPr>
          <w:sz w:val="28"/>
          <w:szCs w:val="28"/>
        </w:rPr>
        <w:t> </w:t>
      </w:r>
      <w:r w:rsidRPr="00AE427E">
        <w:rPr>
          <w:sz w:val="28"/>
          <w:szCs w:val="28"/>
        </w:rPr>
        <w:t xml:space="preserve">. . . .”), </w:t>
      </w:r>
      <w:proofErr w:type="spellStart"/>
      <w:r w:rsidRPr="00AE427E">
        <w:rPr>
          <w:i/>
          <w:sz w:val="28"/>
          <w:szCs w:val="28"/>
        </w:rPr>
        <w:t>rev’d</w:t>
      </w:r>
      <w:proofErr w:type="spellEnd"/>
      <w:r w:rsidRPr="00AE427E">
        <w:rPr>
          <w:i/>
          <w:sz w:val="28"/>
          <w:szCs w:val="28"/>
        </w:rPr>
        <w:t xml:space="preserve"> sub nom. DeBoer v. Snyder</w:t>
      </w:r>
      <w:r w:rsidRPr="00AE427E">
        <w:rPr>
          <w:sz w:val="28"/>
          <w:szCs w:val="28"/>
        </w:rPr>
        <w:t xml:space="preserve">, 772 F.3d 388 (6th Cir. 2014), </w:t>
      </w:r>
      <w:proofErr w:type="spellStart"/>
      <w:r w:rsidRPr="00AE427E">
        <w:rPr>
          <w:i/>
          <w:sz w:val="28"/>
          <w:szCs w:val="28"/>
        </w:rPr>
        <w:t>rev’d</w:t>
      </w:r>
      <w:proofErr w:type="spellEnd"/>
      <w:r w:rsidRPr="00AE427E">
        <w:rPr>
          <w:i/>
          <w:sz w:val="28"/>
          <w:szCs w:val="28"/>
        </w:rPr>
        <w:t xml:space="preserve"> sub nom. Obergefell v. Hodges</w:t>
      </w:r>
      <w:r w:rsidRPr="00AE427E">
        <w:rPr>
          <w:sz w:val="28"/>
          <w:szCs w:val="28"/>
        </w:rPr>
        <w:t>, 135 S. Ct. 2584 (2015).</w:t>
      </w:r>
      <w:r w:rsidR="00393DE0">
        <w:rPr>
          <w:sz w:val="28"/>
          <w:szCs w:val="28"/>
        </w:rPr>
        <w:t xml:space="preserve"> </w:t>
      </w:r>
      <w:r w:rsidRPr="00AE427E">
        <w:rPr>
          <w:sz w:val="28"/>
          <w:szCs w:val="28"/>
        </w:rPr>
        <w:t>Despite trends toward acceptance, bias against</w:t>
      </w:r>
      <w:r>
        <w:rPr>
          <w:sz w:val="28"/>
          <w:szCs w:val="28"/>
        </w:rPr>
        <w:t xml:space="preserve"> </w:t>
      </w:r>
      <w:r w:rsidR="00393DE0">
        <w:rPr>
          <w:sz w:val="28"/>
          <w:szCs w:val="28"/>
        </w:rPr>
        <w:t>LGBT</w:t>
      </w:r>
      <w:r w:rsidRPr="00AE427E">
        <w:rPr>
          <w:sz w:val="28"/>
          <w:szCs w:val="28"/>
        </w:rPr>
        <w:t xml:space="preserve"> people is still a reality in</w:t>
      </w:r>
      <w:r>
        <w:rPr>
          <w:sz w:val="28"/>
          <w:szCs w:val="28"/>
        </w:rPr>
        <w:t xml:space="preserve"> </w:t>
      </w:r>
      <w:r w:rsidRPr="00AE427E">
        <w:rPr>
          <w:sz w:val="28"/>
          <w:szCs w:val="28"/>
        </w:rPr>
        <w:t xml:space="preserve">many workplaces: Forty-two percent of </w:t>
      </w:r>
      <w:r w:rsidR="00393DE0">
        <w:rPr>
          <w:sz w:val="28"/>
          <w:szCs w:val="28"/>
        </w:rPr>
        <w:t>LGBT</w:t>
      </w:r>
      <w:r w:rsidRPr="00AE427E">
        <w:rPr>
          <w:sz w:val="28"/>
          <w:szCs w:val="28"/>
        </w:rPr>
        <w:t xml:space="preserve"> people report experiencing at least</w:t>
      </w:r>
      <w:r>
        <w:rPr>
          <w:sz w:val="28"/>
          <w:szCs w:val="28"/>
        </w:rPr>
        <w:t xml:space="preserve"> </w:t>
      </w:r>
      <w:r w:rsidRPr="00AE427E">
        <w:rPr>
          <w:sz w:val="28"/>
          <w:szCs w:val="28"/>
        </w:rPr>
        <w:t>one form of employment discrimination, such a</w:t>
      </w:r>
      <w:r>
        <w:rPr>
          <w:sz w:val="28"/>
          <w:szCs w:val="28"/>
        </w:rPr>
        <w:t xml:space="preserve">s </w:t>
      </w:r>
      <w:r w:rsidRPr="00AE427E">
        <w:rPr>
          <w:sz w:val="28"/>
          <w:szCs w:val="28"/>
        </w:rPr>
        <w:t>harassment or losing a job. Christy Mallory &amp; Brad</w:t>
      </w:r>
      <w:r>
        <w:rPr>
          <w:sz w:val="28"/>
          <w:szCs w:val="28"/>
        </w:rPr>
        <w:t xml:space="preserve"> </w:t>
      </w:r>
      <w:r w:rsidRPr="00AE427E">
        <w:rPr>
          <w:sz w:val="28"/>
          <w:szCs w:val="28"/>
        </w:rPr>
        <w:t xml:space="preserve">Sears, </w:t>
      </w:r>
      <w:r w:rsidRPr="00393DE0">
        <w:rPr>
          <w:i/>
          <w:sz w:val="28"/>
          <w:szCs w:val="28"/>
        </w:rPr>
        <w:t>Employment Discrimination Against LGBT People,</w:t>
      </w:r>
      <w:r w:rsidRPr="00AE427E">
        <w:rPr>
          <w:sz w:val="28"/>
          <w:szCs w:val="28"/>
        </w:rPr>
        <w:t xml:space="preserve"> in Gender Identity &amp; Sexual Orientation in</w:t>
      </w:r>
      <w:r>
        <w:rPr>
          <w:sz w:val="28"/>
          <w:szCs w:val="28"/>
        </w:rPr>
        <w:t xml:space="preserve"> </w:t>
      </w:r>
      <w:r w:rsidRPr="00AE427E">
        <w:rPr>
          <w:sz w:val="28"/>
          <w:szCs w:val="28"/>
        </w:rPr>
        <w:t>the Workplace: A Practical Guide (Christine Michelle</w:t>
      </w:r>
      <w:r>
        <w:rPr>
          <w:sz w:val="28"/>
          <w:szCs w:val="28"/>
        </w:rPr>
        <w:t xml:space="preserve"> </w:t>
      </w:r>
      <w:r w:rsidRPr="00AE427E">
        <w:rPr>
          <w:sz w:val="28"/>
          <w:szCs w:val="28"/>
        </w:rPr>
        <w:t>Duffy &amp; Denise M. Visconti eds. 2014).</w:t>
      </w:r>
    </w:p>
    <w:p w14:paraId="11CA141E" w14:textId="6497D554" w:rsidR="00393DE0" w:rsidRDefault="00342C3B" w:rsidP="00342C3B">
      <w:pPr>
        <w:keepNext/>
        <w:widowControl/>
        <w:spacing w:line="480" w:lineRule="auto"/>
        <w:ind w:firstLine="720"/>
        <w:jc w:val="both"/>
        <w:rPr>
          <w:sz w:val="28"/>
          <w:szCs w:val="28"/>
        </w:rPr>
      </w:pPr>
      <w:r>
        <w:rPr>
          <w:sz w:val="28"/>
          <w:szCs w:val="28"/>
        </w:rPr>
        <w:t xml:space="preserve">The injury inflicted by discrimination within the judicial system is pernicious because that is “where the law itself unfolds.” </w:t>
      </w:r>
      <w:r>
        <w:rPr>
          <w:i/>
          <w:sz w:val="28"/>
          <w:szCs w:val="28"/>
        </w:rPr>
        <w:t>Edmonson v. Leesville Concrete Co., Inc.</w:t>
      </w:r>
      <w:r>
        <w:rPr>
          <w:sz w:val="28"/>
          <w:szCs w:val="28"/>
        </w:rPr>
        <w:t>, 500 U.S. 614, 628 (1991). Discrimination within the criminal justice system begins with law enforcement</w:t>
      </w:r>
      <w:r w:rsidR="00393DE0" w:rsidRPr="00393DE0">
        <w:rPr>
          <w:sz w:val="28"/>
          <w:szCs w:val="28"/>
        </w:rPr>
        <w:t xml:space="preserve">. Interactions between </w:t>
      </w:r>
      <w:r>
        <w:rPr>
          <w:sz w:val="28"/>
          <w:szCs w:val="28"/>
        </w:rPr>
        <w:t>LGBT</w:t>
      </w:r>
      <w:r w:rsidR="00393DE0" w:rsidRPr="00393DE0">
        <w:rPr>
          <w:sz w:val="28"/>
          <w:szCs w:val="28"/>
        </w:rPr>
        <w:t xml:space="preserve"> people and the police who profile</w:t>
      </w:r>
      <w:r w:rsidR="00393DE0">
        <w:rPr>
          <w:sz w:val="28"/>
          <w:szCs w:val="28"/>
        </w:rPr>
        <w:t xml:space="preserve"> </w:t>
      </w:r>
      <w:r w:rsidR="00393DE0" w:rsidRPr="00393DE0">
        <w:rPr>
          <w:sz w:val="28"/>
          <w:szCs w:val="28"/>
        </w:rPr>
        <w:t xml:space="preserve">and target them </w:t>
      </w:r>
      <w:r w:rsidR="009207C4">
        <w:rPr>
          <w:sz w:val="28"/>
          <w:szCs w:val="28"/>
        </w:rPr>
        <w:t xml:space="preserve">has </w:t>
      </w:r>
      <w:r w:rsidR="002C462A">
        <w:rPr>
          <w:sz w:val="28"/>
          <w:szCs w:val="28"/>
        </w:rPr>
        <w:t>historically</w:t>
      </w:r>
      <w:r w:rsidR="002C462A" w:rsidRPr="00393DE0">
        <w:rPr>
          <w:sz w:val="28"/>
          <w:szCs w:val="28"/>
        </w:rPr>
        <w:t xml:space="preserve"> </w:t>
      </w:r>
      <w:r w:rsidR="00393DE0" w:rsidRPr="00393DE0">
        <w:rPr>
          <w:sz w:val="28"/>
          <w:szCs w:val="28"/>
        </w:rPr>
        <w:t>involve</w:t>
      </w:r>
      <w:r w:rsidR="009207C4">
        <w:rPr>
          <w:sz w:val="28"/>
          <w:szCs w:val="28"/>
        </w:rPr>
        <w:t>d</w:t>
      </w:r>
      <w:r w:rsidR="00393DE0" w:rsidRPr="00393DE0">
        <w:rPr>
          <w:sz w:val="28"/>
          <w:szCs w:val="28"/>
        </w:rPr>
        <w:t xml:space="preserve"> harassment and</w:t>
      </w:r>
      <w:r w:rsidR="00393DE0">
        <w:rPr>
          <w:sz w:val="28"/>
          <w:szCs w:val="28"/>
        </w:rPr>
        <w:t xml:space="preserve"> </w:t>
      </w:r>
      <w:r w:rsidR="00393DE0" w:rsidRPr="00393DE0">
        <w:rPr>
          <w:sz w:val="28"/>
          <w:szCs w:val="28"/>
        </w:rPr>
        <w:t xml:space="preserve">violence. Christy Mallory et al., </w:t>
      </w:r>
      <w:r w:rsidR="00393DE0" w:rsidRPr="00342C3B">
        <w:rPr>
          <w:i/>
          <w:sz w:val="28"/>
          <w:szCs w:val="28"/>
        </w:rPr>
        <w:t>Discrimination and Harassment by Law Enforcement Officers in the LGBT Community</w:t>
      </w:r>
      <w:r w:rsidR="00393DE0" w:rsidRPr="00393DE0">
        <w:rPr>
          <w:sz w:val="28"/>
          <w:szCs w:val="28"/>
        </w:rPr>
        <w:t>, The Williams Institute, 6–11</w:t>
      </w:r>
      <w:r w:rsidR="00393DE0">
        <w:rPr>
          <w:sz w:val="28"/>
          <w:szCs w:val="28"/>
        </w:rPr>
        <w:t xml:space="preserve"> </w:t>
      </w:r>
      <w:r w:rsidR="00393DE0" w:rsidRPr="00393DE0">
        <w:rPr>
          <w:sz w:val="28"/>
          <w:szCs w:val="28"/>
        </w:rPr>
        <w:t>(2015)</w:t>
      </w:r>
      <w:r w:rsidR="00393DE0">
        <w:rPr>
          <w:sz w:val="28"/>
          <w:szCs w:val="28"/>
        </w:rPr>
        <w:t xml:space="preserve"> (</w:t>
      </w:r>
      <w:hyperlink r:id="rId9" w:history="1">
        <w:r w:rsidR="00393DE0" w:rsidRPr="00E62432">
          <w:rPr>
            <w:rStyle w:val="Hyperlink"/>
            <w:sz w:val="28"/>
            <w:szCs w:val="28"/>
          </w:rPr>
          <w:t>https://williamsinstitute.law.ucla.edu/wp-content/uploads/LGBT-Discrimination-by-Law-Enforcement-Mar-2015.pdf</w:t>
        </w:r>
      </w:hyperlink>
      <w:r w:rsidR="00393DE0">
        <w:rPr>
          <w:sz w:val="28"/>
          <w:szCs w:val="28"/>
        </w:rPr>
        <w:t xml:space="preserve">). A 2011 study found that LGBT youth were </w:t>
      </w:r>
      <w:r w:rsidR="00393DE0">
        <w:rPr>
          <w:sz w:val="28"/>
          <w:szCs w:val="28"/>
        </w:rPr>
        <w:lastRenderedPageBreak/>
        <w:t xml:space="preserve">53% more likely to be stopped by police, 60% more likely to be arrested before </w:t>
      </w:r>
      <w:r w:rsidR="002C462A">
        <w:rPr>
          <w:sz w:val="28"/>
          <w:szCs w:val="28"/>
        </w:rPr>
        <w:t xml:space="preserve">the </w:t>
      </w:r>
      <w:r w:rsidR="00393DE0">
        <w:rPr>
          <w:sz w:val="28"/>
          <w:szCs w:val="28"/>
        </w:rPr>
        <w:t xml:space="preserve">age </w:t>
      </w:r>
      <w:r w:rsidR="002C462A">
        <w:rPr>
          <w:sz w:val="28"/>
          <w:szCs w:val="28"/>
        </w:rPr>
        <w:t xml:space="preserve">of </w:t>
      </w:r>
      <w:r w:rsidR="00393DE0">
        <w:rPr>
          <w:sz w:val="28"/>
          <w:szCs w:val="28"/>
        </w:rPr>
        <w:t>18, 90% more likely to have had a juvenile conviction, and 41% more likely to have had an adult conviction that heterosexual youth</w:t>
      </w:r>
      <w:r w:rsidR="002C462A">
        <w:rPr>
          <w:sz w:val="28"/>
          <w:szCs w:val="28"/>
        </w:rPr>
        <w:t>—</w:t>
      </w:r>
      <w:r w:rsidR="00393DE0">
        <w:rPr>
          <w:sz w:val="28"/>
          <w:szCs w:val="28"/>
        </w:rPr>
        <w:t xml:space="preserve">even when controlling for race, socioeconomic status, and criminal behavior. </w:t>
      </w:r>
      <w:r w:rsidR="00393DE0" w:rsidRPr="00393DE0">
        <w:rPr>
          <w:sz w:val="28"/>
          <w:szCs w:val="28"/>
        </w:rPr>
        <w:t>Kathryn E.W. Himmelstein</w:t>
      </w:r>
      <w:r w:rsidR="00393DE0">
        <w:rPr>
          <w:sz w:val="28"/>
          <w:szCs w:val="28"/>
        </w:rPr>
        <w:t xml:space="preserve"> </w:t>
      </w:r>
      <w:r w:rsidR="00393DE0" w:rsidRPr="00393DE0">
        <w:rPr>
          <w:sz w:val="28"/>
          <w:szCs w:val="28"/>
        </w:rPr>
        <w:t xml:space="preserve">&amp; Hannah </w:t>
      </w:r>
      <w:proofErr w:type="spellStart"/>
      <w:r w:rsidR="00393DE0" w:rsidRPr="00393DE0">
        <w:rPr>
          <w:sz w:val="28"/>
          <w:szCs w:val="28"/>
        </w:rPr>
        <w:t>Brückner</w:t>
      </w:r>
      <w:proofErr w:type="spellEnd"/>
      <w:r w:rsidR="00393DE0" w:rsidRPr="00393DE0">
        <w:rPr>
          <w:sz w:val="28"/>
          <w:szCs w:val="28"/>
        </w:rPr>
        <w:t xml:space="preserve">, </w:t>
      </w:r>
      <w:r w:rsidR="00393DE0" w:rsidRPr="00393DE0">
        <w:rPr>
          <w:i/>
          <w:sz w:val="28"/>
          <w:szCs w:val="28"/>
        </w:rPr>
        <w:t xml:space="preserve">Criminal-Justice and School Sanctions Against </w:t>
      </w:r>
      <w:proofErr w:type="spellStart"/>
      <w:r w:rsidR="00393DE0" w:rsidRPr="00393DE0">
        <w:rPr>
          <w:i/>
          <w:sz w:val="28"/>
          <w:szCs w:val="28"/>
        </w:rPr>
        <w:t>Nonheterosexual</w:t>
      </w:r>
      <w:proofErr w:type="spellEnd"/>
      <w:r w:rsidR="00393DE0" w:rsidRPr="00393DE0">
        <w:rPr>
          <w:i/>
          <w:sz w:val="28"/>
          <w:szCs w:val="28"/>
        </w:rPr>
        <w:t xml:space="preserve"> Youth: A National Longitudinal Study</w:t>
      </w:r>
      <w:r w:rsidR="00393DE0" w:rsidRPr="00393DE0">
        <w:rPr>
          <w:sz w:val="28"/>
          <w:szCs w:val="28"/>
        </w:rPr>
        <w:t>, 127 Pediatrics 49, 51,</w:t>
      </w:r>
      <w:r w:rsidR="00393DE0">
        <w:rPr>
          <w:sz w:val="28"/>
          <w:szCs w:val="28"/>
        </w:rPr>
        <w:t xml:space="preserve"> </w:t>
      </w:r>
      <w:r w:rsidR="00393DE0" w:rsidRPr="00393DE0">
        <w:rPr>
          <w:sz w:val="28"/>
          <w:szCs w:val="28"/>
        </w:rPr>
        <w:t>53 (2011).</w:t>
      </w:r>
      <w:r w:rsidR="00393DE0">
        <w:rPr>
          <w:sz w:val="28"/>
          <w:szCs w:val="28"/>
        </w:rPr>
        <w:t xml:space="preserve"> </w:t>
      </w:r>
      <w:r w:rsidR="00393DE0" w:rsidRPr="00393DE0">
        <w:rPr>
          <w:sz w:val="28"/>
          <w:szCs w:val="28"/>
        </w:rPr>
        <w:t>In a 2008</w:t>
      </w:r>
      <w:r w:rsidR="00393DE0">
        <w:rPr>
          <w:sz w:val="28"/>
          <w:szCs w:val="28"/>
        </w:rPr>
        <w:t xml:space="preserve"> </w:t>
      </w:r>
      <w:r w:rsidR="00393DE0" w:rsidRPr="00393DE0">
        <w:rPr>
          <w:sz w:val="28"/>
          <w:szCs w:val="28"/>
        </w:rPr>
        <w:t>study, 62% of police chiefs surveyed believed that</w:t>
      </w:r>
      <w:r w:rsidR="00393DE0">
        <w:rPr>
          <w:sz w:val="28"/>
          <w:szCs w:val="28"/>
        </w:rPr>
        <w:t xml:space="preserve"> </w:t>
      </w:r>
      <w:r w:rsidR="00393DE0" w:rsidRPr="00393DE0">
        <w:rPr>
          <w:sz w:val="28"/>
          <w:szCs w:val="28"/>
        </w:rPr>
        <w:t>being gay constitutes “moral turpitude,” and 56%</w:t>
      </w:r>
      <w:r w:rsidR="00393DE0">
        <w:rPr>
          <w:sz w:val="28"/>
          <w:szCs w:val="28"/>
        </w:rPr>
        <w:t xml:space="preserve"> </w:t>
      </w:r>
      <w:r w:rsidR="00393DE0" w:rsidRPr="00393DE0">
        <w:rPr>
          <w:sz w:val="28"/>
          <w:szCs w:val="28"/>
        </w:rPr>
        <w:t>viewed it as a “perversion.” Christy Mallory et al.,</w:t>
      </w:r>
      <w:r w:rsidR="00393DE0">
        <w:rPr>
          <w:sz w:val="28"/>
          <w:szCs w:val="28"/>
        </w:rPr>
        <w:t xml:space="preserve"> </w:t>
      </w:r>
      <w:r w:rsidR="00393DE0" w:rsidRPr="00342C3B">
        <w:rPr>
          <w:i/>
          <w:sz w:val="28"/>
          <w:szCs w:val="28"/>
        </w:rPr>
        <w:t>Discrimination Against Law Enforcement Officers on the Basis of Sexual Orientation and Gender Identity: 2000 to 2013</w:t>
      </w:r>
      <w:r w:rsidR="00393DE0" w:rsidRPr="00393DE0">
        <w:rPr>
          <w:sz w:val="28"/>
          <w:szCs w:val="28"/>
        </w:rPr>
        <w:t>, The Williams Institute, 2 (2013),</w:t>
      </w:r>
      <w:r>
        <w:rPr>
          <w:sz w:val="28"/>
          <w:szCs w:val="28"/>
        </w:rPr>
        <w:t xml:space="preserve"> (</w:t>
      </w:r>
      <w:hyperlink r:id="rId10" w:history="1">
        <w:r w:rsidRPr="00E62432">
          <w:rPr>
            <w:rStyle w:val="Hyperlink"/>
            <w:sz w:val="28"/>
            <w:szCs w:val="28"/>
          </w:rPr>
          <w:t>https://williamsinstitute.law.ucla.edu/wp-content/uploads/Law-Enforcement-SOGI-Nov-2013.pdf</w:t>
        </w:r>
      </w:hyperlink>
      <w:r>
        <w:rPr>
          <w:sz w:val="28"/>
          <w:szCs w:val="28"/>
        </w:rPr>
        <w:t>)</w:t>
      </w:r>
      <w:r w:rsidR="00393DE0" w:rsidRPr="00393DE0">
        <w:rPr>
          <w:sz w:val="28"/>
          <w:szCs w:val="28"/>
        </w:rPr>
        <w:t xml:space="preserve">; </w:t>
      </w:r>
      <w:r w:rsidR="00393DE0" w:rsidRPr="00342C3B">
        <w:rPr>
          <w:i/>
          <w:sz w:val="28"/>
          <w:szCs w:val="28"/>
        </w:rPr>
        <w:t>see also</w:t>
      </w:r>
      <w:r w:rsidR="00393DE0" w:rsidRPr="00393DE0">
        <w:rPr>
          <w:sz w:val="28"/>
          <w:szCs w:val="28"/>
        </w:rPr>
        <w:t xml:space="preserve"> Christine M.</w:t>
      </w:r>
      <w:r w:rsidR="00393DE0">
        <w:rPr>
          <w:sz w:val="28"/>
          <w:szCs w:val="28"/>
        </w:rPr>
        <w:t xml:space="preserve"> </w:t>
      </w:r>
      <w:r w:rsidR="00393DE0" w:rsidRPr="00393DE0">
        <w:rPr>
          <w:sz w:val="28"/>
          <w:szCs w:val="28"/>
        </w:rPr>
        <w:t xml:space="preserve">Anthony et al., </w:t>
      </w:r>
      <w:r w:rsidR="00393DE0" w:rsidRPr="00342C3B">
        <w:rPr>
          <w:i/>
          <w:sz w:val="28"/>
          <w:szCs w:val="28"/>
        </w:rPr>
        <w:t>Police Judgments of Culpability and Homophobia</w:t>
      </w:r>
      <w:r w:rsidR="00393DE0" w:rsidRPr="00393DE0">
        <w:rPr>
          <w:sz w:val="28"/>
          <w:szCs w:val="28"/>
        </w:rPr>
        <w:t>, Applied Psych. Crim. Just. 9 (2005)</w:t>
      </w:r>
      <w:r w:rsidR="00393DE0">
        <w:rPr>
          <w:sz w:val="28"/>
          <w:szCs w:val="28"/>
        </w:rPr>
        <w:t xml:space="preserve"> </w:t>
      </w:r>
      <w:r w:rsidR="00393DE0" w:rsidRPr="00393DE0">
        <w:rPr>
          <w:sz w:val="28"/>
          <w:szCs w:val="28"/>
        </w:rPr>
        <w:t>(</w:t>
      </w:r>
      <w:r w:rsidR="002C462A">
        <w:rPr>
          <w:sz w:val="28"/>
          <w:szCs w:val="28"/>
        </w:rPr>
        <w:t xml:space="preserve">noting that </w:t>
      </w:r>
      <w:r w:rsidR="00393DE0" w:rsidRPr="00393DE0">
        <w:rPr>
          <w:sz w:val="28"/>
          <w:szCs w:val="28"/>
        </w:rPr>
        <w:t>32% of officers believe gay men are “disgusting”).</w:t>
      </w:r>
    </w:p>
    <w:p w14:paraId="107286DD" w14:textId="77777777" w:rsidR="006D6F99" w:rsidRDefault="00AE642E" w:rsidP="007F5A75">
      <w:pPr>
        <w:keepNext/>
        <w:widowControl/>
        <w:spacing w:line="480" w:lineRule="auto"/>
        <w:ind w:firstLine="720"/>
        <w:jc w:val="both"/>
        <w:rPr>
          <w:sz w:val="28"/>
          <w:szCs w:val="28"/>
        </w:rPr>
      </w:pPr>
      <w:r>
        <w:rPr>
          <w:sz w:val="28"/>
          <w:szCs w:val="28"/>
        </w:rPr>
        <w:t xml:space="preserve">Studies have shown that bias based on sexual orientation has significantly and negatively affected court users’ experiences in the court system. </w:t>
      </w:r>
      <w:r w:rsidRPr="007F5A75">
        <w:rPr>
          <w:i/>
          <w:sz w:val="28"/>
          <w:szCs w:val="28"/>
        </w:rPr>
        <w:t>See</w:t>
      </w:r>
      <w:r>
        <w:rPr>
          <w:sz w:val="28"/>
          <w:szCs w:val="28"/>
        </w:rPr>
        <w:t xml:space="preserve"> </w:t>
      </w:r>
      <w:r w:rsidRPr="00AE642E">
        <w:rPr>
          <w:sz w:val="28"/>
          <w:szCs w:val="28"/>
        </w:rPr>
        <w:t xml:space="preserve">Todd Brower, </w:t>
      </w:r>
      <w:r w:rsidRPr="007F5A75">
        <w:rPr>
          <w:i/>
          <w:sz w:val="28"/>
          <w:szCs w:val="28"/>
        </w:rPr>
        <w:t>Twelve Angry—And Sometimes Alienated—Men: The Experiences and Treatment of Lesbians and Gay Men During Jury Service</w:t>
      </w:r>
      <w:r w:rsidRPr="00AE642E">
        <w:rPr>
          <w:sz w:val="28"/>
          <w:szCs w:val="28"/>
        </w:rPr>
        <w:t>, 59</w:t>
      </w:r>
      <w:r>
        <w:rPr>
          <w:sz w:val="28"/>
          <w:szCs w:val="28"/>
        </w:rPr>
        <w:t xml:space="preserve"> </w:t>
      </w:r>
      <w:r w:rsidRPr="00AE642E">
        <w:rPr>
          <w:sz w:val="28"/>
          <w:szCs w:val="28"/>
        </w:rPr>
        <w:t>Drake L. Rev. 669, 674 (2011) (examining empirical</w:t>
      </w:r>
      <w:r>
        <w:rPr>
          <w:sz w:val="28"/>
          <w:szCs w:val="28"/>
        </w:rPr>
        <w:t xml:space="preserve"> </w:t>
      </w:r>
      <w:r w:rsidRPr="00AE642E">
        <w:rPr>
          <w:sz w:val="28"/>
          <w:szCs w:val="28"/>
        </w:rPr>
        <w:t>studies in California and New Jersey that evaluated</w:t>
      </w:r>
      <w:r>
        <w:rPr>
          <w:sz w:val="28"/>
          <w:szCs w:val="28"/>
        </w:rPr>
        <w:t xml:space="preserve"> </w:t>
      </w:r>
      <w:r w:rsidRPr="00AE642E">
        <w:rPr>
          <w:sz w:val="28"/>
          <w:szCs w:val="28"/>
        </w:rPr>
        <w:t xml:space="preserve">the experiences of </w:t>
      </w:r>
      <w:r w:rsidR="007F5A75">
        <w:rPr>
          <w:sz w:val="28"/>
          <w:szCs w:val="28"/>
        </w:rPr>
        <w:t>LGBT</w:t>
      </w:r>
      <w:r w:rsidRPr="00AE642E">
        <w:rPr>
          <w:sz w:val="28"/>
          <w:szCs w:val="28"/>
        </w:rPr>
        <w:t xml:space="preserve"> people</w:t>
      </w:r>
      <w:r>
        <w:rPr>
          <w:sz w:val="28"/>
          <w:szCs w:val="28"/>
        </w:rPr>
        <w:t xml:space="preserve"> </w:t>
      </w:r>
      <w:r w:rsidRPr="00AE642E">
        <w:rPr>
          <w:sz w:val="28"/>
          <w:szCs w:val="28"/>
        </w:rPr>
        <w:t>with the court system). In a California study of</w:t>
      </w:r>
      <w:r>
        <w:rPr>
          <w:sz w:val="28"/>
          <w:szCs w:val="28"/>
        </w:rPr>
        <w:t xml:space="preserve"> </w:t>
      </w:r>
      <w:r w:rsidR="007F5A75">
        <w:rPr>
          <w:sz w:val="28"/>
          <w:szCs w:val="28"/>
        </w:rPr>
        <w:t>LGBT</w:t>
      </w:r>
      <w:r w:rsidRPr="00AE642E">
        <w:rPr>
          <w:sz w:val="28"/>
          <w:szCs w:val="28"/>
        </w:rPr>
        <w:t xml:space="preserve"> </w:t>
      </w:r>
      <w:r w:rsidRPr="00AE642E">
        <w:rPr>
          <w:sz w:val="28"/>
          <w:szCs w:val="28"/>
        </w:rPr>
        <w:lastRenderedPageBreak/>
        <w:t>court users, 30% of</w:t>
      </w:r>
      <w:r>
        <w:rPr>
          <w:sz w:val="28"/>
          <w:szCs w:val="28"/>
        </w:rPr>
        <w:t xml:space="preserve"> </w:t>
      </w:r>
      <w:r w:rsidRPr="00AE642E">
        <w:rPr>
          <w:sz w:val="28"/>
          <w:szCs w:val="28"/>
        </w:rPr>
        <w:t>respondents believed those who knew their sexual</w:t>
      </w:r>
      <w:r>
        <w:rPr>
          <w:sz w:val="28"/>
          <w:szCs w:val="28"/>
        </w:rPr>
        <w:t xml:space="preserve"> </w:t>
      </w:r>
      <w:r w:rsidRPr="00AE642E">
        <w:rPr>
          <w:sz w:val="28"/>
          <w:szCs w:val="28"/>
        </w:rPr>
        <w:t>orientation did not treat them with respect and 39%</w:t>
      </w:r>
      <w:r>
        <w:rPr>
          <w:sz w:val="28"/>
          <w:szCs w:val="28"/>
        </w:rPr>
        <w:t xml:space="preserve"> </w:t>
      </w:r>
      <w:r w:rsidRPr="00AE642E">
        <w:rPr>
          <w:sz w:val="28"/>
          <w:szCs w:val="28"/>
        </w:rPr>
        <w:t>believed their sexual orientation was used to</w:t>
      </w:r>
      <w:r>
        <w:rPr>
          <w:sz w:val="28"/>
          <w:szCs w:val="28"/>
        </w:rPr>
        <w:t xml:space="preserve"> </w:t>
      </w:r>
      <w:r w:rsidRPr="00AE642E">
        <w:rPr>
          <w:sz w:val="28"/>
          <w:szCs w:val="28"/>
        </w:rPr>
        <w:t>diminish their credibility when it became known.</w:t>
      </w:r>
      <w:r>
        <w:rPr>
          <w:sz w:val="28"/>
          <w:szCs w:val="28"/>
        </w:rPr>
        <w:t xml:space="preserve"> </w:t>
      </w:r>
      <w:r w:rsidRPr="007F5A75">
        <w:rPr>
          <w:i/>
          <w:sz w:val="28"/>
          <w:szCs w:val="28"/>
        </w:rPr>
        <w:t>Sexual Orientation Fairness in the California Courts: Final Report of the Sexual Orientation Fairness Subcommittee of the Judicial Council’s Access and Fairness Advisory Committee</w:t>
      </w:r>
      <w:r w:rsidRPr="00AE642E">
        <w:rPr>
          <w:sz w:val="28"/>
          <w:szCs w:val="28"/>
        </w:rPr>
        <w:t>, 5 (2001)</w:t>
      </w:r>
      <w:r w:rsidR="007F5A75">
        <w:rPr>
          <w:sz w:val="28"/>
          <w:szCs w:val="28"/>
        </w:rPr>
        <w:t xml:space="preserve"> (</w:t>
      </w:r>
      <w:hyperlink r:id="rId11" w:history="1">
        <w:r w:rsidR="007F5A75" w:rsidRPr="00E62432">
          <w:rPr>
            <w:rStyle w:val="Hyperlink"/>
            <w:sz w:val="28"/>
            <w:szCs w:val="28"/>
          </w:rPr>
          <w:t>https://www.courts.ca.gov/documents/sexualorient_report.pdf</w:t>
        </w:r>
      </w:hyperlink>
      <w:r w:rsidR="007F5A75">
        <w:rPr>
          <w:sz w:val="28"/>
          <w:szCs w:val="28"/>
        </w:rPr>
        <w:t>)</w:t>
      </w:r>
      <w:r w:rsidRPr="00AE642E">
        <w:rPr>
          <w:sz w:val="28"/>
          <w:szCs w:val="28"/>
        </w:rPr>
        <w:t>.</w:t>
      </w:r>
      <w:r>
        <w:rPr>
          <w:sz w:val="28"/>
          <w:szCs w:val="28"/>
        </w:rPr>
        <w:t xml:space="preserve"> </w:t>
      </w:r>
      <w:r w:rsidRPr="00AE642E">
        <w:rPr>
          <w:sz w:val="28"/>
          <w:szCs w:val="28"/>
        </w:rPr>
        <w:t>Twenty percent of lesbian, gay, and bisexual court</w:t>
      </w:r>
      <w:r>
        <w:rPr>
          <w:sz w:val="28"/>
          <w:szCs w:val="28"/>
        </w:rPr>
        <w:t xml:space="preserve"> </w:t>
      </w:r>
      <w:r w:rsidRPr="00AE642E">
        <w:rPr>
          <w:sz w:val="28"/>
          <w:szCs w:val="28"/>
        </w:rPr>
        <w:t>employees reported hearing “derogatory terms,</w:t>
      </w:r>
      <w:r>
        <w:rPr>
          <w:sz w:val="28"/>
          <w:szCs w:val="28"/>
        </w:rPr>
        <w:t xml:space="preserve"> </w:t>
      </w:r>
      <w:r w:rsidRPr="00AE642E">
        <w:rPr>
          <w:sz w:val="28"/>
          <w:szCs w:val="28"/>
        </w:rPr>
        <w:t>ridicule, snickering, or jokes about gay men or</w:t>
      </w:r>
      <w:r>
        <w:rPr>
          <w:sz w:val="28"/>
          <w:szCs w:val="28"/>
        </w:rPr>
        <w:t xml:space="preserve"> </w:t>
      </w:r>
      <w:r w:rsidRPr="00AE642E">
        <w:rPr>
          <w:sz w:val="28"/>
          <w:szCs w:val="28"/>
        </w:rPr>
        <w:t>lesbians in open court, with the comments being</w:t>
      </w:r>
      <w:r>
        <w:rPr>
          <w:sz w:val="28"/>
          <w:szCs w:val="28"/>
        </w:rPr>
        <w:t xml:space="preserve"> </w:t>
      </w:r>
      <w:r w:rsidRPr="00AE642E">
        <w:rPr>
          <w:sz w:val="28"/>
          <w:szCs w:val="28"/>
        </w:rPr>
        <w:t>made most frequently by judges, lawyers, or court</w:t>
      </w:r>
      <w:r>
        <w:rPr>
          <w:sz w:val="28"/>
          <w:szCs w:val="28"/>
        </w:rPr>
        <w:t xml:space="preserve"> </w:t>
      </w:r>
      <w:r w:rsidRPr="00AE642E">
        <w:rPr>
          <w:sz w:val="28"/>
          <w:szCs w:val="28"/>
        </w:rPr>
        <w:t xml:space="preserve">employees.” </w:t>
      </w:r>
      <w:r w:rsidRPr="007F5A75">
        <w:rPr>
          <w:i/>
          <w:sz w:val="28"/>
          <w:szCs w:val="28"/>
        </w:rPr>
        <w:t>Id</w:t>
      </w:r>
      <w:r w:rsidRPr="00AE642E">
        <w:rPr>
          <w:sz w:val="28"/>
          <w:szCs w:val="28"/>
        </w:rPr>
        <w:t>. at 19. More than a third of lesbian,</w:t>
      </w:r>
      <w:r>
        <w:rPr>
          <w:sz w:val="28"/>
          <w:szCs w:val="28"/>
        </w:rPr>
        <w:t xml:space="preserve"> </w:t>
      </w:r>
      <w:r w:rsidRPr="00AE642E">
        <w:rPr>
          <w:sz w:val="28"/>
          <w:szCs w:val="28"/>
        </w:rPr>
        <w:t>gay, and bisexual court users “felt threatened in the</w:t>
      </w:r>
      <w:r>
        <w:rPr>
          <w:sz w:val="28"/>
          <w:szCs w:val="28"/>
        </w:rPr>
        <w:t xml:space="preserve"> </w:t>
      </w:r>
      <w:r w:rsidRPr="00AE642E">
        <w:rPr>
          <w:sz w:val="28"/>
          <w:szCs w:val="28"/>
        </w:rPr>
        <w:t xml:space="preserve">court setting because of their sexual orientation.” </w:t>
      </w:r>
      <w:r w:rsidRPr="007F5A75">
        <w:rPr>
          <w:i/>
          <w:sz w:val="28"/>
          <w:szCs w:val="28"/>
        </w:rPr>
        <w:t>Id</w:t>
      </w:r>
      <w:r w:rsidRPr="00AE642E">
        <w:rPr>
          <w:sz w:val="28"/>
          <w:szCs w:val="28"/>
        </w:rPr>
        <w:t>.</w:t>
      </w:r>
      <w:r>
        <w:rPr>
          <w:sz w:val="28"/>
          <w:szCs w:val="28"/>
        </w:rPr>
        <w:t xml:space="preserve"> </w:t>
      </w:r>
      <w:r w:rsidRPr="00AE642E">
        <w:rPr>
          <w:sz w:val="28"/>
          <w:szCs w:val="28"/>
        </w:rPr>
        <w:t>at 5. Likewise, in a study from Arizona, 29% of</w:t>
      </w:r>
      <w:r>
        <w:rPr>
          <w:sz w:val="28"/>
          <w:szCs w:val="28"/>
        </w:rPr>
        <w:t xml:space="preserve"> </w:t>
      </w:r>
      <w:r w:rsidR="006D6F99">
        <w:rPr>
          <w:sz w:val="28"/>
          <w:szCs w:val="28"/>
        </w:rPr>
        <w:t>LGBT</w:t>
      </w:r>
      <w:r w:rsidRPr="00AE642E">
        <w:rPr>
          <w:sz w:val="28"/>
          <w:szCs w:val="28"/>
        </w:rPr>
        <w:t xml:space="preserve"> court employees reported hearing</w:t>
      </w:r>
      <w:r w:rsidR="007F5A75">
        <w:rPr>
          <w:sz w:val="28"/>
          <w:szCs w:val="28"/>
        </w:rPr>
        <w:t xml:space="preserve"> </w:t>
      </w:r>
      <w:r w:rsidRPr="00AE642E">
        <w:rPr>
          <w:sz w:val="28"/>
          <w:szCs w:val="28"/>
        </w:rPr>
        <w:t>“negative remarks” about gay people. Michael B.</w:t>
      </w:r>
      <w:r w:rsidR="007F5A75">
        <w:rPr>
          <w:sz w:val="28"/>
          <w:szCs w:val="28"/>
        </w:rPr>
        <w:t xml:space="preserve"> </w:t>
      </w:r>
      <w:proofErr w:type="spellStart"/>
      <w:r w:rsidRPr="00AE642E">
        <w:rPr>
          <w:sz w:val="28"/>
          <w:szCs w:val="28"/>
        </w:rPr>
        <w:t>Shortnancy</w:t>
      </w:r>
      <w:proofErr w:type="spellEnd"/>
      <w:r w:rsidRPr="00AE642E">
        <w:rPr>
          <w:sz w:val="28"/>
          <w:szCs w:val="28"/>
        </w:rPr>
        <w:t xml:space="preserve">, </w:t>
      </w:r>
      <w:r w:rsidRPr="007F5A75">
        <w:rPr>
          <w:i/>
          <w:sz w:val="28"/>
          <w:szCs w:val="28"/>
        </w:rPr>
        <w:t>Note, Guilty and Gay, a Recipe for</w:t>
      </w:r>
      <w:r w:rsidR="007F5A75" w:rsidRPr="007F5A75">
        <w:rPr>
          <w:i/>
          <w:sz w:val="28"/>
          <w:szCs w:val="28"/>
        </w:rPr>
        <w:t xml:space="preserve"> </w:t>
      </w:r>
      <w:r w:rsidRPr="007F5A75">
        <w:rPr>
          <w:i/>
          <w:sz w:val="28"/>
          <w:szCs w:val="28"/>
        </w:rPr>
        <w:t>Execution in American Courtrooms: Sexual</w:t>
      </w:r>
      <w:r w:rsidR="007F5A75" w:rsidRPr="007F5A75">
        <w:rPr>
          <w:i/>
          <w:sz w:val="28"/>
          <w:szCs w:val="28"/>
        </w:rPr>
        <w:t xml:space="preserve"> </w:t>
      </w:r>
      <w:r w:rsidRPr="007F5A75">
        <w:rPr>
          <w:i/>
          <w:sz w:val="28"/>
          <w:szCs w:val="28"/>
        </w:rPr>
        <w:t>Orientation as a Tool for Prosecutorial Misconduct in</w:t>
      </w:r>
      <w:r w:rsidR="007F5A75" w:rsidRPr="007F5A75">
        <w:rPr>
          <w:i/>
          <w:sz w:val="28"/>
          <w:szCs w:val="28"/>
        </w:rPr>
        <w:t xml:space="preserve"> </w:t>
      </w:r>
      <w:r w:rsidRPr="007F5A75">
        <w:rPr>
          <w:i/>
          <w:sz w:val="28"/>
          <w:szCs w:val="28"/>
        </w:rPr>
        <w:t>Death Penalty Cases</w:t>
      </w:r>
      <w:r w:rsidRPr="00AE642E">
        <w:rPr>
          <w:sz w:val="28"/>
          <w:szCs w:val="28"/>
        </w:rPr>
        <w:t>, 51 Am. U.L. Rev. 309, 327</w:t>
      </w:r>
      <w:r w:rsidR="007F5A75">
        <w:rPr>
          <w:sz w:val="28"/>
          <w:szCs w:val="28"/>
        </w:rPr>
        <w:t xml:space="preserve"> </w:t>
      </w:r>
      <w:r w:rsidRPr="00AE642E">
        <w:rPr>
          <w:sz w:val="28"/>
          <w:szCs w:val="28"/>
        </w:rPr>
        <w:t>(2001)</w:t>
      </w:r>
      <w:r w:rsidR="007F5A75">
        <w:rPr>
          <w:sz w:val="28"/>
          <w:szCs w:val="28"/>
        </w:rPr>
        <w:t xml:space="preserve">. Thirteen percent of judges and attorneys surveyed had witnessed negative treatment by judges in open court toward those perceived to be LGBT. </w:t>
      </w:r>
      <w:r w:rsidR="007F5A75">
        <w:rPr>
          <w:i/>
          <w:sz w:val="28"/>
          <w:szCs w:val="28"/>
        </w:rPr>
        <w:t>Id.</w:t>
      </w:r>
      <w:r w:rsidR="007F5A75">
        <w:rPr>
          <w:sz w:val="28"/>
          <w:szCs w:val="28"/>
        </w:rPr>
        <w:t xml:space="preserve"> </w:t>
      </w:r>
    </w:p>
    <w:p w14:paraId="14AC7619" w14:textId="77777777" w:rsidR="00AE642E" w:rsidRDefault="007F5A75" w:rsidP="007F5A75">
      <w:pPr>
        <w:keepNext/>
        <w:widowControl/>
        <w:spacing w:line="480" w:lineRule="auto"/>
        <w:ind w:firstLine="720"/>
        <w:jc w:val="both"/>
        <w:rPr>
          <w:sz w:val="28"/>
          <w:szCs w:val="28"/>
        </w:rPr>
      </w:pPr>
      <w:r>
        <w:rPr>
          <w:sz w:val="28"/>
          <w:szCs w:val="28"/>
        </w:rPr>
        <w:t xml:space="preserve">A </w:t>
      </w:r>
      <w:r w:rsidRPr="007F5A75">
        <w:rPr>
          <w:sz w:val="28"/>
          <w:szCs w:val="28"/>
        </w:rPr>
        <w:t>2012 community survey conducted by</w:t>
      </w:r>
      <w:r>
        <w:rPr>
          <w:sz w:val="28"/>
          <w:szCs w:val="28"/>
        </w:rPr>
        <w:t xml:space="preserve"> </w:t>
      </w:r>
      <w:r w:rsidRPr="007F5A75">
        <w:rPr>
          <w:sz w:val="28"/>
          <w:szCs w:val="28"/>
        </w:rPr>
        <w:t xml:space="preserve">Lambda Legal of 965 </w:t>
      </w:r>
      <w:r w:rsidR="006D6F99">
        <w:rPr>
          <w:sz w:val="28"/>
          <w:szCs w:val="28"/>
        </w:rPr>
        <w:t>LGBT</w:t>
      </w:r>
      <w:r w:rsidRPr="007F5A75">
        <w:rPr>
          <w:sz w:val="28"/>
          <w:szCs w:val="28"/>
        </w:rPr>
        <w:t xml:space="preserve"> or HIV-affected respondents who had</w:t>
      </w:r>
      <w:r>
        <w:rPr>
          <w:sz w:val="28"/>
          <w:szCs w:val="28"/>
        </w:rPr>
        <w:t xml:space="preserve"> </w:t>
      </w:r>
      <w:r w:rsidRPr="007F5A75">
        <w:rPr>
          <w:sz w:val="28"/>
          <w:szCs w:val="28"/>
        </w:rPr>
        <w:t>recently been involved with the court system</w:t>
      </w:r>
      <w:r>
        <w:rPr>
          <w:sz w:val="28"/>
          <w:szCs w:val="28"/>
        </w:rPr>
        <w:t xml:space="preserve"> </w:t>
      </w:r>
      <w:r w:rsidRPr="007F5A75">
        <w:rPr>
          <w:sz w:val="28"/>
          <w:szCs w:val="28"/>
        </w:rPr>
        <w:t xml:space="preserve">confirms these findings. Lambda Legal, </w:t>
      </w:r>
      <w:r w:rsidRPr="006D6F99">
        <w:rPr>
          <w:i/>
          <w:sz w:val="28"/>
          <w:szCs w:val="28"/>
        </w:rPr>
        <w:t xml:space="preserve">Protected and Served? A National Survey Exploring </w:t>
      </w:r>
      <w:r w:rsidRPr="006D6F99">
        <w:rPr>
          <w:i/>
          <w:sz w:val="28"/>
          <w:szCs w:val="28"/>
        </w:rPr>
        <w:lastRenderedPageBreak/>
        <w:t>Discrimination by Police, Prisons and Schools Against LGBT People and People Living with HIV in the United States</w:t>
      </w:r>
      <w:r w:rsidRPr="007F5A75">
        <w:rPr>
          <w:sz w:val="28"/>
          <w:szCs w:val="28"/>
        </w:rPr>
        <w:t xml:space="preserve"> (2014)</w:t>
      </w:r>
      <w:r w:rsidR="006D6F99">
        <w:rPr>
          <w:sz w:val="28"/>
          <w:szCs w:val="28"/>
        </w:rPr>
        <w:t xml:space="preserve"> (</w:t>
      </w:r>
      <w:hyperlink r:id="rId12" w:history="1">
        <w:r w:rsidR="006D6F99" w:rsidRPr="00E62432">
          <w:rPr>
            <w:rStyle w:val="Hyperlink"/>
            <w:sz w:val="28"/>
            <w:szCs w:val="28"/>
          </w:rPr>
          <w:t>https://www.lambdalegal.org/sites/default/files/publications/downloads/ps_executive-summary.pdf</w:t>
        </w:r>
      </w:hyperlink>
      <w:r w:rsidR="006D6F99">
        <w:rPr>
          <w:sz w:val="28"/>
          <w:szCs w:val="28"/>
        </w:rPr>
        <w:t>)</w:t>
      </w:r>
      <w:r w:rsidRPr="007F5A75">
        <w:rPr>
          <w:sz w:val="28"/>
          <w:szCs w:val="28"/>
        </w:rPr>
        <w:t>.</w:t>
      </w:r>
      <w:r>
        <w:rPr>
          <w:sz w:val="28"/>
          <w:szCs w:val="28"/>
        </w:rPr>
        <w:t xml:space="preserve"> </w:t>
      </w:r>
      <w:r w:rsidRPr="007F5A75">
        <w:rPr>
          <w:sz w:val="28"/>
          <w:szCs w:val="28"/>
        </w:rPr>
        <w:t>Nineteen percent of those surveyed indicated they</w:t>
      </w:r>
      <w:r>
        <w:rPr>
          <w:sz w:val="28"/>
          <w:szCs w:val="28"/>
        </w:rPr>
        <w:t xml:space="preserve"> </w:t>
      </w:r>
      <w:r w:rsidRPr="007F5A75">
        <w:rPr>
          <w:sz w:val="28"/>
          <w:szCs w:val="28"/>
        </w:rPr>
        <w:t>had heard negative comments about sexual</w:t>
      </w:r>
      <w:r>
        <w:rPr>
          <w:sz w:val="28"/>
          <w:szCs w:val="28"/>
        </w:rPr>
        <w:t xml:space="preserve"> </w:t>
      </w:r>
      <w:r w:rsidRPr="007F5A75">
        <w:rPr>
          <w:sz w:val="28"/>
          <w:szCs w:val="28"/>
        </w:rPr>
        <w:t>orientation, gender identity, or gender expression</w:t>
      </w:r>
      <w:r>
        <w:rPr>
          <w:sz w:val="28"/>
          <w:szCs w:val="28"/>
        </w:rPr>
        <w:t xml:space="preserve"> </w:t>
      </w:r>
      <w:r w:rsidRPr="007F5A75">
        <w:rPr>
          <w:sz w:val="28"/>
          <w:szCs w:val="28"/>
        </w:rPr>
        <w:t xml:space="preserve">come from judges, attorneys, or court staff. </w:t>
      </w:r>
      <w:r w:rsidRPr="006D6F99">
        <w:rPr>
          <w:i/>
          <w:sz w:val="28"/>
          <w:szCs w:val="28"/>
        </w:rPr>
        <w:t>Id</w:t>
      </w:r>
      <w:r w:rsidRPr="007F5A75">
        <w:rPr>
          <w:sz w:val="28"/>
          <w:szCs w:val="28"/>
        </w:rPr>
        <w:t>.</w:t>
      </w:r>
      <w:r>
        <w:rPr>
          <w:sz w:val="28"/>
          <w:szCs w:val="28"/>
        </w:rPr>
        <w:t xml:space="preserve"> </w:t>
      </w:r>
      <w:r w:rsidR="006D6F99">
        <w:rPr>
          <w:sz w:val="28"/>
          <w:szCs w:val="28"/>
        </w:rPr>
        <w:t xml:space="preserve">Sixteen percent </w:t>
      </w:r>
      <w:r w:rsidRPr="007F5A75">
        <w:rPr>
          <w:sz w:val="28"/>
          <w:szCs w:val="28"/>
        </w:rPr>
        <w:t>reported having their sexual</w:t>
      </w:r>
      <w:r>
        <w:rPr>
          <w:sz w:val="28"/>
          <w:szCs w:val="28"/>
        </w:rPr>
        <w:t xml:space="preserve"> </w:t>
      </w:r>
      <w:r w:rsidRPr="007F5A75">
        <w:rPr>
          <w:sz w:val="28"/>
          <w:szCs w:val="28"/>
        </w:rPr>
        <w:t>orientation or gender identity raised in court when it</w:t>
      </w:r>
      <w:r>
        <w:rPr>
          <w:sz w:val="28"/>
          <w:szCs w:val="28"/>
        </w:rPr>
        <w:t xml:space="preserve"> </w:t>
      </w:r>
      <w:r w:rsidRPr="007F5A75">
        <w:rPr>
          <w:sz w:val="28"/>
          <w:szCs w:val="28"/>
        </w:rPr>
        <w:t xml:space="preserve">was not relevant. </w:t>
      </w:r>
      <w:r w:rsidRPr="006D6F99">
        <w:rPr>
          <w:i/>
          <w:sz w:val="28"/>
          <w:szCs w:val="28"/>
        </w:rPr>
        <w:t>Id</w:t>
      </w:r>
      <w:r w:rsidRPr="007F5A75">
        <w:rPr>
          <w:sz w:val="28"/>
          <w:szCs w:val="28"/>
        </w:rPr>
        <w:t>.</w:t>
      </w:r>
      <w:r w:rsidR="00293A80">
        <w:rPr>
          <w:sz w:val="28"/>
          <w:szCs w:val="28"/>
        </w:rPr>
        <w:t xml:space="preserve"> </w:t>
      </w:r>
      <w:r>
        <w:rPr>
          <w:sz w:val="28"/>
          <w:szCs w:val="28"/>
        </w:rPr>
        <w:t xml:space="preserve">In sum, several studies have concluded that “the majority of gay and lesbian litigants experienced courthouses as hostile and threatening environments, whether in criminal or civil cases.” </w:t>
      </w:r>
      <w:r w:rsidRPr="007F5A75">
        <w:rPr>
          <w:sz w:val="28"/>
          <w:szCs w:val="28"/>
        </w:rPr>
        <w:t xml:space="preserve">Joey L. Mogul et al., </w:t>
      </w:r>
      <w:r w:rsidRPr="007F5A75">
        <w:rPr>
          <w:i/>
          <w:sz w:val="28"/>
          <w:szCs w:val="28"/>
        </w:rPr>
        <w:t>Queer (In)Justice: The Criminalization of LGBT People in the United States</w:t>
      </w:r>
      <w:r w:rsidRPr="007F5A75">
        <w:rPr>
          <w:sz w:val="28"/>
          <w:szCs w:val="28"/>
        </w:rPr>
        <w:t xml:space="preserve"> 74 (2011).</w:t>
      </w:r>
    </w:p>
    <w:p w14:paraId="373B5E32" w14:textId="4A7F8EDA" w:rsidR="006D6F99" w:rsidRDefault="006D6F99" w:rsidP="007B246E">
      <w:pPr>
        <w:keepNext/>
        <w:widowControl/>
        <w:spacing w:line="480" w:lineRule="auto"/>
        <w:ind w:firstLine="720"/>
        <w:jc w:val="both"/>
        <w:rPr>
          <w:sz w:val="28"/>
          <w:szCs w:val="28"/>
        </w:rPr>
      </w:pPr>
      <w:r>
        <w:rPr>
          <w:sz w:val="28"/>
          <w:szCs w:val="28"/>
        </w:rPr>
        <w:t xml:space="preserve">Biases against </w:t>
      </w:r>
      <w:r w:rsidR="00293A80">
        <w:rPr>
          <w:sz w:val="28"/>
          <w:szCs w:val="28"/>
        </w:rPr>
        <w:t>LGBT</w:t>
      </w:r>
      <w:r>
        <w:rPr>
          <w:sz w:val="28"/>
          <w:szCs w:val="28"/>
        </w:rPr>
        <w:t xml:space="preserve"> people are also frequently expressed by </w:t>
      </w:r>
      <w:r w:rsidR="007B246E">
        <w:rPr>
          <w:sz w:val="28"/>
          <w:szCs w:val="28"/>
        </w:rPr>
        <w:t xml:space="preserve">potential jurors. </w:t>
      </w:r>
      <w:r w:rsidR="007B246E" w:rsidRPr="007B246E">
        <w:rPr>
          <w:sz w:val="28"/>
          <w:szCs w:val="28"/>
        </w:rPr>
        <w:t xml:space="preserve">Giovanna Shay, </w:t>
      </w:r>
      <w:r w:rsidR="007B246E" w:rsidRPr="007B246E">
        <w:rPr>
          <w:i/>
          <w:sz w:val="28"/>
          <w:szCs w:val="28"/>
        </w:rPr>
        <w:t xml:space="preserve">In the Box: </w:t>
      </w:r>
      <w:proofErr w:type="spellStart"/>
      <w:r w:rsidR="007B246E" w:rsidRPr="007B246E">
        <w:rPr>
          <w:i/>
          <w:sz w:val="28"/>
          <w:szCs w:val="28"/>
        </w:rPr>
        <w:t>Voir</w:t>
      </w:r>
      <w:proofErr w:type="spellEnd"/>
      <w:r w:rsidR="007B246E" w:rsidRPr="007B246E">
        <w:rPr>
          <w:i/>
          <w:sz w:val="28"/>
          <w:szCs w:val="28"/>
        </w:rPr>
        <w:t xml:space="preserve"> Dire on LGBT Issues in Changing Times</w:t>
      </w:r>
      <w:r w:rsidR="007B246E" w:rsidRPr="007B246E">
        <w:rPr>
          <w:sz w:val="28"/>
          <w:szCs w:val="28"/>
        </w:rPr>
        <w:t xml:space="preserve">, 37 </w:t>
      </w:r>
      <w:proofErr w:type="spellStart"/>
      <w:r w:rsidR="007B246E" w:rsidRPr="007B246E">
        <w:rPr>
          <w:sz w:val="28"/>
          <w:szCs w:val="28"/>
        </w:rPr>
        <w:t>Harv</w:t>
      </w:r>
      <w:proofErr w:type="spellEnd"/>
      <w:r w:rsidR="007B246E" w:rsidRPr="007B246E">
        <w:rPr>
          <w:sz w:val="28"/>
          <w:szCs w:val="28"/>
        </w:rPr>
        <w:t>. J. L. &amp; Gender 407, 427</w:t>
      </w:r>
      <w:r w:rsidR="003172D1">
        <w:rPr>
          <w:sz w:val="28"/>
          <w:szCs w:val="28"/>
        </w:rPr>
        <w:t>–</w:t>
      </w:r>
      <w:r w:rsidR="007B246E">
        <w:rPr>
          <w:sz w:val="28"/>
          <w:szCs w:val="28"/>
        </w:rPr>
        <w:t>34</w:t>
      </w:r>
      <w:r w:rsidR="007B246E" w:rsidRPr="007B246E">
        <w:rPr>
          <w:sz w:val="28"/>
          <w:szCs w:val="28"/>
        </w:rPr>
        <w:t xml:space="preserve"> (2014)</w:t>
      </w:r>
      <w:r w:rsidR="007B246E">
        <w:rPr>
          <w:sz w:val="28"/>
          <w:szCs w:val="28"/>
        </w:rPr>
        <w:t xml:space="preserve"> (collecting instances of on-the-record admissions of bias by jurors or prospective jurors). </w:t>
      </w:r>
      <w:r w:rsidR="007B246E" w:rsidRPr="007B246E">
        <w:rPr>
          <w:sz w:val="28"/>
          <w:szCs w:val="28"/>
        </w:rPr>
        <w:t>“It remains the case that ‘[t]here will be, on</w:t>
      </w:r>
      <w:r w:rsidR="007B246E">
        <w:rPr>
          <w:sz w:val="28"/>
          <w:szCs w:val="28"/>
        </w:rPr>
        <w:t xml:space="preserve"> </w:t>
      </w:r>
      <w:r w:rsidR="007B246E" w:rsidRPr="007B246E">
        <w:rPr>
          <w:sz w:val="28"/>
          <w:szCs w:val="28"/>
        </w:rPr>
        <w:t>virtually every jury, people who would find the</w:t>
      </w:r>
      <w:r w:rsidR="007B246E">
        <w:rPr>
          <w:sz w:val="28"/>
          <w:szCs w:val="28"/>
        </w:rPr>
        <w:t xml:space="preserve"> </w:t>
      </w:r>
      <w:r w:rsidR="007B246E" w:rsidRPr="007B246E">
        <w:rPr>
          <w:sz w:val="28"/>
          <w:szCs w:val="28"/>
        </w:rPr>
        <w:t>lifestyle and sexual preferences of a homosexual or</w:t>
      </w:r>
      <w:r w:rsidR="007B246E">
        <w:rPr>
          <w:sz w:val="28"/>
          <w:szCs w:val="28"/>
        </w:rPr>
        <w:t xml:space="preserve"> </w:t>
      </w:r>
      <w:r w:rsidR="007B246E" w:rsidRPr="007B246E">
        <w:rPr>
          <w:sz w:val="28"/>
          <w:szCs w:val="28"/>
        </w:rPr>
        <w:t xml:space="preserve">bisexual person offensive.’” </w:t>
      </w:r>
      <w:r w:rsidR="007B246E" w:rsidRPr="007B246E">
        <w:rPr>
          <w:i/>
          <w:iCs/>
          <w:sz w:val="28"/>
          <w:szCs w:val="28"/>
        </w:rPr>
        <w:t>United States v. Bates</w:t>
      </w:r>
      <w:r w:rsidR="007B246E" w:rsidRPr="007B246E">
        <w:rPr>
          <w:sz w:val="28"/>
          <w:szCs w:val="28"/>
        </w:rPr>
        <w:t>,</w:t>
      </w:r>
      <w:r w:rsidR="007B246E">
        <w:rPr>
          <w:sz w:val="28"/>
          <w:szCs w:val="28"/>
        </w:rPr>
        <w:t xml:space="preserve"> </w:t>
      </w:r>
      <w:r w:rsidR="007B246E" w:rsidRPr="007B246E">
        <w:rPr>
          <w:sz w:val="28"/>
          <w:szCs w:val="28"/>
        </w:rPr>
        <w:t xml:space="preserve">590 F. </w:t>
      </w:r>
      <w:proofErr w:type="spellStart"/>
      <w:r w:rsidR="007B246E" w:rsidRPr="007B246E">
        <w:rPr>
          <w:sz w:val="28"/>
          <w:szCs w:val="28"/>
        </w:rPr>
        <w:t>App’x</w:t>
      </w:r>
      <w:proofErr w:type="spellEnd"/>
      <w:r w:rsidR="007B246E" w:rsidRPr="007B246E">
        <w:rPr>
          <w:sz w:val="28"/>
          <w:szCs w:val="28"/>
        </w:rPr>
        <w:t xml:space="preserve"> 882, 886 (11th Cir. 2014) (quoting </w:t>
      </w:r>
      <w:r w:rsidR="007B246E" w:rsidRPr="007B246E">
        <w:rPr>
          <w:i/>
          <w:iCs/>
          <w:sz w:val="28"/>
          <w:szCs w:val="28"/>
        </w:rPr>
        <w:t>State</w:t>
      </w:r>
      <w:r w:rsidR="007B246E">
        <w:rPr>
          <w:i/>
          <w:iCs/>
          <w:sz w:val="28"/>
          <w:szCs w:val="28"/>
        </w:rPr>
        <w:t xml:space="preserve"> </w:t>
      </w:r>
      <w:r w:rsidR="007B246E" w:rsidRPr="007B246E">
        <w:rPr>
          <w:i/>
          <w:iCs/>
          <w:sz w:val="28"/>
          <w:szCs w:val="28"/>
        </w:rPr>
        <w:t>v. Ford</w:t>
      </w:r>
      <w:r w:rsidR="007B246E" w:rsidRPr="007B246E">
        <w:rPr>
          <w:sz w:val="28"/>
          <w:szCs w:val="28"/>
        </w:rPr>
        <w:t>, 926 P.2d 245, 250 (Mont. 1996))</w:t>
      </w:r>
      <w:r w:rsidR="009835CB">
        <w:rPr>
          <w:sz w:val="28"/>
          <w:szCs w:val="28"/>
        </w:rPr>
        <w:t xml:space="preserve">; </w:t>
      </w:r>
      <w:r w:rsidR="009835CB">
        <w:rPr>
          <w:i/>
          <w:iCs/>
          <w:sz w:val="28"/>
          <w:szCs w:val="28"/>
        </w:rPr>
        <w:t xml:space="preserve">see also </w:t>
      </w:r>
      <w:r w:rsidR="009835CB" w:rsidRPr="003B4FD0">
        <w:rPr>
          <w:i/>
          <w:iCs/>
          <w:sz w:val="28"/>
          <w:szCs w:val="28"/>
        </w:rPr>
        <w:t>Berthiaume v. Smith</w:t>
      </w:r>
      <w:r w:rsidR="009835CB" w:rsidRPr="009835CB">
        <w:rPr>
          <w:sz w:val="28"/>
          <w:szCs w:val="28"/>
        </w:rPr>
        <w:t>, 875 F.3d 1354</w:t>
      </w:r>
      <w:r w:rsidR="009835CB">
        <w:rPr>
          <w:sz w:val="28"/>
          <w:szCs w:val="28"/>
        </w:rPr>
        <w:t>, 1359</w:t>
      </w:r>
      <w:r w:rsidR="009835CB" w:rsidRPr="009835CB">
        <w:rPr>
          <w:sz w:val="28"/>
          <w:szCs w:val="28"/>
        </w:rPr>
        <w:t xml:space="preserve"> (11th Cir. 2017)</w:t>
      </w:r>
      <w:r w:rsidR="009835CB">
        <w:rPr>
          <w:sz w:val="28"/>
          <w:szCs w:val="28"/>
        </w:rPr>
        <w:t xml:space="preserve"> (</w:t>
      </w:r>
      <w:r w:rsidR="009835CB" w:rsidRPr="009835CB">
        <w:rPr>
          <w:sz w:val="28"/>
          <w:szCs w:val="28"/>
        </w:rPr>
        <w:t>“</w:t>
      </w:r>
      <w:r w:rsidR="009835CB">
        <w:rPr>
          <w:sz w:val="28"/>
          <w:szCs w:val="28"/>
        </w:rPr>
        <w:t>G</w:t>
      </w:r>
      <w:r w:rsidR="009835CB" w:rsidRPr="009835CB">
        <w:rPr>
          <w:sz w:val="28"/>
          <w:szCs w:val="28"/>
        </w:rPr>
        <w:t xml:space="preserve">iven the long history of cultural disapprobation and prior legal condemnation of same-sex </w:t>
      </w:r>
      <w:r w:rsidR="009835CB" w:rsidRPr="009835CB">
        <w:rPr>
          <w:sz w:val="28"/>
          <w:szCs w:val="28"/>
        </w:rPr>
        <w:lastRenderedPageBreak/>
        <w:t>relationships, the risk that jurors might harbor latent prejudices on the basis of sexual orientation is not trivial.”</w:t>
      </w:r>
      <w:r w:rsidR="009835CB">
        <w:rPr>
          <w:sz w:val="28"/>
          <w:szCs w:val="28"/>
        </w:rPr>
        <w:t>)</w:t>
      </w:r>
      <w:r w:rsidR="009835CB" w:rsidRPr="009835CB">
        <w:rPr>
          <w:sz w:val="28"/>
          <w:szCs w:val="28"/>
        </w:rPr>
        <w:t>.</w:t>
      </w:r>
      <w:r w:rsidR="009835CB">
        <w:rPr>
          <w:sz w:val="28"/>
          <w:szCs w:val="28"/>
        </w:rPr>
        <w:t xml:space="preserve"> </w:t>
      </w:r>
      <w:r w:rsidR="007B246E">
        <w:rPr>
          <w:sz w:val="28"/>
          <w:szCs w:val="28"/>
        </w:rPr>
        <w:t xml:space="preserve">A jury research firm found that, of jurors who participated in mock trials between 2002 and 2008, 45% believed that being gay “is not an acceptable lifestyle,” 33% thought that sexual orientation should not be a protected characteristic under civil rights laws, between 15 and 20% thought that employers should be able to refuse to hire workers because of their sexual orientation, and between 15 and 20% said “it would bother them if a gay or lesbian couple moved in next door to them.” </w:t>
      </w:r>
      <w:r w:rsidR="007B246E" w:rsidRPr="007B246E">
        <w:rPr>
          <w:sz w:val="28"/>
          <w:szCs w:val="28"/>
        </w:rPr>
        <w:t xml:space="preserve">Sean Overland, </w:t>
      </w:r>
      <w:r w:rsidR="007B246E" w:rsidRPr="007B246E">
        <w:rPr>
          <w:i/>
          <w:iCs/>
          <w:sz w:val="28"/>
          <w:szCs w:val="28"/>
        </w:rPr>
        <w:t>Strategies for Combating Anti-Gay</w:t>
      </w:r>
      <w:r w:rsidR="007B246E">
        <w:rPr>
          <w:i/>
          <w:iCs/>
          <w:sz w:val="28"/>
          <w:szCs w:val="28"/>
        </w:rPr>
        <w:t xml:space="preserve"> </w:t>
      </w:r>
      <w:r w:rsidR="007B246E" w:rsidRPr="007B246E">
        <w:rPr>
          <w:i/>
          <w:iCs/>
          <w:sz w:val="28"/>
          <w:szCs w:val="28"/>
        </w:rPr>
        <w:t>Sentiment in the Courtroom</w:t>
      </w:r>
      <w:r w:rsidR="007B246E" w:rsidRPr="007B246E">
        <w:rPr>
          <w:sz w:val="28"/>
          <w:szCs w:val="28"/>
        </w:rPr>
        <w:t>, The Jury Expert, Mar.</w:t>
      </w:r>
      <w:r w:rsidR="007B246E">
        <w:rPr>
          <w:sz w:val="28"/>
          <w:szCs w:val="28"/>
        </w:rPr>
        <w:t xml:space="preserve"> </w:t>
      </w:r>
      <w:r w:rsidR="007B246E" w:rsidRPr="007B246E">
        <w:rPr>
          <w:sz w:val="28"/>
          <w:szCs w:val="28"/>
        </w:rPr>
        <w:t>2009</w:t>
      </w:r>
      <w:r w:rsidR="007B246E">
        <w:rPr>
          <w:sz w:val="28"/>
          <w:szCs w:val="28"/>
        </w:rPr>
        <w:t xml:space="preserve"> (</w:t>
      </w:r>
      <w:hyperlink r:id="rId13" w:history="1">
        <w:r w:rsidR="007B246E" w:rsidRPr="00426E20">
          <w:rPr>
            <w:rStyle w:val="Hyperlink"/>
            <w:sz w:val="28"/>
            <w:szCs w:val="28"/>
          </w:rPr>
          <w:t>https://www.thejuryexpert.com/2009/03/strategies-for-combating-anti-gay-sentiment-in-the-courtroom/</w:t>
        </w:r>
      </w:hyperlink>
      <w:r w:rsidR="007B246E">
        <w:rPr>
          <w:sz w:val="28"/>
          <w:szCs w:val="28"/>
        </w:rPr>
        <w:t>).</w:t>
      </w:r>
    </w:p>
    <w:p w14:paraId="7B997815" w14:textId="47E496D9" w:rsidR="003A418D" w:rsidRPr="005413AC" w:rsidRDefault="003A418D" w:rsidP="00552610">
      <w:pPr>
        <w:keepNext/>
        <w:widowControl/>
        <w:spacing w:line="480" w:lineRule="auto"/>
        <w:ind w:firstLine="720"/>
        <w:jc w:val="both"/>
        <w:rPr>
          <w:sz w:val="28"/>
          <w:szCs w:val="28"/>
        </w:rPr>
      </w:pPr>
      <w:r>
        <w:rPr>
          <w:sz w:val="28"/>
          <w:szCs w:val="28"/>
        </w:rPr>
        <w:t xml:space="preserve">Implicit bias, of course, poses a separate problem. Despite the significant strides in acceptance made by LGBT people in the last several years, studies show that </w:t>
      </w:r>
      <w:r w:rsidR="00552610">
        <w:rPr>
          <w:sz w:val="28"/>
          <w:szCs w:val="28"/>
        </w:rPr>
        <w:t>many who profess to harbor no biases still hold implicit biases against LGBT people.</w:t>
      </w:r>
      <w:r w:rsidR="005E51CC">
        <w:rPr>
          <w:sz w:val="28"/>
          <w:szCs w:val="28"/>
        </w:rPr>
        <w:t xml:space="preserve"> </w:t>
      </w:r>
      <w:r w:rsidR="005E51CC" w:rsidRPr="005E51CC">
        <w:rPr>
          <w:sz w:val="28"/>
          <w:szCs w:val="28"/>
        </w:rPr>
        <w:t>Justin D. Levinson, </w:t>
      </w:r>
      <w:r w:rsidR="005E51CC" w:rsidRPr="005E51CC">
        <w:rPr>
          <w:i/>
          <w:sz w:val="28"/>
          <w:szCs w:val="28"/>
        </w:rPr>
        <w:t>Race, Death, and the Complicitous Mind</w:t>
      </w:r>
      <w:r w:rsidR="005E51CC" w:rsidRPr="005E51CC">
        <w:rPr>
          <w:sz w:val="28"/>
          <w:szCs w:val="28"/>
        </w:rPr>
        <w:t>, 58 DePaul L. Rev. 599, 600</w:t>
      </w:r>
      <w:r w:rsidR="003172D1">
        <w:rPr>
          <w:sz w:val="28"/>
          <w:szCs w:val="28"/>
        </w:rPr>
        <w:t>–</w:t>
      </w:r>
      <w:r w:rsidR="005E51CC">
        <w:rPr>
          <w:sz w:val="28"/>
          <w:szCs w:val="28"/>
        </w:rPr>
        <w:t>02</w:t>
      </w:r>
      <w:r w:rsidR="005E51CC" w:rsidRPr="005E51CC">
        <w:rPr>
          <w:sz w:val="28"/>
          <w:szCs w:val="28"/>
        </w:rPr>
        <w:t xml:space="preserve"> (2009)</w:t>
      </w:r>
      <w:r w:rsidR="005E51CC">
        <w:rPr>
          <w:sz w:val="28"/>
          <w:szCs w:val="28"/>
        </w:rPr>
        <w:t xml:space="preserve"> (collecting studies demonstrating that “many Americans harbor implicit</w:t>
      </w:r>
      <w:r w:rsidR="002C462A">
        <w:rPr>
          <w:sz w:val="28"/>
          <w:szCs w:val="28"/>
        </w:rPr>
        <w:t xml:space="preserve"> . . . </w:t>
      </w:r>
      <w:r w:rsidR="005E51CC">
        <w:rPr>
          <w:sz w:val="28"/>
          <w:szCs w:val="28"/>
        </w:rPr>
        <w:t>biases that frequently conflict with their self-reported</w:t>
      </w:r>
      <w:r w:rsidR="002C462A">
        <w:rPr>
          <w:sz w:val="28"/>
          <w:szCs w:val="28"/>
        </w:rPr>
        <w:t xml:space="preserve"> . . . </w:t>
      </w:r>
      <w:r w:rsidR="00293A80">
        <w:rPr>
          <w:sz w:val="28"/>
          <w:szCs w:val="28"/>
        </w:rPr>
        <w:t>attitudes</w:t>
      </w:r>
      <w:r w:rsidR="005E51CC">
        <w:rPr>
          <w:sz w:val="28"/>
          <w:szCs w:val="28"/>
        </w:rPr>
        <w:t xml:space="preserve">.”). Additionally, “social desirability bias” skews polls that explicitly ask about bias. Chan Tov </w:t>
      </w:r>
      <w:proofErr w:type="spellStart"/>
      <w:r w:rsidR="00552610" w:rsidRPr="00552610">
        <w:rPr>
          <w:sz w:val="28"/>
          <w:szCs w:val="28"/>
        </w:rPr>
        <w:t>McNamarah</w:t>
      </w:r>
      <w:proofErr w:type="spellEnd"/>
      <w:r w:rsidR="00552610" w:rsidRPr="00552610">
        <w:rPr>
          <w:sz w:val="28"/>
          <w:szCs w:val="28"/>
        </w:rPr>
        <w:t xml:space="preserve">, </w:t>
      </w:r>
      <w:r w:rsidR="00552610" w:rsidRPr="00552610">
        <w:rPr>
          <w:i/>
          <w:iCs/>
          <w:sz w:val="28"/>
          <w:szCs w:val="28"/>
        </w:rPr>
        <w:t xml:space="preserve">Sexuality on Trial: Expanding Peña-Rodriguez to Combat Juror </w:t>
      </w:r>
      <w:proofErr w:type="spellStart"/>
      <w:r w:rsidR="00552610" w:rsidRPr="00552610">
        <w:rPr>
          <w:i/>
          <w:iCs/>
          <w:sz w:val="28"/>
          <w:szCs w:val="28"/>
        </w:rPr>
        <w:t>Queerphobia</w:t>
      </w:r>
      <w:proofErr w:type="spellEnd"/>
      <w:r w:rsidR="00552610" w:rsidRPr="00552610">
        <w:rPr>
          <w:i/>
          <w:iCs/>
          <w:sz w:val="28"/>
          <w:szCs w:val="28"/>
        </w:rPr>
        <w:t xml:space="preserve">, </w:t>
      </w:r>
      <w:r w:rsidR="00552610" w:rsidRPr="00552610">
        <w:rPr>
          <w:sz w:val="28"/>
          <w:szCs w:val="28"/>
        </w:rPr>
        <w:t xml:space="preserve">17 Dukeminier Awards J. Sexual </w:t>
      </w:r>
      <w:r w:rsidR="00552610" w:rsidRPr="00552610">
        <w:rPr>
          <w:sz w:val="28"/>
          <w:szCs w:val="28"/>
        </w:rPr>
        <w:lastRenderedPageBreak/>
        <w:t xml:space="preserve">Orientation &amp; Gender Identity L. 393, </w:t>
      </w:r>
      <w:r w:rsidR="00552610">
        <w:rPr>
          <w:sz w:val="28"/>
          <w:szCs w:val="28"/>
        </w:rPr>
        <w:t>398</w:t>
      </w:r>
      <w:r w:rsidR="003172D1">
        <w:rPr>
          <w:sz w:val="28"/>
          <w:szCs w:val="28"/>
        </w:rPr>
        <w:t>–</w:t>
      </w:r>
      <w:r w:rsidR="00552610">
        <w:rPr>
          <w:sz w:val="28"/>
          <w:szCs w:val="28"/>
        </w:rPr>
        <w:t>99</w:t>
      </w:r>
      <w:r w:rsidR="00552610" w:rsidRPr="00552610">
        <w:rPr>
          <w:sz w:val="28"/>
          <w:szCs w:val="28"/>
        </w:rPr>
        <w:t xml:space="preserve"> (2018)</w:t>
      </w:r>
      <w:r w:rsidR="00552610">
        <w:rPr>
          <w:sz w:val="28"/>
          <w:szCs w:val="28"/>
        </w:rPr>
        <w:t xml:space="preserve"> (collecting studies “</w:t>
      </w:r>
      <w:r w:rsidR="00552610" w:rsidRPr="00552610">
        <w:rPr>
          <w:sz w:val="28"/>
          <w:szCs w:val="28"/>
        </w:rPr>
        <w:t>sug</w:t>
      </w:r>
      <w:r w:rsidR="00552610" w:rsidRPr="00552610">
        <w:rPr>
          <w:sz w:val="28"/>
          <w:szCs w:val="28"/>
        </w:rPr>
        <w:softHyphen/>
        <w:t>gest</w:t>
      </w:r>
      <w:r w:rsidR="00552610">
        <w:rPr>
          <w:sz w:val="28"/>
          <w:szCs w:val="28"/>
        </w:rPr>
        <w:t>[</w:t>
      </w:r>
      <w:proofErr w:type="spellStart"/>
      <w:r w:rsidR="00552610">
        <w:rPr>
          <w:sz w:val="28"/>
          <w:szCs w:val="28"/>
        </w:rPr>
        <w:t>ing</w:t>
      </w:r>
      <w:proofErr w:type="spellEnd"/>
      <w:r w:rsidR="00552610">
        <w:rPr>
          <w:sz w:val="28"/>
          <w:szCs w:val="28"/>
        </w:rPr>
        <w:t>]</w:t>
      </w:r>
      <w:r w:rsidR="00552610" w:rsidRPr="00552610">
        <w:rPr>
          <w:sz w:val="28"/>
          <w:szCs w:val="28"/>
        </w:rPr>
        <w:t xml:space="preserve"> that trends in self-reported attitudes are attributed to a growing reluctance to admit anti-queer sentiment due to apprehension of societal consequences, rather than due to true attitude shifts.</w:t>
      </w:r>
      <w:r w:rsidR="00552610">
        <w:rPr>
          <w:sz w:val="28"/>
          <w:szCs w:val="28"/>
        </w:rPr>
        <w:t xml:space="preserve">”). Because the </w:t>
      </w:r>
      <w:r w:rsidR="00552610">
        <w:rPr>
          <w:i/>
          <w:sz w:val="28"/>
          <w:szCs w:val="28"/>
        </w:rPr>
        <w:t xml:space="preserve">Batson </w:t>
      </w:r>
      <w:r w:rsidR="00552610">
        <w:rPr>
          <w:sz w:val="28"/>
          <w:szCs w:val="28"/>
        </w:rPr>
        <w:t>framework addresses only “purposeful</w:t>
      </w:r>
      <w:r w:rsidR="003172D1">
        <w:rPr>
          <w:sz w:val="28"/>
          <w:szCs w:val="28"/>
        </w:rPr>
        <w:t xml:space="preserve"> . . . </w:t>
      </w:r>
      <w:r w:rsidR="00552610">
        <w:rPr>
          <w:sz w:val="28"/>
          <w:szCs w:val="28"/>
        </w:rPr>
        <w:t>discrimination,” 476 U.S. at 9</w:t>
      </w:r>
      <w:r w:rsidR="005413AC">
        <w:rPr>
          <w:sz w:val="28"/>
          <w:szCs w:val="28"/>
        </w:rPr>
        <w:t>6</w:t>
      </w:r>
      <w:r w:rsidR="00552610">
        <w:rPr>
          <w:sz w:val="28"/>
          <w:szCs w:val="28"/>
        </w:rPr>
        <w:t>,</w:t>
      </w:r>
      <w:r w:rsidR="005413AC">
        <w:rPr>
          <w:sz w:val="28"/>
          <w:szCs w:val="28"/>
        </w:rPr>
        <w:t xml:space="preserve"> and permits the party utilizing the peremptory strike to articulate a “neutral explanation” for the challenge, </w:t>
      </w:r>
      <w:r w:rsidR="005413AC">
        <w:rPr>
          <w:i/>
          <w:sz w:val="28"/>
          <w:szCs w:val="28"/>
        </w:rPr>
        <w:t>id.</w:t>
      </w:r>
      <w:r w:rsidR="005413AC">
        <w:rPr>
          <w:sz w:val="28"/>
          <w:szCs w:val="28"/>
        </w:rPr>
        <w:t xml:space="preserve"> at 97,</w:t>
      </w:r>
      <w:r w:rsidR="00552610">
        <w:rPr>
          <w:sz w:val="28"/>
          <w:szCs w:val="28"/>
        </w:rPr>
        <w:t xml:space="preserve"> it nonetheless permits peremptory strikes which may be made in good faith, but based on unspoken or unconscious bias.</w:t>
      </w:r>
      <w:r w:rsidR="005413AC">
        <w:rPr>
          <w:sz w:val="28"/>
          <w:szCs w:val="28"/>
        </w:rPr>
        <w:t xml:space="preserve"> </w:t>
      </w:r>
    </w:p>
    <w:p w14:paraId="49A0A840" w14:textId="57B90E0A" w:rsidR="003E2C5E" w:rsidRDefault="00E657B9" w:rsidP="00E657B9">
      <w:pPr>
        <w:keepNext/>
        <w:widowControl/>
        <w:spacing w:line="480" w:lineRule="auto"/>
        <w:ind w:firstLine="720"/>
        <w:jc w:val="both"/>
        <w:rPr>
          <w:sz w:val="28"/>
          <w:szCs w:val="28"/>
        </w:rPr>
      </w:pPr>
      <w:r>
        <w:rPr>
          <w:sz w:val="28"/>
          <w:szCs w:val="28"/>
        </w:rPr>
        <w:t>Implicit in the right to a jury trial is the right to a jury “</w:t>
      </w:r>
      <w:r w:rsidRPr="00E657B9">
        <w:rPr>
          <w:sz w:val="28"/>
          <w:szCs w:val="28"/>
        </w:rPr>
        <w:t>composed of the peers or equals of the person whose rights it is selected or summoned to determine; that is, of his neighbors, fellows, associates, persons having the same legal status in society as that which he holds.</w:t>
      </w:r>
      <w:r>
        <w:rPr>
          <w:sz w:val="28"/>
          <w:szCs w:val="28"/>
        </w:rPr>
        <w:t xml:space="preserve">” </w:t>
      </w:r>
      <w:r w:rsidRPr="00E657B9">
        <w:rPr>
          <w:i/>
          <w:sz w:val="28"/>
          <w:szCs w:val="28"/>
        </w:rPr>
        <w:t>Batson v. Kentucky</w:t>
      </w:r>
      <w:r w:rsidRPr="00E657B9">
        <w:rPr>
          <w:sz w:val="28"/>
          <w:szCs w:val="28"/>
        </w:rPr>
        <w:t>, 476 U.S. 79, 86 (1986</w:t>
      </w:r>
      <w:r>
        <w:rPr>
          <w:sz w:val="28"/>
          <w:szCs w:val="28"/>
        </w:rPr>
        <w:t xml:space="preserve">) (quoting </w:t>
      </w:r>
      <w:r w:rsidRPr="00E657B9">
        <w:rPr>
          <w:i/>
          <w:sz w:val="28"/>
          <w:szCs w:val="28"/>
        </w:rPr>
        <w:t>Strauder v. W. Virginia</w:t>
      </w:r>
      <w:r w:rsidRPr="00E657B9">
        <w:rPr>
          <w:sz w:val="28"/>
          <w:szCs w:val="28"/>
        </w:rPr>
        <w:t>, 100 U.S. 303, 308 (1879)</w:t>
      </w:r>
      <w:r>
        <w:rPr>
          <w:sz w:val="28"/>
          <w:szCs w:val="28"/>
        </w:rPr>
        <w:t xml:space="preserve">). As the profile and visibility of LGBT people increases, it is vitally important that our courts protect their right to a fair and impartial jury. Where LGBT people </w:t>
      </w:r>
      <w:r w:rsidR="005413AC">
        <w:rPr>
          <w:sz w:val="28"/>
          <w:szCs w:val="28"/>
        </w:rPr>
        <w:t>serve as jurors</w:t>
      </w:r>
      <w:r>
        <w:rPr>
          <w:sz w:val="28"/>
          <w:szCs w:val="28"/>
        </w:rPr>
        <w:t>, they provide a counterweight to jurors who hold biases toward LGBT people.</w:t>
      </w:r>
      <w:r w:rsidR="005413AC">
        <w:rPr>
          <w:sz w:val="28"/>
          <w:szCs w:val="28"/>
        </w:rPr>
        <w:t xml:space="preserve"> </w:t>
      </w:r>
      <w:r w:rsidR="003172D1">
        <w:rPr>
          <w:i/>
          <w:sz w:val="28"/>
          <w:szCs w:val="28"/>
        </w:rPr>
        <w:t>Cf.</w:t>
      </w:r>
      <w:r w:rsidR="003172D1">
        <w:rPr>
          <w:sz w:val="28"/>
          <w:szCs w:val="28"/>
        </w:rPr>
        <w:t xml:space="preserve"> </w:t>
      </w:r>
      <w:r w:rsidR="005413AC" w:rsidRPr="005413AC">
        <w:rPr>
          <w:sz w:val="28"/>
          <w:szCs w:val="28"/>
        </w:rPr>
        <w:t xml:space="preserve">Anna L. </w:t>
      </w:r>
      <w:proofErr w:type="spellStart"/>
      <w:r w:rsidR="005413AC" w:rsidRPr="005413AC">
        <w:rPr>
          <w:sz w:val="28"/>
          <w:szCs w:val="28"/>
        </w:rPr>
        <w:t>Tayman</w:t>
      </w:r>
      <w:proofErr w:type="spellEnd"/>
      <w:r w:rsidR="005413AC" w:rsidRPr="005413AC">
        <w:rPr>
          <w:sz w:val="28"/>
          <w:szCs w:val="28"/>
        </w:rPr>
        <w:t>, </w:t>
      </w:r>
      <w:r w:rsidR="005413AC" w:rsidRPr="00C01427">
        <w:rPr>
          <w:i/>
          <w:sz w:val="28"/>
          <w:szCs w:val="28"/>
        </w:rPr>
        <w:t>Looking Beyond Batson: A Different Method of Combating Bias Against Queer Jurors</w:t>
      </w:r>
      <w:r w:rsidR="005413AC" w:rsidRPr="005413AC">
        <w:rPr>
          <w:sz w:val="28"/>
          <w:szCs w:val="28"/>
        </w:rPr>
        <w:t>, 61 Wm. &amp; Mary L. Rev. 1759, 1768 (2020)</w:t>
      </w:r>
      <w:r w:rsidR="00C01427">
        <w:rPr>
          <w:sz w:val="28"/>
          <w:szCs w:val="28"/>
        </w:rPr>
        <w:t xml:space="preserve"> (“</w:t>
      </w:r>
      <w:r w:rsidR="00C01427" w:rsidRPr="005413AC">
        <w:rPr>
          <w:sz w:val="28"/>
          <w:szCs w:val="28"/>
        </w:rPr>
        <w:t xml:space="preserve">While all-white juries convicted black </w:t>
      </w:r>
      <w:proofErr w:type="gramStart"/>
      <w:r w:rsidR="00C01427" w:rsidRPr="005413AC">
        <w:rPr>
          <w:sz w:val="28"/>
          <w:szCs w:val="28"/>
        </w:rPr>
        <w:t>defendants</w:t>
      </w:r>
      <w:proofErr w:type="gramEnd"/>
      <w:r w:rsidR="00C01427" w:rsidRPr="005413AC">
        <w:rPr>
          <w:sz w:val="28"/>
          <w:szCs w:val="28"/>
        </w:rPr>
        <w:t xml:space="preserve"> 81 percent of the time and white defendants 66 percent of the time, juries with at least one black juror convicted black and white defendants </w:t>
      </w:r>
      <w:r w:rsidR="00C01427" w:rsidRPr="005413AC">
        <w:rPr>
          <w:sz w:val="28"/>
          <w:szCs w:val="28"/>
        </w:rPr>
        <w:lastRenderedPageBreak/>
        <w:t>at nearly identical rates (71 percent and 73 percent respectively).</w:t>
      </w:r>
      <w:r w:rsidR="00C01427">
        <w:rPr>
          <w:sz w:val="28"/>
          <w:szCs w:val="28"/>
        </w:rPr>
        <w:t>”).</w:t>
      </w:r>
      <w:r>
        <w:rPr>
          <w:sz w:val="28"/>
          <w:szCs w:val="28"/>
        </w:rPr>
        <w:t xml:space="preserve"> When LGBT people are excluded from juries, “</w:t>
      </w:r>
      <w:r w:rsidRPr="00E657B9">
        <w:rPr>
          <w:sz w:val="28"/>
          <w:szCs w:val="28"/>
        </w:rPr>
        <w:t>the effect is to remove from the jury room qualities of human nature and varieties of human experience, the range of which is unknown and perhaps unknowable.</w:t>
      </w:r>
      <w:r w:rsidR="003172D1">
        <w:rPr>
          <w:sz w:val="28"/>
          <w:szCs w:val="28"/>
        </w:rPr>
        <w:t>”</w:t>
      </w:r>
      <w:r>
        <w:rPr>
          <w:sz w:val="28"/>
          <w:szCs w:val="28"/>
        </w:rPr>
        <w:t xml:space="preserve"> </w:t>
      </w:r>
      <w:r w:rsidRPr="00E657B9">
        <w:rPr>
          <w:i/>
          <w:sz w:val="28"/>
          <w:szCs w:val="28"/>
        </w:rPr>
        <w:t xml:space="preserve">Peters v. </w:t>
      </w:r>
      <w:proofErr w:type="spellStart"/>
      <w:r w:rsidRPr="00E657B9">
        <w:rPr>
          <w:i/>
          <w:sz w:val="28"/>
          <w:szCs w:val="28"/>
        </w:rPr>
        <w:t>Kiff</w:t>
      </w:r>
      <w:proofErr w:type="spellEnd"/>
      <w:r w:rsidRPr="00E657B9">
        <w:rPr>
          <w:sz w:val="28"/>
          <w:szCs w:val="28"/>
        </w:rPr>
        <w:t>, 407 U.S. 493, 503 (1972)</w:t>
      </w:r>
      <w:r>
        <w:rPr>
          <w:sz w:val="28"/>
          <w:szCs w:val="28"/>
        </w:rPr>
        <w:t>.</w:t>
      </w:r>
    </w:p>
    <w:p w14:paraId="33638B5F" w14:textId="77777777" w:rsidR="003A418D" w:rsidRDefault="00E657B9" w:rsidP="003A418D">
      <w:pPr>
        <w:keepNext/>
        <w:widowControl/>
        <w:spacing w:line="480" w:lineRule="auto"/>
        <w:ind w:firstLine="720"/>
        <w:jc w:val="both"/>
        <w:rPr>
          <w:sz w:val="28"/>
          <w:szCs w:val="28"/>
        </w:rPr>
      </w:pPr>
      <w:r>
        <w:rPr>
          <w:sz w:val="28"/>
          <w:szCs w:val="28"/>
        </w:rPr>
        <w:t>In addition to protecting the rights of LGBT litigants (or those who may be perceived as LGBT),</w:t>
      </w:r>
      <w:r w:rsidR="003A418D">
        <w:rPr>
          <w:sz w:val="28"/>
          <w:szCs w:val="28"/>
        </w:rPr>
        <w:t xml:space="preserve"> the proposed rule would protect LGBT jurors themselves and reinforce the public’s perception of a fair and impartial judiciary.</w:t>
      </w:r>
      <w:r>
        <w:rPr>
          <w:sz w:val="28"/>
          <w:szCs w:val="28"/>
        </w:rPr>
        <w:t xml:space="preserve"> </w:t>
      </w:r>
      <w:r w:rsidR="003A418D">
        <w:rPr>
          <w:sz w:val="28"/>
          <w:szCs w:val="28"/>
        </w:rPr>
        <w:t>S</w:t>
      </w:r>
      <w:r>
        <w:rPr>
          <w:sz w:val="28"/>
          <w:szCs w:val="28"/>
        </w:rPr>
        <w:t>trikes</w:t>
      </w:r>
      <w:r w:rsidR="00AE642E">
        <w:rPr>
          <w:sz w:val="28"/>
          <w:szCs w:val="28"/>
        </w:rPr>
        <w:t xml:space="preserve"> exercised on the basis of sexual orientation “</w:t>
      </w:r>
      <w:r w:rsidR="00AE642E" w:rsidRPr="00AE642E">
        <w:rPr>
          <w:sz w:val="28"/>
          <w:szCs w:val="28"/>
        </w:rPr>
        <w:t>tell the individual who has been struck, the litigants, other members of the venire, and the public that our judicial system treats gays and lesbians differently.</w:t>
      </w:r>
      <w:r w:rsidR="00AE642E">
        <w:rPr>
          <w:sz w:val="28"/>
          <w:szCs w:val="28"/>
        </w:rPr>
        <w:t xml:space="preserve">” </w:t>
      </w:r>
      <w:r w:rsidR="00AE642E" w:rsidRPr="00AE642E">
        <w:rPr>
          <w:i/>
          <w:sz w:val="28"/>
          <w:szCs w:val="28"/>
        </w:rPr>
        <w:t>SmithKline</w:t>
      </w:r>
      <w:r w:rsidR="00AE642E" w:rsidRPr="00AE642E">
        <w:rPr>
          <w:sz w:val="28"/>
          <w:szCs w:val="28"/>
        </w:rPr>
        <w:t xml:space="preserve">, 740 F.3d </w:t>
      </w:r>
      <w:r w:rsidR="00AE642E">
        <w:rPr>
          <w:sz w:val="28"/>
          <w:szCs w:val="28"/>
        </w:rPr>
        <w:t>at</w:t>
      </w:r>
      <w:r w:rsidR="00AE642E" w:rsidRPr="00AE642E">
        <w:rPr>
          <w:sz w:val="28"/>
          <w:szCs w:val="28"/>
        </w:rPr>
        <w:t xml:space="preserve"> 485</w:t>
      </w:r>
      <w:r w:rsidR="003A418D">
        <w:rPr>
          <w:sz w:val="28"/>
          <w:szCs w:val="28"/>
        </w:rPr>
        <w:t xml:space="preserve">; </w:t>
      </w:r>
      <w:r w:rsidR="003A418D">
        <w:rPr>
          <w:i/>
          <w:sz w:val="28"/>
          <w:szCs w:val="28"/>
        </w:rPr>
        <w:t>s</w:t>
      </w:r>
      <w:r w:rsidR="003A418D" w:rsidRPr="003A418D">
        <w:rPr>
          <w:i/>
          <w:sz w:val="28"/>
          <w:szCs w:val="28"/>
        </w:rPr>
        <w:t>ee also Batson</w:t>
      </w:r>
      <w:r w:rsidR="003A418D">
        <w:rPr>
          <w:sz w:val="28"/>
          <w:szCs w:val="28"/>
        </w:rPr>
        <w:t>, 476 U.S. at 87 (“</w:t>
      </w:r>
      <w:r w:rsidR="003A418D" w:rsidRPr="003A418D">
        <w:rPr>
          <w:sz w:val="28"/>
          <w:szCs w:val="28"/>
        </w:rPr>
        <w:t>The harm from discriminatory jury selection extends beyond that inflicted on the defendant and the excluded juror to touch the entire community.</w:t>
      </w:r>
      <w:r w:rsidR="003A418D">
        <w:rPr>
          <w:sz w:val="28"/>
          <w:szCs w:val="28"/>
        </w:rPr>
        <w:t>”).</w:t>
      </w:r>
    </w:p>
    <w:p w14:paraId="0D80F409" w14:textId="77777777" w:rsidR="002575E7" w:rsidRDefault="005E51CC" w:rsidP="002575E7">
      <w:pPr>
        <w:spacing w:line="480" w:lineRule="auto"/>
        <w:ind w:firstLine="720"/>
        <w:jc w:val="both"/>
        <w:rPr>
          <w:sz w:val="28"/>
          <w:szCs w:val="28"/>
        </w:rPr>
      </w:pPr>
      <w:r>
        <w:rPr>
          <w:sz w:val="28"/>
          <w:szCs w:val="28"/>
        </w:rPr>
        <w:t>As the Petition notes</w:t>
      </w:r>
      <w:r w:rsidR="009835CB">
        <w:rPr>
          <w:sz w:val="28"/>
          <w:szCs w:val="28"/>
        </w:rPr>
        <w:t xml:space="preserve"> (at 10-11)</w:t>
      </w:r>
      <w:r>
        <w:rPr>
          <w:sz w:val="28"/>
          <w:szCs w:val="28"/>
        </w:rPr>
        <w:t xml:space="preserve">, several states protect LGBT jurors from discriminatory strikes. Arizona is not currently one of those states. The Petition would change that, protecting LGBT litigants by ensuring that people like them will not be improperly struck from juries. The Petition would also provide a more effective vehicle for protecting against implicit or unstated biases. </w:t>
      </w:r>
    </w:p>
    <w:p w14:paraId="0CE6997A" w14:textId="44BD7942" w:rsidR="005E51CC" w:rsidRDefault="002575E7" w:rsidP="002575E7">
      <w:pPr>
        <w:keepNext/>
        <w:widowControl/>
        <w:spacing w:line="480" w:lineRule="auto"/>
        <w:ind w:firstLine="720"/>
        <w:jc w:val="both"/>
        <w:rPr>
          <w:sz w:val="28"/>
          <w:szCs w:val="28"/>
        </w:rPr>
      </w:pPr>
      <w:r>
        <w:rPr>
          <w:sz w:val="28"/>
          <w:szCs w:val="28"/>
        </w:rPr>
        <w:t>For the reasons set for in this comment, the</w:t>
      </w:r>
      <w:r w:rsidR="005E51CC">
        <w:rPr>
          <w:sz w:val="28"/>
          <w:szCs w:val="28"/>
        </w:rPr>
        <w:t xml:space="preserve"> </w:t>
      </w:r>
      <w:r w:rsidR="003172D1">
        <w:rPr>
          <w:sz w:val="28"/>
          <w:szCs w:val="28"/>
        </w:rPr>
        <w:t>AZ-</w:t>
      </w:r>
      <w:r w:rsidR="005E51CC">
        <w:rPr>
          <w:sz w:val="28"/>
          <w:szCs w:val="28"/>
        </w:rPr>
        <w:t xml:space="preserve">LGBT </w:t>
      </w:r>
      <w:r w:rsidR="005E51CC">
        <w:rPr>
          <w:sz w:val="28"/>
          <w:szCs w:val="28"/>
        </w:rPr>
        <w:lastRenderedPageBreak/>
        <w:t xml:space="preserve">Bar Association </w:t>
      </w:r>
      <w:r w:rsidR="00E6282A">
        <w:rPr>
          <w:sz w:val="28"/>
          <w:szCs w:val="28"/>
        </w:rPr>
        <w:t>strongly encourages the Supreme Court to adopt the proposed rule in its entirety.</w:t>
      </w:r>
    </w:p>
    <w:p w14:paraId="059A8842" w14:textId="6007D88C" w:rsidR="00FE6A61" w:rsidRDefault="00FE6A61" w:rsidP="002575E7">
      <w:pPr>
        <w:keepNext/>
        <w:widowControl/>
        <w:spacing w:line="480" w:lineRule="auto"/>
        <w:ind w:firstLine="720"/>
        <w:jc w:val="both"/>
        <w:rPr>
          <w:sz w:val="28"/>
          <w:szCs w:val="28"/>
        </w:rPr>
      </w:pPr>
      <w:r>
        <w:rPr>
          <w:sz w:val="28"/>
          <w:szCs w:val="28"/>
        </w:rPr>
        <w:t xml:space="preserve">Respectfully submitted this </w:t>
      </w:r>
      <w:r w:rsidR="002575E7" w:rsidRPr="002575E7">
        <w:rPr>
          <w:sz w:val="28"/>
          <w:szCs w:val="28"/>
        </w:rPr>
        <w:t>3rd</w:t>
      </w:r>
      <w:r>
        <w:rPr>
          <w:sz w:val="28"/>
          <w:szCs w:val="28"/>
        </w:rPr>
        <w:t xml:space="preserve"> Day of </w:t>
      </w:r>
      <w:r w:rsidR="00E6282A">
        <w:rPr>
          <w:sz w:val="28"/>
          <w:szCs w:val="28"/>
        </w:rPr>
        <w:t>May</w:t>
      </w:r>
      <w:r>
        <w:rPr>
          <w:sz w:val="28"/>
          <w:szCs w:val="28"/>
        </w:rPr>
        <w:t>, 2021.</w:t>
      </w:r>
    </w:p>
    <w:tbl>
      <w:tblPr>
        <w:tblW w:w="0" w:type="auto"/>
        <w:tblInd w:w="-108" w:type="dxa"/>
        <w:tblLayout w:type="fixed"/>
        <w:tblCellMar>
          <w:left w:w="0" w:type="dxa"/>
          <w:right w:w="0" w:type="dxa"/>
        </w:tblCellMar>
        <w:tblLook w:val="04A0" w:firstRow="1" w:lastRow="0" w:firstColumn="1" w:lastColumn="0" w:noHBand="0" w:noVBand="1"/>
      </w:tblPr>
      <w:tblGrid>
        <w:gridCol w:w="4428"/>
        <w:gridCol w:w="5148"/>
      </w:tblGrid>
      <w:tr w:rsidR="001F441A" w14:paraId="484F5A8F" w14:textId="77777777" w:rsidTr="001F441A">
        <w:trPr>
          <w:cantSplit/>
        </w:trPr>
        <w:tc>
          <w:tcPr>
            <w:tcW w:w="4428" w:type="dxa"/>
          </w:tcPr>
          <w:p w14:paraId="146A0287" w14:textId="77777777" w:rsidR="001F441A" w:rsidRPr="001F441A" w:rsidRDefault="001F441A" w:rsidP="00FE6A61">
            <w:pPr>
              <w:pStyle w:val="PleadingSignature"/>
              <w:spacing w:before="240"/>
              <w:rPr>
                <w:sz w:val="28"/>
                <w:szCs w:val="28"/>
              </w:rPr>
            </w:pPr>
          </w:p>
        </w:tc>
        <w:tc>
          <w:tcPr>
            <w:tcW w:w="5148" w:type="dxa"/>
          </w:tcPr>
          <w:p w14:paraId="41EFB183" w14:textId="77777777" w:rsidR="001F441A" w:rsidRPr="001F441A" w:rsidRDefault="001F441A">
            <w:pPr>
              <w:pStyle w:val="PleadingSignature"/>
              <w:spacing w:before="480"/>
              <w:rPr>
                <w:sz w:val="28"/>
                <w:szCs w:val="28"/>
              </w:rPr>
            </w:pPr>
            <w:r w:rsidRPr="001F441A">
              <w:rPr>
                <w:sz w:val="28"/>
                <w:szCs w:val="28"/>
              </w:rPr>
              <w:t>By: /s/ Rand</w:t>
            </w:r>
            <w:r w:rsidR="00544690">
              <w:rPr>
                <w:sz w:val="28"/>
                <w:szCs w:val="28"/>
              </w:rPr>
              <w:t>al</w:t>
            </w:r>
            <w:r w:rsidRPr="001F441A">
              <w:rPr>
                <w:sz w:val="28"/>
                <w:szCs w:val="28"/>
              </w:rPr>
              <w:t xml:space="preserve"> McDonald</w:t>
            </w:r>
          </w:p>
          <w:p w14:paraId="2379B879" w14:textId="77777777" w:rsidR="001F441A" w:rsidRPr="001F441A" w:rsidRDefault="001F441A">
            <w:pPr>
              <w:pStyle w:val="PleadingSignature"/>
              <w:pBdr>
                <w:top w:val="single" w:sz="4" w:space="1" w:color="auto"/>
              </w:pBdr>
              <w:ind w:left="540"/>
              <w:rPr>
                <w:sz w:val="28"/>
                <w:szCs w:val="28"/>
              </w:rPr>
            </w:pPr>
            <w:r>
              <w:rPr>
                <w:sz w:val="28"/>
                <w:szCs w:val="28"/>
              </w:rPr>
              <w:t>Randal B. McDonald</w:t>
            </w:r>
          </w:p>
          <w:p w14:paraId="0FA6B12F" w14:textId="4BB90FFE" w:rsidR="001F441A" w:rsidRPr="001F441A" w:rsidRDefault="00FE6A61">
            <w:pPr>
              <w:pStyle w:val="PleadingSignature"/>
              <w:ind w:left="540"/>
              <w:rPr>
                <w:sz w:val="28"/>
                <w:szCs w:val="28"/>
              </w:rPr>
            </w:pPr>
            <w:r>
              <w:rPr>
                <w:sz w:val="28"/>
                <w:szCs w:val="28"/>
              </w:rPr>
              <w:t xml:space="preserve">President, </w:t>
            </w:r>
            <w:r w:rsidR="00EC5572">
              <w:rPr>
                <w:sz w:val="28"/>
                <w:szCs w:val="28"/>
              </w:rPr>
              <w:t>AZ-</w:t>
            </w:r>
            <w:r>
              <w:rPr>
                <w:sz w:val="28"/>
                <w:szCs w:val="28"/>
              </w:rPr>
              <w:t>LGBT Bar Association</w:t>
            </w:r>
          </w:p>
          <w:p w14:paraId="08E80689" w14:textId="77777777" w:rsidR="001F441A" w:rsidRPr="001F441A" w:rsidRDefault="001F441A" w:rsidP="001F441A">
            <w:pPr>
              <w:pStyle w:val="PleadingSignature"/>
              <w:spacing w:before="240"/>
              <w:rPr>
                <w:sz w:val="28"/>
                <w:szCs w:val="28"/>
              </w:rPr>
            </w:pPr>
          </w:p>
        </w:tc>
      </w:tr>
    </w:tbl>
    <w:p w14:paraId="275200E9" w14:textId="77777777" w:rsidR="001F441A" w:rsidRPr="00933C40" w:rsidRDefault="001F441A" w:rsidP="00933C40">
      <w:pPr>
        <w:pStyle w:val="BodyText"/>
        <w:widowControl/>
        <w:spacing w:before="220"/>
        <w:rPr>
          <w:sz w:val="28"/>
          <w:szCs w:val="28"/>
        </w:rPr>
      </w:pPr>
    </w:p>
    <w:p w14:paraId="0FF99FC6" w14:textId="77777777" w:rsidR="00260098" w:rsidRDefault="00260098"/>
    <w:sectPr w:rsidR="0026009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60BF0" w16cex:dateUtc="2021-04-30T11: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C5891" w14:textId="77777777" w:rsidR="00787065" w:rsidRDefault="00787065" w:rsidP="00E6282A">
      <w:pPr>
        <w:spacing w:line="240" w:lineRule="auto"/>
      </w:pPr>
      <w:r>
        <w:separator/>
      </w:r>
    </w:p>
  </w:endnote>
  <w:endnote w:type="continuationSeparator" w:id="0">
    <w:p w14:paraId="33EC42D1" w14:textId="77777777" w:rsidR="00787065" w:rsidRDefault="00787065" w:rsidP="00E62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D8593" w14:textId="77777777" w:rsidR="004A7538" w:rsidRDefault="004A7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144915"/>
      <w:docPartObj>
        <w:docPartGallery w:val="Page Numbers (Bottom of Page)"/>
        <w:docPartUnique/>
      </w:docPartObj>
    </w:sdtPr>
    <w:sdtEndPr>
      <w:rPr>
        <w:noProof/>
      </w:rPr>
    </w:sdtEndPr>
    <w:sdtContent>
      <w:p w14:paraId="233304E7" w14:textId="77777777" w:rsidR="00E6282A" w:rsidRDefault="00E628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4FE875" w14:textId="77777777" w:rsidR="00E6282A" w:rsidRDefault="00E62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A5A0" w14:textId="77777777" w:rsidR="004A7538" w:rsidRDefault="004A7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D2B28" w14:textId="77777777" w:rsidR="00787065" w:rsidRDefault="00787065" w:rsidP="00E6282A">
      <w:pPr>
        <w:spacing w:line="240" w:lineRule="auto"/>
      </w:pPr>
      <w:r>
        <w:separator/>
      </w:r>
    </w:p>
  </w:footnote>
  <w:footnote w:type="continuationSeparator" w:id="0">
    <w:p w14:paraId="597CBC23" w14:textId="77777777" w:rsidR="00787065" w:rsidRDefault="00787065" w:rsidP="00E628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3244D" w14:textId="77777777" w:rsidR="004A7538" w:rsidRDefault="004A7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BDD0" w14:textId="77777777" w:rsidR="004A7538" w:rsidRDefault="004A7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AF28" w14:textId="77777777" w:rsidR="004A7538" w:rsidRDefault="004A7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36ED1"/>
    <w:multiLevelType w:val="hybridMultilevel"/>
    <w:tmpl w:val="1930BC6C"/>
    <w:lvl w:ilvl="0" w:tplc="10B2F630">
      <w:start w:val="1"/>
      <w:numFmt w:val="upperRoman"/>
      <w:pStyle w:val="Heading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40"/>
    <w:rsid w:val="001C3553"/>
    <w:rsid w:val="001F441A"/>
    <w:rsid w:val="00200F78"/>
    <w:rsid w:val="002575E7"/>
    <w:rsid w:val="00260098"/>
    <w:rsid w:val="00293A80"/>
    <w:rsid w:val="002C462A"/>
    <w:rsid w:val="003172D1"/>
    <w:rsid w:val="00342C3B"/>
    <w:rsid w:val="00373C95"/>
    <w:rsid w:val="00393DE0"/>
    <w:rsid w:val="003A418D"/>
    <w:rsid w:val="003B4FD0"/>
    <w:rsid w:val="003E2C5E"/>
    <w:rsid w:val="00411A0D"/>
    <w:rsid w:val="004850A5"/>
    <w:rsid w:val="004A7538"/>
    <w:rsid w:val="005413AC"/>
    <w:rsid w:val="00544690"/>
    <w:rsid w:val="00552610"/>
    <w:rsid w:val="005D13C9"/>
    <w:rsid w:val="005E51CC"/>
    <w:rsid w:val="006D6F99"/>
    <w:rsid w:val="00787065"/>
    <w:rsid w:val="007B246E"/>
    <w:rsid w:val="007F5A75"/>
    <w:rsid w:val="009207C4"/>
    <w:rsid w:val="00933C40"/>
    <w:rsid w:val="00954AE1"/>
    <w:rsid w:val="00962C28"/>
    <w:rsid w:val="009835CB"/>
    <w:rsid w:val="00A27FD5"/>
    <w:rsid w:val="00AE427E"/>
    <w:rsid w:val="00AE642E"/>
    <w:rsid w:val="00B00B26"/>
    <w:rsid w:val="00B14F22"/>
    <w:rsid w:val="00C01427"/>
    <w:rsid w:val="00E6282A"/>
    <w:rsid w:val="00E657B9"/>
    <w:rsid w:val="00EC5572"/>
    <w:rsid w:val="00EC6C0C"/>
    <w:rsid w:val="00FE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7074BC"/>
  <w15:chartTrackingRefBased/>
  <w15:docId w15:val="{830C21BF-962D-4A49-879D-3242C743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2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4"/>
    <w:qFormat/>
    <w:rsid w:val="00933C40"/>
    <w:pPr>
      <w:widowControl w:val="0"/>
      <w:spacing w:after="0" w:line="240" w:lineRule="exact"/>
    </w:pPr>
    <w:rPr>
      <w:rFonts w:eastAsia="Times New Roman" w:cs="Times New Roman"/>
      <w:sz w:val="26"/>
      <w:szCs w:val="20"/>
    </w:rPr>
  </w:style>
  <w:style w:type="paragraph" w:styleId="Heading1">
    <w:name w:val="heading 1"/>
    <w:basedOn w:val="ListParagraph"/>
    <w:next w:val="Normal"/>
    <w:link w:val="Heading1Char"/>
    <w:uiPriority w:val="9"/>
    <w:qFormat/>
    <w:rsid w:val="004850A5"/>
    <w:pPr>
      <w:keepNext/>
      <w:widowControl/>
      <w:numPr>
        <w:numId w:val="1"/>
      </w:numPr>
      <w:spacing w:after="240" w:line="240" w:lineRule="auto"/>
      <w:jc w:val="both"/>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933C40"/>
    <w:pPr>
      <w:ind w:left="108" w:right="108"/>
    </w:pPr>
    <w:rPr>
      <w:bCs/>
    </w:rPr>
  </w:style>
  <w:style w:type="paragraph" w:styleId="BodyText">
    <w:name w:val="Body Text"/>
    <w:basedOn w:val="Normal"/>
    <w:link w:val="BodyTextChar"/>
    <w:semiHidden/>
    <w:unhideWhenUsed/>
    <w:qFormat/>
    <w:rsid w:val="00933C40"/>
    <w:pPr>
      <w:spacing w:line="480" w:lineRule="exact"/>
      <w:ind w:firstLine="720"/>
      <w:jc w:val="both"/>
    </w:pPr>
  </w:style>
  <w:style w:type="character" w:customStyle="1" w:styleId="BodyTextChar">
    <w:name w:val="Body Text Char"/>
    <w:basedOn w:val="DefaultParagraphFont"/>
    <w:link w:val="BodyText"/>
    <w:semiHidden/>
    <w:rsid w:val="00933C40"/>
    <w:rPr>
      <w:rFonts w:eastAsia="Times New Roman" w:cs="Times New Roman"/>
      <w:sz w:val="26"/>
      <w:szCs w:val="20"/>
    </w:rPr>
  </w:style>
  <w:style w:type="paragraph" w:customStyle="1" w:styleId="Court">
    <w:name w:val="Court"/>
    <w:basedOn w:val="Normal"/>
    <w:rsid w:val="00933C40"/>
    <w:pPr>
      <w:spacing w:after="240" w:line="480" w:lineRule="exact"/>
      <w:jc w:val="center"/>
    </w:pPr>
    <w:rPr>
      <w:caps/>
      <w:szCs w:val="26"/>
    </w:rPr>
  </w:style>
  <w:style w:type="paragraph" w:customStyle="1" w:styleId="DocumentTitle">
    <w:name w:val="Document Title"/>
    <w:basedOn w:val="Normal"/>
    <w:rsid w:val="00933C40"/>
    <w:pPr>
      <w:tabs>
        <w:tab w:val="left" w:pos="1346"/>
      </w:tabs>
      <w:ind w:left="252" w:right="108"/>
    </w:pPr>
    <w:rPr>
      <w:szCs w:val="24"/>
    </w:rPr>
  </w:style>
  <w:style w:type="character" w:customStyle="1" w:styleId="FirmInformationChar">
    <w:name w:val="Firm Information Char"/>
    <w:link w:val="FirmInformation"/>
    <w:locked/>
    <w:rsid w:val="00933C40"/>
    <w:rPr>
      <w:rFonts w:eastAsia="Times New Roman" w:cs="Times New Roman"/>
      <w:sz w:val="26"/>
      <w:szCs w:val="20"/>
    </w:rPr>
  </w:style>
  <w:style w:type="paragraph" w:customStyle="1" w:styleId="FirmInformation">
    <w:name w:val="Firm Information"/>
    <w:basedOn w:val="Normal"/>
    <w:link w:val="FirmInformationChar"/>
    <w:rsid w:val="00933C40"/>
    <w:pPr>
      <w:ind w:left="108" w:right="252"/>
    </w:pPr>
  </w:style>
  <w:style w:type="paragraph" w:customStyle="1" w:styleId="PleadingSignature">
    <w:name w:val="Pleading Signature"/>
    <w:basedOn w:val="Normal"/>
    <w:rsid w:val="001F441A"/>
    <w:pPr>
      <w:keepNext/>
      <w:keepLines/>
      <w:ind w:left="108" w:right="108"/>
    </w:pPr>
  </w:style>
  <w:style w:type="paragraph" w:styleId="ListParagraph">
    <w:name w:val="List Paragraph"/>
    <w:basedOn w:val="Normal"/>
    <w:uiPriority w:val="34"/>
    <w:qFormat/>
    <w:rsid w:val="00FE6A61"/>
    <w:pPr>
      <w:ind w:left="720"/>
      <w:contextualSpacing/>
    </w:pPr>
  </w:style>
  <w:style w:type="character" w:customStyle="1" w:styleId="Heading1Char">
    <w:name w:val="Heading 1 Char"/>
    <w:basedOn w:val="DefaultParagraphFont"/>
    <w:link w:val="Heading1"/>
    <w:uiPriority w:val="9"/>
    <w:rsid w:val="004850A5"/>
    <w:rPr>
      <w:rFonts w:eastAsia="Times New Roman" w:cs="Times New Roman"/>
      <w:b/>
      <w:sz w:val="28"/>
      <w:szCs w:val="28"/>
    </w:rPr>
  </w:style>
  <w:style w:type="character" w:styleId="Hyperlink">
    <w:name w:val="Hyperlink"/>
    <w:basedOn w:val="DefaultParagraphFont"/>
    <w:uiPriority w:val="99"/>
    <w:unhideWhenUsed/>
    <w:rsid w:val="00373C95"/>
    <w:rPr>
      <w:color w:val="0563C1" w:themeColor="hyperlink"/>
      <w:u w:val="single"/>
    </w:rPr>
  </w:style>
  <w:style w:type="character" w:styleId="UnresolvedMention">
    <w:name w:val="Unresolved Mention"/>
    <w:basedOn w:val="DefaultParagraphFont"/>
    <w:uiPriority w:val="99"/>
    <w:semiHidden/>
    <w:unhideWhenUsed/>
    <w:rsid w:val="00373C95"/>
    <w:rPr>
      <w:color w:val="605E5C"/>
      <w:shd w:val="clear" w:color="auto" w:fill="E1DFDD"/>
    </w:rPr>
  </w:style>
  <w:style w:type="paragraph" w:styleId="Header">
    <w:name w:val="header"/>
    <w:basedOn w:val="Normal"/>
    <w:link w:val="HeaderChar"/>
    <w:uiPriority w:val="99"/>
    <w:unhideWhenUsed/>
    <w:rsid w:val="00E6282A"/>
    <w:pPr>
      <w:tabs>
        <w:tab w:val="center" w:pos="4680"/>
        <w:tab w:val="right" w:pos="9360"/>
      </w:tabs>
      <w:spacing w:line="240" w:lineRule="auto"/>
    </w:pPr>
  </w:style>
  <w:style w:type="character" w:customStyle="1" w:styleId="HeaderChar">
    <w:name w:val="Header Char"/>
    <w:basedOn w:val="DefaultParagraphFont"/>
    <w:link w:val="Header"/>
    <w:uiPriority w:val="99"/>
    <w:rsid w:val="00E6282A"/>
    <w:rPr>
      <w:rFonts w:eastAsia="Times New Roman" w:cs="Times New Roman"/>
      <w:sz w:val="26"/>
      <w:szCs w:val="20"/>
    </w:rPr>
  </w:style>
  <w:style w:type="paragraph" w:styleId="Footer">
    <w:name w:val="footer"/>
    <w:basedOn w:val="Normal"/>
    <w:link w:val="FooterChar"/>
    <w:uiPriority w:val="99"/>
    <w:unhideWhenUsed/>
    <w:rsid w:val="00E6282A"/>
    <w:pPr>
      <w:tabs>
        <w:tab w:val="center" w:pos="4680"/>
        <w:tab w:val="right" w:pos="9360"/>
      </w:tabs>
      <w:spacing w:line="240" w:lineRule="auto"/>
    </w:pPr>
  </w:style>
  <w:style w:type="character" w:customStyle="1" w:styleId="FooterChar">
    <w:name w:val="Footer Char"/>
    <w:basedOn w:val="DefaultParagraphFont"/>
    <w:link w:val="Footer"/>
    <w:uiPriority w:val="99"/>
    <w:rsid w:val="00E6282A"/>
    <w:rPr>
      <w:rFonts w:eastAsia="Times New Roman" w:cs="Times New Roman"/>
      <w:sz w:val="26"/>
      <w:szCs w:val="20"/>
    </w:rPr>
  </w:style>
  <w:style w:type="character" w:styleId="CommentReference">
    <w:name w:val="annotation reference"/>
    <w:basedOn w:val="DefaultParagraphFont"/>
    <w:uiPriority w:val="99"/>
    <w:semiHidden/>
    <w:unhideWhenUsed/>
    <w:rsid w:val="00962C28"/>
    <w:rPr>
      <w:sz w:val="16"/>
      <w:szCs w:val="16"/>
    </w:rPr>
  </w:style>
  <w:style w:type="paragraph" w:styleId="CommentText">
    <w:name w:val="annotation text"/>
    <w:basedOn w:val="Normal"/>
    <w:link w:val="CommentTextChar"/>
    <w:uiPriority w:val="99"/>
    <w:semiHidden/>
    <w:unhideWhenUsed/>
    <w:rsid w:val="00962C28"/>
    <w:pPr>
      <w:spacing w:line="240" w:lineRule="auto"/>
    </w:pPr>
    <w:rPr>
      <w:sz w:val="20"/>
    </w:rPr>
  </w:style>
  <w:style w:type="character" w:customStyle="1" w:styleId="CommentTextChar">
    <w:name w:val="Comment Text Char"/>
    <w:basedOn w:val="DefaultParagraphFont"/>
    <w:link w:val="CommentText"/>
    <w:uiPriority w:val="99"/>
    <w:semiHidden/>
    <w:rsid w:val="00962C2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2C28"/>
    <w:rPr>
      <w:b/>
      <w:bCs/>
    </w:rPr>
  </w:style>
  <w:style w:type="character" w:customStyle="1" w:styleId="CommentSubjectChar">
    <w:name w:val="Comment Subject Char"/>
    <w:basedOn w:val="CommentTextChar"/>
    <w:link w:val="CommentSubject"/>
    <w:uiPriority w:val="99"/>
    <w:semiHidden/>
    <w:rsid w:val="00962C28"/>
    <w:rPr>
      <w:rFonts w:eastAsia="Times New Roman" w:cs="Times New Roman"/>
      <w:b/>
      <w:bCs/>
      <w:sz w:val="20"/>
      <w:szCs w:val="20"/>
    </w:rPr>
  </w:style>
  <w:style w:type="paragraph" w:styleId="BalloonText">
    <w:name w:val="Balloon Text"/>
    <w:basedOn w:val="Normal"/>
    <w:link w:val="BalloonTextChar"/>
    <w:uiPriority w:val="99"/>
    <w:semiHidden/>
    <w:unhideWhenUsed/>
    <w:rsid w:val="00962C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C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92722">
      <w:bodyDiv w:val="1"/>
      <w:marLeft w:val="0"/>
      <w:marRight w:val="0"/>
      <w:marTop w:val="0"/>
      <w:marBottom w:val="0"/>
      <w:divBdr>
        <w:top w:val="none" w:sz="0" w:space="0" w:color="auto"/>
        <w:left w:val="none" w:sz="0" w:space="0" w:color="auto"/>
        <w:bottom w:val="none" w:sz="0" w:space="0" w:color="auto"/>
        <w:right w:val="none" w:sz="0" w:space="0" w:color="auto"/>
      </w:divBdr>
      <w:divsChild>
        <w:div w:id="1794130605">
          <w:marLeft w:val="0"/>
          <w:marRight w:val="0"/>
          <w:marTop w:val="0"/>
          <w:marBottom w:val="0"/>
          <w:divBdr>
            <w:top w:val="none" w:sz="0" w:space="0" w:color="auto"/>
            <w:left w:val="none" w:sz="0" w:space="0" w:color="auto"/>
            <w:bottom w:val="none" w:sz="0" w:space="0" w:color="auto"/>
            <w:right w:val="none" w:sz="0" w:space="0" w:color="auto"/>
          </w:divBdr>
        </w:div>
      </w:divsChild>
    </w:div>
    <w:div w:id="322316278">
      <w:bodyDiv w:val="1"/>
      <w:marLeft w:val="0"/>
      <w:marRight w:val="0"/>
      <w:marTop w:val="0"/>
      <w:marBottom w:val="0"/>
      <w:divBdr>
        <w:top w:val="none" w:sz="0" w:space="0" w:color="auto"/>
        <w:left w:val="none" w:sz="0" w:space="0" w:color="auto"/>
        <w:bottom w:val="none" w:sz="0" w:space="0" w:color="auto"/>
        <w:right w:val="none" w:sz="0" w:space="0" w:color="auto"/>
      </w:divBdr>
      <w:divsChild>
        <w:div w:id="478231573">
          <w:marLeft w:val="0"/>
          <w:marRight w:val="0"/>
          <w:marTop w:val="0"/>
          <w:marBottom w:val="0"/>
          <w:divBdr>
            <w:top w:val="none" w:sz="0" w:space="0" w:color="auto"/>
            <w:left w:val="none" w:sz="0" w:space="0" w:color="auto"/>
            <w:bottom w:val="none" w:sz="0" w:space="0" w:color="auto"/>
            <w:right w:val="none" w:sz="0" w:space="0" w:color="auto"/>
          </w:divBdr>
        </w:div>
      </w:divsChild>
    </w:div>
    <w:div w:id="340861329">
      <w:bodyDiv w:val="1"/>
      <w:marLeft w:val="0"/>
      <w:marRight w:val="0"/>
      <w:marTop w:val="0"/>
      <w:marBottom w:val="0"/>
      <w:divBdr>
        <w:top w:val="none" w:sz="0" w:space="0" w:color="auto"/>
        <w:left w:val="none" w:sz="0" w:space="0" w:color="auto"/>
        <w:bottom w:val="none" w:sz="0" w:space="0" w:color="auto"/>
        <w:right w:val="none" w:sz="0" w:space="0" w:color="auto"/>
      </w:divBdr>
      <w:divsChild>
        <w:div w:id="376665747">
          <w:marLeft w:val="0"/>
          <w:marRight w:val="0"/>
          <w:marTop w:val="0"/>
          <w:marBottom w:val="0"/>
          <w:divBdr>
            <w:top w:val="none" w:sz="0" w:space="0" w:color="auto"/>
            <w:left w:val="none" w:sz="0" w:space="0" w:color="auto"/>
            <w:bottom w:val="none" w:sz="0" w:space="0" w:color="auto"/>
            <w:right w:val="none" w:sz="0" w:space="0" w:color="auto"/>
          </w:divBdr>
        </w:div>
      </w:divsChild>
    </w:div>
    <w:div w:id="357315862">
      <w:bodyDiv w:val="1"/>
      <w:marLeft w:val="0"/>
      <w:marRight w:val="0"/>
      <w:marTop w:val="0"/>
      <w:marBottom w:val="0"/>
      <w:divBdr>
        <w:top w:val="none" w:sz="0" w:space="0" w:color="auto"/>
        <w:left w:val="none" w:sz="0" w:space="0" w:color="auto"/>
        <w:bottom w:val="none" w:sz="0" w:space="0" w:color="auto"/>
        <w:right w:val="none" w:sz="0" w:space="0" w:color="auto"/>
      </w:divBdr>
      <w:divsChild>
        <w:div w:id="2131704993">
          <w:marLeft w:val="0"/>
          <w:marRight w:val="0"/>
          <w:marTop w:val="0"/>
          <w:marBottom w:val="0"/>
          <w:divBdr>
            <w:top w:val="none" w:sz="0" w:space="0" w:color="auto"/>
            <w:left w:val="none" w:sz="0" w:space="0" w:color="auto"/>
            <w:bottom w:val="none" w:sz="0" w:space="0" w:color="auto"/>
            <w:right w:val="none" w:sz="0" w:space="0" w:color="auto"/>
          </w:divBdr>
        </w:div>
      </w:divsChild>
    </w:div>
    <w:div w:id="525750195">
      <w:bodyDiv w:val="1"/>
      <w:marLeft w:val="0"/>
      <w:marRight w:val="0"/>
      <w:marTop w:val="0"/>
      <w:marBottom w:val="0"/>
      <w:divBdr>
        <w:top w:val="none" w:sz="0" w:space="0" w:color="auto"/>
        <w:left w:val="none" w:sz="0" w:space="0" w:color="auto"/>
        <w:bottom w:val="none" w:sz="0" w:space="0" w:color="auto"/>
        <w:right w:val="none" w:sz="0" w:space="0" w:color="auto"/>
      </w:divBdr>
      <w:divsChild>
        <w:div w:id="1706054743">
          <w:marLeft w:val="0"/>
          <w:marRight w:val="0"/>
          <w:marTop w:val="0"/>
          <w:marBottom w:val="0"/>
          <w:divBdr>
            <w:top w:val="none" w:sz="0" w:space="0" w:color="auto"/>
            <w:left w:val="none" w:sz="0" w:space="0" w:color="auto"/>
            <w:bottom w:val="none" w:sz="0" w:space="0" w:color="auto"/>
            <w:right w:val="none" w:sz="0" w:space="0" w:color="auto"/>
          </w:divBdr>
        </w:div>
      </w:divsChild>
    </w:div>
    <w:div w:id="568998185">
      <w:bodyDiv w:val="1"/>
      <w:marLeft w:val="0"/>
      <w:marRight w:val="0"/>
      <w:marTop w:val="0"/>
      <w:marBottom w:val="0"/>
      <w:divBdr>
        <w:top w:val="none" w:sz="0" w:space="0" w:color="auto"/>
        <w:left w:val="none" w:sz="0" w:space="0" w:color="auto"/>
        <w:bottom w:val="none" w:sz="0" w:space="0" w:color="auto"/>
        <w:right w:val="none" w:sz="0" w:space="0" w:color="auto"/>
      </w:divBdr>
      <w:divsChild>
        <w:div w:id="762266613">
          <w:marLeft w:val="0"/>
          <w:marRight w:val="0"/>
          <w:marTop w:val="0"/>
          <w:marBottom w:val="0"/>
          <w:divBdr>
            <w:top w:val="none" w:sz="0" w:space="0" w:color="auto"/>
            <w:left w:val="none" w:sz="0" w:space="0" w:color="auto"/>
            <w:bottom w:val="none" w:sz="0" w:space="0" w:color="auto"/>
            <w:right w:val="none" w:sz="0" w:space="0" w:color="auto"/>
          </w:divBdr>
        </w:div>
      </w:divsChild>
    </w:div>
    <w:div w:id="587621000">
      <w:bodyDiv w:val="1"/>
      <w:marLeft w:val="0"/>
      <w:marRight w:val="0"/>
      <w:marTop w:val="0"/>
      <w:marBottom w:val="0"/>
      <w:divBdr>
        <w:top w:val="none" w:sz="0" w:space="0" w:color="auto"/>
        <w:left w:val="none" w:sz="0" w:space="0" w:color="auto"/>
        <w:bottom w:val="none" w:sz="0" w:space="0" w:color="auto"/>
        <w:right w:val="none" w:sz="0" w:space="0" w:color="auto"/>
      </w:divBdr>
      <w:divsChild>
        <w:div w:id="295067972">
          <w:marLeft w:val="0"/>
          <w:marRight w:val="0"/>
          <w:marTop w:val="0"/>
          <w:marBottom w:val="0"/>
          <w:divBdr>
            <w:top w:val="none" w:sz="0" w:space="0" w:color="auto"/>
            <w:left w:val="none" w:sz="0" w:space="0" w:color="auto"/>
            <w:bottom w:val="none" w:sz="0" w:space="0" w:color="auto"/>
            <w:right w:val="none" w:sz="0" w:space="0" w:color="auto"/>
          </w:divBdr>
        </w:div>
      </w:divsChild>
    </w:div>
    <w:div w:id="1028260651">
      <w:bodyDiv w:val="1"/>
      <w:marLeft w:val="0"/>
      <w:marRight w:val="0"/>
      <w:marTop w:val="0"/>
      <w:marBottom w:val="0"/>
      <w:divBdr>
        <w:top w:val="none" w:sz="0" w:space="0" w:color="auto"/>
        <w:left w:val="none" w:sz="0" w:space="0" w:color="auto"/>
        <w:bottom w:val="none" w:sz="0" w:space="0" w:color="auto"/>
        <w:right w:val="none" w:sz="0" w:space="0" w:color="auto"/>
      </w:divBdr>
      <w:divsChild>
        <w:div w:id="196897027">
          <w:marLeft w:val="0"/>
          <w:marRight w:val="0"/>
          <w:marTop w:val="0"/>
          <w:marBottom w:val="0"/>
          <w:divBdr>
            <w:top w:val="none" w:sz="0" w:space="0" w:color="auto"/>
            <w:left w:val="none" w:sz="0" w:space="0" w:color="auto"/>
            <w:bottom w:val="none" w:sz="0" w:space="0" w:color="auto"/>
            <w:right w:val="none" w:sz="0" w:space="0" w:color="auto"/>
          </w:divBdr>
        </w:div>
      </w:divsChild>
    </w:div>
    <w:div w:id="1086996106">
      <w:bodyDiv w:val="1"/>
      <w:marLeft w:val="0"/>
      <w:marRight w:val="0"/>
      <w:marTop w:val="0"/>
      <w:marBottom w:val="0"/>
      <w:divBdr>
        <w:top w:val="none" w:sz="0" w:space="0" w:color="auto"/>
        <w:left w:val="none" w:sz="0" w:space="0" w:color="auto"/>
        <w:bottom w:val="none" w:sz="0" w:space="0" w:color="auto"/>
        <w:right w:val="none" w:sz="0" w:space="0" w:color="auto"/>
      </w:divBdr>
      <w:divsChild>
        <w:div w:id="2114006548">
          <w:marLeft w:val="0"/>
          <w:marRight w:val="0"/>
          <w:marTop w:val="0"/>
          <w:marBottom w:val="0"/>
          <w:divBdr>
            <w:top w:val="none" w:sz="0" w:space="0" w:color="auto"/>
            <w:left w:val="none" w:sz="0" w:space="0" w:color="auto"/>
            <w:bottom w:val="none" w:sz="0" w:space="0" w:color="auto"/>
            <w:right w:val="none" w:sz="0" w:space="0" w:color="auto"/>
          </w:divBdr>
        </w:div>
      </w:divsChild>
    </w:div>
    <w:div w:id="1209030097">
      <w:bodyDiv w:val="1"/>
      <w:marLeft w:val="0"/>
      <w:marRight w:val="0"/>
      <w:marTop w:val="0"/>
      <w:marBottom w:val="0"/>
      <w:divBdr>
        <w:top w:val="none" w:sz="0" w:space="0" w:color="auto"/>
        <w:left w:val="none" w:sz="0" w:space="0" w:color="auto"/>
        <w:bottom w:val="none" w:sz="0" w:space="0" w:color="auto"/>
        <w:right w:val="none" w:sz="0" w:space="0" w:color="auto"/>
      </w:divBdr>
      <w:divsChild>
        <w:div w:id="59523679">
          <w:marLeft w:val="0"/>
          <w:marRight w:val="0"/>
          <w:marTop w:val="0"/>
          <w:marBottom w:val="0"/>
          <w:divBdr>
            <w:top w:val="none" w:sz="0" w:space="0" w:color="auto"/>
            <w:left w:val="none" w:sz="0" w:space="0" w:color="auto"/>
            <w:bottom w:val="none" w:sz="0" w:space="0" w:color="auto"/>
            <w:right w:val="none" w:sz="0" w:space="0" w:color="auto"/>
          </w:divBdr>
        </w:div>
      </w:divsChild>
    </w:div>
    <w:div w:id="1461918111">
      <w:bodyDiv w:val="1"/>
      <w:marLeft w:val="0"/>
      <w:marRight w:val="0"/>
      <w:marTop w:val="0"/>
      <w:marBottom w:val="0"/>
      <w:divBdr>
        <w:top w:val="none" w:sz="0" w:space="0" w:color="auto"/>
        <w:left w:val="none" w:sz="0" w:space="0" w:color="auto"/>
        <w:bottom w:val="none" w:sz="0" w:space="0" w:color="auto"/>
        <w:right w:val="none" w:sz="0" w:space="0" w:color="auto"/>
      </w:divBdr>
    </w:div>
    <w:div w:id="1845700073">
      <w:bodyDiv w:val="1"/>
      <w:marLeft w:val="0"/>
      <w:marRight w:val="0"/>
      <w:marTop w:val="0"/>
      <w:marBottom w:val="0"/>
      <w:divBdr>
        <w:top w:val="none" w:sz="0" w:space="0" w:color="auto"/>
        <w:left w:val="none" w:sz="0" w:space="0" w:color="auto"/>
        <w:bottom w:val="none" w:sz="0" w:space="0" w:color="auto"/>
        <w:right w:val="none" w:sz="0" w:space="0" w:color="auto"/>
      </w:divBdr>
      <w:divsChild>
        <w:div w:id="619458726">
          <w:marLeft w:val="0"/>
          <w:marRight w:val="0"/>
          <w:marTop w:val="0"/>
          <w:marBottom w:val="0"/>
          <w:divBdr>
            <w:top w:val="none" w:sz="0" w:space="0" w:color="auto"/>
            <w:left w:val="none" w:sz="0" w:space="0" w:color="auto"/>
            <w:bottom w:val="none" w:sz="0" w:space="0" w:color="auto"/>
            <w:right w:val="none" w:sz="0" w:space="0" w:color="auto"/>
          </w:divBdr>
        </w:div>
      </w:divsChild>
    </w:div>
    <w:div w:id="1968312642">
      <w:bodyDiv w:val="1"/>
      <w:marLeft w:val="0"/>
      <w:marRight w:val="0"/>
      <w:marTop w:val="0"/>
      <w:marBottom w:val="0"/>
      <w:divBdr>
        <w:top w:val="none" w:sz="0" w:space="0" w:color="auto"/>
        <w:left w:val="none" w:sz="0" w:space="0" w:color="auto"/>
        <w:bottom w:val="none" w:sz="0" w:space="0" w:color="auto"/>
        <w:right w:val="none" w:sz="0" w:space="0" w:color="auto"/>
      </w:divBdr>
    </w:div>
    <w:div w:id="2051028546">
      <w:bodyDiv w:val="1"/>
      <w:marLeft w:val="0"/>
      <w:marRight w:val="0"/>
      <w:marTop w:val="0"/>
      <w:marBottom w:val="0"/>
      <w:divBdr>
        <w:top w:val="none" w:sz="0" w:space="0" w:color="auto"/>
        <w:left w:val="none" w:sz="0" w:space="0" w:color="auto"/>
        <w:bottom w:val="none" w:sz="0" w:space="0" w:color="auto"/>
        <w:right w:val="none" w:sz="0" w:space="0" w:color="auto"/>
      </w:divBdr>
      <w:divsChild>
        <w:div w:id="1947079855">
          <w:marLeft w:val="0"/>
          <w:marRight w:val="0"/>
          <w:marTop w:val="0"/>
          <w:marBottom w:val="0"/>
          <w:divBdr>
            <w:top w:val="none" w:sz="0" w:space="0" w:color="auto"/>
            <w:left w:val="none" w:sz="0" w:space="0" w:color="auto"/>
            <w:bottom w:val="none" w:sz="0" w:space="0" w:color="auto"/>
            <w:right w:val="none" w:sz="0" w:space="0" w:color="auto"/>
          </w:divBdr>
        </w:div>
      </w:divsChild>
    </w:div>
    <w:div w:id="2058117366">
      <w:bodyDiv w:val="1"/>
      <w:marLeft w:val="0"/>
      <w:marRight w:val="0"/>
      <w:marTop w:val="0"/>
      <w:marBottom w:val="0"/>
      <w:divBdr>
        <w:top w:val="none" w:sz="0" w:space="0" w:color="auto"/>
        <w:left w:val="none" w:sz="0" w:space="0" w:color="auto"/>
        <w:bottom w:val="none" w:sz="0" w:space="0" w:color="auto"/>
        <w:right w:val="none" w:sz="0" w:space="0" w:color="auto"/>
      </w:divBdr>
      <w:divsChild>
        <w:div w:id="1584756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Portals/0/Communications/JusticeForTheFuture.pdf" TargetMode="External"/><Relationship Id="rId13" Type="http://schemas.openxmlformats.org/officeDocument/2006/relationships/hyperlink" Target="https://www.thejuryexpert.com/2009/03/strategies-for-combating-anti-gay-sentiment-in-the-courtro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mbdalegal.org/sites/default/files/publications/downloads/ps_executive-summary.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ca.gov/documents/sexualorient_report.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illiamsinstitute.law.ucla.edu/wp-content/uploads/Law-Enforcement-SOGI-Nov-2013.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illiamsinstitute.law.ucla.edu/wp-content/uploads/LGBT-Discrimination-by-Law-Enforcement-Mar-2015.pdf"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A096-A1C0-4D56-A507-BB7E4202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 Mcdonald</dc:creator>
  <cp:lastModifiedBy>Randal Mcdonald</cp:lastModifiedBy>
  <cp:revision>3</cp:revision>
  <dcterms:created xsi:type="dcterms:W3CDTF">2021-05-03T21:40:00Z</dcterms:created>
  <dcterms:modified xsi:type="dcterms:W3CDTF">2021-05-03T21:41:00Z</dcterms:modified>
</cp:coreProperties>
</file>