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4E6BC" w14:textId="1E06A232" w:rsidR="005A36BE" w:rsidRPr="00DD46E2" w:rsidRDefault="005A36BE" w:rsidP="005A36BE">
      <w:pPr>
        <w:pStyle w:val="AttorneyName"/>
        <w:rPr>
          <w:rFonts w:ascii="Times New Roman" w:hAnsi="Times New Roman" w:cs="Times New Roman"/>
          <w:szCs w:val="26"/>
        </w:rPr>
      </w:pPr>
      <w:r w:rsidRPr="00DD46E2">
        <w:rPr>
          <w:rFonts w:ascii="Times New Roman" w:hAnsi="Times New Roman" w:cs="Times New Roman"/>
          <w:szCs w:val="26"/>
        </w:rPr>
        <w:t>Meaghan Kramer, AZ Bar #029043</w:t>
      </w:r>
    </w:p>
    <w:p w14:paraId="4054A18C" w14:textId="77777777" w:rsidR="005A36BE" w:rsidRPr="00DD46E2" w:rsidRDefault="005A36BE" w:rsidP="005A36BE">
      <w:pPr>
        <w:pStyle w:val="AttorneyName"/>
        <w:rPr>
          <w:rFonts w:ascii="Times New Roman" w:hAnsi="Times New Roman" w:cs="Times New Roman"/>
          <w:szCs w:val="26"/>
        </w:rPr>
      </w:pPr>
      <w:r w:rsidRPr="00DD46E2">
        <w:rPr>
          <w:rFonts w:ascii="Times New Roman" w:hAnsi="Times New Roman" w:cs="Times New Roman"/>
          <w:szCs w:val="26"/>
        </w:rPr>
        <w:t>ARIZONA CENTER FOR DISABILITY LAW</w:t>
      </w:r>
    </w:p>
    <w:p w14:paraId="09C65D64" w14:textId="77777777" w:rsidR="005A36BE" w:rsidRPr="00DD46E2" w:rsidRDefault="005A36BE" w:rsidP="005A36BE">
      <w:pPr>
        <w:pStyle w:val="AttorneyName"/>
        <w:rPr>
          <w:rFonts w:ascii="Times New Roman" w:hAnsi="Times New Roman" w:cs="Times New Roman"/>
          <w:szCs w:val="26"/>
        </w:rPr>
      </w:pPr>
      <w:r w:rsidRPr="00DD46E2">
        <w:rPr>
          <w:rFonts w:ascii="Times New Roman" w:hAnsi="Times New Roman" w:cs="Times New Roman"/>
          <w:szCs w:val="26"/>
        </w:rPr>
        <w:t>5025 E. Washington Street, Suite 202</w:t>
      </w:r>
    </w:p>
    <w:p w14:paraId="19F97D87" w14:textId="77777777" w:rsidR="005A36BE" w:rsidRPr="00DD46E2" w:rsidRDefault="005A36BE" w:rsidP="005A36BE">
      <w:pPr>
        <w:pStyle w:val="AttorneyName"/>
        <w:rPr>
          <w:rFonts w:ascii="Times New Roman" w:hAnsi="Times New Roman" w:cs="Times New Roman"/>
          <w:szCs w:val="26"/>
        </w:rPr>
      </w:pPr>
      <w:r w:rsidRPr="00DD46E2">
        <w:rPr>
          <w:rFonts w:ascii="Times New Roman" w:hAnsi="Times New Roman" w:cs="Times New Roman"/>
          <w:szCs w:val="26"/>
        </w:rPr>
        <w:t>Phoenix, AZ 85034</w:t>
      </w:r>
    </w:p>
    <w:p w14:paraId="1351605D" w14:textId="77777777" w:rsidR="005A36BE" w:rsidRPr="00DD46E2" w:rsidRDefault="005A36BE" w:rsidP="005A36BE">
      <w:pPr>
        <w:pStyle w:val="AttorneyName"/>
        <w:tabs>
          <w:tab w:val="left" w:pos="2064"/>
        </w:tabs>
        <w:rPr>
          <w:rFonts w:ascii="Times New Roman" w:hAnsi="Times New Roman" w:cs="Times New Roman"/>
          <w:szCs w:val="26"/>
        </w:rPr>
      </w:pPr>
      <w:r w:rsidRPr="00DD46E2">
        <w:rPr>
          <w:rFonts w:ascii="Times New Roman" w:hAnsi="Times New Roman" w:cs="Times New Roman"/>
          <w:szCs w:val="26"/>
        </w:rPr>
        <w:t>(602) 274-6287</w:t>
      </w:r>
    </w:p>
    <w:p w14:paraId="59368AD2" w14:textId="77BD4DAE" w:rsidR="005A36BE" w:rsidRPr="00DD46E2" w:rsidRDefault="005A36BE" w:rsidP="005A36BE">
      <w:pPr>
        <w:pStyle w:val="AttorneyName"/>
        <w:tabs>
          <w:tab w:val="left" w:pos="2064"/>
        </w:tabs>
        <w:rPr>
          <w:rFonts w:ascii="Times New Roman" w:hAnsi="Times New Roman" w:cs="Times New Roman"/>
          <w:szCs w:val="26"/>
        </w:rPr>
      </w:pPr>
      <w:r w:rsidRPr="00DD46E2">
        <w:rPr>
          <w:rFonts w:ascii="Times New Roman" w:hAnsi="Times New Roman" w:cs="Times New Roman"/>
          <w:szCs w:val="26"/>
        </w:rPr>
        <w:t>E-mail: mkramer@azdisabilitylaw.org</w:t>
      </w:r>
    </w:p>
    <w:p w14:paraId="32581B3E" w14:textId="77777777" w:rsidR="005A36BE" w:rsidRPr="00DD46E2" w:rsidRDefault="005A36BE" w:rsidP="005A36BE">
      <w:pPr>
        <w:pStyle w:val="AttorneyName"/>
        <w:spacing w:line="480" w:lineRule="exact"/>
        <w:rPr>
          <w:rFonts w:ascii="Times New Roman" w:hAnsi="Times New Roman" w:cs="Times New Roman"/>
          <w:i/>
          <w:szCs w:val="26"/>
        </w:rPr>
      </w:pPr>
    </w:p>
    <w:p w14:paraId="739448B6" w14:textId="131FB5B4" w:rsidR="005A36BE" w:rsidRPr="00DD46E2" w:rsidRDefault="00DD46E2" w:rsidP="005A36BE">
      <w:pPr>
        <w:pStyle w:val="AttorneyName"/>
        <w:spacing w:line="480" w:lineRule="exact"/>
        <w:jc w:val="center"/>
        <w:rPr>
          <w:rFonts w:ascii="Times New Roman" w:hAnsi="Times New Roman" w:cs="Times New Roman"/>
          <w:b/>
          <w:szCs w:val="26"/>
        </w:rPr>
      </w:pPr>
      <w:r w:rsidRPr="00DD46E2">
        <w:rPr>
          <w:rFonts w:ascii="Times New Roman" w:hAnsi="Times New Roman" w:cs="Times New Roman"/>
          <w:b/>
          <w:szCs w:val="26"/>
        </w:rPr>
        <w:t>IN THE SUPREME COURT</w:t>
      </w:r>
    </w:p>
    <w:p w14:paraId="1AB6761D" w14:textId="32587B34" w:rsidR="005A36BE" w:rsidRPr="00DD46E2" w:rsidRDefault="00DD46E2" w:rsidP="00DD46E2">
      <w:pPr>
        <w:pStyle w:val="AttorneyName"/>
        <w:spacing w:line="480" w:lineRule="exact"/>
        <w:jc w:val="center"/>
        <w:rPr>
          <w:rFonts w:ascii="Times New Roman" w:hAnsi="Times New Roman" w:cs="Times New Roman"/>
          <w:i/>
          <w:szCs w:val="26"/>
        </w:rPr>
      </w:pPr>
      <w:r w:rsidRPr="00DD46E2">
        <w:rPr>
          <w:rFonts w:ascii="Times New Roman" w:hAnsi="Times New Roman" w:cs="Times New Roman"/>
          <w:b/>
          <w:szCs w:val="26"/>
        </w:rPr>
        <w:t>STATE OF ARIZONA</w:t>
      </w:r>
    </w:p>
    <w:tbl>
      <w:tblPr>
        <w:tblpPr w:leftFromText="180" w:rightFromText="180" w:vertAnchor="text" w:horzAnchor="margin" w:tblpY="422"/>
        <w:tblW w:w="4973" w:type="pct"/>
        <w:tblLayout w:type="fixed"/>
        <w:tblCellMar>
          <w:left w:w="0" w:type="dxa"/>
          <w:right w:w="0" w:type="dxa"/>
        </w:tblCellMar>
        <w:tblLook w:val="04A0" w:firstRow="1" w:lastRow="0" w:firstColumn="1" w:lastColumn="0" w:noHBand="0" w:noVBand="1"/>
      </w:tblPr>
      <w:tblGrid>
        <w:gridCol w:w="4118"/>
        <w:gridCol w:w="5191"/>
      </w:tblGrid>
      <w:tr w:rsidR="005A36BE" w:rsidRPr="00DD46E2" w14:paraId="0021DD55" w14:textId="77777777" w:rsidTr="00F862FC">
        <w:trPr>
          <w:trHeight w:val="3243"/>
        </w:trPr>
        <w:tc>
          <w:tcPr>
            <w:tcW w:w="2212" w:type="pct"/>
            <w:tcBorders>
              <w:bottom w:val="single" w:sz="4" w:space="0" w:color="auto"/>
              <w:right w:val="single" w:sz="4" w:space="0" w:color="auto"/>
            </w:tcBorders>
          </w:tcPr>
          <w:p w14:paraId="64DE0416" w14:textId="77777777" w:rsidR="005A36BE" w:rsidRPr="00DD46E2" w:rsidRDefault="005A36BE" w:rsidP="00F862FC">
            <w:pPr>
              <w:spacing w:line="240" w:lineRule="auto"/>
              <w:ind w:firstLine="0"/>
              <w:jc w:val="both"/>
              <w:rPr>
                <w:rFonts w:ascii="Times New Roman" w:hAnsi="Times New Roman" w:cs="Times New Roman"/>
                <w:sz w:val="26"/>
                <w:szCs w:val="26"/>
              </w:rPr>
            </w:pPr>
          </w:p>
          <w:p w14:paraId="7163B9D3" w14:textId="4156B080" w:rsidR="005A36BE" w:rsidRPr="00DD46E2" w:rsidRDefault="00DD46E2" w:rsidP="00DD46E2">
            <w:pPr>
              <w:spacing w:line="240" w:lineRule="auto"/>
              <w:ind w:right="156" w:firstLine="0"/>
              <w:jc w:val="both"/>
              <w:rPr>
                <w:rFonts w:ascii="Times New Roman" w:hAnsi="Times New Roman" w:cs="Times New Roman"/>
                <w:sz w:val="26"/>
                <w:szCs w:val="26"/>
              </w:rPr>
            </w:pPr>
            <w:r w:rsidRPr="00DD46E2">
              <w:rPr>
                <w:rFonts w:ascii="Times New Roman" w:hAnsi="Times New Roman" w:cs="Times New Roman"/>
                <w:sz w:val="26"/>
                <w:szCs w:val="26"/>
              </w:rPr>
              <w:t>PETITION TO AMEND THE RULES OF</w:t>
            </w:r>
            <w:r w:rsidRPr="00DD46E2">
              <w:rPr>
                <w:rFonts w:ascii="Times New Roman" w:hAnsi="Times New Roman" w:cs="Times New Roman"/>
                <w:sz w:val="26"/>
                <w:szCs w:val="26"/>
              </w:rPr>
              <w:t xml:space="preserve"> </w:t>
            </w:r>
            <w:r w:rsidRPr="00DD46E2">
              <w:rPr>
                <w:rFonts w:ascii="Times New Roman" w:hAnsi="Times New Roman" w:cs="Times New Roman"/>
                <w:sz w:val="26"/>
                <w:szCs w:val="26"/>
              </w:rPr>
              <w:t>THE SUPREME COURT OF ARIZONA</w:t>
            </w:r>
            <w:r w:rsidRPr="00DD46E2">
              <w:rPr>
                <w:rFonts w:ascii="Times New Roman" w:hAnsi="Times New Roman" w:cs="Times New Roman"/>
                <w:sz w:val="26"/>
                <w:szCs w:val="26"/>
              </w:rPr>
              <w:t xml:space="preserve"> </w:t>
            </w:r>
            <w:r w:rsidRPr="00DD46E2">
              <w:rPr>
                <w:rFonts w:ascii="Times New Roman" w:hAnsi="Times New Roman" w:cs="Times New Roman"/>
                <w:sz w:val="26"/>
                <w:szCs w:val="26"/>
              </w:rPr>
              <w:t>TO ADOPT RULE 24 – JURY</w:t>
            </w:r>
            <w:r w:rsidRPr="00DD46E2">
              <w:rPr>
                <w:rFonts w:ascii="Times New Roman" w:hAnsi="Times New Roman" w:cs="Times New Roman"/>
                <w:sz w:val="26"/>
                <w:szCs w:val="26"/>
              </w:rPr>
              <w:t xml:space="preserve"> </w:t>
            </w:r>
            <w:r w:rsidRPr="00DD46E2">
              <w:rPr>
                <w:rFonts w:ascii="Times New Roman" w:hAnsi="Times New Roman" w:cs="Times New Roman"/>
                <w:sz w:val="26"/>
                <w:szCs w:val="26"/>
              </w:rPr>
              <w:t>SELCTION</w:t>
            </w:r>
          </w:p>
        </w:tc>
        <w:tc>
          <w:tcPr>
            <w:tcW w:w="2788" w:type="pct"/>
            <w:tcBorders>
              <w:left w:val="nil"/>
            </w:tcBorders>
            <w:tcMar>
              <w:left w:w="115" w:type="dxa"/>
            </w:tcMar>
          </w:tcPr>
          <w:p w14:paraId="4A170193" w14:textId="1E8AA924" w:rsidR="00DD46E2" w:rsidRPr="00DD46E2" w:rsidRDefault="00DD46E2" w:rsidP="00DD46E2">
            <w:pPr>
              <w:pStyle w:val="CaseNo"/>
              <w:rPr>
                <w:rFonts w:ascii="Times New Roman" w:hAnsi="Times New Roman" w:cs="Times New Roman"/>
                <w:sz w:val="26"/>
                <w:szCs w:val="26"/>
              </w:rPr>
            </w:pPr>
            <w:r w:rsidRPr="00DD46E2">
              <w:rPr>
                <w:rFonts w:ascii="Times New Roman" w:hAnsi="Times New Roman" w:cs="Times New Roman"/>
                <w:sz w:val="26"/>
                <w:szCs w:val="26"/>
              </w:rPr>
              <w:t>Supreme Court No. R-21-0008</w:t>
            </w:r>
          </w:p>
          <w:p w14:paraId="2BB2A99E" w14:textId="24BB80D1" w:rsidR="005A36BE" w:rsidRPr="00DD46E2" w:rsidRDefault="00DD46E2" w:rsidP="00DD46E2">
            <w:pPr>
              <w:pStyle w:val="CaseNo"/>
              <w:rPr>
                <w:rFonts w:ascii="Times New Roman" w:hAnsi="Times New Roman" w:cs="Times New Roman"/>
                <w:b/>
                <w:bCs/>
                <w:sz w:val="26"/>
                <w:szCs w:val="26"/>
              </w:rPr>
            </w:pPr>
            <w:r w:rsidRPr="00DD46E2">
              <w:rPr>
                <w:rFonts w:ascii="Times New Roman" w:hAnsi="Times New Roman" w:cs="Times New Roman"/>
                <w:b/>
                <w:bCs/>
                <w:sz w:val="26"/>
                <w:szCs w:val="26"/>
              </w:rPr>
              <w:t>COMMENTS IN SUPPORT OF</w:t>
            </w:r>
            <w:r w:rsidRPr="00DD46E2">
              <w:rPr>
                <w:rFonts w:ascii="Times New Roman" w:hAnsi="Times New Roman" w:cs="Times New Roman"/>
                <w:b/>
                <w:bCs/>
                <w:sz w:val="26"/>
                <w:szCs w:val="26"/>
              </w:rPr>
              <w:t xml:space="preserve"> </w:t>
            </w:r>
            <w:r w:rsidRPr="00DD46E2">
              <w:rPr>
                <w:rFonts w:ascii="Times New Roman" w:hAnsi="Times New Roman" w:cs="Times New Roman"/>
                <w:b/>
                <w:bCs/>
                <w:sz w:val="26"/>
                <w:szCs w:val="26"/>
              </w:rPr>
              <w:t>PETITION TO AMEND THE RULES</w:t>
            </w:r>
            <w:r w:rsidRPr="00DD46E2">
              <w:rPr>
                <w:rFonts w:ascii="Times New Roman" w:hAnsi="Times New Roman" w:cs="Times New Roman"/>
                <w:b/>
                <w:bCs/>
                <w:sz w:val="26"/>
                <w:szCs w:val="26"/>
              </w:rPr>
              <w:t xml:space="preserve"> </w:t>
            </w:r>
            <w:r w:rsidRPr="00DD46E2">
              <w:rPr>
                <w:rFonts w:ascii="Times New Roman" w:hAnsi="Times New Roman" w:cs="Times New Roman"/>
                <w:b/>
                <w:bCs/>
                <w:sz w:val="26"/>
                <w:szCs w:val="26"/>
              </w:rPr>
              <w:t>OF THE SUPREME COURT OF</w:t>
            </w:r>
            <w:r w:rsidRPr="00DD46E2">
              <w:rPr>
                <w:rFonts w:ascii="Times New Roman" w:hAnsi="Times New Roman" w:cs="Times New Roman"/>
                <w:b/>
                <w:bCs/>
                <w:sz w:val="26"/>
                <w:szCs w:val="26"/>
              </w:rPr>
              <w:t xml:space="preserve"> </w:t>
            </w:r>
            <w:r w:rsidRPr="00DD46E2">
              <w:rPr>
                <w:rFonts w:ascii="Times New Roman" w:hAnsi="Times New Roman" w:cs="Times New Roman"/>
                <w:b/>
                <w:bCs/>
                <w:sz w:val="26"/>
                <w:szCs w:val="26"/>
              </w:rPr>
              <w:t>ARIZONA TO ADOPT RULE 24</w:t>
            </w:r>
            <w:r w:rsidR="00F74963">
              <w:rPr>
                <w:rFonts w:ascii="Times New Roman" w:hAnsi="Times New Roman" w:cs="Times New Roman"/>
                <w:b/>
                <w:bCs/>
                <w:sz w:val="26"/>
                <w:szCs w:val="26"/>
              </w:rPr>
              <w:t>,</w:t>
            </w:r>
            <w:r w:rsidRPr="00DD46E2">
              <w:rPr>
                <w:rFonts w:ascii="Times New Roman" w:hAnsi="Times New Roman" w:cs="Times New Roman"/>
                <w:b/>
                <w:bCs/>
                <w:sz w:val="26"/>
                <w:szCs w:val="26"/>
              </w:rPr>
              <w:t xml:space="preserve"> JURY SELECTION</w:t>
            </w:r>
          </w:p>
        </w:tc>
      </w:tr>
    </w:tbl>
    <w:p w14:paraId="236DEF87" w14:textId="351134C4" w:rsidR="00F150AC" w:rsidRPr="00F150AC" w:rsidRDefault="001462A3" w:rsidP="0076523D">
      <w:pPr>
        <w:pStyle w:val="CourtName"/>
        <w:spacing w:line="480" w:lineRule="exact"/>
        <w:ind w:right="90" w:firstLine="720"/>
        <w:jc w:val="both"/>
        <w:rPr>
          <w:rFonts w:ascii="Times New Roman" w:hAnsi="Times New Roman" w:cs="Times New Roman"/>
          <w:bCs/>
          <w:caps w:val="0"/>
        </w:rPr>
      </w:pPr>
      <w:r w:rsidRPr="001462A3">
        <w:rPr>
          <w:rFonts w:ascii="Times New Roman" w:hAnsi="Times New Roman" w:cs="Times New Roman"/>
          <w:bCs/>
          <w:caps w:val="0"/>
        </w:rPr>
        <w:t xml:space="preserve">Pursuant to Rule 28 of the Rules of the Supreme Court, </w:t>
      </w:r>
      <w:r>
        <w:rPr>
          <w:rFonts w:ascii="Times New Roman" w:hAnsi="Times New Roman" w:cs="Times New Roman"/>
          <w:bCs/>
          <w:caps w:val="0"/>
        </w:rPr>
        <w:t>the Arizona Center for Disability Law (“ACDL”)</w:t>
      </w:r>
      <w:r w:rsidRPr="001462A3">
        <w:rPr>
          <w:rFonts w:ascii="Times New Roman" w:hAnsi="Times New Roman" w:cs="Times New Roman"/>
          <w:bCs/>
          <w:caps w:val="0"/>
        </w:rPr>
        <w:t xml:space="preserve"> </w:t>
      </w:r>
      <w:r w:rsidR="00F150AC">
        <w:rPr>
          <w:rFonts w:ascii="Times New Roman" w:hAnsi="Times New Roman" w:cs="Times New Roman"/>
          <w:bCs/>
          <w:caps w:val="0"/>
        </w:rPr>
        <w:t xml:space="preserve">hereby </w:t>
      </w:r>
      <w:r w:rsidRPr="001462A3">
        <w:rPr>
          <w:rFonts w:ascii="Times New Roman" w:hAnsi="Times New Roman" w:cs="Times New Roman"/>
          <w:bCs/>
          <w:caps w:val="0"/>
        </w:rPr>
        <w:t>submit</w:t>
      </w:r>
      <w:r>
        <w:rPr>
          <w:rFonts w:ascii="Times New Roman" w:hAnsi="Times New Roman" w:cs="Times New Roman"/>
          <w:bCs/>
          <w:caps w:val="0"/>
        </w:rPr>
        <w:t>s</w:t>
      </w:r>
      <w:r w:rsidRPr="001462A3">
        <w:rPr>
          <w:rFonts w:ascii="Times New Roman" w:hAnsi="Times New Roman" w:cs="Times New Roman"/>
          <w:bCs/>
          <w:caps w:val="0"/>
        </w:rPr>
        <w:t xml:space="preserve"> these</w:t>
      </w:r>
      <w:r>
        <w:rPr>
          <w:rFonts w:ascii="Times New Roman" w:hAnsi="Times New Roman" w:cs="Times New Roman"/>
          <w:bCs/>
          <w:caps w:val="0"/>
        </w:rPr>
        <w:t xml:space="preserve"> </w:t>
      </w:r>
      <w:r w:rsidRPr="001462A3">
        <w:rPr>
          <w:rFonts w:ascii="Times New Roman" w:hAnsi="Times New Roman" w:cs="Times New Roman"/>
          <w:bCs/>
          <w:caps w:val="0"/>
        </w:rPr>
        <w:t xml:space="preserve">comments in support of </w:t>
      </w:r>
      <w:r w:rsidRPr="00F150AC">
        <w:rPr>
          <w:rFonts w:ascii="Times New Roman" w:hAnsi="Times New Roman" w:cs="Times New Roman"/>
          <w:bCs/>
          <w:i/>
          <w:iCs/>
          <w:caps w:val="0"/>
        </w:rPr>
        <w:t>the Petition to Amend the Rules of The Supreme Court of</w:t>
      </w:r>
      <w:r w:rsidR="00F150AC" w:rsidRPr="00F150AC">
        <w:rPr>
          <w:rFonts w:ascii="Times New Roman" w:hAnsi="Times New Roman" w:cs="Times New Roman"/>
          <w:bCs/>
          <w:i/>
          <w:iCs/>
          <w:caps w:val="0"/>
        </w:rPr>
        <w:t xml:space="preserve"> </w:t>
      </w:r>
      <w:r w:rsidRPr="00F150AC">
        <w:rPr>
          <w:rFonts w:ascii="Times New Roman" w:hAnsi="Times New Roman" w:cs="Times New Roman"/>
          <w:bCs/>
          <w:i/>
          <w:iCs/>
          <w:caps w:val="0"/>
        </w:rPr>
        <w:t>Arizona to Adopt Rule 24 – Jury Selection</w:t>
      </w:r>
      <w:r w:rsidR="00F150AC">
        <w:rPr>
          <w:rFonts w:ascii="Times New Roman" w:hAnsi="Times New Roman" w:cs="Times New Roman"/>
          <w:bCs/>
          <w:i/>
          <w:iCs/>
          <w:caps w:val="0"/>
        </w:rPr>
        <w:t xml:space="preserve"> </w:t>
      </w:r>
      <w:r w:rsidR="00F150AC">
        <w:rPr>
          <w:rFonts w:ascii="Times New Roman" w:hAnsi="Times New Roman" w:cs="Times New Roman"/>
          <w:bCs/>
          <w:caps w:val="0"/>
        </w:rPr>
        <w:t xml:space="preserve">as </w:t>
      </w:r>
      <w:r w:rsidRPr="001462A3">
        <w:rPr>
          <w:rFonts w:ascii="Times New Roman" w:hAnsi="Times New Roman" w:cs="Times New Roman"/>
          <w:bCs/>
          <w:caps w:val="0"/>
        </w:rPr>
        <w:t>filed by the State Bar’s Civil</w:t>
      </w:r>
      <w:r w:rsidR="00F150AC">
        <w:rPr>
          <w:rFonts w:ascii="Times New Roman" w:hAnsi="Times New Roman" w:cs="Times New Roman"/>
          <w:bCs/>
          <w:caps w:val="0"/>
        </w:rPr>
        <w:t xml:space="preserve"> </w:t>
      </w:r>
      <w:r w:rsidRPr="001462A3">
        <w:rPr>
          <w:rFonts w:ascii="Times New Roman" w:hAnsi="Times New Roman" w:cs="Times New Roman"/>
          <w:bCs/>
          <w:caps w:val="0"/>
        </w:rPr>
        <w:t xml:space="preserve">and Criminal Practice and Procedure Committees’ Batson </w:t>
      </w:r>
      <w:r w:rsidRPr="00F150AC">
        <w:rPr>
          <w:rFonts w:ascii="Times New Roman" w:hAnsi="Times New Roman" w:cs="Times New Roman"/>
          <w:bCs/>
          <w:caps w:val="0"/>
        </w:rPr>
        <w:t>Working Group</w:t>
      </w:r>
      <w:r w:rsidR="00F150AC" w:rsidRPr="00F150AC">
        <w:rPr>
          <w:rFonts w:ascii="Times New Roman" w:hAnsi="Times New Roman" w:cs="Times New Roman"/>
          <w:bCs/>
          <w:caps w:val="0"/>
        </w:rPr>
        <w:t xml:space="preserve"> </w:t>
      </w:r>
      <w:r w:rsidR="00F150AC" w:rsidRPr="00F150AC">
        <w:rPr>
          <w:rFonts w:ascii="Times New Roman" w:hAnsi="Times New Roman" w:cs="Times New Roman"/>
          <w:bCs/>
          <w:caps w:val="0"/>
        </w:rPr>
        <w:t>(the “Petition”)</w:t>
      </w:r>
      <w:r w:rsidR="00F150AC" w:rsidRPr="00F150AC">
        <w:rPr>
          <w:rFonts w:ascii="Times New Roman" w:hAnsi="Times New Roman" w:cs="Times New Roman"/>
          <w:bCs/>
          <w:caps w:val="0"/>
        </w:rPr>
        <w:t>. ACDL supports the Petition in its entirety and submits these comments for consideration.</w:t>
      </w:r>
    </w:p>
    <w:p w14:paraId="08F834E0" w14:textId="38B8ED38" w:rsidR="00F150AC" w:rsidRPr="00F150AC" w:rsidRDefault="00F150AC" w:rsidP="0076523D">
      <w:pPr>
        <w:pStyle w:val="CourtName"/>
        <w:numPr>
          <w:ilvl w:val="0"/>
          <w:numId w:val="2"/>
        </w:numPr>
        <w:spacing w:line="480" w:lineRule="exact"/>
        <w:ind w:right="90"/>
        <w:jc w:val="both"/>
        <w:rPr>
          <w:rFonts w:ascii="Times New Roman" w:hAnsi="Times New Roman" w:cs="Times New Roman"/>
          <w:b/>
          <w:caps w:val="0"/>
        </w:rPr>
      </w:pPr>
      <w:r w:rsidRPr="00F150AC">
        <w:rPr>
          <w:rFonts w:ascii="Times New Roman" w:hAnsi="Times New Roman" w:cs="Times New Roman"/>
          <w:b/>
          <w:caps w:val="0"/>
        </w:rPr>
        <w:t>INTRODUCTION</w:t>
      </w:r>
      <w:r w:rsidR="006D73C2">
        <w:rPr>
          <w:rFonts w:ascii="Times New Roman" w:hAnsi="Times New Roman" w:cs="Times New Roman"/>
          <w:b/>
          <w:caps w:val="0"/>
        </w:rPr>
        <w:t xml:space="preserve"> AND STATEMENT OF INTEREST</w:t>
      </w:r>
      <w:r w:rsidRPr="00F150AC">
        <w:rPr>
          <w:rFonts w:ascii="Times New Roman" w:hAnsi="Times New Roman" w:cs="Times New Roman"/>
          <w:b/>
          <w:caps w:val="0"/>
        </w:rPr>
        <w:t xml:space="preserve">. </w:t>
      </w:r>
    </w:p>
    <w:p w14:paraId="06108079" w14:textId="4ED2C502" w:rsidR="006D73C2" w:rsidRDefault="006D73C2" w:rsidP="0076523D">
      <w:pPr>
        <w:spacing w:line="480" w:lineRule="exact"/>
        <w:ind w:right="90" w:firstLine="720"/>
        <w:jc w:val="both"/>
        <w:rPr>
          <w:rFonts w:ascii="Times New Roman" w:hAnsi="Times New Roman" w:cs="Times New Roman"/>
          <w:sz w:val="26"/>
          <w:szCs w:val="26"/>
        </w:rPr>
      </w:pPr>
      <w:r>
        <w:rPr>
          <w:rFonts w:ascii="Times New Roman" w:hAnsi="Times New Roman" w:cs="Times New Roman"/>
          <w:sz w:val="26"/>
          <w:szCs w:val="26"/>
        </w:rPr>
        <w:t xml:space="preserve">The ACDL </w:t>
      </w:r>
      <w:r w:rsidRPr="006D73C2">
        <w:rPr>
          <w:rFonts w:ascii="Times New Roman" w:hAnsi="Times New Roman" w:cs="Times New Roman"/>
          <w:sz w:val="26"/>
          <w:szCs w:val="26"/>
        </w:rPr>
        <w:t xml:space="preserve">is a </w:t>
      </w:r>
      <w:r w:rsidR="003362AB">
        <w:rPr>
          <w:rFonts w:ascii="Times New Roman" w:hAnsi="Times New Roman" w:cs="Times New Roman"/>
          <w:sz w:val="26"/>
          <w:szCs w:val="26"/>
        </w:rPr>
        <w:t>non</w:t>
      </w:r>
      <w:r w:rsidR="003362AB" w:rsidRPr="006D73C2">
        <w:rPr>
          <w:rFonts w:ascii="Times New Roman" w:hAnsi="Times New Roman" w:cs="Times New Roman"/>
          <w:sz w:val="26"/>
          <w:szCs w:val="26"/>
        </w:rPr>
        <w:t>-profit</w:t>
      </w:r>
      <w:r w:rsidRPr="006D73C2">
        <w:rPr>
          <w:rFonts w:ascii="Times New Roman" w:hAnsi="Times New Roman" w:cs="Times New Roman"/>
          <w:sz w:val="26"/>
          <w:szCs w:val="26"/>
        </w:rPr>
        <w:t xml:space="preserve"> public interest law firm, dedicated to protecting the rights of individuals with a wide range of physical, mental, psychiatric, sensory and cognitive disabilities.</w:t>
      </w:r>
      <w:r w:rsidRPr="006D73C2">
        <w:t xml:space="preserve"> </w:t>
      </w:r>
      <w:r w:rsidRPr="006D73C2">
        <w:rPr>
          <w:rFonts w:ascii="Times New Roman" w:hAnsi="Times New Roman" w:cs="Times New Roman"/>
          <w:sz w:val="26"/>
          <w:szCs w:val="26"/>
        </w:rPr>
        <w:t>As part of the nationwide protection and advocacy (</w:t>
      </w:r>
      <w:r w:rsidR="003362AB">
        <w:rPr>
          <w:rFonts w:ascii="Times New Roman" w:hAnsi="Times New Roman" w:cs="Times New Roman"/>
          <w:sz w:val="26"/>
          <w:szCs w:val="26"/>
        </w:rPr>
        <w:t>“</w:t>
      </w:r>
      <w:r w:rsidRPr="006D73C2">
        <w:rPr>
          <w:rFonts w:ascii="Times New Roman" w:hAnsi="Times New Roman" w:cs="Times New Roman"/>
          <w:sz w:val="26"/>
          <w:szCs w:val="26"/>
        </w:rPr>
        <w:t>P&amp;A</w:t>
      </w:r>
      <w:r w:rsidR="003362AB">
        <w:rPr>
          <w:rFonts w:ascii="Times New Roman" w:hAnsi="Times New Roman" w:cs="Times New Roman"/>
          <w:sz w:val="26"/>
          <w:szCs w:val="26"/>
        </w:rPr>
        <w:t>”</w:t>
      </w:r>
      <w:r w:rsidRPr="006D73C2">
        <w:rPr>
          <w:rFonts w:ascii="Times New Roman" w:hAnsi="Times New Roman" w:cs="Times New Roman"/>
          <w:sz w:val="26"/>
          <w:szCs w:val="26"/>
        </w:rPr>
        <w:t>) system, the ACDL provides free legal services, under several major incentives</w:t>
      </w:r>
      <w:r>
        <w:rPr>
          <w:rFonts w:ascii="Times New Roman" w:hAnsi="Times New Roman" w:cs="Times New Roman"/>
          <w:sz w:val="26"/>
          <w:szCs w:val="26"/>
        </w:rPr>
        <w:t xml:space="preserve">, including but not limited to: </w:t>
      </w:r>
      <w:r w:rsidRPr="006D73C2">
        <w:rPr>
          <w:rFonts w:ascii="Times New Roman" w:hAnsi="Times New Roman" w:cs="Times New Roman"/>
          <w:sz w:val="26"/>
          <w:szCs w:val="26"/>
        </w:rPr>
        <w:t>Protection &amp; Advocacy for Individuals with Mental Illness (</w:t>
      </w:r>
      <w:r>
        <w:rPr>
          <w:rFonts w:ascii="Times New Roman" w:hAnsi="Times New Roman" w:cs="Times New Roman"/>
          <w:sz w:val="26"/>
          <w:szCs w:val="26"/>
        </w:rPr>
        <w:t xml:space="preserve">“PAIMI”), </w:t>
      </w:r>
      <w:r w:rsidRPr="006D73C2">
        <w:rPr>
          <w:rFonts w:ascii="Times New Roman" w:hAnsi="Times New Roman" w:cs="Times New Roman"/>
          <w:sz w:val="26"/>
          <w:szCs w:val="26"/>
        </w:rPr>
        <w:lastRenderedPageBreak/>
        <w:t>Protection &amp; Advocacy for Individuals with Developmental Disabilities (</w:t>
      </w:r>
      <w:r>
        <w:rPr>
          <w:rFonts w:ascii="Times New Roman" w:hAnsi="Times New Roman" w:cs="Times New Roman"/>
          <w:sz w:val="26"/>
          <w:szCs w:val="26"/>
        </w:rPr>
        <w:t>“</w:t>
      </w:r>
      <w:r w:rsidRPr="006D73C2">
        <w:rPr>
          <w:rFonts w:ascii="Times New Roman" w:hAnsi="Times New Roman" w:cs="Times New Roman"/>
          <w:sz w:val="26"/>
          <w:szCs w:val="26"/>
        </w:rPr>
        <w:t>PADD</w:t>
      </w:r>
      <w:r>
        <w:rPr>
          <w:rFonts w:ascii="Times New Roman" w:hAnsi="Times New Roman" w:cs="Times New Roman"/>
          <w:sz w:val="26"/>
          <w:szCs w:val="26"/>
        </w:rPr>
        <w:t>”</w:t>
      </w:r>
      <w:r w:rsidRPr="006D73C2">
        <w:rPr>
          <w:rFonts w:ascii="Times New Roman" w:hAnsi="Times New Roman" w:cs="Times New Roman"/>
          <w:sz w:val="26"/>
          <w:szCs w:val="26"/>
        </w:rPr>
        <w:t>)</w:t>
      </w:r>
      <w:r>
        <w:rPr>
          <w:rFonts w:ascii="Times New Roman" w:hAnsi="Times New Roman" w:cs="Times New Roman"/>
          <w:sz w:val="26"/>
          <w:szCs w:val="26"/>
        </w:rPr>
        <w:t xml:space="preserve">, and </w:t>
      </w:r>
      <w:r w:rsidRPr="006D73C2">
        <w:rPr>
          <w:rFonts w:ascii="Times New Roman" w:hAnsi="Times New Roman" w:cs="Times New Roman"/>
          <w:sz w:val="26"/>
          <w:szCs w:val="26"/>
        </w:rPr>
        <w:t>Protection &amp; Advocacy of Individual Rights (</w:t>
      </w:r>
      <w:r>
        <w:rPr>
          <w:rFonts w:ascii="Times New Roman" w:hAnsi="Times New Roman" w:cs="Times New Roman"/>
          <w:sz w:val="26"/>
          <w:szCs w:val="26"/>
        </w:rPr>
        <w:t>“</w:t>
      </w:r>
      <w:r w:rsidRPr="006D73C2">
        <w:rPr>
          <w:rFonts w:ascii="Times New Roman" w:hAnsi="Times New Roman" w:cs="Times New Roman"/>
          <w:sz w:val="26"/>
          <w:szCs w:val="26"/>
        </w:rPr>
        <w:t>PAIR</w:t>
      </w:r>
      <w:r>
        <w:rPr>
          <w:rFonts w:ascii="Times New Roman" w:hAnsi="Times New Roman" w:cs="Times New Roman"/>
          <w:sz w:val="26"/>
          <w:szCs w:val="26"/>
        </w:rPr>
        <w:t>”</w:t>
      </w:r>
      <w:r w:rsidRPr="006D73C2">
        <w:rPr>
          <w:rFonts w:ascii="Times New Roman" w:hAnsi="Times New Roman" w:cs="Times New Roman"/>
          <w:sz w:val="26"/>
          <w:szCs w:val="26"/>
        </w:rPr>
        <w:t>)</w:t>
      </w:r>
      <w:r>
        <w:rPr>
          <w:rFonts w:ascii="Times New Roman" w:hAnsi="Times New Roman" w:cs="Times New Roman"/>
          <w:sz w:val="26"/>
          <w:szCs w:val="26"/>
        </w:rPr>
        <w:t xml:space="preserve">. </w:t>
      </w:r>
      <w:r w:rsidR="003362AB">
        <w:rPr>
          <w:rFonts w:ascii="Times New Roman" w:hAnsi="Times New Roman" w:cs="Times New Roman"/>
          <w:sz w:val="26"/>
          <w:szCs w:val="26"/>
        </w:rPr>
        <w:t xml:space="preserve">Through these initiatives, </w:t>
      </w:r>
      <w:r w:rsidRPr="006D73C2">
        <w:rPr>
          <w:rFonts w:ascii="Times New Roman" w:hAnsi="Times New Roman" w:cs="Times New Roman"/>
          <w:sz w:val="26"/>
          <w:szCs w:val="26"/>
        </w:rPr>
        <w:t>A</w:t>
      </w:r>
      <w:r>
        <w:rPr>
          <w:rFonts w:ascii="Times New Roman" w:hAnsi="Times New Roman" w:cs="Times New Roman"/>
          <w:sz w:val="26"/>
          <w:szCs w:val="26"/>
        </w:rPr>
        <w:t>CDL aims to achieve a</w:t>
      </w:r>
      <w:r w:rsidRPr="006D73C2">
        <w:rPr>
          <w:rFonts w:ascii="Times New Roman" w:hAnsi="Times New Roman" w:cs="Times New Roman"/>
          <w:sz w:val="26"/>
          <w:szCs w:val="26"/>
        </w:rPr>
        <w:t xml:space="preserve"> society where people with disabilities enjoy full acceptance without barriers.</w:t>
      </w:r>
    </w:p>
    <w:p w14:paraId="45EB05E5" w14:textId="2C18B73E" w:rsidR="001462A3" w:rsidRPr="001462A3" w:rsidRDefault="001462A3" w:rsidP="0076523D">
      <w:pPr>
        <w:spacing w:line="480" w:lineRule="exact"/>
        <w:ind w:right="90" w:firstLine="720"/>
        <w:jc w:val="both"/>
        <w:rPr>
          <w:rFonts w:ascii="Times New Roman" w:hAnsi="Times New Roman" w:cs="Times New Roman"/>
          <w:sz w:val="26"/>
          <w:szCs w:val="26"/>
        </w:rPr>
      </w:pPr>
      <w:r w:rsidRPr="00F150AC">
        <w:rPr>
          <w:rFonts w:ascii="Times New Roman" w:hAnsi="Times New Roman" w:cs="Times New Roman"/>
          <w:sz w:val="26"/>
          <w:szCs w:val="26"/>
        </w:rPr>
        <w:t xml:space="preserve">According to the </w:t>
      </w:r>
      <w:hyperlink r:id="rId7" w:history="1">
        <w:r w:rsidRPr="00F150AC">
          <w:rPr>
            <w:rStyle w:val="Hyperlink"/>
            <w:rFonts w:ascii="Times New Roman" w:hAnsi="Times New Roman" w:cs="Times New Roman"/>
            <w:sz w:val="26"/>
            <w:szCs w:val="26"/>
          </w:rPr>
          <w:t>CDC</w:t>
        </w:r>
      </w:hyperlink>
      <w:r w:rsidRPr="00F150AC">
        <w:rPr>
          <w:rFonts w:ascii="Times New Roman" w:hAnsi="Times New Roman" w:cs="Times New Roman"/>
          <w:sz w:val="26"/>
          <w:szCs w:val="26"/>
        </w:rPr>
        <w:t>, one in four adults in the United States has a disability. Numbers are higher in places like Arizona where a significant portion of the population is age 65 or older.</w:t>
      </w:r>
      <w:r w:rsidRPr="001462A3">
        <w:rPr>
          <w:rFonts w:ascii="Times New Roman" w:hAnsi="Times New Roman" w:cs="Times New Roman"/>
          <w:sz w:val="26"/>
          <w:szCs w:val="26"/>
        </w:rPr>
        <w:t xml:space="preserve"> </w:t>
      </w:r>
    </w:p>
    <w:p w14:paraId="586AAC22" w14:textId="1275B339" w:rsidR="001462A3" w:rsidRDefault="00F150AC" w:rsidP="0076523D">
      <w:pPr>
        <w:spacing w:line="480" w:lineRule="exact"/>
        <w:ind w:right="90" w:firstLine="720"/>
        <w:jc w:val="both"/>
        <w:rPr>
          <w:rFonts w:ascii="Times New Roman" w:hAnsi="Times New Roman" w:cs="Times New Roman"/>
          <w:sz w:val="26"/>
          <w:szCs w:val="26"/>
        </w:rPr>
      </w:pPr>
      <w:r>
        <w:rPr>
          <w:rFonts w:ascii="Times New Roman" w:hAnsi="Times New Roman" w:cs="Times New Roman"/>
          <w:sz w:val="26"/>
          <w:szCs w:val="26"/>
        </w:rPr>
        <w:t>Though a minority of</w:t>
      </w:r>
      <w:r w:rsidR="001462A3" w:rsidRPr="001462A3">
        <w:rPr>
          <w:rFonts w:ascii="Times New Roman" w:hAnsi="Times New Roman" w:cs="Times New Roman"/>
          <w:sz w:val="26"/>
          <w:szCs w:val="26"/>
        </w:rPr>
        <w:t xml:space="preserve"> Arizonans with disabilities </w:t>
      </w:r>
      <w:r>
        <w:rPr>
          <w:rFonts w:ascii="Times New Roman" w:hAnsi="Times New Roman" w:cs="Times New Roman"/>
          <w:sz w:val="26"/>
          <w:szCs w:val="26"/>
        </w:rPr>
        <w:t>may be</w:t>
      </w:r>
      <w:r w:rsidR="001462A3" w:rsidRPr="001462A3">
        <w:rPr>
          <w:rFonts w:ascii="Times New Roman" w:hAnsi="Times New Roman" w:cs="Times New Roman"/>
          <w:sz w:val="26"/>
          <w:szCs w:val="26"/>
        </w:rPr>
        <w:t xml:space="preserve"> unable or unwilling to serve on a jury because of their disabilities</w:t>
      </w:r>
      <w:r>
        <w:rPr>
          <w:rFonts w:ascii="Times New Roman" w:hAnsi="Times New Roman" w:cs="Times New Roman"/>
          <w:sz w:val="26"/>
          <w:szCs w:val="26"/>
        </w:rPr>
        <w:t xml:space="preserve">, </w:t>
      </w:r>
      <w:hyperlink r:id="rId8" w:history="1">
        <w:r>
          <w:rPr>
            <w:rStyle w:val="Hyperlink"/>
            <w:rFonts w:ascii="Times New Roman" w:hAnsi="Times New Roman" w:cs="Times New Roman"/>
            <w:sz w:val="26"/>
            <w:szCs w:val="26"/>
          </w:rPr>
          <w:t>Ariz. Rev. Stat</w:t>
        </w:r>
        <w:r w:rsidR="001462A3" w:rsidRPr="001462A3">
          <w:rPr>
            <w:rStyle w:val="Hyperlink"/>
            <w:rFonts w:ascii="Times New Roman" w:hAnsi="Times New Roman" w:cs="Times New Roman"/>
            <w:sz w:val="26"/>
            <w:szCs w:val="26"/>
          </w:rPr>
          <w:t>. § 21-202</w:t>
        </w:r>
      </w:hyperlink>
      <w:r w:rsidR="001462A3" w:rsidRPr="001462A3">
        <w:rPr>
          <w:rFonts w:ascii="Times New Roman" w:hAnsi="Times New Roman" w:cs="Times New Roman"/>
          <w:sz w:val="26"/>
          <w:szCs w:val="26"/>
        </w:rPr>
        <w:t xml:space="preserve">, </w:t>
      </w:r>
      <w:r>
        <w:rPr>
          <w:rFonts w:ascii="Times New Roman" w:hAnsi="Times New Roman" w:cs="Times New Roman"/>
          <w:sz w:val="26"/>
          <w:szCs w:val="26"/>
        </w:rPr>
        <w:t>excuses any Arizonans with a disability who are incapable of service</w:t>
      </w:r>
      <w:r w:rsidR="001462A3" w:rsidRPr="001462A3">
        <w:rPr>
          <w:rFonts w:ascii="Times New Roman" w:hAnsi="Times New Roman" w:cs="Times New Roman"/>
          <w:sz w:val="26"/>
          <w:szCs w:val="26"/>
        </w:rPr>
        <w:t xml:space="preserve">. </w:t>
      </w:r>
      <w:r>
        <w:rPr>
          <w:rFonts w:ascii="Times New Roman" w:hAnsi="Times New Roman" w:cs="Times New Roman"/>
          <w:sz w:val="26"/>
          <w:szCs w:val="26"/>
        </w:rPr>
        <w:t xml:space="preserve">For the majority of Arizonans with disabilities who are fully capable of participating on a jury, </w:t>
      </w:r>
      <w:r w:rsidR="001462A3" w:rsidRPr="001462A3">
        <w:rPr>
          <w:rFonts w:ascii="Times New Roman" w:hAnsi="Times New Roman" w:cs="Times New Roman"/>
          <w:sz w:val="26"/>
          <w:szCs w:val="26"/>
        </w:rPr>
        <w:t>allowing preemptory strikes on the basis of disability only serves to perpetuate discrimination and stigma against the disability community.</w:t>
      </w:r>
      <w:r w:rsidR="006D73C2">
        <w:rPr>
          <w:rFonts w:ascii="Times New Roman" w:hAnsi="Times New Roman" w:cs="Times New Roman"/>
          <w:sz w:val="26"/>
          <w:szCs w:val="26"/>
        </w:rPr>
        <w:t xml:space="preserve"> It also precludes Arizonans with disabilities from participating in a central tenet of the American experience.</w:t>
      </w:r>
      <w:r w:rsidR="001462A3" w:rsidRPr="001462A3">
        <w:rPr>
          <w:rFonts w:ascii="Times New Roman" w:hAnsi="Times New Roman" w:cs="Times New Roman"/>
          <w:sz w:val="26"/>
          <w:szCs w:val="26"/>
        </w:rPr>
        <w:t xml:space="preserve"> In addition, permitting such challenges prevents defendants with disabilities from being represented by a jury of their peers. </w:t>
      </w:r>
    </w:p>
    <w:p w14:paraId="48694A81" w14:textId="4F10A3EA" w:rsidR="006D73C2" w:rsidRPr="006D73C2" w:rsidRDefault="003362AB" w:rsidP="0076523D">
      <w:pPr>
        <w:pStyle w:val="CourtName"/>
        <w:numPr>
          <w:ilvl w:val="0"/>
          <w:numId w:val="2"/>
        </w:numPr>
        <w:spacing w:line="480" w:lineRule="exact"/>
        <w:ind w:right="90"/>
        <w:jc w:val="both"/>
        <w:rPr>
          <w:rFonts w:ascii="Times New Roman" w:hAnsi="Times New Roman" w:cs="Times New Roman"/>
          <w:b/>
          <w:caps w:val="0"/>
        </w:rPr>
      </w:pPr>
      <w:r>
        <w:rPr>
          <w:rFonts w:ascii="Times New Roman" w:hAnsi="Times New Roman" w:cs="Times New Roman"/>
          <w:b/>
          <w:caps w:val="0"/>
        </w:rPr>
        <w:t>COMMENTS ON DISABILITY AND JURY SERVICE</w:t>
      </w:r>
      <w:r w:rsidR="006D73C2" w:rsidRPr="00F150AC">
        <w:rPr>
          <w:rFonts w:ascii="Times New Roman" w:hAnsi="Times New Roman" w:cs="Times New Roman"/>
          <w:b/>
          <w:caps w:val="0"/>
        </w:rPr>
        <w:t xml:space="preserve">. </w:t>
      </w:r>
    </w:p>
    <w:p w14:paraId="1D5307AE" w14:textId="77777777" w:rsidR="001462A3" w:rsidRPr="001462A3" w:rsidRDefault="001462A3" w:rsidP="0076523D">
      <w:pPr>
        <w:spacing w:line="240" w:lineRule="auto"/>
        <w:ind w:right="90" w:firstLine="0"/>
        <w:jc w:val="both"/>
        <w:rPr>
          <w:rFonts w:ascii="Times New Roman" w:hAnsi="Times New Roman" w:cs="Times New Roman"/>
          <w:b/>
          <w:sz w:val="26"/>
          <w:szCs w:val="26"/>
        </w:rPr>
      </w:pPr>
    </w:p>
    <w:p w14:paraId="46444FDE" w14:textId="7A330ACE" w:rsidR="001462A3" w:rsidRPr="00F150AC" w:rsidRDefault="001462A3" w:rsidP="0076523D">
      <w:pPr>
        <w:pStyle w:val="ListParagraph"/>
        <w:numPr>
          <w:ilvl w:val="0"/>
          <w:numId w:val="1"/>
        </w:numPr>
        <w:spacing w:after="0" w:line="240" w:lineRule="auto"/>
        <w:ind w:left="1440" w:right="90" w:hanging="540"/>
        <w:jc w:val="both"/>
        <w:rPr>
          <w:rFonts w:ascii="Times New Roman" w:hAnsi="Times New Roman" w:cs="Times New Roman"/>
          <w:b/>
          <w:sz w:val="26"/>
          <w:szCs w:val="26"/>
        </w:rPr>
      </w:pPr>
      <w:r w:rsidRPr="001462A3">
        <w:rPr>
          <w:rFonts w:ascii="Times New Roman" w:hAnsi="Times New Roman" w:cs="Times New Roman"/>
          <w:b/>
          <w:sz w:val="26"/>
          <w:szCs w:val="26"/>
        </w:rPr>
        <w:t>An Arizonan with a disability who is capable of jury service should not be the subject of a preemptory strike on the basis of his or her disability.</w:t>
      </w:r>
    </w:p>
    <w:p w14:paraId="45B8C799" w14:textId="77777777" w:rsidR="001462A3" w:rsidRPr="001462A3" w:rsidRDefault="001462A3" w:rsidP="0076523D">
      <w:pPr>
        <w:spacing w:line="480" w:lineRule="exact"/>
        <w:ind w:right="90" w:firstLine="720"/>
        <w:jc w:val="both"/>
        <w:rPr>
          <w:rFonts w:ascii="Times New Roman" w:hAnsi="Times New Roman" w:cs="Times New Roman"/>
          <w:sz w:val="26"/>
          <w:szCs w:val="26"/>
        </w:rPr>
      </w:pPr>
      <w:r w:rsidRPr="001462A3">
        <w:rPr>
          <w:rFonts w:ascii="Times New Roman" w:hAnsi="Times New Roman" w:cs="Times New Roman"/>
          <w:sz w:val="26"/>
          <w:szCs w:val="26"/>
        </w:rPr>
        <w:t xml:space="preserve">Arizonans with disabilities who are capable of jury service, either with or without a reasonable accommodation, should not be discriminated against on the basis of their disability. And Arizona defendants with disabilities are entitled to be represented by a jury of their peers, a significant portion of whom have a disability. </w:t>
      </w:r>
    </w:p>
    <w:p w14:paraId="678EB773" w14:textId="77777777" w:rsidR="001462A3" w:rsidRPr="001462A3" w:rsidRDefault="001462A3" w:rsidP="0076523D">
      <w:pPr>
        <w:spacing w:line="480" w:lineRule="exact"/>
        <w:ind w:right="90" w:firstLine="720"/>
        <w:jc w:val="both"/>
        <w:rPr>
          <w:rFonts w:ascii="Times New Roman" w:hAnsi="Times New Roman" w:cs="Times New Roman"/>
          <w:sz w:val="26"/>
          <w:szCs w:val="26"/>
        </w:rPr>
      </w:pPr>
      <w:r w:rsidRPr="001462A3">
        <w:rPr>
          <w:rFonts w:ascii="Times New Roman" w:hAnsi="Times New Roman" w:cs="Times New Roman"/>
          <w:sz w:val="26"/>
          <w:szCs w:val="26"/>
        </w:rPr>
        <w:t>The Supreme Court of the United States has ruled that states have a duty under Title II of the ADA to ensure that individuals with disabilities have access to the courts</w:t>
      </w:r>
      <w:r w:rsidRPr="001462A3">
        <w:rPr>
          <w:rFonts w:ascii="Times New Roman" w:hAnsi="Times New Roman" w:cs="Times New Roman"/>
          <w:i/>
          <w:sz w:val="26"/>
          <w:szCs w:val="26"/>
        </w:rPr>
        <w:t xml:space="preserve">. See </w:t>
      </w:r>
      <w:hyperlink r:id="rId9" w:history="1">
        <w:r w:rsidRPr="001462A3">
          <w:rPr>
            <w:rStyle w:val="Hyperlink"/>
            <w:rFonts w:ascii="Times New Roman" w:hAnsi="Times New Roman" w:cs="Times New Roman"/>
            <w:i/>
            <w:sz w:val="26"/>
            <w:szCs w:val="26"/>
          </w:rPr>
          <w:t>Tennessee v. Lane</w:t>
        </w:r>
        <w:r w:rsidRPr="001462A3">
          <w:rPr>
            <w:rStyle w:val="Hyperlink"/>
            <w:rFonts w:ascii="Times New Roman" w:hAnsi="Times New Roman" w:cs="Times New Roman"/>
            <w:sz w:val="26"/>
            <w:szCs w:val="26"/>
          </w:rPr>
          <w:t>, 541 U.S. 509, 532 (2004)</w:t>
        </w:r>
      </w:hyperlink>
      <w:r w:rsidRPr="001462A3">
        <w:rPr>
          <w:rFonts w:ascii="Times New Roman" w:hAnsi="Times New Roman" w:cs="Times New Roman"/>
          <w:sz w:val="26"/>
          <w:szCs w:val="26"/>
        </w:rPr>
        <w:t xml:space="preserve">. While state courts are not obligated to </w:t>
      </w:r>
      <w:r w:rsidRPr="001462A3">
        <w:rPr>
          <w:rFonts w:ascii="Times New Roman" w:hAnsi="Times New Roman" w:cs="Times New Roman"/>
          <w:sz w:val="26"/>
          <w:szCs w:val="26"/>
        </w:rPr>
        <w:lastRenderedPageBreak/>
        <w:t xml:space="preserve">“employ any and all means to make judicial services accessible to persons with disabilities,” they must “take reasonable measures to remove . . . barriers to accessibility” and provide “all individuals a meaningful opportunity to be heard in its courts.” </w:t>
      </w:r>
      <w:r w:rsidRPr="001462A3">
        <w:rPr>
          <w:rFonts w:ascii="Times New Roman" w:hAnsi="Times New Roman" w:cs="Times New Roman"/>
          <w:i/>
          <w:sz w:val="26"/>
          <w:szCs w:val="26"/>
        </w:rPr>
        <w:t>Id</w:t>
      </w:r>
      <w:r w:rsidRPr="001462A3">
        <w:rPr>
          <w:rFonts w:ascii="Times New Roman" w:hAnsi="Times New Roman" w:cs="Times New Roman"/>
          <w:sz w:val="26"/>
          <w:szCs w:val="26"/>
        </w:rPr>
        <w:t xml:space="preserve">. at 531-32. </w:t>
      </w:r>
      <w:r w:rsidRPr="001462A3">
        <w:rPr>
          <w:rFonts w:ascii="Times New Roman" w:hAnsi="Times New Roman" w:cs="Times New Roman"/>
          <w:i/>
          <w:sz w:val="26"/>
          <w:szCs w:val="26"/>
        </w:rPr>
        <w:t>See also</w:t>
      </w:r>
      <w:r w:rsidRPr="001462A3">
        <w:rPr>
          <w:rFonts w:ascii="Times New Roman" w:hAnsi="Times New Roman" w:cs="Times New Roman"/>
          <w:sz w:val="26"/>
          <w:szCs w:val="26"/>
        </w:rPr>
        <w:t xml:space="preserve"> </w:t>
      </w:r>
      <w:hyperlink r:id="rId10" w:history="1">
        <w:r w:rsidRPr="001462A3">
          <w:rPr>
            <w:rStyle w:val="Hyperlink"/>
            <w:rFonts w:ascii="Times New Roman" w:hAnsi="Times New Roman" w:cs="Times New Roman"/>
            <w:sz w:val="26"/>
            <w:szCs w:val="26"/>
          </w:rPr>
          <w:t>28 C.F.R. § 35.130(b)(7)(</w:t>
        </w:r>
        <w:proofErr w:type="spellStart"/>
        <w:r w:rsidRPr="001462A3">
          <w:rPr>
            <w:rStyle w:val="Hyperlink"/>
            <w:rFonts w:ascii="Times New Roman" w:hAnsi="Times New Roman" w:cs="Times New Roman"/>
            <w:sz w:val="26"/>
            <w:szCs w:val="26"/>
          </w:rPr>
          <w:t>i</w:t>
        </w:r>
        <w:proofErr w:type="spellEnd"/>
        <w:r w:rsidRPr="001462A3">
          <w:rPr>
            <w:rStyle w:val="Hyperlink"/>
            <w:rFonts w:ascii="Times New Roman" w:hAnsi="Times New Roman" w:cs="Times New Roman"/>
            <w:sz w:val="26"/>
            <w:szCs w:val="26"/>
          </w:rPr>
          <w:t>)</w:t>
        </w:r>
      </w:hyperlink>
      <w:r w:rsidRPr="001462A3">
        <w:rPr>
          <w:rFonts w:ascii="Times New Roman" w:hAnsi="Times New Roman" w:cs="Times New Roman"/>
          <w:sz w:val="26"/>
          <w:szCs w:val="26"/>
        </w:rPr>
        <w:t>.</w:t>
      </w:r>
    </w:p>
    <w:p w14:paraId="23B1940B" w14:textId="77777777" w:rsidR="001462A3" w:rsidRPr="001462A3" w:rsidRDefault="001462A3" w:rsidP="0076523D">
      <w:pPr>
        <w:spacing w:line="480" w:lineRule="exact"/>
        <w:ind w:right="90" w:firstLine="720"/>
        <w:jc w:val="both"/>
        <w:rPr>
          <w:rFonts w:ascii="Times New Roman" w:hAnsi="Times New Roman" w:cs="Times New Roman"/>
          <w:sz w:val="26"/>
          <w:szCs w:val="26"/>
        </w:rPr>
      </w:pPr>
      <w:r w:rsidRPr="001462A3">
        <w:rPr>
          <w:rFonts w:ascii="Times New Roman" w:hAnsi="Times New Roman" w:cs="Times New Roman"/>
          <w:sz w:val="26"/>
          <w:szCs w:val="26"/>
        </w:rPr>
        <w:t xml:space="preserve">“There is a stigma to exclusion because jury service is, ‘with the exception of voting, ... [the] most significant opportunity to participate in the democratic process.’” </w:t>
      </w:r>
      <w:hyperlink r:id="rId11" w:history="1">
        <w:r w:rsidRPr="001462A3">
          <w:rPr>
            <w:rStyle w:val="Hyperlink"/>
            <w:rFonts w:ascii="Times New Roman" w:hAnsi="Times New Roman" w:cs="Times New Roman"/>
            <w:sz w:val="26"/>
            <w:szCs w:val="26"/>
          </w:rPr>
          <w:t>Mary A. Lynch, The Application of Equal Protection to Prospective Jurors with Disabilities: Will Batson Cover Disability-Based Strikes?, 57 Alb. L. Rev. 289, 355–56 (1993)</w:t>
        </w:r>
      </w:hyperlink>
      <w:r w:rsidRPr="001462A3">
        <w:rPr>
          <w:rFonts w:ascii="Times New Roman" w:hAnsi="Times New Roman" w:cs="Times New Roman"/>
          <w:sz w:val="26"/>
          <w:szCs w:val="26"/>
        </w:rPr>
        <w:t xml:space="preserve"> (citing </w:t>
      </w:r>
      <w:hyperlink r:id="rId12" w:history="1">
        <w:r w:rsidRPr="001462A3">
          <w:rPr>
            <w:rStyle w:val="Hyperlink"/>
            <w:rFonts w:ascii="Times New Roman" w:hAnsi="Times New Roman" w:cs="Times New Roman"/>
            <w:i/>
            <w:sz w:val="26"/>
            <w:szCs w:val="26"/>
          </w:rPr>
          <w:t>Powers v. Ohio</w:t>
        </w:r>
        <w:r w:rsidRPr="001462A3">
          <w:rPr>
            <w:rStyle w:val="Hyperlink"/>
            <w:rFonts w:ascii="Times New Roman" w:hAnsi="Times New Roman" w:cs="Times New Roman"/>
            <w:sz w:val="26"/>
            <w:szCs w:val="26"/>
          </w:rPr>
          <w:t>, 499 U.S. 400, 407 (1991)</w:t>
        </w:r>
      </w:hyperlink>
      <w:r w:rsidRPr="001462A3">
        <w:rPr>
          <w:rFonts w:ascii="Times New Roman" w:hAnsi="Times New Roman" w:cs="Times New Roman"/>
          <w:sz w:val="26"/>
          <w:szCs w:val="26"/>
        </w:rPr>
        <w:t xml:space="preserve">). </w:t>
      </w:r>
    </w:p>
    <w:p w14:paraId="2052F911" w14:textId="77777777" w:rsidR="001462A3" w:rsidRPr="001462A3" w:rsidRDefault="001462A3" w:rsidP="0076523D">
      <w:pPr>
        <w:spacing w:line="240" w:lineRule="auto"/>
        <w:ind w:right="90" w:firstLine="0"/>
        <w:jc w:val="both"/>
        <w:rPr>
          <w:rFonts w:ascii="Times New Roman" w:hAnsi="Times New Roman" w:cs="Times New Roman"/>
          <w:sz w:val="26"/>
          <w:szCs w:val="26"/>
        </w:rPr>
      </w:pPr>
    </w:p>
    <w:p w14:paraId="1F995E99" w14:textId="4D04B926" w:rsidR="001462A3" w:rsidRPr="001462A3" w:rsidRDefault="001462A3" w:rsidP="0076523D">
      <w:pPr>
        <w:pStyle w:val="ListParagraph"/>
        <w:numPr>
          <w:ilvl w:val="0"/>
          <w:numId w:val="1"/>
        </w:numPr>
        <w:spacing w:after="0" w:line="240" w:lineRule="auto"/>
        <w:ind w:left="1440" w:right="90" w:hanging="540"/>
        <w:jc w:val="both"/>
        <w:rPr>
          <w:rFonts w:ascii="Times New Roman" w:hAnsi="Times New Roman" w:cs="Times New Roman"/>
          <w:b/>
          <w:sz w:val="26"/>
          <w:szCs w:val="26"/>
        </w:rPr>
      </w:pPr>
      <w:r w:rsidRPr="001462A3">
        <w:rPr>
          <w:rFonts w:ascii="Times New Roman" w:hAnsi="Times New Roman" w:cs="Times New Roman"/>
          <w:b/>
          <w:sz w:val="26"/>
          <w:szCs w:val="26"/>
        </w:rPr>
        <w:t xml:space="preserve">There is a long history of discrimination against potential jurors with disabilities. </w:t>
      </w:r>
    </w:p>
    <w:p w14:paraId="59CED1D9" w14:textId="77777777" w:rsidR="001462A3" w:rsidRPr="001462A3" w:rsidRDefault="001462A3" w:rsidP="0076523D">
      <w:pPr>
        <w:spacing w:line="480" w:lineRule="exact"/>
        <w:ind w:right="90" w:firstLine="720"/>
        <w:jc w:val="both"/>
        <w:rPr>
          <w:rFonts w:ascii="Times New Roman" w:hAnsi="Times New Roman" w:cs="Times New Roman"/>
          <w:sz w:val="26"/>
          <w:szCs w:val="26"/>
        </w:rPr>
      </w:pPr>
      <w:r w:rsidRPr="001462A3">
        <w:rPr>
          <w:rFonts w:ascii="Times New Roman" w:hAnsi="Times New Roman" w:cs="Times New Roman"/>
          <w:sz w:val="26"/>
          <w:szCs w:val="26"/>
        </w:rPr>
        <w:t xml:space="preserve">In concluding that discrimination against jurors with disabilities, including by use of preemptory strikes, “is wrong and violates judiciary policy, the New Jersey Law against Discrimination (NJLAD) and the American with Disabilities Act (ADA),” the New Jersey Judiciary’s </w:t>
      </w:r>
      <w:hyperlink r:id="rId13" w:history="1">
        <w:r w:rsidRPr="001462A3">
          <w:rPr>
            <w:rStyle w:val="Hyperlink"/>
            <w:rFonts w:ascii="Times New Roman" w:hAnsi="Times New Roman" w:cs="Times New Roman"/>
            <w:sz w:val="26"/>
            <w:szCs w:val="26"/>
          </w:rPr>
          <w:t>Bench Manual on Jury Selection</w:t>
        </w:r>
      </w:hyperlink>
      <w:r w:rsidRPr="001462A3">
        <w:rPr>
          <w:rFonts w:ascii="Times New Roman" w:hAnsi="Times New Roman" w:cs="Times New Roman"/>
          <w:sz w:val="26"/>
          <w:szCs w:val="26"/>
        </w:rPr>
        <w:t xml:space="preserve"> summarized the history of disability discrimination in jury selection as follows:</w:t>
      </w:r>
    </w:p>
    <w:p w14:paraId="6E55497F" w14:textId="77777777" w:rsidR="001462A3" w:rsidRPr="001462A3" w:rsidRDefault="001462A3" w:rsidP="0076523D">
      <w:pPr>
        <w:spacing w:line="240" w:lineRule="auto"/>
        <w:ind w:right="90"/>
        <w:jc w:val="both"/>
        <w:rPr>
          <w:rFonts w:ascii="Times New Roman" w:hAnsi="Times New Roman" w:cs="Times New Roman"/>
          <w:sz w:val="26"/>
          <w:szCs w:val="26"/>
        </w:rPr>
      </w:pPr>
    </w:p>
    <w:p w14:paraId="4304F42B" w14:textId="493FBE65" w:rsidR="001462A3" w:rsidRPr="001462A3" w:rsidRDefault="001462A3" w:rsidP="0076523D">
      <w:pPr>
        <w:spacing w:line="240" w:lineRule="auto"/>
        <w:ind w:left="720" w:right="90" w:firstLine="0"/>
        <w:jc w:val="both"/>
        <w:rPr>
          <w:rFonts w:ascii="Times New Roman" w:hAnsi="Times New Roman" w:cs="Times New Roman"/>
          <w:sz w:val="26"/>
          <w:szCs w:val="26"/>
        </w:rPr>
      </w:pPr>
      <w:r w:rsidRPr="001462A3">
        <w:rPr>
          <w:rFonts w:ascii="Times New Roman" w:hAnsi="Times New Roman" w:cs="Times New Roman"/>
          <w:sz w:val="26"/>
          <w:szCs w:val="26"/>
        </w:rPr>
        <w:t xml:space="preserve">Individuals with disabilities have historically been denied the opportunity and right to serve as jurors. This denial has taken many forms. Until recently, many state statutes excluded people with any disabilities. Often statutes used offensive and exclusionary phrases requiring jurors to possess their “natural faculties” and disqualifying persons “afflicted with permanent disease or physical weakness” or “afflicted with a bodily infirmity amounting to a disability.” In addition, the requirement that qualified jurors must be able to read, understand, or speak English historically was interpreted to exclude individuals with disabilities. Those who got as far as the jury pool were often eliminated by challenges “for cause.” Moreover, these same individuals faced practical barriers: inaccessible courtrooms, difficulty in obtaining transportation to court, and a lack of reasonable accommodations, such as sign interpreters or assistive communication devices. People with disabilities also encountered “humanistic” barriers such as the court officer who “takes care” of the juror with a disability by trying to help the juror avoid jury duty or the paternalistic judge who patronizes the juror. </w:t>
      </w:r>
    </w:p>
    <w:p w14:paraId="3017DFF4" w14:textId="77777777" w:rsidR="001462A3" w:rsidRPr="001462A3" w:rsidRDefault="001462A3" w:rsidP="0076523D">
      <w:pPr>
        <w:spacing w:line="480" w:lineRule="exact"/>
        <w:ind w:right="90" w:firstLine="720"/>
        <w:jc w:val="both"/>
        <w:rPr>
          <w:rFonts w:ascii="Times New Roman" w:hAnsi="Times New Roman" w:cs="Times New Roman"/>
          <w:sz w:val="26"/>
          <w:szCs w:val="26"/>
        </w:rPr>
      </w:pPr>
      <w:r w:rsidRPr="001462A3">
        <w:rPr>
          <w:rFonts w:ascii="Times New Roman" w:hAnsi="Times New Roman" w:cs="Times New Roman"/>
          <w:sz w:val="26"/>
          <w:szCs w:val="26"/>
        </w:rPr>
        <w:lastRenderedPageBreak/>
        <w:t xml:space="preserve">Arkansas became the last state to repeal prohibitions against jurors with disabilities in 1994, when it struck language disqualifying people whose “senses of seeing or hearing are substantially impaired.” </w:t>
      </w:r>
      <w:hyperlink r:id="rId14" w:history="1">
        <w:r w:rsidRPr="001462A3">
          <w:rPr>
            <w:rStyle w:val="Hyperlink"/>
            <w:rFonts w:ascii="Times New Roman" w:hAnsi="Times New Roman" w:cs="Times New Roman"/>
            <w:sz w:val="26"/>
            <w:szCs w:val="26"/>
          </w:rPr>
          <w:t>Kristi Bleyer, Kathryn Shane McCarty, and Erica Wood, Access to Jury Service for Persons with Disabilities, 19 Mental &amp; Physical Disability L. Rep. 249, 250 (1995)</w:t>
        </w:r>
      </w:hyperlink>
      <w:r w:rsidRPr="001462A3">
        <w:rPr>
          <w:rFonts w:ascii="Times New Roman" w:hAnsi="Times New Roman" w:cs="Times New Roman"/>
          <w:sz w:val="26"/>
          <w:szCs w:val="26"/>
        </w:rPr>
        <w:t xml:space="preserve">. The year before, a federal court overturned an official policy in Washington D.C. Superior Court excluding all blind people from jury service. </w:t>
      </w:r>
      <w:hyperlink r:id="rId15" w:history="1">
        <w:r w:rsidRPr="001462A3">
          <w:rPr>
            <w:rStyle w:val="Hyperlink"/>
            <w:rFonts w:ascii="Times New Roman" w:hAnsi="Times New Roman" w:cs="Times New Roman"/>
            <w:sz w:val="26"/>
            <w:szCs w:val="26"/>
          </w:rPr>
          <w:t>Galloway v. Superior Court of D.C., 816 F. Supp. 12, 20 (D.D.C. 1993)</w:t>
        </w:r>
      </w:hyperlink>
      <w:r w:rsidRPr="001462A3">
        <w:rPr>
          <w:rFonts w:ascii="Times New Roman" w:hAnsi="Times New Roman" w:cs="Times New Roman"/>
          <w:sz w:val="26"/>
          <w:szCs w:val="26"/>
        </w:rPr>
        <w:t>.</w:t>
      </w:r>
    </w:p>
    <w:p w14:paraId="1EF74E50" w14:textId="77777777" w:rsidR="001462A3" w:rsidRPr="001462A3" w:rsidRDefault="001462A3" w:rsidP="0076523D">
      <w:pPr>
        <w:spacing w:line="240" w:lineRule="auto"/>
        <w:ind w:right="90"/>
        <w:jc w:val="both"/>
        <w:rPr>
          <w:rFonts w:ascii="Times New Roman" w:hAnsi="Times New Roman" w:cs="Times New Roman"/>
          <w:sz w:val="26"/>
          <w:szCs w:val="26"/>
        </w:rPr>
      </w:pPr>
    </w:p>
    <w:p w14:paraId="35463EEF" w14:textId="0AD84FDF" w:rsidR="001462A3" w:rsidRPr="001462A3" w:rsidRDefault="006D73C2" w:rsidP="0076523D">
      <w:pPr>
        <w:pStyle w:val="ListParagraph"/>
        <w:numPr>
          <w:ilvl w:val="0"/>
          <w:numId w:val="1"/>
        </w:numPr>
        <w:spacing w:after="0" w:line="240" w:lineRule="auto"/>
        <w:ind w:left="1440" w:right="90" w:hanging="540"/>
        <w:jc w:val="both"/>
        <w:rPr>
          <w:rFonts w:ascii="Times New Roman" w:hAnsi="Times New Roman" w:cs="Times New Roman"/>
          <w:b/>
          <w:sz w:val="26"/>
          <w:szCs w:val="26"/>
        </w:rPr>
      </w:pPr>
      <w:r>
        <w:rPr>
          <w:rFonts w:ascii="Times New Roman" w:hAnsi="Times New Roman" w:cs="Times New Roman"/>
          <w:b/>
          <w:sz w:val="26"/>
          <w:szCs w:val="26"/>
        </w:rPr>
        <w:t xml:space="preserve">Courts routinely hold that </w:t>
      </w:r>
      <w:r w:rsidR="001462A3" w:rsidRPr="001462A3">
        <w:rPr>
          <w:rFonts w:ascii="Times New Roman" w:hAnsi="Times New Roman" w:cs="Times New Roman"/>
          <w:b/>
          <w:sz w:val="26"/>
          <w:szCs w:val="26"/>
        </w:rPr>
        <w:t xml:space="preserve">jurors with disabilities are capable of jury service. </w:t>
      </w:r>
    </w:p>
    <w:p w14:paraId="62E922A6" w14:textId="2A7489A1" w:rsidR="001462A3" w:rsidRPr="001462A3" w:rsidRDefault="004F19B4" w:rsidP="0076523D">
      <w:pPr>
        <w:spacing w:line="480" w:lineRule="exact"/>
        <w:ind w:right="90" w:firstLine="720"/>
        <w:jc w:val="both"/>
        <w:rPr>
          <w:rFonts w:ascii="Times New Roman" w:hAnsi="Times New Roman" w:cs="Times New Roman"/>
          <w:sz w:val="26"/>
          <w:szCs w:val="26"/>
        </w:rPr>
      </w:pPr>
      <w:r>
        <w:rPr>
          <w:rFonts w:ascii="Times New Roman" w:hAnsi="Times New Roman" w:cs="Times New Roman"/>
          <w:sz w:val="26"/>
          <w:szCs w:val="26"/>
        </w:rPr>
        <w:t>Last year</w:t>
      </w:r>
      <w:r w:rsidR="001462A3" w:rsidRPr="001462A3">
        <w:rPr>
          <w:rFonts w:ascii="Times New Roman" w:hAnsi="Times New Roman" w:cs="Times New Roman"/>
          <w:sz w:val="26"/>
          <w:szCs w:val="26"/>
        </w:rPr>
        <w:t xml:space="preserve">, the Massachusetts Supreme Judicial Court held that a trial court had not erred in seating a blind juror in an assault and battery case. </w:t>
      </w:r>
      <w:hyperlink r:id="rId16" w:history="1">
        <w:proofErr w:type="spellStart"/>
        <w:r w:rsidR="001462A3" w:rsidRPr="001462A3">
          <w:rPr>
            <w:rStyle w:val="Hyperlink"/>
            <w:rFonts w:ascii="Times New Roman" w:hAnsi="Times New Roman" w:cs="Times New Roman"/>
            <w:i/>
            <w:sz w:val="26"/>
            <w:szCs w:val="26"/>
          </w:rPr>
          <w:t>Cmmw</w:t>
        </w:r>
        <w:proofErr w:type="spellEnd"/>
        <w:r w:rsidR="001462A3" w:rsidRPr="001462A3">
          <w:rPr>
            <w:rStyle w:val="Hyperlink"/>
            <w:rFonts w:ascii="Times New Roman" w:hAnsi="Times New Roman" w:cs="Times New Roman"/>
            <w:i/>
            <w:sz w:val="26"/>
            <w:szCs w:val="26"/>
          </w:rPr>
          <w:t>. v. Heywood</w:t>
        </w:r>
        <w:r w:rsidR="001462A3" w:rsidRPr="001462A3">
          <w:rPr>
            <w:rStyle w:val="Hyperlink"/>
            <w:rFonts w:ascii="Times New Roman" w:hAnsi="Times New Roman" w:cs="Times New Roman"/>
            <w:sz w:val="26"/>
            <w:szCs w:val="26"/>
          </w:rPr>
          <w:t>, 138 N.E.3d 1020, 1022 (Mass. 2020)</w:t>
        </w:r>
      </w:hyperlink>
      <w:r w:rsidR="001462A3" w:rsidRPr="001462A3">
        <w:rPr>
          <w:rFonts w:ascii="Times New Roman" w:hAnsi="Times New Roman" w:cs="Times New Roman"/>
          <w:sz w:val="26"/>
          <w:szCs w:val="26"/>
        </w:rPr>
        <w:t xml:space="preserve">. In so finding, the Court reasoned that Massachusetts’ statutory protection against discrimination in jury selection “dovetails well with a defendant's right to a fair jury of his or her peers, an essential component of which is being able to select jurors from a fair and representative cross section of the community.” </w:t>
      </w:r>
      <w:r w:rsidR="001462A3" w:rsidRPr="001462A3">
        <w:rPr>
          <w:rFonts w:ascii="Times New Roman" w:hAnsi="Times New Roman" w:cs="Times New Roman"/>
          <w:i/>
          <w:sz w:val="26"/>
          <w:szCs w:val="26"/>
        </w:rPr>
        <w:t xml:space="preserve">Id. </w:t>
      </w:r>
      <w:r w:rsidR="001462A3" w:rsidRPr="001462A3">
        <w:rPr>
          <w:rFonts w:ascii="Times New Roman" w:hAnsi="Times New Roman" w:cs="Times New Roman"/>
          <w:sz w:val="26"/>
          <w:szCs w:val="26"/>
        </w:rPr>
        <w:t xml:space="preserve">at 1024. In their </w:t>
      </w:r>
      <w:hyperlink r:id="rId17" w:anchor=":~:text=FEDERAL%20AND%20STATE%20DISCRIMINATION%20LAW,have%20access%20to%20the%20courts." w:history="1">
        <w:r w:rsidR="001462A3" w:rsidRPr="001462A3">
          <w:rPr>
            <w:rStyle w:val="Hyperlink"/>
            <w:rFonts w:ascii="Times New Roman" w:hAnsi="Times New Roman" w:cs="Times New Roman"/>
            <w:sz w:val="26"/>
            <w:szCs w:val="26"/>
          </w:rPr>
          <w:t>amicus curiae brief</w:t>
        </w:r>
      </w:hyperlink>
      <w:r w:rsidR="001462A3" w:rsidRPr="001462A3">
        <w:rPr>
          <w:rFonts w:ascii="Times New Roman" w:hAnsi="Times New Roman" w:cs="Times New Roman"/>
          <w:sz w:val="26"/>
          <w:szCs w:val="26"/>
        </w:rPr>
        <w:t>, the National Federation for the Blind had argued that the defendant’s rights were not in conflict with a blind juror’s right to serve on a jury:</w:t>
      </w:r>
    </w:p>
    <w:p w14:paraId="24E3339E" w14:textId="77777777" w:rsidR="001462A3" w:rsidRPr="001462A3" w:rsidRDefault="001462A3" w:rsidP="0076523D">
      <w:pPr>
        <w:spacing w:line="240" w:lineRule="auto"/>
        <w:ind w:right="90"/>
        <w:jc w:val="both"/>
        <w:rPr>
          <w:rFonts w:ascii="Times New Roman" w:hAnsi="Times New Roman" w:cs="Times New Roman"/>
          <w:sz w:val="26"/>
          <w:szCs w:val="26"/>
        </w:rPr>
      </w:pPr>
    </w:p>
    <w:p w14:paraId="1E1F6901" w14:textId="79190A1E" w:rsidR="001462A3" w:rsidRDefault="001462A3" w:rsidP="0076523D">
      <w:pPr>
        <w:spacing w:line="240" w:lineRule="auto"/>
        <w:ind w:left="720" w:right="90" w:firstLine="0"/>
        <w:jc w:val="both"/>
        <w:rPr>
          <w:rFonts w:ascii="Times New Roman" w:hAnsi="Times New Roman" w:cs="Times New Roman"/>
          <w:sz w:val="26"/>
          <w:szCs w:val="26"/>
        </w:rPr>
      </w:pPr>
      <w:r w:rsidRPr="001462A3">
        <w:rPr>
          <w:rFonts w:ascii="Times New Roman" w:hAnsi="Times New Roman" w:cs="Times New Roman"/>
          <w:sz w:val="26"/>
          <w:szCs w:val="26"/>
        </w:rPr>
        <w:t>Framing these cases as a balancing act between defendants’ rights to a fair trial and blind Americans’ rights to serve on a jury can create a false dichotomy. By its very design, jury deliberation is meant to be a collaborative process in which individuals with varying perspectives reach a fair outcome based on their collective wisdom. With assistive technology or, in many cases, without, blind people are fully capable of serving on juries without depriving criminal defendants of their fundamental right to a fair trial.</w:t>
      </w:r>
    </w:p>
    <w:p w14:paraId="50A60693" w14:textId="77777777" w:rsidR="006D73C2" w:rsidRPr="001462A3" w:rsidRDefault="006D73C2" w:rsidP="0076523D">
      <w:pPr>
        <w:spacing w:line="240" w:lineRule="auto"/>
        <w:ind w:left="720" w:right="90" w:firstLine="0"/>
        <w:jc w:val="both"/>
        <w:rPr>
          <w:rFonts w:ascii="Times New Roman" w:hAnsi="Times New Roman" w:cs="Times New Roman"/>
          <w:sz w:val="26"/>
          <w:szCs w:val="26"/>
        </w:rPr>
      </w:pPr>
    </w:p>
    <w:p w14:paraId="360C1D7C" w14:textId="77777777" w:rsidR="001462A3" w:rsidRPr="001462A3" w:rsidRDefault="001462A3" w:rsidP="0076523D">
      <w:pPr>
        <w:spacing w:line="480" w:lineRule="exact"/>
        <w:ind w:right="90" w:firstLine="720"/>
        <w:jc w:val="both"/>
        <w:rPr>
          <w:rFonts w:ascii="Times New Roman" w:hAnsi="Times New Roman" w:cs="Times New Roman"/>
          <w:sz w:val="26"/>
          <w:szCs w:val="26"/>
        </w:rPr>
      </w:pPr>
      <w:r w:rsidRPr="001462A3">
        <w:rPr>
          <w:rFonts w:ascii="Times New Roman" w:hAnsi="Times New Roman" w:cs="Times New Roman"/>
          <w:sz w:val="26"/>
          <w:szCs w:val="26"/>
        </w:rPr>
        <w:t xml:space="preserve">Similarly, in </w:t>
      </w:r>
      <w:hyperlink r:id="rId18" w:history="1">
        <w:r w:rsidRPr="001462A3">
          <w:rPr>
            <w:rStyle w:val="Hyperlink"/>
            <w:rFonts w:ascii="Times New Roman" w:hAnsi="Times New Roman" w:cs="Times New Roman"/>
            <w:i/>
            <w:sz w:val="26"/>
            <w:szCs w:val="26"/>
          </w:rPr>
          <w:t>People v. Caldwell</w:t>
        </w:r>
      </w:hyperlink>
      <w:r w:rsidRPr="001462A3">
        <w:rPr>
          <w:rFonts w:ascii="Times New Roman" w:hAnsi="Times New Roman" w:cs="Times New Roman"/>
          <w:sz w:val="26"/>
          <w:szCs w:val="26"/>
        </w:rPr>
        <w:t xml:space="preserve">, a New York court found that that a blind juror was not automatically unqualified for jury service and the court had obligation to reasonably accommodate her pursuant to the ADA she could follow case with only minimal assistance. </w:t>
      </w:r>
      <w:hyperlink r:id="rId19" w:history="1">
        <w:r w:rsidRPr="001462A3">
          <w:rPr>
            <w:rStyle w:val="Hyperlink"/>
            <w:rFonts w:ascii="Times New Roman" w:hAnsi="Times New Roman" w:cs="Times New Roman"/>
            <w:sz w:val="26"/>
            <w:szCs w:val="26"/>
          </w:rPr>
          <w:t>603 N.Y.S.2d 713, 714 (N.Y. Crim. Ct. 1993)</w:t>
        </w:r>
      </w:hyperlink>
      <w:r w:rsidRPr="001462A3">
        <w:rPr>
          <w:rFonts w:ascii="Times New Roman" w:hAnsi="Times New Roman" w:cs="Times New Roman"/>
          <w:sz w:val="26"/>
          <w:szCs w:val="26"/>
        </w:rPr>
        <w:t>.</w:t>
      </w:r>
    </w:p>
    <w:p w14:paraId="27A250BC" w14:textId="02E042A8" w:rsidR="001462A3" w:rsidRPr="001462A3" w:rsidRDefault="001462A3" w:rsidP="0076523D">
      <w:pPr>
        <w:spacing w:line="480" w:lineRule="exact"/>
        <w:ind w:right="90" w:firstLine="720"/>
        <w:jc w:val="both"/>
        <w:rPr>
          <w:rFonts w:ascii="Times New Roman" w:hAnsi="Times New Roman" w:cs="Times New Roman"/>
          <w:sz w:val="26"/>
          <w:szCs w:val="26"/>
        </w:rPr>
      </w:pPr>
      <w:r w:rsidRPr="001462A3">
        <w:rPr>
          <w:rFonts w:ascii="Times New Roman" w:hAnsi="Times New Roman" w:cs="Times New Roman"/>
          <w:sz w:val="26"/>
          <w:szCs w:val="26"/>
        </w:rPr>
        <w:lastRenderedPageBreak/>
        <w:t xml:space="preserve">American courts have permitted deaf jurors to serve on juries for decades. </w:t>
      </w:r>
      <w:r w:rsidRPr="001462A3">
        <w:rPr>
          <w:rFonts w:ascii="Times New Roman" w:hAnsi="Times New Roman" w:cs="Times New Roman"/>
          <w:i/>
          <w:sz w:val="26"/>
          <w:szCs w:val="26"/>
        </w:rPr>
        <w:t xml:space="preserve">See e.g., </w:t>
      </w:r>
      <w:hyperlink r:id="rId20" w:history="1">
        <w:r w:rsidRPr="001462A3">
          <w:rPr>
            <w:rStyle w:val="Hyperlink"/>
            <w:rFonts w:ascii="Times New Roman" w:hAnsi="Times New Roman" w:cs="Times New Roman"/>
            <w:i/>
            <w:sz w:val="26"/>
            <w:szCs w:val="26"/>
          </w:rPr>
          <w:t>U.S. v Dempsey</w:t>
        </w:r>
        <w:r w:rsidRPr="001462A3">
          <w:rPr>
            <w:rStyle w:val="Hyperlink"/>
            <w:rFonts w:ascii="Times New Roman" w:hAnsi="Times New Roman" w:cs="Times New Roman"/>
            <w:sz w:val="26"/>
            <w:szCs w:val="26"/>
          </w:rPr>
          <w:t>, 830 F.2d 1084 (10th Cir. 1987)</w:t>
        </w:r>
      </w:hyperlink>
      <w:r w:rsidRPr="001462A3">
        <w:rPr>
          <w:rFonts w:ascii="Times New Roman" w:hAnsi="Times New Roman" w:cs="Times New Roman"/>
          <w:sz w:val="26"/>
          <w:szCs w:val="26"/>
        </w:rPr>
        <w:t xml:space="preserve">; </w:t>
      </w:r>
      <w:hyperlink r:id="rId21" w:history="1">
        <w:r w:rsidRPr="001462A3">
          <w:rPr>
            <w:rStyle w:val="Hyperlink"/>
            <w:rFonts w:ascii="Times New Roman" w:hAnsi="Times New Roman" w:cs="Times New Roman"/>
            <w:i/>
            <w:sz w:val="26"/>
            <w:szCs w:val="26"/>
          </w:rPr>
          <w:t>State v. Lee</w:t>
        </w:r>
        <w:r w:rsidRPr="001462A3">
          <w:rPr>
            <w:rStyle w:val="Hyperlink"/>
            <w:rFonts w:ascii="Times New Roman" w:hAnsi="Times New Roman" w:cs="Times New Roman"/>
            <w:sz w:val="26"/>
            <w:szCs w:val="26"/>
          </w:rPr>
          <w:t>, 1997 WL 311593 (Ohio Ct. App. 1997)</w:t>
        </w:r>
      </w:hyperlink>
      <w:r w:rsidRPr="001462A3">
        <w:rPr>
          <w:rFonts w:ascii="Times New Roman" w:hAnsi="Times New Roman" w:cs="Times New Roman"/>
          <w:sz w:val="26"/>
          <w:szCs w:val="26"/>
        </w:rPr>
        <w:t xml:space="preserve"> (affirming defendant's conviction for felonious assault and finding that the trial court did not err in empaneling a deaf juror or allowing an interpreter in the jury room during deliberations); </w:t>
      </w:r>
      <w:hyperlink r:id="rId22" w:history="1">
        <w:r w:rsidRPr="001462A3">
          <w:rPr>
            <w:rStyle w:val="Hyperlink"/>
            <w:rFonts w:ascii="Times New Roman" w:hAnsi="Times New Roman" w:cs="Times New Roman"/>
            <w:i/>
            <w:sz w:val="26"/>
            <w:szCs w:val="26"/>
          </w:rPr>
          <w:t xml:space="preserve">State v. </w:t>
        </w:r>
        <w:proofErr w:type="spellStart"/>
        <w:r w:rsidRPr="001462A3">
          <w:rPr>
            <w:rStyle w:val="Hyperlink"/>
            <w:rFonts w:ascii="Times New Roman" w:hAnsi="Times New Roman" w:cs="Times New Roman"/>
            <w:i/>
            <w:sz w:val="26"/>
            <w:szCs w:val="26"/>
          </w:rPr>
          <w:t>Marcham</w:t>
        </w:r>
        <w:proofErr w:type="spellEnd"/>
        <w:r w:rsidRPr="001462A3">
          <w:rPr>
            <w:rStyle w:val="Hyperlink"/>
            <w:rFonts w:ascii="Times New Roman" w:hAnsi="Times New Roman" w:cs="Times New Roman"/>
            <w:sz w:val="26"/>
            <w:szCs w:val="26"/>
          </w:rPr>
          <w:t>, 770 P.2d 356, 356, 358 (Ariz. Ct. App. 1988)</w:t>
        </w:r>
      </w:hyperlink>
      <w:r w:rsidRPr="001462A3">
        <w:rPr>
          <w:rFonts w:ascii="Times New Roman" w:hAnsi="Times New Roman" w:cs="Times New Roman"/>
          <w:sz w:val="26"/>
          <w:szCs w:val="26"/>
        </w:rPr>
        <w:t xml:space="preserve"> (upholding </w:t>
      </w:r>
      <w:proofErr w:type="spellStart"/>
      <w:r w:rsidRPr="001462A3">
        <w:rPr>
          <w:rFonts w:ascii="Times New Roman" w:hAnsi="Times New Roman" w:cs="Times New Roman"/>
          <w:sz w:val="26"/>
          <w:szCs w:val="26"/>
        </w:rPr>
        <w:t>Marcham's</w:t>
      </w:r>
      <w:proofErr w:type="spellEnd"/>
      <w:r w:rsidRPr="001462A3">
        <w:rPr>
          <w:rFonts w:ascii="Times New Roman" w:hAnsi="Times New Roman" w:cs="Times New Roman"/>
          <w:sz w:val="26"/>
          <w:szCs w:val="26"/>
        </w:rPr>
        <w:t xml:space="preserve"> felony conviction for aggravated assault and finding that the trial court did not err in empaneling a deaf juror where it was "obvious that an interpreter would have to be in the jury room to interpret the discussion for the deaf juror" and no objections to the interpreter being in the jury room were made at any time at the trial level).</w:t>
      </w:r>
    </w:p>
    <w:p w14:paraId="2E1FAAC9" w14:textId="7069E4FF" w:rsidR="001462A3" w:rsidRPr="001462A3" w:rsidRDefault="001462A3" w:rsidP="0076523D">
      <w:pPr>
        <w:spacing w:line="480" w:lineRule="exact"/>
        <w:ind w:right="90" w:firstLine="720"/>
        <w:jc w:val="both"/>
        <w:rPr>
          <w:rFonts w:ascii="Times New Roman" w:hAnsi="Times New Roman" w:cs="Times New Roman"/>
          <w:sz w:val="26"/>
          <w:szCs w:val="26"/>
        </w:rPr>
      </w:pPr>
      <w:r w:rsidRPr="001462A3">
        <w:rPr>
          <w:rFonts w:ascii="Times New Roman" w:hAnsi="Times New Roman" w:cs="Times New Roman"/>
          <w:sz w:val="26"/>
          <w:szCs w:val="26"/>
        </w:rPr>
        <w:t xml:space="preserve">Today, jurors with hearing impairments continue to serve on juries with the use of interpreters or other reasonable accommodations. </w:t>
      </w:r>
      <w:r w:rsidRPr="001462A3">
        <w:rPr>
          <w:rFonts w:ascii="Times New Roman" w:hAnsi="Times New Roman" w:cs="Times New Roman"/>
          <w:i/>
          <w:sz w:val="26"/>
          <w:szCs w:val="26"/>
        </w:rPr>
        <w:t xml:space="preserve">See </w:t>
      </w:r>
      <w:hyperlink r:id="rId23" w:history="1">
        <w:r w:rsidRPr="001462A3">
          <w:rPr>
            <w:rStyle w:val="Hyperlink"/>
            <w:rFonts w:ascii="Times New Roman" w:hAnsi="Times New Roman" w:cs="Times New Roman"/>
            <w:sz w:val="26"/>
            <w:szCs w:val="26"/>
          </w:rPr>
          <w:t>Anderson, Elisha, Deaf Juror Glad to do her Duty for Justice’s Sake (USA Today May 10, 2015)</w:t>
        </w:r>
      </w:hyperlink>
      <w:r w:rsidRPr="001462A3">
        <w:rPr>
          <w:rFonts w:ascii="Times New Roman" w:hAnsi="Times New Roman" w:cs="Times New Roman"/>
          <w:sz w:val="26"/>
          <w:szCs w:val="26"/>
        </w:rPr>
        <w:t>.</w:t>
      </w:r>
    </w:p>
    <w:p w14:paraId="431BB398" w14:textId="5D83569E" w:rsidR="001462A3" w:rsidRPr="001462A3" w:rsidRDefault="001462A3" w:rsidP="0076523D">
      <w:pPr>
        <w:pStyle w:val="ListParagraph"/>
        <w:numPr>
          <w:ilvl w:val="0"/>
          <w:numId w:val="1"/>
        </w:numPr>
        <w:spacing w:before="160" w:after="0" w:line="240" w:lineRule="auto"/>
        <w:ind w:left="1440" w:right="90" w:hanging="540"/>
        <w:jc w:val="both"/>
        <w:rPr>
          <w:rFonts w:ascii="Times New Roman" w:hAnsi="Times New Roman" w:cs="Times New Roman"/>
          <w:b/>
          <w:sz w:val="26"/>
          <w:szCs w:val="26"/>
        </w:rPr>
      </w:pPr>
      <w:r w:rsidRPr="001462A3">
        <w:rPr>
          <w:rFonts w:ascii="Times New Roman" w:hAnsi="Times New Roman" w:cs="Times New Roman"/>
          <w:b/>
          <w:sz w:val="26"/>
          <w:szCs w:val="26"/>
        </w:rPr>
        <w:t xml:space="preserve">Inaccessible courthouses should not excuse preemptory strikes against otherwise capable potential jurors with disabilities that effect mobility. </w:t>
      </w:r>
    </w:p>
    <w:p w14:paraId="18C594F4" w14:textId="77777777" w:rsidR="001462A3" w:rsidRPr="001462A3" w:rsidRDefault="001462A3" w:rsidP="0076523D">
      <w:pPr>
        <w:spacing w:line="480" w:lineRule="exact"/>
        <w:ind w:right="90" w:firstLine="720"/>
        <w:jc w:val="both"/>
        <w:rPr>
          <w:rFonts w:ascii="Times New Roman" w:hAnsi="Times New Roman" w:cs="Times New Roman"/>
          <w:sz w:val="26"/>
          <w:szCs w:val="26"/>
        </w:rPr>
      </w:pPr>
      <w:r w:rsidRPr="001462A3">
        <w:rPr>
          <w:rFonts w:ascii="Times New Roman" w:hAnsi="Times New Roman" w:cs="Times New Roman"/>
          <w:sz w:val="26"/>
          <w:szCs w:val="26"/>
        </w:rPr>
        <w:t xml:space="preserve">For those Arizonans with disabilities related to mobility, many Arizona courthouses have accessibility issues, including barriers related to signage, courthouse entrances, inaccessible jury boxes, and bathrooms. As a result, many people with disabilities choose not to participate in jury service, to avoid inaccessibility challenges or stigma associated with inadequate accommodations, such as being forced to use a back door to enter a courthouse, or having to sit away from fellow jurors due to an inaccessible jury box. In a 2015 white paper about New York City’s inaccessible courthouses entitled, </w:t>
      </w:r>
      <w:hyperlink r:id="rId24" w:history="1">
        <w:r w:rsidRPr="001462A3">
          <w:rPr>
            <w:rStyle w:val="Hyperlink"/>
            <w:rFonts w:ascii="Times New Roman" w:hAnsi="Times New Roman" w:cs="Times New Roman"/>
            <w:sz w:val="26"/>
            <w:szCs w:val="26"/>
          </w:rPr>
          <w:t>Ensuring Equal Access to Courthouses for People with Disabilities</w:t>
        </w:r>
      </w:hyperlink>
      <w:r w:rsidRPr="001462A3">
        <w:rPr>
          <w:rFonts w:ascii="Times New Roman" w:hAnsi="Times New Roman" w:cs="Times New Roman"/>
          <w:sz w:val="26"/>
          <w:szCs w:val="26"/>
        </w:rPr>
        <w:t>, Jean Ryan, a disabilities rights advocate explained her frustration at not being able to participate in jury service on a panel with her peers:</w:t>
      </w:r>
    </w:p>
    <w:p w14:paraId="6EF01A19" w14:textId="77777777" w:rsidR="001462A3" w:rsidRPr="001462A3" w:rsidRDefault="001462A3" w:rsidP="0076523D">
      <w:pPr>
        <w:spacing w:line="240" w:lineRule="auto"/>
        <w:ind w:right="90"/>
        <w:jc w:val="both"/>
        <w:rPr>
          <w:rFonts w:ascii="Times New Roman" w:hAnsi="Times New Roman" w:cs="Times New Roman"/>
          <w:sz w:val="26"/>
          <w:szCs w:val="26"/>
        </w:rPr>
      </w:pPr>
    </w:p>
    <w:p w14:paraId="0C261989" w14:textId="77777777" w:rsidR="001462A3" w:rsidRPr="001462A3" w:rsidRDefault="001462A3" w:rsidP="0076523D">
      <w:pPr>
        <w:spacing w:line="240" w:lineRule="auto"/>
        <w:ind w:left="720" w:right="90" w:firstLine="0"/>
        <w:jc w:val="both"/>
        <w:rPr>
          <w:rFonts w:ascii="Times New Roman" w:hAnsi="Times New Roman" w:cs="Times New Roman"/>
          <w:sz w:val="26"/>
          <w:szCs w:val="26"/>
        </w:rPr>
      </w:pPr>
      <w:r w:rsidRPr="001462A3">
        <w:rPr>
          <w:rFonts w:ascii="Times New Roman" w:hAnsi="Times New Roman" w:cs="Times New Roman"/>
          <w:sz w:val="26"/>
          <w:szCs w:val="26"/>
        </w:rPr>
        <w:t>When I called to ask about the accessible entrance, the person on the line told me “You don’t need to be on the jury because you’re disabled.” I wanted to serve as a juror…. The jury box was not accessible. I would have had to sit right out in front where the attorney addresses jurors. I didn’t want to feel removed and out in front. I wanted to be next to my fellow jurors.</w:t>
      </w:r>
    </w:p>
    <w:p w14:paraId="2CAE5857" w14:textId="77777777" w:rsidR="001462A3" w:rsidRPr="001462A3" w:rsidRDefault="001462A3" w:rsidP="0076523D">
      <w:pPr>
        <w:spacing w:line="240" w:lineRule="auto"/>
        <w:ind w:right="90"/>
        <w:jc w:val="both"/>
        <w:rPr>
          <w:rFonts w:ascii="Times New Roman" w:hAnsi="Times New Roman" w:cs="Times New Roman"/>
          <w:sz w:val="26"/>
          <w:szCs w:val="26"/>
        </w:rPr>
      </w:pPr>
    </w:p>
    <w:p w14:paraId="3BA5BD88" w14:textId="129ED2E1" w:rsidR="001462A3" w:rsidRPr="001462A3" w:rsidRDefault="001462A3" w:rsidP="0076523D">
      <w:pPr>
        <w:spacing w:line="480" w:lineRule="exact"/>
        <w:ind w:right="90" w:firstLine="720"/>
        <w:jc w:val="both"/>
        <w:rPr>
          <w:rFonts w:ascii="Times New Roman" w:hAnsi="Times New Roman" w:cs="Times New Roman"/>
          <w:sz w:val="26"/>
          <w:szCs w:val="26"/>
        </w:rPr>
      </w:pPr>
      <w:r w:rsidRPr="001462A3">
        <w:rPr>
          <w:rFonts w:ascii="Times New Roman" w:hAnsi="Times New Roman" w:cs="Times New Roman"/>
          <w:sz w:val="26"/>
          <w:szCs w:val="26"/>
        </w:rPr>
        <w:t xml:space="preserve">This, of course, is no excuse for allowing a preemptory challenge on the basis that a prospective juror has a disability that affects his or her mobility. Jury accessibility issues must be tackled on two fronts. First, we must hold our courthouses, which are often some of the oldest buildings in our communities, to a higher standard of accessibility that allows jurors with mobility issues to participate in the process with dignity. And at the same time, we must ensure that our peers with mobility issues are not stricken and excluded from our judicial process on the basis of their disability. </w:t>
      </w:r>
    </w:p>
    <w:p w14:paraId="182806FC" w14:textId="3ABE0AC8" w:rsidR="001462A3" w:rsidRPr="001462A3" w:rsidRDefault="001462A3" w:rsidP="0076523D">
      <w:pPr>
        <w:pStyle w:val="ListParagraph"/>
        <w:numPr>
          <w:ilvl w:val="0"/>
          <w:numId w:val="1"/>
        </w:numPr>
        <w:spacing w:after="0" w:line="480" w:lineRule="exact"/>
        <w:ind w:left="1440" w:right="90" w:hanging="540"/>
        <w:jc w:val="both"/>
        <w:rPr>
          <w:rFonts w:ascii="Times New Roman" w:hAnsi="Times New Roman" w:cs="Times New Roman"/>
          <w:b/>
          <w:sz w:val="26"/>
          <w:szCs w:val="26"/>
        </w:rPr>
      </w:pPr>
      <w:r w:rsidRPr="001462A3">
        <w:rPr>
          <w:rFonts w:ascii="Times New Roman" w:hAnsi="Times New Roman" w:cs="Times New Roman"/>
          <w:b/>
          <w:sz w:val="26"/>
          <w:szCs w:val="26"/>
        </w:rPr>
        <w:t xml:space="preserve">Defendants are entitled to a jury of their peers. </w:t>
      </w:r>
    </w:p>
    <w:p w14:paraId="52A0BD39" w14:textId="547BAA25" w:rsidR="001462A3" w:rsidRPr="001462A3" w:rsidRDefault="001462A3" w:rsidP="0076523D">
      <w:pPr>
        <w:spacing w:line="480" w:lineRule="exact"/>
        <w:ind w:right="90" w:firstLine="720"/>
        <w:jc w:val="both"/>
        <w:rPr>
          <w:rFonts w:ascii="Times New Roman" w:hAnsi="Times New Roman" w:cs="Times New Roman"/>
          <w:sz w:val="26"/>
          <w:szCs w:val="26"/>
        </w:rPr>
      </w:pPr>
      <w:r w:rsidRPr="001462A3">
        <w:rPr>
          <w:rFonts w:ascii="Times New Roman" w:hAnsi="Times New Roman" w:cs="Times New Roman"/>
          <w:sz w:val="26"/>
          <w:szCs w:val="26"/>
        </w:rPr>
        <w:t xml:space="preserve">People with mental </w:t>
      </w:r>
      <w:r w:rsidR="00F150AC">
        <w:rPr>
          <w:rFonts w:ascii="Times New Roman" w:hAnsi="Times New Roman" w:cs="Times New Roman"/>
          <w:sz w:val="26"/>
          <w:szCs w:val="26"/>
        </w:rPr>
        <w:t>illness or cognitive and intellectual</w:t>
      </w:r>
      <w:r w:rsidRPr="001462A3">
        <w:rPr>
          <w:rFonts w:ascii="Times New Roman" w:hAnsi="Times New Roman" w:cs="Times New Roman"/>
          <w:sz w:val="26"/>
          <w:szCs w:val="26"/>
        </w:rPr>
        <w:t xml:space="preserve"> disabilities represent a significant portion of Arizonans with disabilities. Unless they are incapable</w:t>
      </w:r>
      <w:r w:rsidR="00F150AC">
        <w:rPr>
          <w:rFonts w:ascii="Times New Roman" w:hAnsi="Times New Roman" w:cs="Times New Roman"/>
          <w:sz w:val="26"/>
          <w:szCs w:val="26"/>
        </w:rPr>
        <w:t xml:space="preserve"> of jury service</w:t>
      </w:r>
      <w:r w:rsidRPr="001462A3">
        <w:rPr>
          <w:rFonts w:ascii="Times New Roman" w:hAnsi="Times New Roman" w:cs="Times New Roman"/>
          <w:sz w:val="26"/>
          <w:szCs w:val="26"/>
        </w:rPr>
        <w:t xml:space="preserve"> pursuant to </w:t>
      </w:r>
      <w:hyperlink r:id="rId25" w:history="1">
        <w:r w:rsidRPr="001462A3">
          <w:rPr>
            <w:rStyle w:val="Hyperlink"/>
            <w:rFonts w:ascii="Times New Roman" w:hAnsi="Times New Roman" w:cs="Times New Roman"/>
            <w:sz w:val="26"/>
            <w:szCs w:val="26"/>
          </w:rPr>
          <w:t>A.R.S. § 21-202</w:t>
        </w:r>
      </w:hyperlink>
      <w:r w:rsidRPr="001462A3">
        <w:rPr>
          <w:rFonts w:ascii="Times New Roman" w:hAnsi="Times New Roman" w:cs="Times New Roman"/>
          <w:sz w:val="26"/>
          <w:szCs w:val="26"/>
        </w:rPr>
        <w:t>, it is discriminatory and wrong to strike a juror for having one of these disabilities.</w:t>
      </w:r>
    </w:p>
    <w:p w14:paraId="301D2745" w14:textId="2A1F760F" w:rsidR="001462A3" w:rsidRPr="001462A3" w:rsidRDefault="001462A3" w:rsidP="0076523D">
      <w:pPr>
        <w:spacing w:line="480" w:lineRule="exact"/>
        <w:ind w:right="90" w:firstLine="720"/>
        <w:jc w:val="both"/>
        <w:rPr>
          <w:rFonts w:ascii="Times New Roman" w:hAnsi="Times New Roman" w:cs="Times New Roman"/>
          <w:sz w:val="26"/>
          <w:szCs w:val="26"/>
        </w:rPr>
      </w:pPr>
      <w:r w:rsidRPr="001462A3">
        <w:rPr>
          <w:rFonts w:ascii="Times New Roman" w:hAnsi="Times New Roman" w:cs="Times New Roman"/>
          <w:sz w:val="26"/>
          <w:szCs w:val="26"/>
        </w:rPr>
        <w:t>Social scientists have only recently begun to examine jury biases against defendants with mental health disorders and intellectual disabilities and whether those biases result in more “guilty” verdicts in criminal cases. As one paper on jurors’ evaluation of defendants with high-functioning autism spectrum disorder summarized:</w:t>
      </w:r>
    </w:p>
    <w:p w14:paraId="69785635" w14:textId="77777777" w:rsidR="001462A3" w:rsidRPr="001462A3" w:rsidRDefault="001462A3" w:rsidP="0076523D">
      <w:pPr>
        <w:spacing w:line="240" w:lineRule="auto"/>
        <w:ind w:right="90"/>
        <w:jc w:val="both"/>
        <w:rPr>
          <w:rFonts w:ascii="Times New Roman" w:hAnsi="Times New Roman" w:cs="Times New Roman"/>
          <w:sz w:val="26"/>
          <w:szCs w:val="26"/>
        </w:rPr>
      </w:pPr>
    </w:p>
    <w:p w14:paraId="5E5F8E57" w14:textId="27B05CD2" w:rsidR="001462A3" w:rsidRPr="001462A3" w:rsidRDefault="001462A3" w:rsidP="0076523D">
      <w:pPr>
        <w:spacing w:line="240" w:lineRule="auto"/>
        <w:ind w:left="720" w:right="90" w:firstLine="0"/>
        <w:jc w:val="both"/>
        <w:rPr>
          <w:rFonts w:ascii="Times New Roman" w:hAnsi="Times New Roman" w:cs="Times New Roman"/>
          <w:color w:val="000000"/>
          <w:sz w:val="26"/>
          <w:szCs w:val="26"/>
          <w:shd w:val="clear" w:color="auto" w:fill="FFFFFF"/>
        </w:rPr>
      </w:pPr>
      <w:r w:rsidRPr="001462A3">
        <w:rPr>
          <w:rFonts w:ascii="Times New Roman" w:hAnsi="Times New Roman" w:cs="Times New Roman"/>
          <w:color w:val="000000"/>
          <w:sz w:val="26"/>
          <w:szCs w:val="26"/>
          <w:shd w:val="clear" w:color="auto" w:fill="FFFFFF"/>
        </w:rPr>
        <w:t xml:space="preserve">Jurors' attitudes, both positive and negative, have been shown to have strong effects on their decision making and corresponding judgments, especially for perceptions of a defendant's unusual personal characteristics or behavior. Information on a defendant's mental abnormalities significantly impacts jurors' impressions of the personal characteristics of the defendant. Further, research has shown that a defendant's mental health state is one of the most powerful types of mitigating factors for juries when making their judgments, often reducing a defendant's moral culpability. Jurors are especially affected by factors that they identify as “uncontrollable,” such as intellectual disability, age when an offense occurred, and diagnosis with a mental disorder. </w:t>
      </w:r>
    </w:p>
    <w:p w14:paraId="12E477B9" w14:textId="65DA49E1" w:rsidR="001462A3" w:rsidRDefault="001462A3" w:rsidP="0076523D">
      <w:pPr>
        <w:spacing w:line="480" w:lineRule="exact"/>
        <w:ind w:right="90" w:firstLine="0"/>
        <w:jc w:val="both"/>
        <w:rPr>
          <w:rFonts w:ascii="Times New Roman" w:hAnsi="Times New Roman" w:cs="Times New Roman"/>
          <w:sz w:val="26"/>
          <w:szCs w:val="26"/>
        </w:rPr>
      </w:pPr>
      <w:r w:rsidRPr="001462A3">
        <w:rPr>
          <w:rFonts w:ascii="Times New Roman" w:hAnsi="Times New Roman" w:cs="Times New Roman"/>
          <w:i/>
          <w:color w:val="000000"/>
          <w:sz w:val="26"/>
          <w:szCs w:val="26"/>
          <w:shd w:val="clear" w:color="auto" w:fill="FFFFFF"/>
        </w:rPr>
        <w:t xml:space="preserve">See </w:t>
      </w:r>
      <w:hyperlink r:id="rId26" w:history="1">
        <w:r w:rsidRPr="001462A3">
          <w:rPr>
            <w:rStyle w:val="Hyperlink"/>
            <w:rFonts w:ascii="Times New Roman" w:hAnsi="Times New Roman" w:cs="Times New Roman"/>
            <w:sz w:val="26"/>
            <w:szCs w:val="26"/>
            <w:shd w:val="clear" w:color="auto" w:fill="FFFFFF"/>
          </w:rPr>
          <w:t xml:space="preserve">Colleen M. Berryessa,* Lauren C. Milner, </w:t>
        </w:r>
        <w:proofErr w:type="spellStart"/>
        <w:r w:rsidRPr="001462A3">
          <w:rPr>
            <w:rStyle w:val="Hyperlink"/>
            <w:rFonts w:ascii="Times New Roman" w:hAnsi="Times New Roman" w:cs="Times New Roman"/>
            <w:sz w:val="26"/>
            <w:szCs w:val="26"/>
            <w:shd w:val="clear" w:color="auto" w:fill="FFFFFF"/>
          </w:rPr>
          <w:t>Nanibaa</w:t>
        </w:r>
        <w:proofErr w:type="spellEnd"/>
        <w:r w:rsidRPr="001462A3">
          <w:rPr>
            <w:rStyle w:val="Hyperlink"/>
            <w:rFonts w:ascii="Times New Roman" w:hAnsi="Times New Roman" w:cs="Times New Roman"/>
            <w:sz w:val="26"/>
            <w:szCs w:val="26"/>
            <w:shd w:val="clear" w:color="auto" w:fill="FFFFFF"/>
          </w:rPr>
          <w:t>' A. Garrison, and Mildred K. Cho, Impact of Psychiatric Information on Potential Jurors in Evaluating High-Functioning Autism Spectrum Disorder (</w:t>
        </w:r>
        <w:proofErr w:type="spellStart"/>
        <w:r w:rsidRPr="001462A3">
          <w:rPr>
            <w:rStyle w:val="Hyperlink"/>
            <w:rFonts w:ascii="Times New Roman" w:hAnsi="Times New Roman" w:cs="Times New Roman"/>
            <w:sz w:val="26"/>
            <w:szCs w:val="26"/>
            <w:shd w:val="clear" w:color="auto" w:fill="FFFFFF"/>
          </w:rPr>
          <w:t>hfASD</w:t>
        </w:r>
        <w:proofErr w:type="spellEnd"/>
        <w:r w:rsidRPr="001462A3">
          <w:rPr>
            <w:rStyle w:val="Hyperlink"/>
            <w:rFonts w:ascii="Times New Roman" w:hAnsi="Times New Roman" w:cs="Times New Roman"/>
            <w:sz w:val="26"/>
            <w:szCs w:val="26"/>
            <w:shd w:val="clear" w:color="auto" w:fill="FFFFFF"/>
          </w:rPr>
          <w:t xml:space="preserve">), J </w:t>
        </w:r>
        <w:proofErr w:type="spellStart"/>
        <w:r w:rsidRPr="001462A3">
          <w:rPr>
            <w:rStyle w:val="Hyperlink"/>
            <w:rFonts w:ascii="Times New Roman" w:hAnsi="Times New Roman" w:cs="Times New Roman"/>
            <w:sz w:val="26"/>
            <w:szCs w:val="26"/>
            <w:shd w:val="clear" w:color="auto" w:fill="FFFFFF"/>
          </w:rPr>
          <w:t>Ment</w:t>
        </w:r>
        <w:proofErr w:type="spellEnd"/>
        <w:r w:rsidRPr="001462A3">
          <w:rPr>
            <w:rStyle w:val="Hyperlink"/>
            <w:rFonts w:ascii="Times New Roman" w:hAnsi="Times New Roman" w:cs="Times New Roman"/>
            <w:sz w:val="26"/>
            <w:szCs w:val="26"/>
            <w:shd w:val="clear" w:color="auto" w:fill="FFFFFF"/>
          </w:rPr>
          <w:t xml:space="preserve"> Health Res Intellect </w:t>
        </w:r>
        <w:proofErr w:type="spellStart"/>
        <w:r w:rsidRPr="001462A3">
          <w:rPr>
            <w:rStyle w:val="Hyperlink"/>
            <w:rFonts w:ascii="Times New Roman" w:hAnsi="Times New Roman" w:cs="Times New Roman"/>
            <w:sz w:val="26"/>
            <w:szCs w:val="26"/>
            <w:shd w:val="clear" w:color="auto" w:fill="FFFFFF"/>
          </w:rPr>
          <w:t>Disabil</w:t>
        </w:r>
        <w:proofErr w:type="spellEnd"/>
        <w:r w:rsidRPr="001462A3">
          <w:rPr>
            <w:rStyle w:val="Hyperlink"/>
            <w:rFonts w:ascii="Times New Roman" w:hAnsi="Times New Roman" w:cs="Times New Roman"/>
            <w:sz w:val="26"/>
            <w:szCs w:val="26"/>
            <w:shd w:val="clear" w:color="auto" w:fill="FFFFFF"/>
          </w:rPr>
          <w:t>. 2015 Jul 1; 8(3-</w:t>
        </w:r>
        <w:r w:rsidRPr="001462A3">
          <w:rPr>
            <w:rStyle w:val="Hyperlink"/>
            <w:rFonts w:ascii="Times New Roman" w:hAnsi="Times New Roman" w:cs="Times New Roman"/>
            <w:sz w:val="26"/>
            <w:szCs w:val="26"/>
            <w:shd w:val="clear" w:color="auto" w:fill="FFFFFF"/>
          </w:rPr>
          <w:lastRenderedPageBreak/>
          <w:t>4): 140–167</w:t>
        </w:r>
      </w:hyperlink>
      <w:r w:rsidRPr="001462A3">
        <w:rPr>
          <w:rFonts w:ascii="Times New Roman" w:hAnsi="Times New Roman" w:cs="Times New Roman"/>
          <w:color w:val="000000"/>
          <w:sz w:val="26"/>
          <w:szCs w:val="26"/>
          <w:shd w:val="clear" w:color="auto" w:fill="FFFFFF"/>
        </w:rPr>
        <w:t xml:space="preserve"> (internal citations omitted).</w:t>
      </w:r>
      <w:r w:rsidRPr="001462A3">
        <w:rPr>
          <w:rFonts w:ascii="Times New Roman" w:hAnsi="Times New Roman" w:cs="Times New Roman"/>
          <w:sz w:val="26"/>
          <w:szCs w:val="26"/>
        </w:rPr>
        <w:t xml:space="preserve"> </w:t>
      </w:r>
      <w:r w:rsidR="006D73C2">
        <w:rPr>
          <w:rFonts w:ascii="Times New Roman" w:hAnsi="Times New Roman" w:cs="Times New Roman"/>
          <w:sz w:val="26"/>
          <w:szCs w:val="26"/>
        </w:rPr>
        <w:t>These</w:t>
      </w:r>
      <w:r w:rsidRPr="001462A3">
        <w:rPr>
          <w:rFonts w:ascii="Times New Roman" w:hAnsi="Times New Roman" w:cs="Times New Roman"/>
          <w:sz w:val="26"/>
          <w:szCs w:val="26"/>
        </w:rPr>
        <w:t xml:space="preserve"> biases and effects on juror decision-making play a role in civil matters as well.</w:t>
      </w:r>
    </w:p>
    <w:p w14:paraId="02513560" w14:textId="185AA92B" w:rsidR="00D31450" w:rsidRDefault="00D31450" w:rsidP="00D31450">
      <w:pPr>
        <w:spacing w:line="480" w:lineRule="exact"/>
        <w:ind w:right="90" w:firstLine="720"/>
        <w:jc w:val="both"/>
        <w:rPr>
          <w:rFonts w:ascii="Times New Roman" w:hAnsi="Times New Roman" w:cs="Times New Roman"/>
          <w:sz w:val="26"/>
          <w:szCs w:val="26"/>
        </w:rPr>
      </w:pPr>
      <w:r w:rsidRPr="001462A3">
        <w:rPr>
          <w:rFonts w:ascii="Times New Roman" w:hAnsi="Times New Roman" w:cs="Times New Roman"/>
          <w:sz w:val="26"/>
          <w:szCs w:val="26"/>
        </w:rPr>
        <w:t xml:space="preserve">Jurors are often asked to weigh evidence related to the mental health or </w:t>
      </w:r>
      <w:r>
        <w:rPr>
          <w:rFonts w:ascii="Times New Roman" w:hAnsi="Times New Roman" w:cs="Times New Roman"/>
          <w:sz w:val="26"/>
          <w:szCs w:val="26"/>
        </w:rPr>
        <w:t xml:space="preserve">the </w:t>
      </w:r>
      <w:r w:rsidRPr="001462A3">
        <w:rPr>
          <w:rFonts w:ascii="Times New Roman" w:hAnsi="Times New Roman" w:cs="Times New Roman"/>
          <w:sz w:val="26"/>
          <w:szCs w:val="26"/>
        </w:rPr>
        <w:t>cognitive state of a criminal defendant, which will often affect their decisions related to the defendant’s culpability or mitigating factors.</w:t>
      </w:r>
      <w:r>
        <w:rPr>
          <w:rFonts w:ascii="Times New Roman" w:hAnsi="Times New Roman" w:cs="Times New Roman"/>
          <w:sz w:val="26"/>
          <w:szCs w:val="26"/>
        </w:rPr>
        <w:t xml:space="preserve"> </w:t>
      </w:r>
      <w:r w:rsidR="007254BB">
        <w:rPr>
          <w:rFonts w:ascii="Times New Roman" w:hAnsi="Times New Roman" w:cs="Times New Roman"/>
          <w:sz w:val="26"/>
          <w:szCs w:val="26"/>
        </w:rPr>
        <w:t xml:space="preserve">Allowing discrimination against jurors with disabilities – especially those with </w:t>
      </w:r>
      <w:r w:rsidR="007254BB" w:rsidRPr="001462A3">
        <w:rPr>
          <w:rFonts w:ascii="Times New Roman" w:hAnsi="Times New Roman" w:cs="Times New Roman"/>
          <w:sz w:val="26"/>
          <w:szCs w:val="26"/>
        </w:rPr>
        <w:t xml:space="preserve">mental </w:t>
      </w:r>
      <w:r w:rsidR="007254BB">
        <w:rPr>
          <w:rFonts w:ascii="Times New Roman" w:hAnsi="Times New Roman" w:cs="Times New Roman"/>
          <w:sz w:val="26"/>
          <w:szCs w:val="26"/>
        </w:rPr>
        <w:t>illness or cognitive and intellectual</w:t>
      </w:r>
      <w:r w:rsidR="007254BB" w:rsidRPr="001462A3">
        <w:rPr>
          <w:rFonts w:ascii="Times New Roman" w:hAnsi="Times New Roman" w:cs="Times New Roman"/>
          <w:sz w:val="26"/>
          <w:szCs w:val="26"/>
        </w:rPr>
        <w:t xml:space="preserve"> disabilities</w:t>
      </w:r>
      <w:r w:rsidR="00C9431B">
        <w:rPr>
          <w:rFonts w:ascii="Times New Roman" w:hAnsi="Times New Roman" w:cs="Times New Roman"/>
          <w:sz w:val="26"/>
          <w:szCs w:val="26"/>
        </w:rPr>
        <w:t xml:space="preserve"> – prevents defendants with disabilities from the opportunity to make their case in front of a jury of their peers. </w:t>
      </w:r>
    </w:p>
    <w:p w14:paraId="4C63E466" w14:textId="63727470" w:rsidR="003362AB" w:rsidRPr="006D73C2" w:rsidRDefault="003362AB" w:rsidP="0076523D">
      <w:pPr>
        <w:pStyle w:val="CourtName"/>
        <w:numPr>
          <w:ilvl w:val="0"/>
          <w:numId w:val="2"/>
        </w:numPr>
        <w:spacing w:line="480" w:lineRule="exact"/>
        <w:ind w:right="90"/>
        <w:jc w:val="both"/>
        <w:rPr>
          <w:rFonts w:ascii="Times New Roman" w:hAnsi="Times New Roman" w:cs="Times New Roman"/>
          <w:b/>
          <w:caps w:val="0"/>
        </w:rPr>
      </w:pPr>
      <w:r>
        <w:rPr>
          <w:rFonts w:ascii="Times New Roman" w:hAnsi="Times New Roman" w:cs="Times New Roman"/>
          <w:b/>
          <w:caps w:val="0"/>
        </w:rPr>
        <w:t>CONCLUSION</w:t>
      </w:r>
      <w:r w:rsidRPr="00F150AC">
        <w:rPr>
          <w:rFonts w:ascii="Times New Roman" w:hAnsi="Times New Roman" w:cs="Times New Roman"/>
          <w:b/>
          <w:caps w:val="0"/>
        </w:rPr>
        <w:t xml:space="preserve">. </w:t>
      </w:r>
    </w:p>
    <w:p w14:paraId="33CA5B07" w14:textId="229DF4E0" w:rsidR="003362AB" w:rsidRDefault="003362AB" w:rsidP="0076523D">
      <w:pPr>
        <w:spacing w:line="480" w:lineRule="exact"/>
        <w:ind w:right="90" w:firstLine="720"/>
        <w:jc w:val="both"/>
        <w:rPr>
          <w:rFonts w:ascii="Times New Roman" w:hAnsi="Times New Roman" w:cs="Times New Roman"/>
          <w:sz w:val="26"/>
          <w:szCs w:val="26"/>
        </w:rPr>
      </w:pPr>
      <w:r>
        <w:rPr>
          <w:rFonts w:ascii="Times New Roman" w:hAnsi="Times New Roman" w:cs="Times New Roman"/>
          <w:sz w:val="26"/>
          <w:szCs w:val="26"/>
        </w:rPr>
        <w:t xml:space="preserve">Our society has tolerated discrimination and exclusion on the basis of disability for far too long. Jury service is a right and responsibility that should be accessible to all Arizonans – not just the </w:t>
      </w:r>
      <w:r w:rsidR="005F45F2">
        <w:rPr>
          <w:rFonts w:ascii="Times New Roman" w:hAnsi="Times New Roman" w:cs="Times New Roman"/>
          <w:sz w:val="26"/>
          <w:szCs w:val="26"/>
        </w:rPr>
        <w:t>nondisabled</w:t>
      </w:r>
      <w:r>
        <w:rPr>
          <w:rFonts w:ascii="Times New Roman" w:hAnsi="Times New Roman" w:cs="Times New Roman"/>
          <w:sz w:val="26"/>
          <w:szCs w:val="26"/>
        </w:rPr>
        <w:t xml:space="preserve">. </w:t>
      </w:r>
    </w:p>
    <w:p w14:paraId="3202054D" w14:textId="1B9E2EE6" w:rsidR="003362AB" w:rsidRPr="003362AB" w:rsidRDefault="003A04C3" w:rsidP="0076523D">
      <w:pPr>
        <w:spacing w:line="480" w:lineRule="exact"/>
        <w:ind w:right="90" w:firstLine="720"/>
        <w:jc w:val="both"/>
        <w:rPr>
          <w:rFonts w:ascii="Times New Roman" w:hAnsi="Times New Roman" w:cs="Times New Roman"/>
          <w:sz w:val="26"/>
          <w:szCs w:val="26"/>
        </w:rPr>
      </w:pPr>
      <w:r>
        <w:rPr>
          <w:rFonts w:ascii="Times New Roman" w:hAnsi="Times New Roman" w:cs="Times New Roman"/>
          <w:sz w:val="26"/>
          <w:szCs w:val="26"/>
        </w:rPr>
        <w:t>Accordingly, t</w:t>
      </w:r>
      <w:r w:rsidR="003362AB">
        <w:rPr>
          <w:rFonts w:ascii="Times New Roman" w:hAnsi="Times New Roman" w:cs="Times New Roman"/>
          <w:sz w:val="26"/>
          <w:szCs w:val="26"/>
        </w:rPr>
        <w:t xml:space="preserve">he ACDL respectfully requests that the Court </w:t>
      </w:r>
      <w:r w:rsidR="003362AB" w:rsidRPr="003362AB">
        <w:rPr>
          <w:rFonts w:ascii="Times New Roman" w:hAnsi="Times New Roman" w:cs="Times New Roman"/>
          <w:sz w:val="26"/>
          <w:szCs w:val="26"/>
        </w:rPr>
        <w:t>approve the Petition</w:t>
      </w:r>
      <w:r w:rsidR="003362AB">
        <w:rPr>
          <w:rFonts w:ascii="Times New Roman" w:hAnsi="Times New Roman" w:cs="Times New Roman"/>
          <w:sz w:val="26"/>
          <w:szCs w:val="26"/>
        </w:rPr>
        <w:t xml:space="preserve"> </w:t>
      </w:r>
      <w:r w:rsidR="003362AB" w:rsidRPr="003362AB">
        <w:rPr>
          <w:rFonts w:ascii="Times New Roman" w:hAnsi="Times New Roman" w:cs="Times New Roman"/>
          <w:sz w:val="26"/>
          <w:szCs w:val="26"/>
        </w:rPr>
        <w:t>filed by the State Bar’s Civil and Criminal Practice and Procedure Committees’ Batson</w:t>
      </w:r>
      <w:r w:rsidR="003362AB">
        <w:rPr>
          <w:rFonts w:ascii="Times New Roman" w:hAnsi="Times New Roman" w:cs="Times New Roman"/>
          <w:sz w:val="26"/>
          <w:szCs w:val="26"/>
        </w:rPr>
        <w:t xml:space="preserve"> </w:t>
      </w:r>
      <w:r w:rsidR="003362AB" w:rsidRPr="003362AB">
        <w:rPr>
          <w:rFonts w:ascii="Times New Roman" w:hAnsi="Times New Roman" w:cs="Times New Roman"/>
          <w:sz w:val="26"/>
          <w:szCs w:val="26"/>
        </w:rPr>
        <w:t xml:space="preserve">Working Group. </w:t>
      </w:r>
    </w:p>
    <w:p w14:paraId="62E07265" w14:textId="18F8D37D" w:rsidR="005A36BE" w:rsidRPr="00DD46E2" w:rsidRDefault="005A36BE" w:rsidP="005A36BE">
      <w:pPr>
        <w:autoSpaceDE w:val="0"/>
        <w:autoSpaceDN w:val="0"/>
        <w:adjustRightInd w:val="0"/>
        <w:spacing w:line="480" w:lineRule="exact"/>
        <w:ind w:firstLine="720"/>
        <w:jc w:val="both"/>
        <w:rPr>
          <w:rFonts w:ascii="Times New Roman" w:hAnsi="Times New Roman" w:cs="Times New Roman"/>
          <w:sz w:val="26"/>
          <w:szCs w:val="26"/>
        </w:rPr>
      </w:pPr>
      <w:r w:rsidRPr="00DD46E2">
        <w:rPr>
          <w:rFonts w:ascii="Times New Roman" w:hAnsi="Times New Roman" w:cs="Times New Roman"/>
          <w:sz w:val="26"/>
          <w:szCs w:val="26"/>
        </w:rPr>
        <w:t xml:space="preserve">DATED this </w:t>
      </w:r>
      <w:r w:rsidR="00DD46E2" w:rsidRPr="00DD46E2">
        <w:rPr>
          <w:rFonts w:ascii="Times New Roman" w:hAnsi="Times New Roman" w:cs="Times New Roman"/>
          <w:sz w:val="26"/>
          <w:szCs w:val="26"/>
        </w:rPr>
        <w:t>2nd</w:t>
      </w:r>
      <w:r w:rsidRPr="00DD46E2">
        <w:rPr>
          <w:rFonts w:ascii="Times New Roman" w:hAnsi="Times New Roman" w:cs="Times New Roman"/>
          <w:sz w:val="26"/>
          <w:szCs w:val="26"/>
        </w:rPr>
        <w:t xml:space="preserve"> day of </w:t>
      </w:r>
      <w:r w:rsidR="00DD46E2" w:rsidRPr="00DD46E2">
        <w:rPr>
          <w:rFonts w:ascii="Times New Roman" w:hAnsi="Times New Roman" w:cs="Times New Roman"/>
          <w:sz w:val="26"/>
          <w:szCs w:val="26"/>
        </w:rPr>
        <w:t>May</w:t>
      </w:r>
      <w:r w:rsidRPr="00DD46E2">
        <w:rPr>
          <w:rFonts w:ascii="Times New Roman" w:hAnsi="Times New Roman" w:cs="Times New Roman"/>
          <w:sz w:val="26"/>
          <w:szCs w:val="26"/>
        </w:rPr>
        <w:t>, 2021.</w:t>
      </w:r>
    </w:p>
    <w:p w14:paraId="57917C8F" w14:textId="77777777" w:rsidR="005A36BE" w:rsidRPr="00DD46E2" w:rsidRDefault="005A36BE" w:rsidP="005A36BE">
      <w:pPr>
        <w:autoSpaceDE w:val="0"/>
        <w:autoSpaceDN w:val="0"/>
        <w:adjustRightInd w:val="0"/>
        <w:spacing w:line="480" w:lineRule="exact"/>
        <w:ind w:firstLine="720"/>
        <w:jc w:val="both"/>
        <w:rPr>
          <w:rFonts w:ascii="Times New Roman" w:hAnsi="Times New Roman" w:cs="Times New Roman"/>
          <w:b/>
          <w:sz w:val="26"/>
          <w:szCs w:val="26"/>
        </w:rPr>
      </w:pPr>
      <w:r w:rsidRPr="00DD46E2">
        <w:rPr>
          <w:rFonts w:ascii="Times New Roman" w:hAnsi="Times New Roman" w:cs="Times New Roman"/>
          <w:sz w:val="26"/>
          <w:szCs w:val="26"/>
        </w:rPr>
        <w:tab/>
      </w:r>
      <w:r w:rsidRPr="00DD46E2">
        <w:rPr>
          <w:rFonts w:ascii="Times New Roman" w:hAnsi="Times New Roman" w:cs="Times New Roman"/>
          <w:sz w:val="26"/>
          <w:szCs w:val="26"/>
        </w:rPr>
        <w:tab/>
      </w:r>
      <w:r w:rsidRPr="00DD46E2">
        <w:rPr>
          <w:rFonts w:ascii="Times New Roman" w:hAnsi="Times New Roman" w:cs="Times New Roman"/>
          <w:sz w:val="26"/>
          <w:szCs w:val="26"/>
        </w:rPr>
        <w:tab/>
      </w:r>
      <w:r w:rsidRPr="00DD46E2">
        <w:rPr>
          <w:rFonts w:ascii="Times New Roman" w:hAnsi="Times New Roman" w:cs="Times New Roman"/>
          <w:sz w:val="26"/>
          <w:szCs w:val="26"/>
        </w:rPr>
        <w:tab/>
      </w:r>
      <w:r w:rsidRPr="00DD46E2">
        <w:rPr>
          <w:rFonts w:ascii="Times New Roman" w:hAnsi="Times New Roman" w:cs="Times New Roman"/>
          <w:b/>
          <w:sz w:val="26"/>
          <w:szCs w:val="26"/>
        </w:rPr>
        <w:t xml:space="preserve"> ARIZONA CENTER FOR DISABILITY LAW</w:t>
      </w:r>
    </w:p>
    <w:p w14:paraId="03645B0F" w14:textId="4ABD9FB3" w:rsidR="005A36BE" w:rsidRPr="00DD46E2" w:rsidRDefault="005A36BE" w:rsidP="005A36BE">
      <w:pPr>
        <w:tabs>
          <w:tab w:val="left" w:pos="3690"/>
          <w:tab w:val="left" w:pos="4320"/>
          <w:tab w:val="left" w:pos="7200"/>
        </w:tabs>
        <w:spacing w:line="480" w:lineRule="exact"/>
        <w:ind w:firstLine="90"/>
        <w:jc w:val="both"/>
        <w:rPr>
          <w:rFonts w:ascii="Times New Roman" w:hAnsi="Times New Roman" w:cs="Times New Roman"/>
          <w:i/>
          <w:iCs/>
          <w:sz w:val="26"/>
          <w:szCs w:val="26"/>
          <w:u w:val="single"/>
        </w:rPr>
      </w:pPr>
      <w:r w:rsidRPr="00DD46E2">
        <w:rPr>
          <w:rFonts w:ascii="Times New Roman" w:hAnsi="Times New Roman" w:cs="Times New Roman"/>
          <w:sz w:val="26"/>
          <w:szCs w:val="26"/>
        </w:rPr>
        <w:t xml:space="preserve">  </w:t>
      </w:r>
      <w:r w:rsidRPr="00DD46E2">
        <w:rPr>
          <w:rFonts w:ascii="Times New Roman" w:hAnsi="Times New Roman" w:cs="Times New Roman"/>
          <w:sz w:val="26"/>
          <w:szCs w:val="26"/>
        </w:rPr>
        <w:tab/>
      </w:r>
      <w:r w:rsidRPr="00DD46E2">
        <w:rPr>
          <w:rFonts w:ascii="Times New Roman" w:hAnsi="Times New Roman" w:cs="Times New Roman"/>
          <w:i/>
          <w:iCs/>
          <w:sz w:val="26"/>
          <w:szCs w:val="26"/>
          <w:u w:val="single"/>
        </w:rPr>
        <w:t>/s/</w:t>
      </w:r>
      <w:r w:rsidRPr="00DD46E2">
        <w:rPr>
          <w:rFonts w:ascii="Times New Roman" w:hAnsi="Times New Roman" w:cs="Times New Roman"/>
          <w:i/>
          <w:iCs/>
          <w:sz w:val="26"/>
          <w:szCs w:val="26"/>
          <w:u w:val="single"/>
        </w:rPr>
        <w:tab/>
      </w:r>
      <w:r w:rsidR="00DD46E2">
        <w:rPr>
          <w:rFonts w:ascii="Times New Roman" w:hAnsi="Times New Roman" w:cs="Times New Roman"/>
          <w:i/>
          <w:iCs/>
          <w:sz w:val="26"/>
          <w:szCs w:val="26"/>
          <w:u w:val="single"/>
        </w:rPr>
        <w:t>Meaghan K. Kramer</w:t>
      </w:r>
      <w:r w:rsidRPr="00DD46E2">
        <w:rPr>
          <w:rFonts w:ascii="Times New Roman" w:hAnsi="Times New Roman" w:cs="Times New Roman"/>
          <w:i/>
          <w:iCs/>
          <w:sz w:val="26"/>
          <w:szCs w:val="26"/>
          <w:u w:val="single"/>
        </w:rPr>
        <w:tab/>
      </w:r>
    </w:p>
    <w:p w14:paraId="4EEF6E73" w14:textId="77777777" w:rsidR="00DD46E2" w:rsidRDefault="005A36BE" w:rsidP="005A36BE">
      <w:pPr>
        <w:spacing w:line="240" w:lineRule="auto"/>
        <w:ind w:left="720"/>
        <w:jc w:val="both"/>
        <w:rPr>
          <w:rFonts w:ascii="Times New Roman" w:hAnsi="Times New Roman" w:cs="Times New Roman"/>
          <w:sz w:val="26"/>
          <w:szCs w:val="26"/>
        </w:rPr>
      </w:pPr>
      <w:r w:rsidRPr="00DD46E2">
        <w:rPr>
          <w:rFonts w:ascii="Times New Roman" w:hAnsi="Times New Roman" w:cs="Times New Roman"/>
          <w:sz w:val="26"/>
          <w:szCs w:val="26"/>
        </w:rPr>
        <w:tab/>
      </w:r>
      <w:r w:rsidRPr="00DD46E2">
        <w:rPr>
          <w:rFonts w:ascii="Times New Roman" w:hAnsi="Times New Roman" w:cs="Times New Roman"/>
          <w:sz w:val="26"/>
          <w:szCs w:val="26"/>
        </w:rPr>
        <w:tab/>
        <w:t xml:space="preserve">    </w:t>
      </w:r>
      <w:r w:rsidR="00DD46E2">
        <w:rPr>
          <w:rFonts w:ascii="Times New Roman" w:hAnsi="Times New Roman" w:cs="Times New Roman"/>
          <w:sz w:val="26"/>
          <w:szCs w:val="26"/>
        </w:rPr>
        <w:t xml:space="preserve">J.J. Rico </w:t>
      </w:r>
    </w:p>
    <w:p w14:paraId="14249768" w14:textId="353FC260" w:rsidR="005A36BE" w:rsidRPr="00DD46E2" w:rsidRDefault="00DD46E2" w:rsidP="00DD46E2">
      <w:pPr>
        <w:spacing w:line="240" w:lineRule="auto"/>
        <w:ind w:left="2160"/>
        <w:jc w:val="both"/>
        <w:rPr>
          <w:rFonts w:ascii="Times New Roman" w:hAnsi="Times New Roman" w:cs="Times New Roman"/>
          <w:sz w:val="26"/>
          <w:szCs w:val="26"/>
        </w:rPr>
      </w:pPr>
      <w:r>
        <w:rPr>
          <w:rFonts w:ascii="Times New Roman" w:hAnsi="Times New Roman" w:cs="Times New Roman"/>
          <w:sz w:val="26"/>
          <w:szCs w:val="26"/>
        </w:rPr>
        <w:t xml:space="preserve">    </w:t>
      </w:r>
      <w:r w:rsidR="005A36BE" w:rsidRPr="00DD46E2">
        <w:rPr>
          <w:rFonts w:ascii="Times New Roman" w:hAnsi="Times New Roman" w:cs="Times New Roman"/>
          <w:sz w:val="26"/>
          <w:szCs w:val="26"/>
        </w:rPr>
        <w:t>Meaghan Kramer</w:t>
      </w:r>
      <w:r w:rsidR="005A36BE" w:rsidRPr="00DD46E2">
        <w:rPr>
          <w:rFonts w:ascii="Times New Roman" w:hAnsi="Times New Roman" w:cs="Times New Roman"/>
          <w:sz w:val="26"/>
          <w:szCs w:val="26"/>
        </w:rPr>
        <w:tab/>
      </w:r>
    </w:p>
    <w:p w14:paraId="46F6E884" w14:textId="77777777" w:rsidR="005A36BE" w:rsidRPr="00DD46E2" w:rsidRDefault="005A36BE" w:rsidP="005A36BE">
      <w:pPr>
        <w:spacing w:line="480" w:lineRule="exact"/>
        <w:ind w:firstLine="0"/>
        <w:rPr>
          <w:rFonts w:ascii="Times New Roman" w:hAnsi="Times New Roman" w:cs="Times New Roman"/>
          <w:b/>
          <w:sz w:val="26"/>
          <w:szCs w:val="26"/>
          <w:u w:val="single"/>
        </w:rPr>
      </w:pPr>
    </w:p>
    <w:p w14:paraId="05F99002" w14:textId="77777777" w:rsidR="00DD46E2" w:rsidRPr="00DD46E2" w:rsidRDefault="00DD46E2" w:rsidP="00DD46E2">
      <w:pPr>
        <w:spacing w:line="240" w:lineRule="auto"/>
        <w:ind w:firstLine="0"/>
        <w:rPr>
          <w:rFonts w:ascii="Times New Roman" w:hAnsi="Times New Roman" w:cs="Times New Roman"/>
          <w:sz w:val="26"/>
          <w:szCs w:val="26"/>
        </w:rPr>
      </w:pPr>
      <w:r w:rsidRPr="00DD46E2">
        <w:rPr>
          <w:rFonts w:ascii="Times New Roman" w:hAnsi="Times New Roman" w:cs="Times New Roman"/>
          <w:sz w:val="26"/>
          <w:szCs w:val="26"/>
        </w:rPr>
        <w:t>Original electronically filed with the</w:t>
      </w:r>
    </w:p>
    <w:p w14:paraId="5216427D" w14:textId="77777777" w:rsidR="00DD46E2" w:rsidRPr="00DD46E2" w:rsidRDefault="00DD46E2" w:rsidP="00DD46E2">
      <w:pPr>
        <w:spacing w:line="240" w:lineRule="auto"/>
        <w:ind w:firstLine="0"/>
        <w:rPr>
          <w:rFonts w:ascii="Times New Roman" w:hAnsi="Times New Roman" w:cs="Times New Roman"/>
          <w:sz w:val="26"/>
          <w:szCs w:val="26"/>
        </w:rPr>
      </w:pPr>
      <w:r w:rsidRPr="00DD46E2">
        <w:rPr>
          <w:rFonts w:ascii="Times New Roman" w:hAnsi="Times New Roman" w:cs="Times New Roman"/>
          <w:sz w:val="26"/>
          <w:szCs w:val="26"/>
        </w:rPr>
        <w:t>Clerk of the Supreme Court of Arizona</w:t>
      </w:r>
    </w:p>
    <w:p w14:paraId="3B01A43B" w14:textId="62816725" w:rsidR="00DD46E2" w:rsidRDefault="00DD46E2" w:rsidP="00DD46E2">
      <w:pPr>
        <w:spacing w:line="240" w:lineRule="auto"/>
        <w:ind w:firstLine="0"/>
        <w:rPr>
          <w:rFonts w:ascii="Times New Roman" w:hAnsi="Times New Roman" w:cs="Times New Roman"/>
          <w:sz w:val="26"/>
          <w:szCs w:val="26"/>
        </w:rPr>
      </w:pPr>
      <w:r w:rsidRPr="00DD46E2">
        <w:rPr>
          <w:rFonts w:ascii="Times New Roman" w:hAnsi="Times New Roman" w:cs="Times New Roman"/>
          <w:sz w:val="26"/>
          <w:szCs w:val="26"/>
        </w:rPr>
        <w:t xml:space="preserve">this </w:t>
      </w:r>
      <w:r>
        <w:rPr>
          <w:rFonts w:ascii="Times New Roman" w:hAnsi="Times New Roman" w:cs="Times New Roman"/>
          <w:sz w:val="26"/>
          <w:szCs w:val="26"/>
        </w:rPr>
        <w:t>2nd</w:t>
      </w:r>
      <w:r w:rsidRPr="00DD46E2">
        <w:rPr>
          <w:rFonts w:ascii="Times New Roman" w:hAnsi="Times New Roman" w:cs="Times New Roman"/>
          <w:sz w:val="26"/>
          <w:szCs w:val="26"/>
        </w:rPr>
        <w:t xml:space="preserve"> day of </w:t>
      </w:r>
      <w:r>
        <w:rPr>
          <w:rFonts w:ascii="Times New Roman" w:hAnsi="Times New Roman" w:cs="Times New Roman"/>
          <w:sz w:val="26"/>
          <w:szCs w:val="26"/>
        </w:rPr>
        <w:t>May,</w:t>
      </w:r>
      <w:r w:rsidRPr="00DD46E2">
        <w:rPr>
          <w:rFonts w:ascii="Times New Roman" w:hAnsi="Times New Roman" w:cs="Times New Roman"/>
          <w:sz w:val="26"/>
          <w:szCs w:val="26"/>
        </w:rPr>
        <w:t xml:space="preserve"> 2021.</w:t>
      </w:r>
    </w:p>
    <w:p w14:paraId="195ED082" w14:textId="77777777" w:rsidR="00DD46E2" w:rsidRPr="00DD46E2" w:rsidRDefault="00DD46E2" w:rsidP="00DD46E2">
      <w:pPr>
        <w:spacing w:line="240" w:lineRule="auto"/>
        <w:ind w:firstLine="0"/>
        <w:rPr>
          <w:rFonts w:ascii="Times New Roman" w:hAnsi="Times New Roman" w:cs="Times New Roman"/>
          <w:sz w:val="26"/>
          <w:szCs w:val="26"/>
        </w:rPr>
      </w:pPr>
    </w:p>
    <w:p w14:paraId="0942F8DB" w14:textId="000B9EF4" w:rsidR="002A31E8" w:rsidRPr="00DD46E2" w:rsidRDefault="00DD46E2" w:rsidP="00DD46E2">
      <w:pPr>
        <w:spacing w:line="240" w:lineRule="auto"/>
        <w:ind w:firstLine="0"/>
        <w:rPr>
          <w:rFonts w:ascii="Times New Roman" w:hAnsi="Times New Roman" w:cs="Times New Roman"/>
          <w:sz w:val="26"/>
          <w:szCs w:val="26"/>
          <w:u w:val="single"/>
        </w:rPr>
      </w:pPr>
      <w:r w:rsidRPr="00DD46E2">
        <w:rPr>
          <w:rFonts w:ascii="Times New Roman" w:hAnsi="Times New Roman" w:cs="Times New Roman"/>
          <w:sz w:val="26"/>
          <w:szCs w:val="26"/>
          <w:u w:val="single"/>
        </w:rPr>
        <w:t xml:space="preserve">By: /s/ </w:t>
      </w:r>
      <w:r w:rsidRPr="00DD46E2">
        <w:rPr>
          <w:rFonts w:ascii="Times New Roman" w:hAnsi="Times New Roman" w:cs="Times New Roman"/>
          <w:sz w:val="26"/>
          <w:szCs w:val="26"/>
          <w:u w:val="single"/>
        </w:rPr>
        <w:t>Meaghan Kramer</w:t>
      </w:r>
    </w:p>
    <w:sectPr w:rsidR="002A31E8" w:rsidRPr="00DD46E2" w:rsidSect="00F5394B">
      <w:headerReference w:type="default" r:id="rId27"/>
      <w:footerReference w:type="default" r:id="rId28"/>
      <w:pgSz w:w="12240" w:h="15840" w:code="1"/>
      <w:pgMar w:top="1440" w:right="1440" w:bottom="1152"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69D6A" w14:textId="77777777" w:rsidR="001F742E" w:rsidRDefault="001F742E">
      <w:pPr>
        <w:spacing w:line="240" w:lineRule="auto"/>
      </w:pPr>
      <w:r>
        <w:separator/>
      </w:r>
    </w:p>
  </w:endnote>
  <w:endnote w:type="continuationSeparator" w:id="0">
    <w:p w14:paraId="744C8F64" w14:textId="77777777" w:rsidR="001F742E" w:rsidRDefault="001F7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76725"/>
      <w:docPartObj>
        <w:docPartGallery w:val="Page Numbers (Bottom of Page)"/>
        <w:docPartUnique/>
      </w:docPartObj>
    </w:sdtPr>
    <w:sdtEndPr>
      <w:rPr>
        <w:rFonts w:ascii="Times New Roman" w:hAnsi="Times New Roman" w:cs="Times New Roman"/>
        <w:noProof/>
        <w:sz w:val="26"/>
        <w:szCs w:val="26"/>
      </w:rPr>
    </w:sdtEndPr>
    <w:sdtContent>
      <w:p w14:paraId="6EE2C8D3" w14:textId="2199AB78" w:rsidR="00F5394B" w:rsidRPr="00F862FC" w:rsidRDefault="00850680" w:rsidP="00F15EF3">
        <w:pPr>
          <w:pStyle w:val="Footer"/>
          <w:ind w:firstLine="0"/>
          <w:jc w:val="center"/>
          <w:rPr>
            <w:rFonts w:ascii="Times New Roman" w:hAnsi="Times New Roman" w:cs="Times New Roman"/>
            <w:sz w:val="26"/>
            <w:szCs w:val="26"/>
          </w:rPr>
        </w:pPr>
        <w:r w:rsidRPr="00F862FC">
          <w:rPr>
            <w:rFonts w:ascii="Times New Roman" w:hAnsi="Times New Roman" w:cs="Times New Roman"/>
            <w:sz w:val="26"/>
            <w:szCs w:val="26"/>
          </w:rPr>
          <w:fldChar w:fldCharType="begin"/>
        </w:r>
        <w:r w:rsidRPr="00F862FC">
          <w:rPr>
            <w:rFonts w:ascii="Times New Roman" w:hAnsi="Times New Roman" w:cs="Times New Roman"/>
            <w:sz w:val="26"/>
            <w:szCs w:val="26"/>
          </w:rPr>
          <w:instrText xml:space="preserve"> PAGE   \* MERGEFORMAT </w:instrText>
        </w:r>
        <w:r w:rsidRPr="00F862FC">
          <w:rPr>
            <w:rFonts w:ascii="Times New Roman" w:hAnsi="Times New Roman" w:cs="Times New Roman"/>
            <w:sz w:val="26"/>
            <w:szCs w:val="26"/>
          </w:rPr>
          <w:fldChar w:fldCharType="separate"/>
        </w:r>
        <w:r w:rsidR="00C53C05">
          <w:rPr>
            <w:rFonts w:ascii="Times New Roman" w:hAnsi="Times New Roman" w:cs="Times New Roman"/>
            <w:noProof/>
            <w:sz w:val="26"/>
            <w:szCs w:val="26"/>
          </w:rPr>
          <w:t>2</w:t>
        </w:r>
        <w:r w:rsidRPr="00F862FC">
          <w:rPr>
            <w:rFonts w:ascii="Times New Roman" w:hAnsi="Times New Roman" w:cs="Times New Roman"/>
            <w:noProof/>
            <w:sz w:val="26"/>
            <w:szCs w:val="26"/>
          </w:rPr>
          <w:fldChar w:fldCharType="end"/>
        </w:r>
      </w:p>
    </w:sdtContent>
  </w:sdt>
  <w:p w14:paraId="0D3F2A63" w14:textId="77777777" w:rsidR="00F5394B" w:rsidRDefault="001F742E" w:rsidP="00F15EF3">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56EF" w14:textId="77777777" w:rsidR="001F742E" w:rsidRDefault="001F742E">
      <w:pPr>
        <w:spacing w:line="240" w:lineRule="auto"/>
      </w:pPr>
      <w:r>
        <w:separator/>
      </w:r>
    </w:p>
  </w:footnote>
  <w:footnote w:type="continuationSeparator" w:id="0">
    <w:p w14:paraId="62AE8F4A" w14:textId="77777777" w:rsidR="001F742E" w:rsidRDefault="001F74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93E1" w14:textId="77777777" w:rsidR="00F5394B" w:rsidRDefault="00850680" w:rsidP="00F5394B">
    <w:pPr>
      <w:spacing w:line="480" w:lineRule="exact"/>
      <w:rPr>
        <w:color w:val="FFFFFF" w:themeColor="background1"/>
      </w:rPr>
    </w:pPr>
    <w:r>
      <w:rPr>
        <w:noProof/>
        <w:color w:val="FFFFFF" w:themeColor="background1"/>
        <w:lang w:eastAsia="en-US"/>
      </w:rPr>
      <mc:AlternateContent>
        <mc:Choice Requires="wpg">
          <w:drawing>
            <wp:anchor distT="0" distB="0" distL="114300" distR="114300" simplePos="0" relativeHeight="251659264" behindDoc="1" locked="0" layoutInCell="1" allowOverlap="1" wp14:anchorId="3B4512B8" wp14:editId="63EBE479">
              <wp:simplePos x="0" y="0"/>
              <wp:positionH relativeFrom="page">
                <wp:posOffset>822960</wp:posOffset>
              </wp:positionH>
              <wp:positionV relativeFrom="page">
                <wp:align>top</wp:align>
              </wp:positionV>
              <wp:extent cx="6026150" cy="10058400"/>
              <wp:effectExtent l="0" t="0" r="0" b="0"/>
              <wp:wrapNone/>
              <wp:docPr id="5" name="Group 5" descr="Left and right page bord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0"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w:pict>
            <v:group w14:anchorId="195A04D9" id="Group 5" o:spid="_x0000_s1026" alt="Left and right page borders" style="position:absolute;margin-left:64.8pt;margin-top:0;width:474.5pt;height:11in;z-index:-251657216;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60288" behindDoc="1" locked="1" layoutInCell="1" allowOverlap="1" wp14:anchorId="6BA8E8AB" wp14:editId="49F2EBD8">
              <wp:simplePos x="0" y="0"/>
              <wp:positionH relativeFrom="page">
                <wp:posOffset>255270</wp:posOffset>
              </wp:positionH>
              <wp:positionV relativeFrom="margin">
                <wp:align>top</wp:align>
              </wp:positionV>
              <wp:extent cx="457200" cy="861060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1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EA3E6"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w:t>
                          </w:r>
                        </w:p>
                        <w:p w14:paraId="6EF26DA4"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w:t>
                          </w:r>
                        </w:p>
                        <w:p w14:paraId="65652A88"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3</w:t>
                          </w:r>
                        </w:p>
                        <w:p w14:paraId="751D8A48"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4</w:t>
                          </w:r>
                        </w:p>
                        <w:p w14:paraId="094ED50F"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5</w:t>
                          </w:r>
                        </w:p>
                        <w:p w14:paraId="30505F51"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6</w:t>
                          </w:r>
                        </w:p>
                        <w:p w14:paraId="1665691D"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7</w:t>
                          </w:r>
                        </w:p>
                        <w:p w14:paraId="4B7E4A56"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8</w:t>
                          </w:r>
                        </w:p>
                        <w:p w14:paraId="46F6A60D"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9</w:t>
                          </w:r>
                        </w:p>
                        <w:p w14:paraId="7F4D0E45"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10</w:t>
                          </w:r>
                        </w:p>
                        <w:p w14:paraId="4A296D32"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11</w:t>
                          </w:r>
                        </w:p>
                        <w:p w14:paraId="324EE205"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12</w:t>
                          </w:r>
                        </w:p>
                        <w:p w14:paraId="17419EE7"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13</w:t>
                          </w:r>
                        </w:p>
                        <w:p w14:paraId="4B79C987"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14</w:t>
                          </w:r>
                        </w:p>
                        <w:p w14:paraId="1A351012"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15</w:t>
                          </w:r>
                        </w:p>
                        <w:p w14:paraId="00B635B8"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16</w:t>
                          </w:r>
                        </w:p>
                        <w:p w14:paraId="693789A4"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17</w:t>
                          </w:r>
                        </w:p>
                        <w:p w14:paraId="12A84275"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18</w:t>
                          </w:r>
                        </w:p>
                        <w:p w14:paraId="5C0A3454"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19</w:t>
                          </w:r>
                        </w:p>
                        <w:p w14:paraId="0E8672B4"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20</w:t>
                          </w:r>
                        </w:p>
                        <w:p w14:paraId="56EB245A"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21</w:t>
                          </w:r>
                        </w:p>
                        <w:p w14:paraId="15DE7D0B"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22</w:t>
                          </w:r>
                        </w:p>
                        <w:p w14:paraId="136FDB80"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23</w:t>
                          </w:r>
                        </w:p>
                        <w:p w14:paraId="4544826F"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24</w:t>
                          </w:r>
                        </w:p>
                        <w:p w14:paraId="704CBA5B"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25</w:t>
                          </w:r>
                        </w:p>
                        <w:p w14:paraId="4A9633B0"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26</w:t>
                          </w:r>
                        </w:p>
                        <w:p w14:paraId="7F49BFE0"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27</w:t>
                          </w:r>
                        </w:p>
                        <w:p w14:paraId="4B52E584"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28</w:t>
                          </w:r>
                        </w:p>
                        <w:p w14:paraId="463BDD95" w14:textId="77777777" w:rsidR="00F5394B" w:rsidRPr="005857DC" w:rsidRDefault="001F742E" w:rsidP="00F5394B">
                          <w:pPr>
                            <w:pStyle w:val="LineNumbers"/>
                            <w:spacing w:line="480" w:lineRule="exact"/>
                            <w:rPr>
                              <w:rFonts w:ascii="Times New Roman" w:hAnsi="Times New Roman" w:cs="Times New Roman"/>
                              <w:sz w:val="26"/>
                              <w:szCs w:val="26"/>
                            </w:rPr>
                          </w:pPr>
                        </w:p>
                        <w:p w14:paraId="01B074CD" w14:textId="77777777" w:rsidR="00F5394B" w:rsidRPr="005857DC" w:rsidRDefault="001F742E" w:rsidP="00F5394B">
                          <w:pPr>
                            <w:pStyle w:val="LineNumbers"/>
                            <w:spacing w:line="480" w:lineRule="exact"/>
                            <w:rPr>
                              <w:rFonts w:ascii="Times New Roman" w:hAnsi="Times New Roman" w:cs="Times New Roman"/>
                              <w:sz w:val="26"/>
                              <w:szCs w:val="26"/>
                            </w:rPr>
                          </w:pPr>
                        </w:p>
                        <w:p w14:paraId="697D7D84" w14:textId="77777777" w:rsidR="00F5394B" w:rsidRPr="005857DC" w:rsidRDefault="001F742E" w:rsidP="00F5394B">
                          <w:pPr>
                            <w:pStyle w:val="LineNumbers"/>
                            <w:spacing w:line="480" w:lineRule="exact"/>
                            <w:rPr>
                              <w:rFonts w:ascii="Times New Roman" w:hAnsi="Times New Roman" w:cs="Times New Roman"/>
                              <w:sz w:val="26"/>
                              <w:szCs w:val="2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8E8AB" id="_x0000_t202" coordsize="21600,21600" o:spt="202" path="m,l,21600r21600,l21600,xe">
              <v:stroke joinstyle="miter"/>
              <v:path gradientshapeok="t" o:connecttype="rect"/>
            </v:shapetype>
            <v:shape id="LineNumbers" o:spid="_x0000_s1026" type="#_x0000_t202" alt="Line numbers from 1 to 28" style="position:absolute;left:0;text-align:left;margin-left:20.1pt;margin-top:0;width:36pt;height:678pt;z-index:-251656192;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" stroked="f">
              <v:textbox inset="0,0,0,0">
                <w:txbxContent>
                  <w:p w14:paraId="074EA3E6"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w:t>
                    </w:r>
                  </w:p>
                  <w:p w14:paraId="6EF26DA4"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w:t>
                    </w:r>
                  </w:p>
                  <w:p w14:paraId="65652A88"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3</w:t>
                    </w:r>
                  </w:p>
                  <w:p w14:paraId="751D8A48"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4</w:t>
                    </w:r>
                  </w:p>
                  <w:p w14:paraId="094ED50F"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5</w:t>
                    </w:r>
                  </w:p>
                  <w:p w14:paraId="30505F51"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6</w:t>
                    </w:r>
                  </w:p>
                  <w:p w14:paraId="1665691D"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7</w:t>
                    </w:r>
                  </w:p>
                  <w:p w14:paraId="4B7E4A56"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8</w:t>
                    </w:r>
                  </w:p>
                  <w:p w14:paraId="46F6A60D"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9</w:t>
                    </w:r>
                  </w:p>
                  <w:p w14:paraId="7F4D0E45"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10</w:t>
                    </w:r>
                  </w:p>
                  <w:p w14:paraId="4A296D32"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11</w:t>
                    </w:r>
                  </w:p>
                  <w:p w14:paraId="324EE205"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12</w:t>
                    </w:r>
                  </w:p>
                  <w:p w14:paraId="17419EE7"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13</w:t>
                    </w:r>
                  </w:p>
                  <w:p w14:paraId="4B79C987"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14</w:t>
                    </w:r>
                  </w:p>
                  <w:p w14:paraId="1A351012"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15</w:t>
                    </w:r>
                  </w:p>
                  <w:p w14:paraId="00B635B8"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16</w:t>
                    </w:r>
                  </w:p>
                  <w:p w14:paraId="693789A4"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17</w:t>
                    </w:r>
                  </w:p>
                  <w:p w14:paraId="12A84275"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18</w:t>
                    </w:r>
                  </w:p>
                  <w:p w14:paraId="5C0A3454"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19</w:t>
                    </w:r>
                  </w:p>
                  <w:p w14:paraId="0E8672B4"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20</w:t>
                    </w:r>
                  </w:p>
                  <w:p w14:paraId="56EB245A"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21</w:t>
                    </w:r>
                  </w:p>
                  <w:p w14:paraId="15DE7D0B"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22</w:t>
                    </w:r>
                  </w:p>
                  <w:p w14:paraId="136FDB80"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23</w:t>
                    </w:r>
                  </w:p>
                  <w:p w14:paraId="4544826F"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24</w:t>
                    </w:r>
                  </w:p>
                  <w:p w14:paraId="704CBA5B"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25</w:t>
                    </w:r>
                  </w:p>
                  <w:p w14:paraId="4A9633B0"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26</w:t>
                    </w:r>
                  </w:p>
                  <w:p w14:paraId="7F49BFE0"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27</w:t>
                    </w:r>
                  </w:p>
                  <w:p w14:paraId="4B52E584" w14:textId="77777777" w:rsidR="00F5394B" w:rsidRPr="005857DC" w:rsidRDefault="00850680" w:rsidP="00F5394B">
                    <w:pPr>
                      <w:pStyle w:val="LineNumbers"/>
                      <w:spacing w:line="480" w:lineRule="exact"/>
                      <w:rPr>
                        <w:rFonts w:ascii="Times New Roman" w:hAnsi="Times New Roman" w:cs="Times New Roman"/>
                        <w:sz w:val="26"/>
                        <w:szCs w:val="26"/>
                      </w:rPr>
                    </w:pPr>
                    <w:r w:rsidRPr="005857DC">
                      <w:rPr>
                        <w:rFonts w:ascii="Times New Roman" w:hAnsi="Times New Roman" w:cs="Times New Roman"/>
                        <w:sz w:val="26"/>
                        <w:szCs w:val="26"/>
                      </w:rPr>
                      <w:t>28</w:t>
                    </w:r>
                  </w:p>
                  <w:p w14:paraId="463BDD95" w14:textId="77777777" w:rsidR="00F5394B" w:rsidRPr="005857DC" w:rsidRDefault="001F742E" w:rsidP="00F5394B">
                    <w:pPr>
                      <w:pStyle w:val="LineNumbers"/>
                      <w:spacing w:line="480" w:lineRule="exact"/>
                      <w:rPr>
                        <w:rFonts w:ascii="Times New Roman" w:hAnsi="Times New Roman" w:cs="Times New Roman"/>
                        <w:sz w:val="26"/>
                        <w:szCs w:val="26"/>
                      </w:rPr>
                    </w:pPr>
                  </w:p>
                  <w:p w14:paraId="01B074CD" w14:textId="77777777" w:rsidR="00F5394B" w:rsidRPr="005857DC" w:rsidRDefault="001F742E" w:rsidP="00F5394B">
                    <w:pPr>
                      <w:pStyle w:val="LineNumbers"/>
                      <w:spacing w:line="480" w:lineRule="exact"/>
                      <w:rPr>
                        <w:rFonts w:ascii="Times New Roman" w:hAnsi="Times New Roman" w:cs="Times New Roman"/>
                        <w:sz w:val="26"/>
                        <w:szCs w:val="26"/>
                      </w:rPr>
                    </w:pPr>
                  </w:p>
                  <w:p w14:paraId="697D7D84" w14:textId="77777777" w:rsidR="00F5394B" w:rsidRPr="005857DC" w:rsidRDefault="001F742E" w:rsidP="00F5394B">
                    <w:pPr>
                      <w:pStyle w:val="LineNumbers"/>
                      <w:spacing w:line="480" w:lineRule="exact"/>
                      <w:rPr>
                        <w:rFonts w:ascii="Times New Roman" w:hAnsi="Times New Roman" w:cs="Times New Roman"/>
                        <w:sz w:val="26"/>
                        <w:szCs w:val="26"/>
                      </w:rPr>
                    </w:pPr>
                  </w:p>
                </w:txbxContent>
              </v:textbox>
              <w10:wrap anchorx="page" anchory="margin"/>
              <w10:anchorlock/>
            </v:shape>
          </w:pict>
        </mc:Fallback>
      </mc:AlternateContent>
    </w:r>
  </w:p>
  <w:p w14:paraId="1980D67D" w14:textId="77777777" w:rsidR="00F5394B" w:rsidRDefault="001F74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92727"/>
    <w:multiLevelType w:val="hybridMultilevel"/>
    <w:tmpl w:val="F3246A5A"/>
    <w:lvl w:ilvl="0" w:tplc="CAB037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B1E2F"/>
    <w:multiLevelType w:val="hybridMultilevel"/>
    <w:tmpl w:val="F3246A5A"/>
    <w:lvl w:ilvl="0" w:tplc="CAB037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E8508D"/>
    <w:multiLevelType w:val="hybridMultilevel"/>
    <w:tmpl w:val="C6D6A5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949"/>
    <w:rsid w:val="000F422D"/>
    <w:rsid w:val="001462A3"/>
    <w:rsid w:val="001F1B85"/>
    <w:rsid w:val="001F742E"/>
    <w:rsid w:val="00287DD1"/>
    <w:rsid w:val="002A31E8"/>
    <w:rsid w:val="002F02C2"/>
    <w:rsid w:val="00302289"/>
    <w:rsid w:val="003362AB"/>
    <w:rsid w:val="00354AB7"/>
    <w:rsid w:val="003A04C3"/>
    <w:rsid w:val="004B63EF"/>
    <w:rsid w:val="004F19B4"/>
    <w:rsid w:val="005162B5"/>
    <w:rsid w:val="005A36BE"/>
    <w:rsid w:val="005C51EE"/>
    <w:rsid w:val="005F45F2"/>
    <w:rsid w:val="006D73C2"/>
    <w:rsid w:val="007254BB"/>
    <w:rsid w:val="0076523D"/>
    <w:rsid w:val="00841B19"/>
    <w:rsid w:val="0084220D"/>
    <w:rsid w:val="00850680"/>
    <w:rsid w:val="009547F6"/>
    <w:rsid w:val="009D2586"/>
    <w:rsid w:val="00A73410"/>
    <w:rsid w:val="00B24949"/>
    <w:rsid w:val="00BC7DA8"/>
    <w:rsid w:val="00C224A1"/>
    <w:rsid w:val="00C53C05"/>
    <w:rsid w:val="00C77ED7"/>
    <w:rsid w:val="00C9431B"/>
    <w:rsid w:val="00D31450"/>
    <w:rsid w:val="00D41850"/>
    <w:rsid w:val="00DD46E2"/>
    <w:rsid w:val="00E45F58"/>
    <w:rsid w:val="00E76338"/>
    <w:rsid w:val="00EC1FCC"/>
    <w:rsid w:val="00F150AC"/>
    <w:rsid w:val="00F74963"/>
    <w:rsid w:val="00F7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C1FB"/>
  <w15:chartTrackingRefBased/>
  <w15:docId w15:val="{818D237A-DBE8-4FB0-953B-A7564202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949"/>
    <w:pPr>
      <w:spacing w:line="480" w:lineRule="auto"/>
      <w:ind w:firstLine="1440"/>
    </w:pPr>
    <w:rPr>
      <w:rFonts w:asciiTheme="minorHAnsi" w:eastAsiaTheme="minorEastAsia" w:hAnsiTheme="minorHAnsi"/>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eadingtitle">
    <w:name w:val="Pleading title"/>
    <w:basedOn w:val="Normal"/>
    <w:link w:val="PleadingtitleChar"/>
    <w:uiPriority w:val="1"/>
    <w:qFormat/>
    <w:rsid w:val="00B24949"/>
    <w:pPr>
      <w:spacing w:line="240" w:lineRule="auto"/>
      <w:ind w:firstLine="0"/>
    </w:pPr>
    <w:rPr>
      <w:caps/>
    </w:rPr>
  </w:style>
  <w:style w:type="character" w:customStyle="1" w:styleId="PleadingtitleChar">
    <w:name w:val="Pleading title Char"/>
    <w:basedOn w:val="DefaultParagraphFont"/>
    <w:link w:val="Pleadingtitle"/>
    <w:uiPriority w:val="1"/>
    <w:rsid w:val="00B24949"/>
    <w:rPr>
      <w:rFonts w:asciiTheme="minorHAnsi" w:eastAsiaTheme="minorEastAsia" w:hAnsiTheme="minorHAnsi"/>
      <w:caps/>
      <w:sz w:val="20"/>
      <w:szCs w:val="20"/>
      <w:lang w:eastAsia="ja-JP"/>
    </w:rPr>
  </w:style>
  <w:style w:type="paragraph" w:customStyle="1" w:styleId="CourtName">
    <w:name w:val="Court Name"/>
    <w:basedOn w:val="Normal"/>
    <w:link w:val="CourtNameChar"/>
    <w:qFormat/>
    <w:rsid w:val="00B24949"/>
    <w:pPr>
      <w:spacing w:before="240"/>
      <w:ind w:firstLine="0"/>
      <w:contextualSpacing/>
      <w:jc w:val="center"/>
    </w:pPr>
    <w:rPr>
      <w:caps/>
      <w:sz w:val="26"/>
    </w:rPr>
  </w:style>
  <w:style w:type="paragraph" w:customStyle="1" w:styleId="AttorneyName">
    <w:name w:val="Attorney Name"/>
    <w:basedOn w:val="Normal"/>
    <w:link w:val="AttorneyNameChar"/>
    <w:qFormat/>
    <w:rsid w:val="00B24949"/>
    <w:pPr>
      <w:spacing w:line="240" w:lineRule="auto"/>
      <w:ind w:firstLine="0"/>
      <w:contextualSpacing/>
    </w:pPr>
    <w:rPr>
      <w:sz w:val="26"/>
    </w:rPr>
  </w:style>
  <w:style w:type="paragraph" w:customStyle="1" w:styleId="LineNumbers">
    <w:name w:val="Line Numbers"/>
    <w:basedOn w:val="Normal"/>
    <w:uiPriority w:val="1"/>
    <w:qFormat/>
    <w:rsid w:val="00B24949"/>
    <w:pPr>
      <w:ind w:firstLine="0"/>
      <w:jc w:val="right"/>
    </w:pPr>
  </w:style>
  <w:style w:type="paragraph" w:customStyle="1" w:styleId="CaseNo">
    <w:name w:val="Case No."/>
    <w:basedOn w:val="Normal"/>
    <w:link w:val="CaseNoChar"/>
    <w:uiPriority w:val="1"/>
    <w:qFormat/>
    <w:rsid w:val="00B24949"/>
    <w:pPr>
      <w:spacing w:after="640" w:line="240" w:lineRule="auto"/>
      <w:ind w:firstLine="0"/>
    </w:pPr>
  </w:style>
  <w:style w:type="character" w:customStyle="1" w:styleId="AttorneyNameChar">
    <w:name w:val="Attorney Name Char"/>
    <w:basedOn w:val="DefaultParagraphFont"/>
    <w:link w:val="AttorneyName"/>
    <w:rsid w:val="00B24949"/>
    <w:rPr>
      <w:rFonts w:asciiTheme="minorHAnsi" w:eastAsiaTheme="minorEastAsia" w:hAnsiTheme="minorHAnsi"/>
      <w:sz w:val="26"/>
      <w:szCs w:val="20"/>
      <w:lang w:eastAsia="ja-JP"/>
    </w:rPr>
  </w:style>
  <w:style w:type="character" w:customStyle="1" w:styleId="CourtNameChar">
    <w:name w:val="Court Name Char"/>
    <w:basedOn w:val="DefaultParagraphFont"/>
    <w:link w:val="CourtName"/>
    <w:rsid w:val="00B24949"/>
    <w:rPr>
      <w:rFonts w:asciiTheme="minorHAnsi" w:eastAsiaTheme="minorEastAsia" w:hAnsiTheme="minorHAnsi"/>
      <w:caps/>
      <w:sz w:val="26"/>
      <w:szCs w:val="20"/>
      <w:lang w:eastAsia="ja-JP"/>
    </w:rPr>
  </w:style>
  <w:style w:type="character" w:customStyle="1" w:styleId="CaseNoChar">
    <w:name w:val="Case No. Char"/>
    <w:basedOn w:val="DefaultParagraphFont"/>
    <w:link w:val="CaseNo"/>
    <w:uiPriority w:val="1"/>
    <w:rsid w:val="00B24949"/>
    <w:rPr>
      <w:rFonts w:asciiTheme="minorHAnsi" w:eastAsiaTheme="minorEastAsia" w:hAnsiTheme="minorHAnsi"/>
      <w:sz w:val="20"/>
      <w:szCs w:val="20"/>
      <w:lang w:eastAsia="ja-JP"/>
    </w:rPr>
  </w:style>
  <w:style w:type="paragraph" w:customStyle="1" w:styleId="Default">
    <w:name w:val="Default"/>
    <w:rsid w:val="00B24949"/>
    <w:pPr>
      <w:autoSpaceDE w:val="0"/>
      <w:autoSpaceDN w:val="0"/>
      <w:adjustRightInd w:val="0"/>
    </w:pPr>
    <w:rPr>
      <w:rFonts w:ascii="Times New Roman" w:hAnsi="Times New Roman" w:cs="Times New Roman"/>
      <w:color w:val="000000"/>
      <w:szCs w:val="24"/>
    </w:rPr>
  </w:style>
  <w:style w:type="paragraph" w:styleId="Footer">
    <w:name w:val="footer"/>
    <w:basedOn w:val="Normal"/>
    <w:link w:val="FooterChar"/>
    <w:uiPriority w:val="99"/>
    <w:unhideWhenUsed/>
    <w:rsid w:val="00B24949"/>
    <w:pPr>
      <w:tabs>
        <w:tab w:val="center" w:pos="4680"/>
        <w:tab w:val="right" w:pos="9360"/>
      </w:tabs>
      <w:spacing w:line="240" w:lineRule="auto"/>
    </w:pPr>
  </w:style>
  <w:style w:type="character" w:customStyle="1" w:styleId="FooterChar">
    <w:name w:val="Footer Char"/>
    <w:basedOn w:val="DefaultParagraphFont"/>
    <w:link w:val="Footer"/>
    <w:uiPriority w:val="99"/>
    <w:rsid w:val="00B24949"/>
    <w:rPr>
      <w:rFonts w:asciiTheme="minorHAnsi" w:eastAsiaTheme="minorEastAsia" w:hAnsiTheme="minorHAnsi"/>
      <w:sz w:val="20"/>
      <w:szCs w:val="20"/>
      <w:lang w:eastAsia="ja-JP"/>
    </w:rPr>
  </w:style>
  <w:style w:type="paragraph" w:styleId="BalloonText">
    <w:name w:val="Balloon Text"/>
    <w:basedOn w:val="Normal"/>
    <w:link w:val="BalloonTextChar"/>
    <w:uiPriority w:val="99"/>
    <w:semiHidden/>
    <w:unhideWhenUsed/>
    <w:rsid w:val="009D25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586"/>
    <w:rPr>
      <w:rFonts w:ascii="Segoe UI" w:eastAsiaTheme="minorEastAsia" w:hAnsi="Segoe UI" w:cs="Segoe UI"/>
      <w:sz w:val="18"/>
      <w:szCs w:val="18"/>
      <w:lang w:eastAsia="ja-JP"/>
    </w:rPr>
  </w:style>
  <w:style w:type="character" w:styleId="CommentReference">
    <w:name w:val="annotation reference"/>
    <w:basedOn w:val="DefaultParagraphFont"/>
    <w:uiPriority w:val="99"/>
    <w:semiHidden/>
    <w:unhideWhenUsed/>
    <w:rsid w:val="009D2586"/>
    <w:rPr>
      <w:sz w:val="16"/>
      <w:szCs w:val="16"/>
    </w:rPr>
  </w:style>
  <w:style w:type="paragraph" w:styleId="CommentText">
    <w:name w:val="annotation text"/>
    <w:basedOn w:val="Normal"/>
    <w:link w:val="CommentTextChar"/>
    <w:uiPriority w:val="99"/>
    <w:semiHidden/>
    <w:unhideWhenUsed/>
    <w:rsid w:val="009D2586"/>
    <w:pPr>
      <w:spacing w:line="240" w:lineRule="auto"/>
    </w:pPr>
  </w:style>
  <w:style w:type="character" w:customStyle="1" w:styleId="CommentTextChar">
    <w:name w:val="Comment Text Char"/>
    <w:basedOn w:val="DefaultParagraphFont"/>
    <w:link w:val="CommentText"/>
    <w:uiPriority w:val="99"/>
    <w:semiHidden/>
    <w:rsid w:val="009D2586"/>
    <w:rPr>
      <w:rFonts w:asciiTheme="minorHAnsi" w:eastAsiaTheme="minorEastAsia" w:hAnsiTheme="minorHAnsi"/>
      <w:sz w:val="20"/>
      <w:szCs w:val="20"/>
      <w:lang w:eastAsia="ja-JP"/>
    </w:rPr>
  </w:style>
  <w:style w:type="paragraph" w:styleId="CommentSubject">
    <w:name w:val="annotation subject"/>
    <w:basedOn w:val="CommentText"/>
    <w:next w:val="CommentText"/>
    <w:link w:val="CommentSubjectChar"/>
    <w:uiPriority w:val="99"/>
    <w:semiHidden/>
    <w:unhideWhenUsed/>
    <w:rsid w:val="009D2586"/>
    <w:rPr>
      <w:b/>
      <w:bCs/>
    </w:rPr>
  </w:style>
  <w:style w:type="character" w:customStyle="1" w:styleId="CommentSubjectChar">
    <w:name w:val="Comment Subject Char"/>
    <w:basedOn w:val="CommentTextChar"/>
    <w:link w:val="CommentSubject"/>
    <w:uiPriority w:val="99"/>
    <w:semiHidden/>
    <w:rsid w:val="009D2586"/>
    <w:rPr>
      <w:rFonts w:asciiTheme="minorHAnsi" w:eastAsiaTheme="minorEastAsia" w:hAnsiTheme="minorHAnsi"/>
      <w:b/>
      <w:bCs/>
      <w:sz w:val="20"/>
      <w:szCs w:val="20"/>
      <w:lang w:eastAsia="ja-JP"/>
    </w:rPr>
  </w:style>
  <w:style w:type="character" w:styleId="Hyperlink">
    <w:name w:val="Hyperlink"/>
    <w:basedOn w:val="DefaultParagraphFont"/>
    <w:uiPriority w:val="99"/>
    <w:unhideWhenUsed/>
    <w:rsid w:val="001462A3"/>
    <w:rPr>
      <w:color w:val="0563C1" w:themeColor="hyperlink"/>
      <w:u w:val="single"/>
    </w:rPr>
  </w:style>
  <w:style w:type="paragraph" w:styleId="ListParagraph">
    <w:name w:val="List Paragraph"/>
    <w:basedOn w:val="Normal"/>
    <w:uiPriority w:val="34"/>
    <w:unhideWhenUsed/>
    <w:qFormat/>
    <w:rsid w:val="001462A3"/>
    <w:pPr>
      <w:spacing w:after="120" w:line="259" w:lineRule="auto"/>
      <w:ind w:left="720" w:firstLine="0"/>
      <w:contextualSpacing/>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law.com/Document/NCD2F3C30A38A11E986FD89EF0EF99C97/View/FullText.html?transitionType=Default&amp;contextData=(sc.Default)&amp;VR=3.0&amp;RS=cblt1.0" TargetMode="External"/><Relationship Id="rId13" Type="http://schemas.openxmlformats.org/officeDocument/2006/relationships/hyperlink" Target="https://www.njcourts.gov/pressrel/2014/Bench%20Manual%20on%20Jury%20Selection%20-%20promulgated%20Dec%204%202014.pdf" TargetMode="External"/><Relationship Id="rId18" Type="http://schemas.openxmlformats.org/officeDocument/2006/relationships/hyperlink" Target="https://www.westlaw.com/Document/Iaa67dae4da1d11d99439b076ef9ec4de/View/FullText.html?transitionType=Default&amp;contextData=(sc.Default)&amp;VR=3.0&amp;RS=cblt1.0" TargetMode="External"/><Relationship Id="rId26" Type="http://schemas.openxmlformats.org/officeDocument/2006/relationships/hyperlink" Target="https://www.ncbi.nlm.nih.gov/pmc/articles/PMC4733480/" TargetMode="External"/><Relationship Id="rId3" Type="http://schemas.openxmlformats.org/officeDocument/2006/relationships/settings" Target="settings.xml"/><Relationship Id="rId21" Type="http://schemas.openxmlformats.org/officeDocument/2006/relationships/hyperlink" Target="https://www.westlaw.com/Document/I5162254ad23011d9a489ee624f1f6e1a/View/FullText.html?transitionType=Default&amp;contextData=(sc.Default)&amp;VR=3.0&amp;RS=cblt1.0" TargetMode="External"/><Relationship Id="rId7" Type="http://schemas.openxmlformats.org/officeDocument/2006/relationships/hyperlink" Target="https://www.cdc.gov/media/releases/2018/p0816-disability.html" TargetMode="External"/><Relationship Id="rId12" Type="http://schemas.openxmlformats.org/officeDocument/2006/relationships/hyperlink" Target="https://www.westlaw.com/Document/I86300d2e9c9011d993e6d35cc61aab4a/View/FullText.html?transitionType=Default&amp;contextData=(sc.Default)&amp;VR=3.0&amp;RS=cblt1.0" TargetMode="External"/><Relationship Id="rId17" Type="http://schemas.openxmlformats.org/officeDocument/2006/relationships/hyperlink" Target="https://www.nfb.org/images/nfb/publications/bm/bm19/bm1909/bm190912.htm" TargetMode="External"/><Relationship Id="rId25" Type="http://schemas.openxmlformats.org/officeDocument/2006/relationships/hyperlink" Target="https://www.westlaw.com/Document/NCD2F3C30A38A11E986FD89EF0EF99C97/View/FullText.html?transitionType=Default&amp;contextData=(sc.Default)&amp;VR=3.0&amp;RS=cblt1.0" TargetMode="External"/><Relationship Id="rId2" Type="http://schemas.openxmlformats.org/officeDocument/2006/relationships/styles" Target="styles.xml"/><Relationship Id="rId16" Type="http://schemas.openxmlformats.org/officeDocument/2006/relationships/hyperlink" Target="https://www.westlaw.com/Document/I09184ff0437e11eaa21cb04c67e0c07f/View/FullText.html?transitionType=Default&amp;contextData=(sc.Default)&amp;VR=3.0&amp;RS=cblt1.0" TargetMode="External"/><Relationship Id="rId20" Type="http://schemas.openxmlformats.org/officeDocument/2006/relationships/hyperlink" Target="https://www.westlaw.com/Document/I176bec0e953e11d9bc61beebb95be672/View/FullText.html?transitionType=Default&amp;contextData=(sc.Default)&amp;VR=3.0&amp;RS=cblt1.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tlaw.com/Document/Ife853fe148a911db876784559e94f880/View/FullText.html?transitionType=Default&amp;contextData=(sc.Default)&amp;VR=3.0&amp;RS=cblt1.0" TargetMode="External"/><Relationship Id="rId24" Type="http://schemas.openxmlformats.org/officeDocument/2006/relationships/hyperlink" Target="https://www.nylpi.org/wp-content/uploads/2015/03/Accessible-Justice-NYLPI-3-23-15.pdf" TargetMode="External"/><Relationship Id="rId5" Type="http://schemas.openxmlformats.org/officeDocument/2006/relationships/footnotes" Target="footnotes.xml"/><Relationship Id="rId15" Type="http://schemas.openxmlformats.org/officeDocument/2006/relationships/hyperlink" Target="https://www.westlaw.com/Document/Ib6b50ebc560311d9a99c85a9e6023ffa/View/FullText.html?transitionType=Default&amp;contextData=(sc.Default)&amp;VR=3.0&amp;RS=cblt1.0" TargetMode="External"/><Relationship Id="rId23" Type="http://schemas.openxmlformats.org/officeDocument/2006/relationships/hyperlink" Target="https://www.usatoday.com/story/news/nation/2015/05/10/deaf-juror-glad-duty-justices-sake/27068733/" TargetMode="External"/><Relationship Id="rId28" Type="http://schemas.openxmlformats.org/officeDocument/2006/relationships/footer" Target="footer1.xml"/><Relationship Id="rId10" Type="http://schemas.openxmlformats.org/officeDocument/2006/relationships/hyperlink" Target="https://www.westlaw.com/Document/N4D5109008F5411E6B21195A887DE7D6C/View/FullText.html?transitionType=Default&amp;contextData=(sc.Default)&amp;VR=3.0&amp;RS=cblt1.0" TargetMode="External"/><Relationship Id="rId19" Type="http://schemas.openxmlformats.org/officeDocument/2006/relationships/hyperlink" Target="https://www.westlaw.com/Document/Iaa67dae4da1d11d99439b076ef9ec4de/View/FullText.html?transitionType=Default&amp;contextData=(sc.Default)&amp;VR=3.0&amp;RS=cblt1.0" TargetMode="External"/><Relationship Id="rId4" Type="http://schemas.openxmlformats.org/officeDocument/2006/relationships/webSettings" Target="webSettings.xml"/><Relationship Id="rId9" Type="http://schemas.openxmlformats.org/officeDocument/2006/relationships/hyperlink" Target="https://www.westlaw.com/Document/I72ec0f829c9a11d991d0cc6b54f12d4d/View/FullText.html?transitionType=Default&amp;contextData=(sc.Default)&amp;VR=3.0&amp;RS=cblt1.0" TargetMode="External"/><Relationship Id="rId14" Type="http://schemas.openxmlformats.org/officeDocument/2006/relationships/hyperlink" Target="https://www.westlaw.com/Document/Ifa7abaa1499a11db99a18fc28eb0d9ae/View/FullText.html?transitionType=Default&amp;contextData=(sc.Default)&amp;VR=3.0&amp;RS=cblt1.0" TargetMode="External"/><Relationship Id="rId22" Type="http://schemas.openxmlformats.org/officeDocument/2006/relationships/hyperlink" Target="https://www.westlaw.com/Document/I6f2a8993f38c11d98ac8f235252e36df/View/FullText.html?transitionType=Default&amp;contextData=(sc.Default)&amp;VR=3.0&amp;RS=cblt1.0"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MOTION FOR LEAVE TO EXCEED PAGE LIMIT IN FILING SUPPLEMENTAL BRIEF [Doc. 24]</vt:lpstr>
    </vt:vector>
  </TitlesOfParts>
  <Company>Microsoft</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LEAVE TO EXCEED PAGE LIMIT IN FILING SUPPLEMENTAL BRIEF [Doc. 24]</dc:title>
  <dc:subject/>
  <dc:creator>Maya Abela</dc:creator>
  <cp:keywords/>
  <dc:description/>
  <cp:lastModifiedBy>meaghan.kramer@gmail.com</cp:lastModifiedBy>
  <cp:revision>10</cp:revision>
  <dcterms:created xsi:type="dcterms:W3CDTF">2021-05-03T00:57:00Z</dcterms:created>
  <dcterms:modified xsi:type="dcterms:W3CDTF">2021-05-03T01:05:00Z</dcterms:modified>
</cp:coreProperties>
</file>