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A8618D" w14:paraId="2DD96AE8" w14:textId="77777777" w:rsidTr="006F63FD">
        <w:trPr>
          <w:cantSplit/>
          <w:trHeight w:val="1987"/>
        </w:trPr>
        <w:tc>
          <w:tcPr>
            <w:tcW w:w="4836" w:type="dxa"/>
          </w:tcPr>
          <w:p w14:paraId="3B92AF78" w14:textId="77777777" w:rsidR="00000C35" w:rsidRPr="00105E85" w:rsidRDefault="00F850BE" w:rsidP="00000C35">
            <w:pPr>
              <w:pStyle w:val="FirmInformation"/>
              <w:spacing w:line="240" w:lineRule="auto"/>
              <w:rPr>
                <w:color w:val="000000" w:themeColor="text1"/>
                <w:sz w:val="28"/>
                <w:szCs w:val="28"/>
              </w:rPr>
            </w:pPr>
            <w:bookmarkStart w:id="0" w:name="_zzmpFIXED_CounselTable"/>
            <w:r w:rsidRPr="00105E85">
              <w:rPr>
                <w:color w:val="000000" w:themeColor="text1"/>
                <w:sz w:val="28"/>
                <w:szCs w:val="28"/>
              </w:rPr>
              <w:t>Lisa M. Panahi</w:t>
            </w:r>
            <w:r w:rsidR="00732169" w:rsidRPr="00105E85">
              <w:rPr>
                <w:color w:val="000000" w:themeColor="text1"/>
                <w:sz w:val="28"/>
                <w:szCs w:val="28"/>
              </w:rPr>
              <w:t xml:space="preserve">, </w:t>
            </w:r>
            <w:r w:rsidRPr="00105E85">
              <w:rPr>
                <w:color w:val="000000" w:themeColor="text1"/>
                <w:sz w:val="28"/>
                <w:szCs w:val="28"/>
              </w:rPr>
              <w:t>Bar No. 023421</w:t>
            </w:r>
            <w:r w:rsidR="00732169" w:rsidRPr="00105E85">
              <w:rPr>
                <w:color w:val="000000" w:themeColor="text1"/>
                <w:sz w:val="28"/>
                <w:szCs w:val="28"/>
              </w:rPr>
              <w:br/>
            </w:r>
            <w:r w:rsidR="006F63FD" w:rsidRPr="00105E85">
              <w:rPr>
                <w:color w:val="000000" w:themeColor="text1"/>
                <w:sz w:val="28"/>
                <w:szCs w:val="28"/>
              </w:rPr>
              <w:t>General Counsel</w:t>
            </w:r>
          </w:p>
          <w:p w14:paraId="056261EB" w14:textId="77777777" w:rsidR="00494BDF" w:rsidRPr="00105E85" w:rsidRDefault="00494BDF" w:rsidP="00000C35">
            <w:pPr>
              <w:pStyle w:val="FirmInformation"/>
              <w:spacing w:line="240" w:lineRule="auto"/>
              <w:rPr>
                <w:color w:val="000000" w:themeColor="text1"/>
                <w:sz w:val="28"/>
                <w:szCs w:val="28"/>
              </w:rPr>
            </w:pPr>
            <w:r w:rsidRPr="00105E85">
              <w:rPr>
                <w:color w:val="000000" w:themeColor="text1"/>
                <w:sz w:val="28"/>
                <w:szCs w:val="28"/>
              </w:rPr>
              <w:t>State Bar of Arizona</w:t>
            </w:r>
          </w:p>
          <w:p w14:paraId="2A532740" w14:textId="77777777" w:rsidR="00357F4D" w:rsidRPr="00105E85" w:rsidRDefault="00357F4D" w:rsidP="00000C35">
            <w:pPr>
              <w:pStyle w:val="FirmInformation"/>
              <w:spacing w:line="240" w:lineRule="auto"/>
              <w:rPr>
                <w:color w:val="000000" w:themeColor="text1"/>
                <w:sz w:val="28"/>
                <w:szCs w:val="28"/>
              </w:rPr>
            </w:pPr>
            <w:r w:rsidRPr="00105E85">
              <w:rPr>
                <w:color w:val="000000" w:themeColor="text1"/>
                <w:sz w:val="28"/>
                <w:szCs w:val="28"/>
              </w:rPr>
              <w:t>4201 N. 24th Street, Suite 100</w:t>
            </w:r>
          </w:p>
          <w:p w14:paraId="5315828A" w14:textId="77777777" w:rsidR="00357F4D" w:rsidRPr="00105E85" w:rsidRDefault="00357F4D" w:rsidP="00000C35">
            <w:pPr>
              <w:pStyle w:val="FirmInformation"/>
              <w:spacing w:line="240" w:lineRule="auto"/>
              <w:rPr>
                <w:color w:val="000000" w:themeColor="text1"/>
                <w:sz w:val="28"/>
                <w:szCs w:val="28"/>
              </w:rPr>
            </w:pPr>
            <w:r w:rsidRPr="00105E85">
              <w:rPr>
                <w:color w:val="000000" w:themeColor="text1"/>
                <w:sz w:val="28"/>
                <w:szCs w:val="28"/>
              </w:rPr>
              <w:t>Phoenix, AZ  85016-6288</w:t>
            </w:r>
          </w:p>
          <w:p w14:paraId="7B3DBC20" w14:textId="77777777" w:rsidR="006F63FD" w:rsidRPr="00105E85" w:rsidRDefault="00352347" w:rsidP="00735659">
            <w:pPr>
              <w:pStyle w:val="FirmInformation"/>
              <w:spacing w:line="240" w:lineRule="auto"/>
              <w:rPr>
                <w:color w:val="000000" w:themeColor="text1"/>
                <w:sz w:val="28"/>
                <w:szCs w:val="28"/>
              </w:rPr>
            </w:pPr>
            <w:r w:rsidRPr="00105E85">
              <w:rPr>
                <w:color w:val="000000" w:themeColor="text1"/>
                <w:sz w:val="28"/>
                <w:szCs w:val="28"/>
              </w:rPr>
              <w:t>(602) 340-7236</w:t>
            </w:r>
          </w:p>
        </w:tc>
        <w:tc>
          <w:tcPr>
            <w:tcW w:w="4200" w:type="dxa"/>
          </w:tcPr>
          <w:p w14:paraId="0A670938" w14:textId="77777777" w:rsidR="00357F4D" w:rsidRPr="00105E85" w:rsidRDefault="00357F4D" w:rsidP="00000C35">
            <w:pPr>
              <w:ind w:left="113" w:right="113"/>
              <w:rPr>
                <w:color w:val="000000" w:themeColor="text1"/>
                <w:sz w:val="28"/>
                <w:szCs w:val="28"/>
              </w:rPr>
            </w:pPr>
          </w:p>
        </w:tc>
      </w:tr>
      <w:bookmarkEnd w:id="0"/>
    </w:tbl>
    <w:p w14:paraId="08E71DA7" w14:textId="77777777" w:rsidR="00357F4D" w:rsidRPr="00105E85" w:rsidRDefault="00357F4D" w:rsidP="00735659">
      <w:pPr>
        <w:pStyle w:val="Court"/>
        <w:spacing w:line="508" w:lineRule="exact"/>
        <w:jc w:val="left"/>
        <w:rPr>
          <w:b/>
          <w:color w:val="000000" w:themeColor="text1"/>
          <w:sz w:val="28"/>
          <w:szCs w:val="28"/>
        </w:rPr>
      </w:pPr>
    </w:p>
    <w:p w14:paraId="25693B34" w14:textId="77777777" w:rsidR="000C48A9" w:rsidRPr="00105E85" w:rsidRDefault="000F7A7F" w:rsidP="00000C35">
      <w:pPr>
        <w:pStyle w:val="Court"/>
        <w:spacing w:line="240" w:lineRule="auto"/>
        <w:rPr>
          <w:b/>
          <w:color w:val="000000" w:themeColor="text1"/>
          <w:sz w:val="28"/>
          <w:szCs w:val="28"/>
        </w:rPr>
      </w:pPr>
      <w:r w:rsidRPr="00105E85">
        <w:rPr>
          <w:b/>
          <w:color w:val="000000" w:themeColor="text1"/>
          <w:sz w:val="28"/>
          <w:szCs w:val="28"/>
        </w:rPr>
        <w:t>IN THE SUPREME COURT</w:t>
      </w:r>
      <w:r w:rsidRPr="00105E85">
        <w:rPr>
          <w:b/>
          <w:color w:val="000000" w:themeColor="text1"/>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A8618D" w14:paraId="024B1021" w14:textId="77777777" w:rsidTr="004331B2">
        <w:tc>
          <w:tcPr>
            <w:tcW w:w="4680" w:type="dxa"/>
            <w:tcBorders>
              <w:top w:val="nil"/>
              <w:bottom w:val="single" w:sz="4" w:space="0" w:color="auto"/>
              <w:right w:val="single" w:sz="4" w:space="0" w:color="auto"/>
            </w:tcBorders>
            <w:shd w:val="clear" w:color="auto" w:fill="auto"/>
          </w:tcPr>
          <w:p w14:paraId="511101D2" w14:textId="77777777" w:rsidR="00357F4D" w:rsidRPr="00105E85" w:rsidRDefault="00357F4D" w:rsidP="00E321C5">
            <w:pPr>
              <w:pStyle w:val="Caption"/>
              <w:spacing w:before="240" w:line="260" w:lineRule="exact"/>
              <w:rPr>
                <w:color w:val="000000" w:themeColor="text1"/>
                <w:sz w:val="28"/>
                <w:szCs w:val="28"/>
              </w:rPr>
            </w:pPr>
            <w:bookmarkStart w:id="1" w:name="_zzmpFIXED_CaptionTable"/>
            <w:r w:rsidRPr="00105E85">
              <w:rPr>
                <w:color w:val="000000" w:themeColor="text1"/>
                <w:sz w:val="28"/>
                <w:szCs w:val="28"/>
              </w:rPr>
              <w:t>In the Matter of:</w:t>
            </w:r>
          </w:p>
          <w:p w14:paraId="03963DD5" w14:textId="54D879AA" w:rsidR="00357F4D" w:rsidRPr="00105E85" w:rsidRDefault="00E72A54" w:rsidP="00E321C5">
            <w:pPr>
              <w:pStyle w:val="Caption"/>
              <w:spacing w:before="240" w:after="240"/>
              <w:rPr>
                <w:color w:val="000000" w:themeColor="text1"/>
                <w:sz w:val="28"/>
                <w:szCs w:val="28"/>
              </w:rPr>
            </w:pPr>
            <w:r w:rsidRPr="00105E85">
              <w:rPr>
                <w:b/>
                <w:color w:val="000000" w:themeColor="text1"/>
                <w:sz w:val="28"/>
                <w:szCs w:val="28"/>
              </w:rPr>
              <w:t>PETITION TO AMEND RULE 18.4 AND 18.5 OF THE ARIZONA RULES OF CRIMINAL PROCEDURE AND RULE 47(e) OF THE ARIZONA RULES OF CIVIL PROCEDURE</w:t>
            </w:r>
            <w:r w:rsidRPr="00105E85">
              <w:rPr>
                <w:color w:val="000000" w:themeColor="text1"/>
                <w:sz w:val="28"/>
                <w:szCs w:val="28"/>
              </w:rPr>
              <w:t xml:space="preserve"> </w:t>
            </w:r>
          </w:p>
        </w:tc>
        <w:tc>
          <w:tcPr>
            <w:tcW w:w="4524" w:type="dxa"/>
            <w:tcBorders>
              <w:top w:val="nil"/>
              <w:left w:val="single" w:sz="4" w:space="0" w:color="auto"/>
            </w:tcBorders>
            <w:shd w:val="clear" w:color="auto" w:fill="auto"/>
          </w:tcPr>
          <w:p w14:paraId="35CED5CB" w14:textId="3E390DBE" w:rsidR="00357F4D" w:rsidRPr="00105E85" w:rsidRDefault="00357F4D" w:rsidP="00E321C5">
            <w:pPr>
              <w:pStyle w:val="Caption"/>
              <w:tabs>
                <w:tab w:val="left" w:pos="1238"/>
              </w:tabs>
              <w:spacing w:before="240" w:after="240"/>
              <w:ind w:left="259" w:right="115"/>
              <w:rPr>
                <w:color w:val="000000" w:themeColor="text1"/>
                <w:sz w:val="28"/>
                <w:szCs w:val="28"/>
              </w:rPr>
            </w:pPr>
            <w:r w:rsidRPr="00105E85">
              <w:rPr>
                <w:color w:val="000000" w:themeColor="text1"/>
                <w:sz w:val="28"/>
                <w:szCs w:val="28"/>
              </w:rPr>
              <w:t>Supreme Court No. R-</w:t>
            </w:r>
            <w:r w:rsidR="008A4EB3" w:rsidRPr="00105E85">
              <w:rPr>
                <w:color w:val="000000" w:themeColor="text1"/>
                <w:sz w:val="28"/>
                <w:szCs w:val="28"/>
              </w:rPr>
              <w:t>2</w:t>
            </w:r>
            <w:r w:rsidR="006E4770" w:rsidRPr="00105E85">
              <w:rPr>
                <w:color w:val="000000" w:themeColor="text1"/>
                <w:sz w:val="28"/>
                <w:szCs w:val="28"/>
              </w:rPr>
              <w:t>1</w:t>
            </w:r>
            <w:r w:rsidR="00F850BE" w:rsidRPr="00105E85">
              <w:rPr>
                <w:color w:val="000000" w:themeColor="text1"/>
                <w:sz w:val="28"/>
                <w:szCs w:val="28"/>
              </w:rPr>
              <w:t>-</w:t>
            </w:r>
            <w:r w:rsidR="00E72A54" w:rsidRPr="00105E85">
              <w:rPr>
                <w:color w:val="000000" w:themeColor="text1"/>
                <w:sz w:val="28"/>
                <w:szCs w:val="28"/>
              </w:rPr>
              <w:t>0020</w:t>
            </w:r>
          </w:p>
          <w:p w14:paraId="5AEC962D" w14:textId="72B28894" w:rsidR="00357F4D" w:rsidRPr="00105E85" w:rsidRDefault="00E72A54" w:rsidP="000F7A7F">
            <w:pPr>
              <w:pStyle w:val="Caption"/>
              <w:tabs>
                <w:tab w:val="left" w:pos="1238"/>
              </w:tabs>
              <w:spacing w:line="260" w:lineRule="exact"/>
              <w:ind w:right="115"/>
              <w:jc w:val="center"/>
              <w:rPr>
                <w:b/>
                <w:color w:val="000000" w:themeColor="text1"/>
                <w:sz w:val="28"/>
                <w:szCs w:val="28"/>
              </w:rPr>
            </w:pPr>
            <w:r w:rsidRPr="00105E85">
              <w:rPr>
                <w:b/>
                <w:color w:val="000000" w:themeColor="text1"/>
                <w:sz w:val="28"/>
                <w:szCs w:val="28"/>
              </w:rPr>
              <w:t xml:space="preserve">COMMENT OF </w:t>
            </w:r>
            <w:r w:rsidRPr="00105E85">
              <w:rPr>
                <w:b/>
                <w:color w:val="000000" w:themeColor="text1"/>
                <w:sz w:val="28"/>
                <w:szCs w:val="28"/>
              </w:rPr>
              <w:br/>
              <w:t>THE STATE BAR OF ARIZONA</w:t>
            </w:r>
          </w:p>
          <w:p w14:paraId="414A167D" w14:textId="77777777" w:rsidR="00357F4D" w:rsidRPr="00105E85" w:rsidRDefault="00357F4D" w:rsidP="00E321C5">
            <w:pPr>
              <w:pStyle w:val="DocumentTitle"/>
              <w:rPr>
                <w:color w:val="000000" w:themeColor="text1"/>
                <w:sz w:val="28"/>
                <w:szCs w:val="28"/>
              </w:rPr>
            </w:pPr>
          </w:p>
          <w:p w14:paraId="524D8097" w14:textId="77777777" w:rsidR="00357F4D" w:rsidRPr="00105E85" w:rsidRDefault="00357F4D" w:rsidP="00E321C5">
            <w:pPr>
              <w:pStyle w:val="Caption"/>
              <w:ind w:left="1512" w:right="115" w:hanging="1253"/>
              <w:rPr>
                <w:color w:val="000000" w:themeColor="text1"/>
                <w:sz w:val="28"/>
                <w:szCs w:val="28"/>
              </w:rPr>
            </w:pPr>
          </w:p>
        </w:tc>
      </w:tr>
      <w:bookmarkEnd w:id="1"/>
    </w:tbl>
    <w:p w14:paraId="14B66B5A" w14:textId="77777777" w:rsidR="004331B2" w:rsidRPr="00105E85" w:rsidRDefault="004331B2" w:rsidP="006338C1">
      <w:pPr>
        <w:pStyle w:val="Body"/>
        <w:widowControl w:val="0"/>
        <w:ind w:firstLine="720"/>
        <w:jc w:val="both"/>
        <w:rPr>
          <w:color w:val="000000" w:themeColor="text1"/>
          <w:sz w:val="28"/>
          <w:szCs w:val="28"/>
        </w:rPr>
      </w:pPr>
    </w:p>
    <w:p w14:paraId="09192318" w14:textId="498D8C9C" w:rsidR="00E72A54" w:rsidRPr="00105E85" w:rsidRDefault="00E72A54" w:rsidP="00105E85">
      <w:pPr>
        <w:pStyle w:val="Body"/>
        <w:widowControl w:val="0"/>
        <w:spacing w:line="480" w:lineRule="auto"/>
        <w:ind w:firstLine="720"/>
        <w:jc w:val="both"/>
        <w:rPr>
          <w:color w:val="000000" w:themeColor="text1"/>
        </w:rPr>
      </w:pPr>
      <w:r w:rsidRPr="00105E85">
        <w:rPr>
          <w:color w:val="000000" w:themeColor="text1"/>
          <w:sz w:val="28"/>
          <w:szCs w:val="28"/>
        </w:rPr>
        <w:t xml:space="preserve">Judges Peter B. Swann and Paul J. </w:t>
      </w:r>
      <w:proofErr w:type="spellStart"/>
      <w:r w:rsidRPr="00105E85">
        <w:rPr>
          <w:color w:val="000000" w:themeColor="text1"/>
          <w:sz w:val="28"/>
          <w:szCs w:val="28"/>
        </w:rPr>
        <w:t>McMurdie</w:t>
      </w:r>
      <w:proofErr w:type="spellEnd"/>
      <w:r w:rsidRPr="00105E85">
        <w:rPr>
          <w:color w:val="000000" w:themeColor="text1"/>
          <w:sz w:val="28"/>
          <w:szCs w:val="28"/>
        </w:rPr>
        <w:t xml:space="preserve"> of the Arizona Court of Appeals propose amendments to the Rules of Criminal and Civil Procedure </w:t>
      </w:r>
      <w:r w:rsidR="009C4BAD" w:rsidRPr="00105E85">
        <w:rPr>
          <w:color w:val="000000" w:themeColor="text1"/>
          <w:sz w:val="28"/>
          <w:szCs w:val="28"/>
        </w:rPr>
        <w:t>to</w:t>
      </w:r>
      <w:r w:rsidRPr="00105E85">
        <w:rPr>
          <w:color w:val="000000" w:themeColor="text1"/>
          <w:sz w:val="28"/>
          <w:szCs w:val="28"/>
        </w:rPr>
        <w:t xml:space="preserve"> eliminate </w:t>
      </w:r>
      <w:r w:rsidR="009C4BAD" w:rsidRPr="00105E85">
        <w:rPr>
          <w:color w:val="000000" w:themeColor="text1"/>
          <w:sz w:val="28"/>
          <w:szCs w:val="28"/>
        </w:rPr>
        <w:t xml:space="preserve">all </w:t>
      </w:r>
      <w:r w:rsidRPr="00105E85">
        <w:rPr>
          <w:color w:val="000000" w:themeColor="text1"/>
          <w:sz w:val="28"/>
          <w:szCs w:val="28"/>
        </w:rPr>
        <w:t xml:space="preserve">peremptory jury strikes in civil and criminal trials.  </w:t>
      </w:r>
      <w:r w:rsidR="009C4BAD" w:rsidRPr="00105E85">
        <w:rPr>
          <w:color w:val="000000" w:themeColor="text1"/>
          <w:sz w:val="28"/>
          <w:szCs w:val="28"/>
        </w:rPr>
        <w:t>Pursuant to Rule 28(e) of the Arizona Rules of Supreme Court, the State Bar of Arizona hereby submits its comment in opposition</w:t>
      </w:r>
      <w:r w:rsidRPr="00105E85">
        <w:rPr>
          <w:color w:val="000000" w:themeColor="text1"/>
          <w:sz w:val="28"/>
          <w:szCs w:val="28"/>
        </w:rPr>
        <w:t>.</w:t>
      </w:r>
    </w:p>
    <w:p w14:paraId="24640106" w14:textId="56582BF0" w:rsidR="00E72A54" w:rsidRPr="00105E85" w:rsidRDefault="00E72A54" w:rsidP="00E72A54">
      <w:pPr>
        <w:pStyle w:val="Body"/>
        <w:widowControl w:val="0"/>
        <w:numPr>
          <w:ilvl w:val="0"/>
          <w:numId w:val="17"/>
        </w:numPr>
        <w:spacing w:line="240" w:lineRule="auto"/>
        <w:rPr>
          <w:b/>
          <w:color w:val="000000" w:themeColor="text1"/>
          <w:sz w:val="28"/>
          <w:szCs w:val="28"/>
        </w:rPr>
      </w:pPr>
      <w:r w:rsidRPr="00105E85">
        <w:rPr>
          <w:b/>
          <w:color w:val="000000" w:themeColor="text1"/>
          <w:sz w:val="28"/>
          <w:szCs w:val="28"/>
        </w:rPr>
        <w:t xml:space="preserve"> </w:t>
      </w:r>
      <w:r w:rsidRPr="00105E85">
        <w:rPr>
          <w:b/>
          <w:color w:val="000000" w:themeColor="text1"/>
          <w:sz w:val="28"/>
          <w:szCs w:val="28"/>
          <w:u w:val="single"/>
        </w:rPr>
        <w:t>Discussion/Analysis</w:t>
      </w:r>
    </w:p>
    <w:p w14:paraId="2B880A97" w14:textId="77777777" w:rsidR="00E72A54" w:rsidRPr="00105E85" w:rsidRDefault="00E72A54" w:rsidP="00E72A54">
      <w:pPr>
        <w:pStyle w:val="Body"/>
        <w:widowControl w:val="0"/>
        <w:spacing w:line="240" w:lineRule="auto"/>
        <w:ind w:firstLine="720"/>
        <w:rPr>
          <w:b/>
          <w:color w:val="000000" w:themeColor="text1"/>
          <w:sz w:val="28"/>
          <w:szCs w:val="28"/>
        </w:rPr>
      </w:pPr>
    </w:p>
    <w:p w14:paraId="1D0AFA4E" w14:textId="77777777" w:rsidR="00E72A54" w:rsidRPr="00105E85" w:rsidRDefault="00E72A54" w:rsidP="00E72A54">
      <w:pPr>
        <w:pStyle w:val="Body"/>
        <w:widowControl w:val="0"/>
        <w:numPr>
          <w:ilvl w:val="0"/>
          <w:numId w:val="15"/>
        </w:numPr>
        <w:spacing w:line="240" w:lineRule="auto"/>
        <w:rPr>
          <w:b/>
          <w:color w:val="000000" w:themeColor="text1"/>
          <w:sz w:val="28"/>
          <w:szCs w:val="28"/>
        </w:rPr>
      </w:pPr>
      <w:r w:rsidRPr="00105E85">
        <w:rPr>
          <w:b/>
          <w:color w:val="000000" w:themeColor="text1"/>
          <w:sz w:val="28"/>
          <w:szCs w:val="28"/>
        </w:rPr>
        <w:t>Peremptory Strikes are Needed to Secure Fair and Impartial Juries.</w:t>
      </w:r>
    </w:p>
    <w:p w14:paraId="493145B2" w14:textId="77777777" w:rsidR="00E72A54" w:rsidRPr="00105E85" w:rsidRDefault="00E72A54" w:rsidP="00E72A54">
      <w:pPr>
        <w:pStyle w:val="Body"/>
        <w:widowControl w:val="0"/>
        <w:spacing w:line="240" w:lineRule="auto"/>
        <w:ind w:left="1080" w:firstLine="0"/>
        <w:rPr>
          <w:b/>
          <w:color w:val="000000" w:themeColor="text1"/>
          <w:sz w:val="28"/>
          <w:szCs w:val="28"/>
        </w:rPr>
      </w:pPr>
    </w:p>
    <w:p w14:paraId="024BA2D2" w14:textId="38B69E27" w:rsidR="00E72A54" w:rsidRPr="00105E85" w:rsidRDefault="00E72A54" w:rsidP="00E72A54">
      <w:pPr>
        <w:pStyle w:val="Body"/>
        <w:widowControl w:val="0"/>
        <w:spacing w:line="480" w:lineRule="auto"/>
        <w:ind w:firstLine="720"/>
        <w:jc w:val="both"/>
        <w:rPr>
          <w:bCs/>
          <w:color w:val="000000" w:themeColor="text1"/>
          <w:sz w:val="28"/>
          <w:szCs w:val="28"/>
        </w:rPr>
      </w:pPr>
      <w:r w:rsidRPr="00105E85">
        <w:rPr>
          <w:bCs/>
          <w:color w:val="000000" w:themeColor="text1"/>
          <w:sz w:val="28"/>
          <w:szCs w:val="28"/>
        </w:rPr>
        <w:t xml:space="preserve">Petitioners </w:t>
      </w:r>
      <w:r w:rsidR="009C4BAD" w:rsidRPr="00105E85">
        <w:rPr>
          <w:bCs/>
          <w:color w:val="000000" w:themeColor="text1"/>
          <w:sz w:val="28"/>
          <w:szCs w:val="28"/>
        </w:rPr>
        <w:t xml:space="preserve">assert </w:t>
      </w:r>
      <w:r w:rsidRPr="00105E85">
        <w:rPr>
          <w:bCs/>
          <w:color w:val="000000" w:themeColor="text1"/>
          <w:sz w:val="28"/>
          <w:szCs w:val="28"/>
        </w:rPr>
        <w:t xml:space="preserve">that trial attorneys use peremptory challenges to “structure a jury favorable to his or her cause.” (Petition at 3).  The State Bar, however, submits that attorneys use peremptory strikes to structure a jury whose members will have </w:t>
      </w:r>
      <w:r w:rsidRPr="00105E85">
        <w:rPr>
          <w:bCs/>
          <w:color w:val="000000" w:themeColor="text1"/>
          <w:sz w:val="28"/>
          <w:szCs w:val="28"/>
        </w:rPr>
        <w:lastRenderedPageBreak/>
        <w:t xml:space="preserve">an open mind and be the most impartial.  </w:t>
      </w:r>
      <w:r w:rsidR="0026589A" w:rsidRPr="00105E85">
        <w:rPr>
          <w:bCs/>
          <w:color w:val="000000" w:themeColor="text1"/>
          <w:sz w:val="28"/>
          <w:szCs w:val="28"/>
        </w:rPr>
        <w:t xml:space="preserve">As </w:t>
      </w:r>
      <w:r w:rsidRPr="00105E85">
        <w:rPr>
          <w:bCs/>
          <w:color w:val="000000" w:themeColor="text1"/>
          <w:sz w:val="28"/>
          <w:szCs w:val="28"/>
        </w:rPr>
        <w:t xml:space="preserve">Justice O’Connor noted in </w:t>
      </w:r>
      <w:r w:rsidRPr="00105E85">
        <w:rPr>
          <w:bCs/>
          <w:i/>
          <w:iCs/>
          <w:color w:val="000000" w:themeColor="text1"/>
          <w:sz w:val="28"/>
          <w:szCs w:val="28"/>
        </w:rPr>
        <w:t>J.E.B. v. Alabama</w:t>
      </w:r>
      <w:r w:rsidRPr="00105E85">
        <w:rPr>
          <w:bCs/>
          <w:color w:val="000000" w:themeColor="text1"/>
          <w:sz w:val="28"/>
          <w:szCs w:val="28"/>
        </w:rPr>
        <w:t>, far from being a tool to secure a favorable jury, the peremptory challenge is the device by which parties try to secure fair, impartial, and unbiased juries:</w:t>
      </w:r>
    </w:p>
    <w:p w14:paraId="2AB20E02" w14:textId="50DE002E" w:rsidR="00E72A54" w:rsidRPr="00105E85" w:rsidRDefault="00E72A54" w:rsidP="00E72A54">
      <w:pPr>
        <w:pStyle w:val="Body"/>
        <w:widowControl w:val="0"/>
        <w:spacing w:line="240" w:lineRule="auto"/>
        <w:ind w:left="1440" w:right="1440" w:firstLine="0"/>
        <w:jc w:val="both"/>
        <w:rPr>
          <w:color w:val="000000" w:themeColor="text1"/>
          <w:sz w:val="28"/>
          <w:szCs w:val="28"/>
        </w:rPr>
      </w:pPr>
      <w:r w:rsidRPr="00105E85">
        <w:rPr>
          <w:color w:val="000000" w:themeColor="text1"/>
          <w:sz w:val="28"/>
          <w:szCs w:val="28"/>
        </w:rPr>
        <w:t xml:space="preserve">The principal value of the peremptory is that it helps produce fair and impartial juries. [Citation omitted.] ‘Peremptory challenges, by enabling each side to exclude those jurors it believes will be most partial toward the other side, are a means of </w:t>
      </w:r>
      <w:proofErr w:type="spellStart"/>
      <w:r w:rsidRPr="00105E85">
        <w:rPr>
          <w:color w:val="000000" w:themeColor="text1"/>
          <w:sz w:val="28"/>
          <w:szCs w:val="28"/>
        </w:rPr>
        <w:t>eliminat</w:t>
      </w:r>
      <w:proofErr w:type="spellEnd"/>
      <w:r w:rsidRPr="00105E85">
        <w:rPr>
          <w:color w:val="000000" w:themeColor="text1"/>
          <w:sz w:val="28"/>
          <w:szCs w:val="28"/>
        </w:rPr>
        <w:t>[</w:t>
      </w:r>
      <w:proofErr w:type="spellStart"/>
      <w:r w:rsidRPr="00105E85">
        <w:rPr>
          <w:color w:val="000000" w:themeColor="text1"/>
          <w:sz w:val="28"/>
          <w:szCs w:val="28"/>
        </w:rPr>
        <w:t>ing</w:t>
      </w:r>
      <w:proofErr w:type="spellEnd"/>
      <w:r w:rsidRPr="00105E85">
        <w:rPr>
          <w:color w:val="000000" w:themeColor="text1"/>
          <w:sz w:val="28"/>
          <w:szCs w:val="28"/>
        </w:rPr>
        <w:t>] extremes of partiality on both sides, thereby assuring the selection of a qualified and unbiased jury.’</w:t>
      </w:r>
      <w:r w:rsidRPr="00105E85">
        <w:rPr>
          <w:rStyle w:val="FootnoteReference"/>
          <w:bCs/>
          <w:color w:val="000000" w:themeColor="text1"/>
          <w:sz w:val="28"/>
          <w:szCs w:val="28"/>
        </w:rPr>
        <w:footnoteReference w:id="1"/>
      </w:r>
    </w:p>
    <w:p w14:paraId="0BD033A8" w14:textId="77777777" w:rsidR="00E72A54" w:rsidRPr="00105E85" w:rsidRDefault="00E72A54" w:rsidP="00E72A54">
      <w:pPr>
        <w:pStyle w:val="Body"/>
        <w:widowControl w:val="0"/>
        <w:spacing w:line="240" w:lineRule="auto"/>
        <w:ind w:firstLine="0"/>
        <w:jc w:val="both"/>
        <w:rPr>
          <w:color w:val="000000" w:themeColor="text1"/>
          <w:sz w:val="28"/>
          <w:szCs w:val="28"/>
        </w:rPr>
      </w:pPr>
    </w:p>
    <w:p w14:paraId="4D5A5EBD" w14:textId="17C68DBD" w:rsidR="00E72A54" w:rsidRPr="00105E85" w:rsidRDefault="00E72A54" w:rsidP="00E72A54">
      <w:pPr>
        <w:pStyle w:val="Body"/>
        <w:widowControl w:val="0"/>
        <w:spacing w:line="480" w:lineRule="auto"/>
        <w:ind w:firstLine="720"/>
        <w:jc w:val="both"/>
        <w:rPr>
          <w:color w:val="000000" w:themeColor="text1"/>
          <w:sz w:val="28"/>
          <w:szCs w:val="28"/>
        </w:rPr>
      </w:pPr>
      <w:r w:rsidRPr="00105E85">
        <w:rPr>
          <w:color w:val="000000" w:themeColor="text1"/>
          <w:sz w:val="28"/>
          <w:szCs w:val="28"/>
        </w:rPr>
        <w:t xml:space="preserve">As Justice O’Connor recognized, </w:t>
      </w:r>
      <w:r w:rsidRPr="00105E85">
        <w:rPr>
          <w:bCs/>
          <w:color w:val="000000" w:themeColor="text1"/>
          <w:sz w:val="28"/>
          <w:szCs w:val="28"/>
        </w:rPr>
        <w:t xml:space="preserve">if there are particular jurors whose attitudes or experiences favor one side – but whose opinions do not rise to the level of a for-cause challenge – the opposing side will recognize this and utilize its peremptory strikes.  </w:t>
      </w:r>
      <w:r w:rsidRPr="00105E85">
        <w:rPr>
          <w:color w:val="000000" w:themeColor="text1"/>
          <w:sz w:val="28"/>
          <w:szCs w:val="28"/>
        </w:rPr>
        <w:t>Attorneys almost always know their case better than the judge.  Accordingly, they are in the best position to determine which jurors may harbor biases that will impair their ability to listen fairly to the evidence and the theory of the case, and “experienced lawyers will often correctly intuit which jurors are likely to be the least sympathetic. . . .”</w:t>
      </w:r>
      <w:r w:rsidRPr="00105E85">
        <w:rPr>
          <w:rStyle w:val="FootnoteReference"/>
          <w:color w:val="000000" w:themeColor="text1"/>
          <w:sz w:val="28"/>
          <w:szCs w:val="28"/>
        </w:rPr>
        <w:footnoteReference w:id="2"/>
      </w:r>
      <w:r w:rsidRPr="00105E85">
        <w:rPr>
          <w:color w:val="000000" w:themeColor="text1"/>
          <w:sz w:val="28"/>
          <w:szCs w:val="28"/>
        </w:rPr>
        <w:t xml:space="preserve">  </w:t>
      </w:r>
      <w:r w:rsidR="0026589A" w:rsidRPr="00105E85">
        <w:rPr>
          <w:color w:val="000000" w:themeColor="text1"/>
          <w:sz w:val="28"/>
          <w:szCs w:val="28"/>
        </w:rPr>
        <w:t>Thus, p</w:t>
      </w:r>
      <w:r w:rsidRPr="00105E85">
        <w:rPr>
          <w:color w:val="000000" w:themeColor="text1"/>
          <w:sz w:val="28"/>
          <w:szCs w:val="28"/>
        </w:rPr>
        <w:t>eremptory strikes provide balance in jury selection.</w:t>
      </w:r>
    </w:p>
    <w:p w14:paraId="2EB6A1D7" w14:textId="77777777" w:rsidR="0026589A" w:rsidRPr="00105E85" w:rsidRDefault="0026589A" w:rsidP="00E72A54">
      <w:pPr>
        <w:pStyle w:val="Body"/>
        <w:widowControl w:val="0"/>
        <w:spacing w:line="480" w:lineRule="auto"/>
        <w:ind w:firstLine="720"/>
        <w:jc w:val="both"/>
        <w:rPr>
          <w:color w:val="000000" w:themeColor="text1"/>
          <w:sz w:val="28"/>
          <w:szCs w:val="28"/>
        </w:rPr>
      </w:pPr>
    </w:p>
    <w:p w14:paraId="1EF16708" w14:textId="77777777" w:rsidR="00E72A54" w:rsidRPr="00105E85" w:rsidRDefault="00E72A54" w:rsidP="00E72A54">
      <w:pPr>
        <w:pStyle w:val="Body"/>
        <w:widowControl w:val="0"/>
        <w:numPr>
          <w:ilvl w:val="0"/>
          <w:numId w:val="15"/>
        </w:numPr>
        <w:spacing w:line="480" w:lineRule="auto"/>
        <w:jc w:val="both"/>
        <w:rPr>
          <w:b/>
          <w:bCs/>
          <w:color w:val="000000" w:themeColor="text1"/>
          <w:sz w:val="28"/>
          <w:szCs w:val="28"/>
        </w:rPr>
      </w:pPr>
      <w:r w:rsidRPr="00105E85">
        <w:rPr>
          <w:b/>
          <w:bCs/>
          <w:color w:val="000000" w:themeColor="text1"/>
          <w:sz w:val="28"/>
          <w:szCs w:val="28"/>
        </w:rPr>
        <w:lastRenderedPageBreak/>
        <w:t>Peremptory Strikes Serve Many Valuable Functions.</w:t>
      </w:r>
    </w:p>
    <w:p w14:paraId="2E0A66BD" w14:textId="126BA5C1" w:rsidR="00E72A54" w:rsidRPr="00105E85" w:rsidRDefault="00E72A54" w:rsidP="00E72A54">
      <w:pPr>
        <w:pStyle w:val="Body"/>
        <w:widowControl w:val="0"/>
        <w:spacing w:line="480" w:lineRule="auto"/>
        <w:ind w:firstLine="720"/>
        <w:jc w:val="both"/>
        <w:rPr>
          <w:color w:val="000000" w:themeColor="text1"/>
          <w:sz w:val="28"/>
          <w:szCs w:val="28"/>
        </w:rPr>
      </w:pPr>
      <w:r w:rsidRPr="00105E85">
        <w:rPr>
          <w:color w:val="000000" w:themeColor="text1"/>
          <w:sz w:val="28"/>
          <w:szCs w:val="28"/>
        </w:rPr>
        <w:t xml:space="preserve">The Petition overlooks the valuable functions peremptory strikes serve: 1) the elimination of panelists who are unaware of or unwilling to reveal personal biases or predispositions; 2) </w:t>
      </w:r>
      <w:r w:rsidR="0026589A" w:rsidRPr="00105E85">
        <w:rPr>
          <w:color w:val="000000" w:themeColor="text1"/>
          <w:sz w:val="28"/>
          <w:szCs w:val="28"/>
        </w:rPr>
        <w:t xml:space="preserve">removal of </w:t>
      </w:r>
      <w:r w:rsidRPr="00105E85">
        <w:rPr>
          <w:color w:val="000000" w:themeColor="text1"/>
          <w:sz w:val="28"/>
          <w:szCs w:val="28"/>
        </w:rPr>
        <w:t xml:space="preserve">prospective jurors whose attitudes or experiences predispose them to be hostile to some or all aspects of </w:t>
      </w:r>
      <w:r w:rsidR="0026589A" w:rsidRPr="00105E85">
        <w:rPr>
          <w:color w:val="000000" w:themeColor="text1"/>
          <w:sz w:val="28"/>
          <w:szCs w:val="28"/>
        </w:rPr>
        <w:t xml:space="preserve">the </w:t>
      </w:r>
      <w:r w:rsidRPr="00105E85">
        <w:rPr>
          <w:color w:val="000000" w:themeColor="text1"/>
          <w:sz w:val="28"/>
          <w:szCs w:val="28"/>
        </w:rPr>
        <w:t xml:space="preserve">case; 3) </w:t>
      </w:r>
      <w:r w:rsidR="0026589A" w:rsidRPr="00105E85">
        <w:rPr>
          <w:color w:val="000000" w:themeColor="text1"/>
          <w:sz w:val="28"/>
          <w:szCs w:val="28"/>
        </w:rPr>
        <w:t xml:space="preserve">removal of </w:t>
      </w:r>
      <w:r w:rsidRPr="00105E85">
        <w:rPr>
          <w:color w:val="000000" w:themeColor="text1"/>
          <w:sz w:val="28"/>
          <w:szCs w:val="28"/>
        </w:rPr>
        <w:t xml:space="preserve">prospective jurors whose attitudes or experiences predispose them to favor the opposing side; 4) </w:t>
      </w:r>
      <w:r w:rsidR="0026589A" w:rsidRPr="00105E85">
        <w:rPr>
          <w:color w:val="000000" w:themeColor="text1"/>
          <w:sz w:val="28"/>
          <w:szCs w:val="28"/>
        </w:rPr>
        <w:t xml:space="preserve">allowing </w:t>
      </w:r>
      <w:r w:rsidRPr="00105E85">
        <w:rPr>
          <w:color w:val="000000" w:themeColor="text1"/>
          <w:sz w:val="28"/>
          <w:szCs w:val="28"/>
        </w:rPr>
        <w:t xml:space="preserve">the accused in criminal cases, and the litigants in civil cases, to have a say in the composition of the jury absent a successful challenge for cause; and 5) Peremptory challenges afford judges </w:t>
      </w:r>
      <w:r w:rsidR="0026589A" w:rsidRPr="00105E85">
        <w:rPr>
          <w:color w:val="000000" w:themeColor="text1"/>
          <w:sz w:val="28"/>
          <w:szCs w:val="28"/>
        </w:rPr>
        <w:t xml:space="preserve">significant </w:t>
      </w:r>
      <w:r w:rsidRPr="00105E85">
        <w:rPr>
          <w:color w:val="000000" w:themeColor="text1"/>
          <w:sz w:val="28"/>
          <w:szCs w:val="28"/>
        </w:rPr>
        <w:t>latitude to accept prospective jurors’ questionable assertions of impartiality.</w:t>
      </w:r>
    </w:p>
    <w:p w14:paraId="6014296A" w14:textId="46C2AABD" w:rsidR="00E72A54" w:rsidRPr="00105E85" w:rsidRDefault="00E72A54" w:rsidP="00E72A54">
      <w:pPr>
        <w:pStyle w:val="Body"/>
        <w:widowControl w:val="0"/>
        <w:numPr>
          <w:ilvl w:val="0"/>
          <w:numId w:val="16"/>
        </w:numPr>
        <w:spacing w:line="480" w:lineRule="auto"/>
        <w:jc w:val="both"/>
        <w:rPr>
          <w:color w:val="000000" w:themeColor="text1"/>
          <w:sz w:val="28"/>
          <w:szCs w:val="28"/>
        </w:rPr>
      </w:pPr>
      <w:r w:rsidRPr="00105E85">
        <w:rPr>
          <w:b/>
          <w:bCs/>
          <w:color w:val="000000" w:themeColor="text1"/>
          <w:sz w:val="28"/>
          <w:szCs w:val="28"/>
        </w:rPr>
        <w:t>Implicit or Unconscious Bias</w:t>
      </w:r>
      <w:r w:rsidRPr="00105E85">
        <w:rPr>
          <w:color w:val="000000" w:themeColor="text1"/>
          <w:sz w:val="28"/>
          <w:szCs w:val="28"/>
        </w:rPr>
        <w:t xml:space="preserve">  </w:t>
      </w:r>
    </w:p>
    <w:p w14:paraId="0085AFAA" w14:textId="77777777" w:rsidR="00E72A54" w:rsidRPr="00105E85" w:rsidRDefault="00E72A54" w:rsidP="00E72A54">
      <w:pPr>
        <w:pStyle w:val="Body"/>
        <w:widowControl w:val="0"/>
        <w:spacing w:line="480" w:lineRule="auto"/>
        <w:ind w:firstLine="720"/>
        <w:jc w:val="both"/>
        <w:rPr>
          <w:color w:val="000000" w:themeColor="text1"/>
          <w:sz w:val="28"/>
          <w:szCs w:val="28"/>
        </w:rPr>
      </w:pPr>
      <w:r w:rsidRPr="00105E85">
        <w:rPr>
          <w:bCs/>
          <w:color w:val="000000" w:themeColor="text1"/>
          <w:sz w:val="28"/>
          <w:szCs w:val="28"/>
        </w:rPr>
        <w:t xml:space="preserve">Of the benefits listed above, the most important is the ability to use peremptory strikes against prospective jurors who state that they can be fair and impartial even when they have made statements or reveal prior experiences that indicate otherwise.  Elimination of the peremptory challenge ignores the reality that prospective jurors, like all of us, may be aware of our own inoffensive biases, but are probably not aware of implicit or unconscious biases.  </w:t>
      </w:r>
      <w:r w:rsidRPr="00105E85">
        <w:rPr>
          <w:color w:val="000000" w:themeColor="text1"/>
          <w:sz w:val="28"/>
          <w:szCs w:val="28"/>
        </w:rPr>
        <w:t xml:space="preserve">Psychological research in recent decades has shown that no matter how much we try, our personal biases are difficult to self-identify. People mistakenly hold the belief that they are not biased </w:t>
      </w:r>
      <w:r w:rsidRPr="00105E85">
        <w:rPr>
          <w:color w:val="000000" w:themeColor="text1"/>
          <w:sz w:val="28"/>
          <w:szCs w:val="28"/>
        </w:rPr>
        <w:lastRenderedPageBreak/>
        <w:t>or underestimate their biases.  This is known as the “illusion of objectivity.”</w:t>
      </w:r>
      <w:r w:rsidRPr="00105E85">
        <w:rPr>
          <w:rStyle w:val="FootnoteReference"/>
          <w:color w:val="000000" w:themeColor="text1"/>
          <w:sz w:val="28"/>
          <w:szCs w:val="28"/>
        </w:rPr>
        <w:footnoteReference w:id="3"/>
      </w:r>
      <w:r w:rsidRPr="00105E85">
        <w:rPr>
          <w:color w:val="000000" w:themeColor="text1"/>
          <w:sz w:val="28"/>
          <w:szCs w:val="28"/>
        </w:rPr>
        <w:t xml:space="preserve"> </w:t>
      </w:r>
    </w:p>
    <w:p w14:paraId="23B0AC4E" w14:textId="351CF565" w:rsidR="00E72A54" w:rsidRPr="00105E85" w:rsidRDefault="00E72A54" w:rsidP="00E72A54">
      <w:pPr>
        <w:pStyle w:val="Body"/>
        <w:widowControl w:val="0"/>
        <w:spacing w:line="480" w:lineRule="auto"/>
        <w:ind w:firstLine="720"/>
        <w:jc w:val="both"/>
        <w:rPr>
          <w:bCs/>
          <w:color w:val="000000" w:themeColor="text1"/>
          <w:sz w:val="28"/>
          <w:szCs w:val="28"/>
        </w:rPr>
      </w:pPr>
      <w:r w:rsidRPr="00105E85">
        <w:rPr>
          <w:bCs/>
          <w:color w:val="000000" w:themeColor="text1"/>
          <w:sz w:val="28"/>
          <w:szCs w:val="28"/>
        </w:rPr>
        <w:t>Unconscious preconceptions may well color attitudes when sitting as a juror.  One study demonstrated that jurors have difficulty identifying their biases and rarely know the extent of their biases because their beliefs, preconceptions, and values arise from how they were raised.</w:t>
      </w:r>
      <w:r w:rsidRPr="00105E85">
        <w:rPr>
          <w:rStyle w:val="FootnoteReference"/>
          <w:bCs/>
          <w:color w:val="000000" w:themeColor="text1"/>
          <w:sz w:val="28"/>
          <w:szCs w:val="28"/>
        </w:rPr>
        <w:footnoteReference w:id="4"/>
      </w:r>
      <w:r w:rsidRPr="00105E85">
        <w:rPr>
          <w:bCs/>
          <w:color w:val="000000" w:themeColor="text1"/>
          <w:sz w:val="28"/>
          <w:szCs w:val="28"/>
        </w:rPr>
        <w:t xml:space="preserve">  Because many prospective jurors do not realize their unconscious biases, they readily say that they can be fair and impartial even when they cannot.  Nearly three decades ago, the United States Supreme Court recognized that “</w:t>
      </w:r>
      <w:r w:rsidRPr="00105E85">
        <w:rPr>
          <w:color w:val="000000" w:themeColor="text1"/>
          <w:sz w:val="28"/>
          <w:szCs w:val="28"/>
        </w:rPr>
        <w:t>[i]t may be that a juror could, in good conscience, swear to uphold the law and yet be unaware that maintaining such dogmatic beliefs . . . would prevent him or her from doing so.”</w:t>
      </w:r>
      <w:r w:rsidRPr="00105E85">
        <w:rPr>
          <w:rStyle w:val="FootnoteReference"/>
          <w:color w:val="000000" w:themeColor="text1"/>
          <w:sz w:val="28"/>
          <w:szCs w:val="28"/>
        </w:rPr>
        <w:footnoteReference w:id="5"/>
      </w:r>
      <w:r w:rsidRPr="00105E85">
        <w:rPr>
          <w:color w:val="000000" w:themeColor="text1"/>
          <w:sz w:val="28"/>
          <w:szCs w:val="28"/>
        </w:rPr>
        <w:t xml:space="preserve"> Peremptory strikes help to </w:t>
      </w:r>
      <w:r w:rsidR="00283833" w:rsidRPr="00105E85">
        <w:rPr>
          <w:color w:val="000000" w:themeColor="text1"/>
          <w:sz w:val="28"/>
          <w:szCs w:val="28"/>
        </w:rPr>
        <w:t>address this reality</w:t>
      </w:r>
      <w:r w:rsidRPr="00105E85">
        <w:rPr>
          <w:color w:val="000000" w:themeColor="text1"/>
          <w:sz w:val="28"/>
          <w:szCs w:val="28"/>
        </w:rPr>
        <w:t>.</w:t>
      </w:r>
    </w:p>
    <w:p w14:paraId="4BCEF1DF" w14:textId="77777777" w:rsidR="00E72A54" w:rsidRPr="00105E85" w:rsidRDefault="00E72A54" w:rsidP="00E72A54">
      <w:pPr>
        <w:pStyle w:val="ListParagraph"/>
        <w:numPr>
          <w:ilvl w:val="0"/>
          <w:numId w:val="16"/>
        </w:numPr>
        <w:spacing w:line="240" w:lineRule="auto"/>
        <w:jc w:val="both"/>
        <w:rPr>
          <w:b/>
          <w:bCs/>
          <w:color w:val="000000" w:themeColor="text1"/>
          <w:sz w:val="28"/>
          <w:szCs w:val="28"/>
        </w:rPr>
      </w:pPr>
      <w:r w:rsidRPr="00105E85">
        <w:rPr>
          <w:b/>
          <w:bCs/>
          <w:color w:val="000000" w:themeColor="text1"/>
          <w:sz w:val="28"/>
          <w:szCs w:val="28"/>
        </w:rPr>
        <w:t xml:space="preserve">The Procedure Utilized by Trial Courts During </w:t>
      </w:r>
      <w:proofErr w:type="spellStart"/>
      <w:r w:rsidRPr="00105E85">
        <w:rPr>
          <w:b/>
          <w:bCs/>
          <w:i/>
          <w:iCs/>
          <w:color w:val="000000" w:themeColor="text1"/>
          <w:sz w:val="28"/>
          <w:szCs w:val="28"/>
        </w:rPr>
        <w:t>Voir</w:t>
      </w:r>
      <w:proofErr w:type="spellEnd"/>
      <w:r w:rsidRPr="00105E85">
        <w:rPr>
          <w:b/>
          <w:bCs/>
          <w:i/>
          <w:iCs/>
          <w:color w:val="000000" w:themeColor="text1"/>
          <w:sz w:val="28"/>
          <w:szCs w:val="28"/>
        </w:rPr>
        <w:t xml:space="preserve"> Dire</w:t>
      </w:r>
      <w:r w:rsidRPr="00105E85">
        <w:rPr>
          <w:b/>
          <w:bCs/>
          <w:color w:val="000000" w:themeColor="text1"/>
          <w:sz w:val="28"/>
          <w:szCs w:val="28"/>
        </w:rPr>
        <w:t xml:space="preserve"> is Insufficient to Discover Implicit Biases.</w:t>
      </w:r>
    </w:p>
    <w:p w14:paraId="5D21CC91" w14:textId="77777777" w:rsidR="00E72A54" w:rsidRPr="00105E85" w:rsidRDefault="00E72A54" w:rsidP="00E72A54">
      <w:pPr>
        <w:pStyle w:val="ListParagraph"/>
        <w:spacing w:line="240" w:lineRule="auto"/>
        <w:ind w:left="1080"/>
        <w:jc w:val="both"/>
        <w:rPr>
          <w:color w:val="000000" w:themeColor="text1"/>
          <w:sz w:val="28"/>
          <w:szCs w:val="28"/>
        </w:rPr>
      </w:pPr>
    </w:p>
    <w:p w14:paraId="74B1C305" w14:textId="786E5D50" w:rsidR="00E72A54" w:rsidRPr="00105E85" w:rsidRDefault="00E72A54" w:rsidP="00E72A54">
      <w:pPr>
        <w:spacing w:line="480" w:lineRule="auto"/>
        <w:ind w:firstLine="720"/>
        <w:jc w:val="both"/>
        <w:rPr>
          <w:color w:val="000000" w:themeColor="text1"/>
          <w:sz w:val="28"/>
          <w:szCs w:val="28"/>
        </w:rPr>
      </w:pPr>
      <w:r w:rsidRPr="00105E85">
        <w:rPr>
          <w:color w:val="000000" w:themeColor="text1"/>
          <w:sz w:val="28"/>
          <w:szCs w:val="28"/>
        </w:rPr>
        <w:t xml:space="preserve">During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trial judges usually only recognize explicit bias, a bias to which the juror admits.  When a prospective juror identifies an experience or attitude that may affect their ability to be fair and impartial, the usual inquiry by the trial judge is to ask whether the juror can “set it aside,” or “still be fair” or whether the juror “can follow the law</w:t>
      </w:r>
      <w:r w:rsidR="006F58C2" w:rsidRPr="00105E85">
        <w:rPr>
          <w:color w:val="000000" w:themeColor="text1"/>
          <w:sz w:val="28"/>
          <w:szCs w:val="28"/>
        </w:rPr>
        <w:t>.</w:t>
      </w:r>
      <w:r w:rsidRPr="00105E85">
        <w:rPr>
          <w:color w:val="000000" w:themeColor="text1"/>
          <w:sz w:val="28"/>
          <w:szCs w:val="28"/>
        </w:rPr>
        <w:t xml:space="preserve">”  Most jurors dutifully answer in the affirmative.  The dynamics of judge-directed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are not conducive to admitting to beliefs that are outside the norm.  Prospective jurors in a public forum – the foreign and intimidating environment of a courtroom – and seated among strangers will feel pressure to provide socially acceptable answers to the authority figure doing the questioning.  Moreover, whenever a prospective juror utters an opinion that is indicative of bias or possibly detrimental to one or both of the parties, the typical response of the questioner – judge or attorney – is to react with follow</w:t>
      </w:r>
      <w:r w:rsidR="006F58C2" w:rsidRPr="00105E85">
        <w:rPr>
          <w:color w:val="000000" w:themeColor="text1"/>
          <w:sz w:val="28"/>
          <w:szCs w:val="28"/>
        </w:rPr>
        <w:t>-</w:t>
      </w:r>
      <w:r w:rsidRPr="00105E85">
        <w:rPr>
          <w:color w:val="000000" w:themeColor="text1"/>
          <w:sz w:val="28"/>
          <w:szCs w:val="28"/>
        </w:rPr>
        <w:t xml:space="preserve">up questions that telegraph to the entire panel that the response was unacceptable. </w:t>
      </w:r>
    </w:p>
    <w:p w14:paraId="629389AE" w14:textId="3CFEB6C1" w:rsidR="00E72A54" w:rsidRPr="00105E85" w:rsidRDefault="00E72A54" w:rsidP="00E72A54">
      <w:pPr>
        <w:spacing w:line="480" w:lineRule="auto"/>
        <w:ind w:firstLine="720"/>
        <w:jc w:val="both"/>
        <w:rPr>
          <w:color w:val="000000" w:themeColor="text1"/>
          <w:sz w:val="28"/>
          <w:szCs w:val="28"/>
        </w:rPr>
      </w:pPr>
      <w:r w:rsidRPr="00105E85">
        <w:rPr>
          <w:color w:val="000000" w:themeColor="text1"/>
          <w:sz w:val="28"/>
          <w:szCs w:val="28"/>
        </w:rPr>
        <w:t>Compounding this problem is the fact that attorneys and judges traditionally ask yes or no questions about biases without giving jurors the opportunity to explain. Consequently, if a prospective juror identifies a negative experience or acknowledges a problematic predisposition, most judges will accept the juror’s word and seat the juror who says they can set it aside, no matter how bad their experience or negative their perception.</w:t>
      </w:r>
    </w:p>
    <w:p w14:paraId="5115C395" w14:textId="12B5EB26"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In cases involving juror questionnaires, it is all too common for a juror to respond one way on a written questionnaire, only to provide a different answer to the same question during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Equally important to the selection process itself, and the </w:t>
      </w:r>
      <w:r w:rsidR="006F58C2" w:rsidRPr="00105E85">
        <w:rPr>
          <w:color w:val="000000" w:themeColor="text1"/>
          <w:sz w:val="28"/>
          <w:szCs w:val="28"/>
        </w:rPr>
        <w:t xml:space="preserve">goal </w:t>
      </w:r>
      <w:r w:rsidRPr="00105E85">
        <w:rPr>
          <w:color w:val="000000" w:themeColor="text1"/>
          <w:sz w:val="28"/>
          <w:szCs w:val="28"/>
        </w:rPr>
        <w:t>of impartiality, are those jurors who answer a pointed question one way, only to be subsequently coerced into agreement that they can “follow the law” despite the fact that it conflicts with their personal views.  In the context of a death penalty case, the United States Supreme Court has recognized that questions of general fairness and whether a juror can “follow the law” are insufficient to “detect those jurors with views preventing or substantially impairing their duties in accordance with their instructions and oath.”</w:t>
      </w:r>
      <w:r w:rsidRPr="00105E85">
        <w:rPr>
          <w:rStyle w:val="FootnoteReference"/>
          <w:color w:val="000000" w:themeColor="text1"/>
          <w:sz w:val="28"/>
          <w:szCs w:val="28"/>
        </w:rPr>
        <w:footnoteReference w:id="6"/>
      </w:r>
    </w:p>
    <w:p w14:paraId="4AFD1022" w14:textId="77777777" w:rsidR="00E72A54" w:rsidRPr="00105E85" w:rsidRDefault="00E72A54" w:rsidP="00E72A54">
      <w:pPr>
        <w:pStyle w:val="ListParagraph"/>
        <w:numPr>
          <w:ilvl w:val="0"/>
          <w:numId w:val="15"/>
        </w:numPr>
        <w:autoSpaceDE w:val="0"/>
        <w:autoSpaceDN w:val="0"/>
        <w:adjustRightInd w:val="0"/>
        <w:spacing w:line="240" w:lineRule="auto"/>
        <w:jc w:val="both"/>
        <w:rPr>
          <w:b/>
          <w:bCs/>
          <w:color w:val="000000" w:themeColor="text1"/>
          <w:sz w:val="28"/>
          <w:szCs w:val="28"/>
        </w:rPr>
      </w:pPr>
      <w:r w:rsidRPr="00105E85">
        <w:rPr>
          <w:b/>
          <w:bCs/>
          <w:color w:val="000000" w:themeColor="text1"/>
          <w:sz w:val="28"/>
          <w:szCs w:val="28"/>
        </w:rPr>
        <w:t>Abolition of Peremptory Strikes Will, as a Matter of Necessity, Lengthen Jury Selection.</w:t>
      </w:r>
    </w:p>
    <w:p w14:paraId="6960BC7E" w14:textId="77777777" w:rsidR="00E72A54" w:rsidRPr="00105E85" w:rsidRDefault="00E72A54" w:rsidP="00E72A54">
      <w:pPr>
        <w:pStyle w:val="ListParagraph"/>
        <w:autoSpaceDE w:val="0"/>
        <w:autoSpaceDN w:val="0"/>
        <w:adjustRightInd w:val="0"/>
        <w:spacing w:line="240" w:lineRule="auto"/>
        <w:ind w:left="1080"/>
        <w:jc w:val="both"/>
        <w:rPr>
          <w:b/>
          <w:bCs/>
          <w:color w:val="000000" w:themeColor="text1"/>
          <w:sz w:val="28"/>
          <w:szCs w:val="28"/>
        </w:rPr>
      </w:pPr>
    </w:p>
    <w:p w14:paraId="3F2C2D4D" w14:textId="680ACCE5"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Petitioners assert that elimination of peremptory strikes will streamline jury selection.  The State Bar respectfully disagrees.  Part of the guarantee of the right to an impartial jury in criminal cases is an adequate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to identify unqualified jurors.</w:t>
      </w:r>
      <w:r w:rsidRPr="00105E85">
        <w:rPr>
          <w:rStyle w:val="FootnoteReference"/>
          <w:color w:val="000000" w:themeColor="text1"/>
          <w:sz w:val="28"/>
          <w:szCs w:val="28"/>
        </w:rPr>
        <w:footnoteReference w:id="7"/>
      </w:r>
      <w:r w:rsidRPr="00105E85">
        <w:rPr>
          <w:noProof/>
          <w:color w:val="000000" w:themeColor="text1"/>
          <w:sz w:val="28"/>
          <w:szCs w:val="28"/>
        </w:rPr>
        <w:t xml:space="preserve">  </w:t>
      </w:r>
      <w:r w:rsidRPr="00105E85">
        <w:rPr>
          <w:color w:val="000000" w:themeColor="text1"/>
          <w:sz w:val="28"/>
          <w:szCs w:val="28"/>
        </w:rPr>
        <w:t>The United States Supreme Court has explicitly recognized how difficult it can be to reveal a juror’s bias.</w:t>
      </w:r>
      <w:r w:rsidRPr="00105E85">
        <w:rPr>
          <w:rStyle w:val="FootnoteReference"/>
          <w:color w:val="000000" w:themeColor="text1"/>
          <w:sz w:val="28"/>
          <w:szCs w:val="28"/>
        </w:rPr>
        <w:footnoteReference w:id="8"/>
      </w:r>
      <w:r w:rsidRPr="00105E85">
        <w:rPr>
          <w:color w:val="000000" w:themeColor="text1"/>
          <w:sz w:val="28"/>
          <w:szCs w:val="28"/>
        </w:rPr>
        <w:t xml:space="preserve">  Without a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that affords sufficient time to obtain quality information about a prospective juror’s attitudes and experiences</w:t>
      </w:r>
      <w:r w:rsidR="006F58C2" w:rsidRPr="00105E85">
        <w:rPr>
          <w:color w:val="000000" w:themeColor="text1"/>
          <w:sz w:val="28"/>
          <w:szCs w:val="28"/>
        </w:rPr>
        <w:t>,</w:t>
      </w:r>
      <w:r w:rsidRPr="00105E85">
        <w:rPr>
          <w:color w:val="000000" w:themeColor="text1"/>
          <w:sz w:val="28"/>
          <w:szCs w:val="28"/>
        </w:rPr>
        <w:t xml:space="preserve"> trial counsel are left with scant information upon which to base a challenge for cause.  To be meaningful – especially in the absence of peremptory challenges –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must involve more than simple responses to broad questions that do not reveal disqualifying biases or even the existence of facts and circumstances that may form a basis for disqualification.</w:t>
      </w:r>
    </w:p>
    <w:p w14:paraId="1CD2C2A9" w14:textId="016360F6"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One </w:t>
      </w:r>
      <w:r w:rsidR="00A8618D" w:rsidRPr="00105E85">
        <w:rPr>
          <w:color w:val="000000" w:themeColor="text1"/>
          <w:sz w:val="28"/>
          <w:szCs w:val="28"/>
        </w:rPr>
        <w:t>j</w:t>
      </w:r>
      <w:r w:rsidRPr="00105E85">
        <w:rPr>
          <w:color w:val="000000" w:themeColor="text1"/>
          <w:sz w:val="28"/>
          <w:szCs w:val="28"/>
        </w:rPr>
        <w:t xml:space="preserve">urist who favors eliminating peremptory challenges recognizes that one should expect more, not less,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when strikes are limited to for-cause challenges.  Justice Mary Yu of the Washington Supreme Court endorses elimination of </w:t>
      </w:r>
      <w:proofErr w:type="spellStart"/>
      <w:r w:rsidRPr="00105E85">
        <w:rPr>
          <w:color w:val="000000" w:themeColor="text1"/>
          <w:sz w:val="28"/>
          <w:szCs w:val="28"/>
        </w:rPr>
        <w:t>peremptories</w:t>
      </w:r>
      <w:proofErr w:type="spellEnd"/>
      <w:r w:rsidRPr="00105E85">
        <w:rPr>
          <w:color w:val="000000" w:themeColor="text1"/>
          <w:sz w:val="28"/>
          <w:szCs w:val="28"/>
        </w:rPr>
        <w:t xml:space="preserve"> but recognizes this means affording counsel “ample time for thoughtful questioning of prospective jurors.”</w:t>
      </w:r>
      <w:r w:rsidRPr="00105E85">
        <w:rPr>
          <w:rStyle w:val="FootnoteReference"/>
          <w:color w:val="000000" w:themeColor="text1"/>
          <w:sz w:val="28"/>
          <w:szCs w:val="28"/>
        </w:rPr>
        <w:footnoteReference w:id="9"/>
      </w:r>
      <w:r w:rsidRPr="00105E85">
        <w:rPr>
          <w:color w:val="000000" w:themeColor="text1"/>
          <w:sz w:val="28"/>
          <w:szCs w:val="28"/>
        </w:rPr>
        <w:t xml:space="preserve">  A time-limited examination by a trial judge does not reveal preconceptions or unconscious bias, especially since prospective jurors are reluctant to provide candid answers about biases that could be considered socially unacceptable or disappointing to the judge.</w:t>
      </w:r>
      <w:r w:rsidRPr="00105E85">
        <w:rPr>
          <w:rStyle w:val="FootnoteReference"/>
          <w:color w:val="000000" w:themeColor="text1"/>
          <w:sz w:val="28"/>
          <w:szCs w:val="28"/>
        </w:rPr>
        <w:footnoteReference w:id="10"/>
      </w:r>
      <w:r w:rsidRPr="00105E85">
        <w:rPr>
          <w:color w:val="000000" w:themeColor="text1"/>
          <w:sz w:val="28"/>
          <w:szCs w:val="28"/>
        </w:rPr>
        <w:t xml:space="preserve">  </w:t>
      </w:r>
    </w:p>
    <w:p w14:paraId="5C827F25" w14:textId="77777777"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Criminal defendants who are convicted should be expected to appeal every denial of a challenge for cause because elimination of peremptory challenges will most likely pave the way for automatic reversal on appeal.</w:t>
      </w:r>
      <w:r w:rsidRPr="00105E85">
        <w:rPr>
          <w:rStyle w:val="FootnoteReference"/>
          <w:color w:val="000000" w:themeColor="text1"/>
          <w:sz w:val="28"/>
          <w:szCs w:val="28"/>
        </w:rPr>
        <w:footnoteReference w:id="11"/>
      </w:r>
      <w:r w:rsidRPr="00105E85">
        <w:rPr>
          <w:color w:val="000000" w:themeColor="text1"/>
          <w:sz w:val="28"/>
          <w:szCs w:val="28"/>
        </w:rPr>
        <w:t xml:space="preserve">  Consequently, trial judges will need to take time to be extra cautious during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 xml:space="preserve"> and when denying a for-cause challenge. </w:t>
      </w:r>
    </w:p>
    <w:p w14:paraId="15549FA9" w14:textId="53790101"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Petitioners argue that the elimination of peremptory strikes should also be done out of “respect for the jurors themselves.” (Petition at 5).  However, in a world without </w:t>
      </w:r>
      <w:proofErr w:type="spellStart"/>
      <w:r w:rsidRPr="00105E85">
        <w:rPr>
          <w:color w:val="000000" w:themeColor="text1"/>
          <w:sz w:val="28"/>
          <w:szCs w:val="28"/>
        </w:rPr>
        <w:t>peremptories</w:t>
      </w:r>
      <w:proofErr w:type="spellEnd"/>
      <w:r w:rsidRPr="00105E85">
        <w:rPr>
          <w:color w:val="000000" w:themeColor="text1"/>
          <w:sz w:val="28"/>
          <w:szCs w:val="28"/>
        </w:rPr>
        <w:t>, but with computers and vast social media outlets, lawyers should be expected to spend significantly more time investigating jurors’ backgrounds, families, employment, and associations</w:t>
      </w:r>
      <w:r w:rsidR="00A8618D" w:rsidRPr="00105E85">
        <w:rPr>
          <w:color w:val="000000" w:themeColor="text1"/>
          <w:sz w:val="28"/>
          <w:szCs w:val="28"/>
        </w:rPr>
        <w:t>,</w:t>
      </w:r>
      <w:r w:rsidRPr="00105E85">
        <w:rPr>
          <w:color w:val="000000" w:themeColor="text1"/>
          <w:sz w:val="28"/>
          <w:szCs w:val="28"/>
        </w:rPr>
        <w:t xml:space="preserve"> seeking evidence to support a challenge for cause.  After all, Criminal Rule 18.4(b) provides that a challenge for cause may be made at any time so long as it is diligently made.</w:t>
      </w:r>
    </w:p>
    <w:p w14:paraId="6A7DDB7A" w14:textId="77777777" w:rsidR="00E72A54" w:rsidRPr="00105E85" w:rsidRDefault="00E72A54" w:rsidP="00E72A54">
      <w:pPr>
        <w:pStyle w:val="ListParagraph"/>
        <w:numPr>
          <w:ilvl w:val="0"/>
          <w:numId w:val="15"/>
        </w:numPr>
        <w:autoSpaceDE w:val="0"/>
        <w:autoSpaceDN w:val="0"/>
        <w:adjustRightInd w:val="0"/>
        <w:spacing w:line="240" w:lineRule="auto"/>
        <w:jc w:val="both"/>
        <w:rPr>
          <w:b/>
          <w:bCs/>
          <w:color w:val="000000" w:themeColor="text1"/>
          <w:sz w:val="28"/>
          <w:szCs w:val="28"/>
        </w:rPr>
      </w:pPr>
      <w:r w:rsidRPr="00105E85">
        <w:rPr>
          <w:b/>
          <w:bCs/>
          <w:color w:val="000000" w:themeColor="text1"/>
          <w:sz w:val="28"/>
          <w:szCs w:val="28"/>
        </w:rPr>
        <w:t>The Peremptory Challenge in the United Kingdom, Canada, and the Unites States.</w:t>
      </w:r>
    </w:p>
    <w:p w14:paraId="7959C34A" w14:textId="77777777" w:rsidR="00E72A54" w:rsidRPr="00105E85" w:rsidRDefault="00E72A54" w:rsidP="00E72A54">
      <w:pPr>
        <w:autoSpaceDE w:val="0"/>
        <w:autoSpaceDN w:val="0"/>
        <w:adjustRightInd w:val="0"/>
        <w:spacing w:line="240" w:lineRule="auto"/>
        <w:ind w:left="720"/>
        <w:jc w:val="both"/>
        <w:rPr>
          <w:color w:val="000000" w:themeColor="text1"/>
          <w:sz w:val="28"/>
          <w:szCs w:val="28"/>
        </w:rPr>
      </w:pPr>
    </w:p>
    <w:p w14:paraId="03A5E446" w14:textId="1D00F0B6"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As the Petition recognizes, no state relies solely on challenges for cause to secure fair juries; every state as well as the federal courts provide a limited number of peremptory challenges to ensure impartiality. (Petition at 3).  The elimination of peremptory strikes by Canada and the United Kingdom might seem to support the argument for elimination here, but a consideration of the differences between use of the peremptory strike</w:t>
      </w:r>
      <w:r w:rsidR="00A8618D">
        <w:rPr>
          <w:color w:val="000000" w:themeColor="text1"/>
          <w:sz w:val="28"/>
          <w:szCs w:val="28"/>
        </w:rPr>
        <w:t>s</w:t>
      </w:r>
      <w:r w:rsidRPr="00105E85">
        <w:rPr>
          <w:color w:val="000000" w:themeColor="text1"/>
          <w:sz w:val="28"/>
          <w:szCs w:val="28"/>
        </w:rPr>
        <w:t xml:space="preserve"> in those countries and the United States explains why this isn’t so.  When these countries utilized peremptory challenges, prospective jurors could not be questioned about their beliefs or prejudices during </w:t>
      </w:r>
      <w:proofErr w:type="spellStart"/>
      <w:r w:rsidRPr="00105E85">
        <w:rPr>
          <w:i/>
          <w:iCs/>
          <w:color w:val="000000" w:themeColor="text1"/>
          <w:sz w:val="28"/>
          <w:szCs w:val="28"/>
        </w:rPr>
        <w:t>voir</w:t>
      </w:r>
      <w:proofErr w:type="spellEnd"/>
      <w:r w:rsidRPr="00105E85">
        <w:rPr>
          <w:i/>
          <w:iCs/>
          <w:color w:val="000000" w:themeColor="text1"/>
          <w:sz w:val="28"/>
          <w:szCs w:val="28"/>
        </w:rPr>
        <w:t xml:space="preserve"> dire</w:t>
      </w:r>
      <w:r w:rsidRPr="00105E85">
        <w:rPr>
          <w:color w:val="000000" w:themeColor="text1"/>
          <w:sz w:val="28"/>
          <w:szCs w:val="28"/>
        </w:rPr>
        <w:t>.</w:t>
      </w:r>
      <w:r w:rsidRPr="00105E85">
        <w:rPr>
          <w:rStyle w:val="FootnoteReference"/>
          <w:color w:val="000000" w:themeColor="text1"/>
          <w:sz w:val="28"/>
          <w:szCs w:val="28"/>
        </w:rPr>
        <w:footnoteReference w:id="12"/>
      </w:r>
      <w:r w:rsidRPr="00105E85">
        <w:rPr>
          <w:color w:val="000000" w:themeColor="text1"/>
          <w:sz w:val="28"/>
          <w:szCs w:val="28"/>
        </w:rPr>
        <w:t xml:space="preserve">  Further, British and Canadian lawyers do not place the same emphasis on jury selection as in the United States.</w:t>
      </w:r>
      <w:r w:rsidRPr="00105E85">
        <w:rPr>
          <w:rStyle w:val="FootnoteReference"/>
          <w:color w:val="000000" w:themeColor="text1"/>
          <w:sz w:val="28"/>
          <w:szCs w:val="28"/>
        </w:rPr>
        <w:footnoteReference w:id="13"/>
      </w:r>
      <w:r w:rsidRPr="00105E85">
        <w:rPr>
          <w:color w:val="000000" w:themeColor="text1"/>
          <w:sz w:val="28"/>
          <w:szCs w:val="28"/>
        </w:rPr>
        <w:t xml:space="preserve">   </w:t>
      </w:r>
    </w:p>
    <w:p w14:paraId="0E33049C" w14:textId="77777777"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Interestingly, British prosecutors got around the elimination of peremptory challenges through the creation of what became known as the “standby,” which permitted a prosecutor to remove a prospective juror from the panel “for cause,” but only required a for-cause showing if the panel was not filled by the remaining prospective jurors.  Only if a “standby” juror was recalled, did a for-cause showing need to be made.  Most juries were filled without requiring any “standby” to return.  Consequently, this operated as a peremptory strike.</w:t>
      </w:r>
      <w:r w:rsidRPr="00105E85">
        <w:rPr>
          <w:rStyle w:val="FootnoteReference"/>
          <w:color w:val="000000" w:themeColor="text1"/>
          <w:sz w:val="28"/>
          <w:szCs w:val="28"/>
        </w:rPr>
        <w:footnoteReference w:id="14"/>
      </w:r>
      <w:r w:rsidRPr="00105E85">
        <w:rPr>
          <w:color w:val="000000" w:themeColor="text1"/>
          <w:sz w:val="28"/>
          <w:szCs w:val="28"/>
        </w:rPr>
        <w:t xml:space="preserve">  Unlike a defendant’s limited number of peremptory strikes, the prosecutor’s use of the “standby” was unlimited.</w:t>
      </w:r>
      <w:r w:rsidRPr="00105E85">
        <w:rPr>
          <w:rStyle w:val="FootnoteReference"/>
          <w:color w:val="000000" w:themeColor="text1"/>
          <w:sz w:val="28"/>
          <w:szCs w:val="28"/>
        </w:rPr>
        <w:footnoteReference w:id="15"/>
      </w:r>
      <w:r w:rsidRPr="00105E85">
        <w:rPr>
          <w:color w:val="000000" w:themeColor="text1"/>
          <w:sz w:val="28"/>
          <w:szCs w:val="28"/>
        </w:rPr>
        <w:t xml:space="preserve">  The “standby” remained a tool of the prosecutor even after Parliament eliminated the accused’s right to peremptory strikes.  It is only through self-regulation that British prosecutors forego the use of the “standby” procedure.</w:t>
      </w:r>
      <w:r w:rsidRPr="00105E85">
        <w:rPr>
          <w:rStyle w:val="FootnoteReference"/>
          <w:color w:val="000000" w:themeColor="text1"/>
          <w:sz w:val="28"/>
          <w:szCs w:val="28"/>
        </w:rPr>
        <w:footnoteReference w:id="16"/>
      </w:r>
    </w:p>
    <w:p w14:paraId="56448A78" w14:textId="4D585061"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It is interesting to note that the reasons the British government provided for </w:t>
      </w:r>
      <w:r w:rsidR="00376847">
        <w:rPr>
          <w:color w:val="000000" w:themeColor="text1"/>
          <w:sz w:val="28"/>
          <w:szCs w:val="28"/>
        </w:rPr>
        <w:t>eliminating</w:t>
      </w:r>
      <w:r w:rsidRPr="00105E85">
        <w:rPr>
          <w:color w:val="000000" w:themeColor="text1"/>
          <w:sz w:val="28"/>
          <w:szCs w:val="28"/>
        </w:rPr>
        <w:t xml:space="preserve"> the defense peremptory challenge – 1) striking jurors merely </w:t>
      </w:r>
      <w:r w:rsidR="0037408A">
        <w:rPr>
          <w:color w:val="000000" w:themeColor="text1"/>
          <w:sz w:val="28"/>
          <w:szCs w:val="28"/>
        </w:rPr>
        <w:t>based on</w:t>
      </w:r>
      <w:r w:rsidR="0037408A" w:rsidRPr="00105E85">
        <w:rPr>
          <w:color w:val="000000" w:themeColor="text1"/>
          <w:sz w:val="28"/>
          <w:szCs w:val="28"/>
        </w:rPr>
        <w:t xml:space="preserve"> </w:t>
      </w:r>
      <w:r w:rsidRPr="00105E85">
        <w:rPr>
          <w:color w:val="000000" w:themeColor="text1"/>
          <w:sz w:val="28"/>
          <w:szCs w:val="28"/>
        </w:rPr>
        <w:t>their appearance and 2) multiple defendants pooling their peremptory challenges to jointly replace an entire jury – were not supported by a study commissioned by the government.</w:t>
      </w:r>
      <w:r w:rsidRPr="00105E85">
        <w:rPr>
          <w:rStyle w:val="FootnoteReference"/>
          <w:color w:val="000000" w:themeColor="text1"/>
          <w:sz w:val="28"/>
          <w:szCs w:val="28"/>
        </w:rPr>
        <w:footnoteReference w:id="17"/>
      </w:r>
      <w:r w:rsidRPr="00105E85">
        <w:rPr>
          <w:color w:val="000000" w:themeColor="text1"/>
          <w:sz w:val="28"/>
          <w:szCs w:val="28"/>
        </w:rPr>
        <w:t xml:space="preserve">  Nonetheless, because the government feared that guilty defendants were manipulating jury selection, the defense lost the right to peremptory strikes.  One commentator concluded that “[t]he </w:t>
      </w:r>
      <w:proofErr w:type="gramStart"/>
      <w:r w:rsidRPr="00105E85">
        <w:rPr>
          <w:color w:val="000000" w:themeColor="text1"/>
          <w:sz w:val="28"/>
          <w:szCs w:val="28"/>
        </w:rPr>
        <w:t>value</w:t>
      </w:r>
      <w:proofErr w:type="gramEnd"/>
      <w:r w:rsidRPr="00105E85">
        <w:rPr>
          <w:color w:val="000000" w:themeColor="text1"/>
          <w:sz w:val="28"/>
          <w:szCs w:val="28"/>
        </w:rPr>
        <w:t xml:space="preserve"> of getting convictions at the hands of a jury appears to have driven England’s abolition of the peremptory challenge.”</w:t>
      </w:r>
      <w:r w:rsidRPr="00105E85">
        <w:rPr>
          <w:rStyle w:val="FootnoteReference"/>
          <w:color w:val="000000" w:themeColor="text1"/>
          <w:sz w:val="28"/>
          <w:szCs w:val="28"/>
        </w:rPr>
        <w:footnoteReference w:id="18"/>
      </w:r>
      <w:r w:rsidRPr="00105E85">
        <w:rPr>
          <w:color w:val="000000" w:themeColor="text1"/>
          <w:sz w:val="28"/>
          <w:szCs w:val="28"/>
        </w:rPr>
        <w:t xml:space="preserve"> </w:t>
      </w:r>
    </w:p>
    <w:p w14:paraId="1E810778" w14:textId="202A4E50"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While Canada’s elimination of the peremptory challenge arose from discriminatory practices, abolishment was not universally sought.  For instance, the Canadian Association for Black Lawyers (CABL) opposed Canada’s elimination of peremptory strikes.  The CABL contended that limiting the determination of bias or discrimination to the trial judge “‘does not give an accused person comfort that the trial judge’s discretion will be exercised in a way that is mindful of racial bias,’ especially since the majority of judges are white.”</w:t>
      </w:r>
      <w:r w:rsidRPr="00105E85">
        <w:rPr>
          <w:rStyle w:val="FootnoteReference"/>
          <w:color w:val="000000" w:themeColor="text1"/>
          <w:sz w:val="28"/>
          <w:szCs w:val="28"/>
        </w:rPr>
        <w:footnoteReference w:id="19"/>
      </w:r>
      <w:r w:rsidRPr="00105E85">
        <w:rPr>
          <w:color w:val="000000" w:themeColor="text1"/>
          <w:sz w:val="28"/>
          <w:szCs w:val="28"/>
        </w:rPr>
        <w:t xml:space="preserve">  The CABL further argued that “[p]</w:t>
      </w:r>
      <w:proofErr w:type="spellStart"/>
      <w:r w:rsidRPr="00105E85">
        <w:rPr>
          <w:color w:val="000000" w:themeColor="text1"/>
          <w:sz w:val="28"/>
          <w:szCs w:val="28"/>
        </w:rPr>
        <w:t>eremptory</w:t>
      </w:r>
      <w:proofErr w:type="spellEnd"/>
      <w:r w:rsidRPr="00105E85">
        <w:rPr>
          <w:color w:val="000000" w:themeColor="text1"/>
          <w:sz w:val="28"/>
          <w:szCs w:val="28"/>
        </w:rPr>
        <w:t xml:space="preserve"> challenges are required to protect the constitutional rights of Black accused persons.”</w:t>
      </w:r>
      <w:r w:rsidRPr="00105E85">
        <w:rPr>
          <w:rStyle w:val="FootnoteReference"/>
          <w:color w:val="000000" w:themeColor="text1"/>
          <w:sz w:val="28"/>
          <w:szCs w:val="28"/>
        </w:rPr>
        <w:footnoteReference w:id="20"/>
      </w:r>
      <w:r w:rsidRPr="00105E85">
        <w:rPr>
          <w:color w:val="000000" w:themeColor="text1"/>
          <w:sz w:val="28"/>
          <w:szCs w:val="28"/>
        </w:rPr>
        <w:t xml:space="preserve"> But perhaps a more important reason for not following the lead of these countries is because juries in Canada and the United Kingdom have less power and discretion than American juries, especially when it comes to sentencing, which leads to a topic unaddressed in the Petition</w:t>
      </w:r>
      <w:r w:rsidR="00376847">
        <w:rPr>
          <w:color w:val="000000" w:themeColor="text1"/>
          <w:sz w:val="28"/>
          <w:szCs w:val="28"/>
        </w:rPr>
        <w:t xml:space="preserve"> - </w:t>
      </w:r>
      <w:r w:rsidRPr="00105E85">
        <w:rPr>
          <w:color w:val="000000" w:themeColor="text1"/>
          <w:sz w:val="28"/>
          <w:szCs w:val="28"/>
        </w:rPr>
        <w:t>death penalty cases.</w:t>
      </w:r>
    </w:p>
    <w:p w14:paraId="57085352" w14:textId="77777777" w:rsidR="00E72A54" w:rsidRPr="00105E85" w:rsidRDefault="00E72A54" w:rsidP="00E72A54">
      <w:pPr>
        <w:pStyle w:val="ListParagraph"/>
        <w:numPr>
          <w:ilvl w:val="0"/>
          <w:numId w:val="15"/>
        </w:numPr>
        <w:autoSpaceDE w:val="0"/>
        <w:autoSpaceDN w:val="0"/>
        <w:adjustRightInd w:val="0"/>
        <w:spacing w:line="480" w:lineRule="auto"/>
        <w:jc w:val="both"/>
        <w:rPr>
          <w:b/>
          <w:bCs/>
          <w:color w:val="000000" w:themeColor="text1"/>
          <w:sz w:val="28"/>
          <w:szCs w:val="28"/>
        </w:rPr>
      </w:pPr>
      <w:r w:rsidRPr="00105E85">
        <w:rPr>
          <w:b/>
          <w:bCs/>
          <w:color w:val="000000" w:themeColor="text1"/>
          <w:sz w:val="28"/>
          <w:szCs w:val="28"/>
        </w:rPr>
        <w:t>Peremptory Challenges, Juror Sentencing, and the Death Penalty.</w:t>
      </w:r>
    </w:p>
    <w:p w14:paraId="75714AA0" w14:textId="4FDB1000"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Neither the U.K. nor Canada </w:t>
      </w:r>
      <w:r w:rsidR="00376847">
        <w:rPr>
          <w:color w:val="000000" w:themeColor="text1"/>
          <w:sz w:val="28"/>
          <w:szCs w:val="28"/>
        </w:rPr>
        <w:t>impose</w:t>
      </w:r>
      <w:r w:rsidR="00376847" w:rsidRPr="00105E85">
        <w:rPr>
          <w:color w:val="000000" w:themeColor="text1"/>
          <w:sz w:val="28"/>
          <w:szCs w:val="28"/>
        </w:rPr>
        <w:t xml:space="preserve"> </w:t>
      </w:r>
      <w:r w:rsidRPr="00105E85">
        <w:rPr>
          <w:color w:val="000000" w:themeColor="text1"/>
          <w:sz w:val="28"/>
          <w:szCs w:val="28"/>
        </w:rPr>
        <w:t>the death penalty.  Arizona does.  In Arizona</w:t>
      </w:r>
      <w:r w:rsidR="00376847">
        <w:rPr>
          <w:color w:val="000000" w:themeColor="text1"/>
          <w:sz w:val="28"/>
          <w:szCs w:val="28"/>
        </w:rPr>
        <w:t xml:space="preserve"> capital cases</w:t>
      </w:r>
      <w:r w:rsidRPr="00105E85">
        <w:rPr>
          <w:color w:val="000000" w:themeColor="text1"/>
          <w:sz w:val="28"/>
          <w:szCs w:val="28"/>
        </w:rPr>
        <w:t xml:space="preserve">, the jury imposes </w:t>
      </w:r>
      <w:r w:rsidR="00376847">
        <w:rPr>
          <w:color w:val="000000" w:themeColor="text1"/>
          <w:sz w:val="28"/>
          <w:szCs w:val="28"/>
        </w:rPr>
        <w:t>a</w:t>
      </w:r>
      <w:r w:rsidR="00376847" w:rsidRPr="00105E85">
        <w:rPr>
          <w:color w:val="000000" w:themeColor="text1"/>
          <w:sz w:val="28"/>
          <w:szCs w:val="28"/>
        </w:rPr>
        <w:t xml:space="preserve"> </w:t>
      </w:r>
      <w:r w:rsidRPr="00105E85">
        <w:rPr>
          <w:color w:val="000000" w:themeColor="text1"/>
          <w:sz w:val="28"/>
          <w:szCs w:val="28"/>
        </w:rPr>
        <w:t xml:space="preserve">sentence of life or death.  </w:t>
      </w:r>
      <w:r w:rsidR="00376847">
        <w:rPr>
          <w:color w:val="000000" w:themeColor="text1"/>
          <w:sz w:val="28"/>
          <w:szCs w:val="28"/>
        </w:rPr>
        <w:t>Thus</w:t>
      </w:r>
      <w:r w:rsidRPr="00105E85">
        <w:rPr>
          <w:color w:val="000000" w:themeColor="text1"/>
          <w:sz w:val="28"/>
          <w:szCs w:val="28"/>
        </w:rPr>
        <w:t xml:space="preserve">, the ability to exercise peremptory challenges is critical </w:t>
      </w:r>
      <w:r w:rsidR="00376847">
        <w:rPr>
          <w:color w:val="000000" w:themeColor="text1"/>
          <w:sz w:val="28"/>
          <w:szCs w:val="28"/>
        </w:rPr>
        <w:t xml:space="preserve">in these cases </w:t>
      </w:r>
      <w:r w:rsidRPr="00105E85">
        <w:rPr>
          <w:color w:val="000000" w:themeColor="text1"/>
          <w:sz w:val="28"/>
          <w:szCs w:val="28"/>
        </w:rPr>
        <w:t xml:space="preserve">because </w:t>
      </w:r>
      <w:r w:rsidR="00376847">
        <w:rPr>
          <w:color w:val="000000" w:themeColor="text1"/>
          <w:sz w:val="28"/>
          <w:szCs w:val="28"/>
        </w:rPr>
        <w:t>jurors</w:t>
      </w:r>
      <w:r w:rsidRPr="00105E85">
        <w:rPr>
          <w:color w:val="000000" w:themeColor="text1"/>
          <w:sz w:val="28"/>
          <w:szCs w:val="28"/>
        </w:rPr>
        <w:t xml:space="preserve"> </w:t>
      </w:r>
      <w:r w:rsidR="00376847">
        <w:rPr>
          <w:color w:val="000000" w:themeColor="text1"/>
          <w:sz w:val="28"/>
          <w:szCs w:val="28"/>
        </w:rPr>
        <w:t xml:space="preserve">decide </w:t>
      </w:r>
      <w:r w:rsidRPr="00105E85">
        <w:rPr>
          <w:color w:val="000000" w:themeColor="text1"/>
          <w:sz w:val="28"/>
          <w:szCs w:val="28"/>
        </w:rPr>
        <w:t xml:space="preserve">not only guilt, but also </w:t>
      </w:r>
      <w:r w:rsidR="00376847">
        <w:rPr>
          <w:color w:val="000000" w:themeColor="text1"/>
          <w:sz w:val="28"/>
          <w:szCs w:val="28"/>
        </w:rPr>
        <w:t>eli</w:t>
      </w:r>
      <w:r w:rsidR="002B54E4">
        <w:rPr>
          <w:color w:val="000000" w:themeColor="text1"/>
          <w:sz w:val="28"/>
          <w:szCs w:val="28"/>
        </w:rPr>
        <w:t>gi</w:t>
      </w:r>
      <w:r w:rsidR="00376847">
        <w:rPr>
          <w:color w:val="000000" w:themeColor="text1"/>
          <w:sz w:val="28"/>
          <w:szCs w:val="28"/>
        </w:rPr>
        <w:t>bility</w:t>
      </w:r>
      <w:r w:rsidRPr="00105E85">
        <w:rPr>
          <w:color w:val="000000" w:themeColor="text1"/>
          <w:sz w:val="28"/>
          <w:szCs w:val="28"/>
        </w:rPr>
        <w:t xml:space="preserve"> to receive a death sentence and, if </w:t>
      </w:r>
      <w:r w:rsidR="00376847">
        <w:rPr>
          <w:color w:val="000000" w:themeColor="text1"/>
          <w:sz w:val="28"/>
          <w:szCs w:val="28"/>
        </w:rPr>
        <w:t>eligible</w:t>
      </w:r>
      <w:r w:rsidRPr="00105E85">
        <w:rPr>
          <w:color w:val="000000" w:themeColor="text1"/>
          <w:sz w:val="28"/>
          <w:szCs w:val="28"/>
        </w:rPr>
        <w:t>, whether the defendant will be executed.  Because of the finality of the death penalty, there is a “heightened need for reliability in all processes” in capital cases.</w:t>
      </w:r>
      <w:r w:rsidRPr="00105E85">
        <w:rPr>
          <w:rStyle w:val="FootnoteReference"/>
          <w:color w:val="000000" w:themeColor="text1"/>
          <w:sz w:val="28"/>
          <w:szCs w:val="28"/>
        </w:rPr>
        <w:footnoteReference w:id="21"/>
      </w:r>
      <w:r w:rsidRPr="00105E85">
        <w:rPr>
          <w:color w:val="000000" w:themeColor="text1"/>
          <w:sz w:val="28"/>
          <w:szCs w:val="28"/>
        </w:rPr>
        <w:t xml:space="preserve"> </w:t>
      </w:r>
    </w:p>
    <w:p w14:paraId="1648D42A" w14:textId="36A39A58"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 Studies of capital jurors have found that over half of the jurors decide the penalty </w:t>
      </w:r>
      <w:r w:rsidR="00376847">
        <w:rPr>
          <w:color w:val="000000" w:themeColor="text1"/>
          <w:sz w:val="28"/>
          <w:szCs w:val="28"/>
        </w:rPr>
        <w:t>after</w:t>
      </w:r>
      <w:r w:rsidR="00376847" w:rsidRPr="00105E85">
        <w:rPr>
          <w:color w:val="000000" w:themeColor="text1"/>
          <w:sz w:val="28"/>
          <w:szCs w:val="28"/>
        </w:rPr>
        <w:t xml:space="preserve"> </w:t>
      </w:r>
      <w:r w:rsidRPr="00105E85">
        <w:rPr>
          <w:color w:val="000000" w:themeColor="text1"/>
          <w:sz w:val="28"/>
          <w:szCs w:val="28"/>
        </w:rPr>
        <w:t>they decide the defendant is guilty of the murder charge(s).</w:t>
      </w:r>
      <w:r w:rsidRPr="00105E85">
        <w:rPr>
          <w:rStyle w:val="FootnoteReference"/>
          <w:color w:val="000000" w:themeColor="text1"/>
          <w:sz w:val="28"/>
          <w:szCs w:val="28"/>
        </w:rPr>
        <w:footnoteReference w:id="22"/>
      </w:r>
      <w:r w:rsidRPr="00105E85">
        <w:rPr>
          <w:color w:val="000000" w:themeColor="text1"/>
          <w:sz w:val="28"/>
          <w:szCs w:val="28"/>
        </w:rPr>
        <w:t xml:space="preserve">  With this in mind, the process of “death qualifying” jurors has been attacked repeatedly as a tool by which a skilled prosecutor can create a jury predisposed to convict and to impose the ultimate penalty.</w:t>
      </w:r>
      <w:r w:rsidRPr="00105E85">
        <w:rPr>
          <w:rStyle w:val="FootnoteReference"/>
          <w:color w:val="000000" w:themeColor="text1"/>
          <w:sz w:val="28"/>
          <w:szCs w:val="28"/>
        </w:rPr>
        <w:footnoteReference w:id="23"/>
      </w:r>
      <w:r w:rsidRPr="00105E85">
        <w:rPr>
          <w:color w:val="000000" w:themeColor="text1"/>
          <w:sz w:val="28"/>
          <w:szCs w:val="28"/>
        </w:rPr>
        <w:t xml:space="preserve">  Even the United States Supreme Court has recognized that  death</w:t>
      </w:r>
      <w:r w:rsidR="00376847">
        <w:rPr>
          <w:color w:val="000000" w:themeColor="text1"/>
          <w:sz w:val="28"/>
          <w:szCs w:val="28"/>
        </w:rPr>
        <w:t>-</w:t>
      </w:r>
      <w:r w:rsidRPr="00105E85">
        <w:rPr>
          <w:color w:val="000000" w:themeColor="text1"/>
          <w:sz w:val="28"/>
          <w:szCs w:val="28"/>
        </w:rPr>
        <w:t>qualified juries are more likely to convict, or to be “conviction prone.”</w:t>
      </w:r>
      <w:r w:rsidRPr="00105E85">
        <w:rPr>
          <w:rStyle w:val="FootnoteReference"/>
          <w:color w:val="000000" w:themeColor="text1"/>
          <w:sz w:val="28"/>
          <w:szCs w:val="28"/>
        </w:rPr>
        <w:footnoteReference w:id="24"/>
      </w:r>
      <w:r w:rsidRPr="00105E85">
        <w:rPr>
          <w:color w:val="000000" w:themeColor="text1"/>
          <w:sz w:val="28"/>
          <w:szCs w:val="28"/>
        </w:rPr>
        <w:t xml:space="preserve"> </w:t>
      </w:r>
    </w:p>
    <w:p w14:paraId="03000270" w14:textId="77777777"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Capital jurors must be able to consider and give effect to evidence of mitigation when deciding whether to impose death.  Mitigating evidence is any evidence that may serve as a basis for a sentence less than death.</w:t>
      </w:r>
      <w:r w:rsidRPr="00105E85">
        <w:rPr>
          <w:rStyle w:val="FootnoteReference"/>
          <w:color w:val="000000" w:themeColor="text1"/>
          <w:sz w:val="28"/>
          <w:szCs w:val="28"/>
        </w:rPr>
        <w:footnoteReference w:id="25"/>
      </w:r>
      <w:r w:rsidRPr="00105E85">
        <w:rPr>
          <w:color w:val="000000" w:themeColor="text1"/>
          <w:sz w:val="28"/>
          <w:szCs w:val="28"/>
        </w:rPr>
        <w:t xml:space="preserve">  Capital jurors make an individual assessment to determine whether mitigation exists and whether it is sufficiently substantial to call for leniency, i.e., a sentence of life.</w:t>
      </w:r>
      <w:r w:rsidRPr="00105E85">
        <w:rPr>
          <w:rStyle w:val="FootnoteReference"/>
          <w:color w:val="000000" w:themeColor="text1"/>
          <w:sz w:val="28"/>
          <w:szCs w:val="28"/>
        </w:rPr>
        <w:footnoteReference w:id="26"/>
      </w:r>
    </w:p>
    <w:p w14:paraId="326A387D" w14:textId="3D64FC68"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 Without recourse to exclusion of questionable jurors through </w:t>
      </w:r>
      <w:proofErr w:type="spellStart"/>
      <w:r w:rsidRPr="00105E85">
        <w:rPr>
          <w:color w:val="000000" w:themeColor="text1"/>
          <w:sz w:val="28"/>
          <w:szCs w:val="28"/>
        </w:rPr>
        <w:t>peremptories</w:t>
      </w:r>
      <w:proofErr w:type="spellEnd"/>
      <w:r w:rsidRPr="00105E85">
        <w:rPr>
          <w:color w:val="000000" w:themeColor="text1"/>
          <w:sz w:val="28"/>
          <w:szCs w:val="28"/>
        </w:rPr>
        <w:t xml:space="preserve">, capital defendants may face “conviction prone” jurors and/or be forced to present their mitigation evidence to a juror who is predisposed to not consider some or all </w:t>
      </w:r>
      <w:r w:rsidR="00376847">
        <w:rPr>
          <w:color w:val="000000" w:themeColor="text1"/>
          <w:sz w:val="28"/>
          <w:szCs w:val="28"/>
        </w:rPr>
        <w:t>of it</w:t>
      </w:r>
      <w:r w:rsidRPr="00105E85">
        <w:rPr>
          <w:color w:val="000000" w:themeColor="text1"/>
          <w:sz w:val="28"/>
          <w:szCs w:val="28"/>
        </w:rPr>
        <w:t xml:space="preserve">.  There is insufficient space in this comment to address all the complexities of jury sentencing in capital cases and the importance of peremptory challenges to capital defendants.  Because the vote of a single juror can literally make the difference between life and death, peremptory challenges are a critical tool needed by capital defendants to secure fair and impartial juries.  </w:t>
      </w:r>
    </w:p>
    <w:p w14:paraId="3005D6ED" w14:textId="77777777" w:rsidR="00E72A54" w:rsidRPr="00105E85" w:rsidRDefault="00E72A54" w:rsidP="00E72A54">
      <w:pPr>
        <w:pStyle w:val="ListParagraph"/>
        <w:numPr>
          <w:ilvl w:val="0"/>
          <w:numId w:val="15"/>
        </w:numPr>
        <w:autoSpaceDE w:val="0"/>
        <w:autoSpaceDN w:val="0"/>
        <w:adjustRightInd w:val="0"/>
        <w:spacing w:line="480" w:lineRule="auto"/>
        <w:jc w:val="both"/>
        <w:rPr>
          <w:b/>
          <w:color w:val="000000" w:themeColor="text1"/>
          <w:sz w:val="28"/>
          <w:szCs w:val="28"/>
        </w:rPr>
      </w:pPr>
      <w:r w:rsidRPr="00105E85">
        <w:rPr>
          <w:b/>
          <w:color w:val="000000" w:themeColor="text1"/>
          <w:sz w:val="28"/>
          <w:szCs w:val="28"/>
        </w:rPr>
        <w:t>Unintended Consequences – Automatic Reversal.</w:t>
      </w:r>
    </w:p>
    <w:p w14:paraId="6B12FF76" w14:textId="663404D6" w:rsidR="00E72A54" w:rsidRPr="00105E85" w:rsidRDefault="00E72A54" w:rsidP="00E72A54">
      <w:pPr>
        <w:pStyle w:val="Body"/>
        <w:widowControl w:val="0"/>
        <w:spacing w:line="480" w:lineRule="auto"/>
        <w:ind w:firstLine="720"/>
        <w:jc w:val="both"/>
        <w:rPr>
          <w:bCs/>
          <w:color w:val="000000" w:themeColor="text1"/>
          <w:sz w:val="28"/>
          <w:szCs w:val="28"/>
        </w:rPr>
      </w:pPr>
      <w:r w:rsidRPr="00105E85">
        <w:rPr>
          <w:bCs/>
          <w:color w:val="000000" w:themeColor="text1"/>
          <w:sz w:val="28"/>
          <w:szCs w:val="28"/>
        </w:rPr>
        <w:t xml:space="preserve">The potential path to automatic reversal is illustrated by two cases.  The first is </w:t>
      </w:r>
      <w:r w:rsidRPr="00105E85">
        <w:rPr>
          <w:bCs/>
          <w:i/>
          <w:iCs/>
          <w:color w:val="000000" w:themeColor="text1"/>
          <w:sz w:val="28"/>
          <w:szCs w:val="28"/>
        </w:rPr>
        <w:t>Ross v. Oklahoma</w:t>
      </w:r>
      <w:r w:rsidRPr="00105E85">
        <w:rPr>
          <w:bCs/>
          <w:color w:val="000000" w:themeColor="text1"/>
          <w:sz w:val="28"/>
          <w:szCs w:val="28"/>
        </w:rPr>
        <w:t>,</w:t>
      </w:r>
      <w:r w:rsidRPr="00105E85">
        <w:rPr>
          <w:rStyle w:val="FootnoteReference"/>
          <w:bCs/>
          <w:color w:val="000000" w:themeColor="text1"/>
          <w:sz w:val="28"/>
          <w:szCs w:val="28"/>
        </w:rPr>
        <w:footnoteReference w:id="27"/>
      </w:r>
      <w:r w:rsidRPr="00105E85">
        <w:rPr>
          <w:bCs/>
          <w:color w:val="000000" w:themeColor="text1"/>
          <w:sz w:val="28"/>
          <w:szCs w:val="28"/>
        </w:rPr>
        <w:t xml:space="preserve"> where the trial judge erroneously rejected a defense challenge for cause, forcing the defense to remove the prospective juror with a peremptory strike.  The </w:t>
      </w:r>
      <w:r w:rsidRPr="00105E85">
        <w:rPr>
          <w:bCs/>
          <w:i/>
          <w:iCs/>
          <w:color w:val="000000" w:themeColor="text1"/>
          <w:sz w:val="28"/>
          <w:szCs w:val="28"/>
        </w:rPr>
        <w:t>Ross</w:t>
      </w:r>
      <w:r w:rsidRPr="00105E85">
        <w:rPr>
          <w:bCs/>
          <w:color w:val="000000" w:themeColor="text1"/>
          <w:sz w:val="28"/>
          <w:szCs w:val="28"/>
        </w:rPr>
        <w:t xml:space="preserve"> Court affirmed the conviction and death sentence holding that there was no constitutional violation because one of the purposes of peremptory strikes under Oklahoma law was to correct faulty judicial rulings.</w:t>
      </w:r>
      <w:r w:rsidRPr="00105E85">
        <w:rPr>
          <w:rStyle w:val="FootnoteReference"/>
          <w:bCs/>
          <w:color w:val="000000" w:themeColor="text1"/>
          <w:sz w:val="28"/>
          <w:szCs w:val="28"/>
        </w:rPr>
        <w:footnoteReference w:id="28"/>
      </w:r>
      <w:r w:rsidRPr="00105E85">
        <w:rPr>
          <w:bCs/>
          <w:color w:val="000000" w:themeColor="text1"/>
          <w:sz w:val="28"/>
          <w:szCs w:val="28"/>
        </w:rPr>
        <w:t xml:space="preserve">  </w:t>
      </w:r>
      <w:r w:rsidRPr="00105E85">
        <w:rPr>
          <w:bCs/>
          <w:i/>
          <w:iCs/>
          <w:color w:val="000000" w:themeColor="text1"/>
          <w:sz w:val="28"/>
          <w:szCs w:val="28"/>
        </w:rPr>
        <w:t xml:space="preserve">Ross </w:t>
      </w:r>
      <w:r w:rsidRPr="00105E85">
        <w:rPr>
          <w:bCs/>
          <w:color w:val="000000" w:themeColor="text1"/>
          <w:sz w:val="28"/>
          <w:szCs w:val="28"/>
        </w:rPr>
        <w:t xml:space="preserve">was followed by </w:t>
      </w:r>
      <w:r w:rsidRPr="00105E85">
        <w:rPr>
          <w:bCs/>
          <w:i/>
          <w:iCs/>
          <w:color w:val="000000" w:themeColor="text1"/>
          <w:sz w:val="28"/>
          <w:szCs w:val="28"/>
        </w:rPr>
        <w:t>United States v. Martinez-Salazar</w:t>
      </w:r>
      <w:r w:rsidRPr="00105E85">
        <w:rPr>
          <w:bCs/>
          <w:color w:val="000000" w:themeColor="text1"/>
          <w:sz w:val="28"/>
          <w:szCs w:val="28"/>
        </w:rPr>
        <w:t>,</w:t>
      </w:r>
      <w:r w:rsidRPr="00105E85">
        <w:rPr>
          <w:rStyle w:val="FootnoteReference"/>
          <w:bCs/>
          <w:color w:val="000000" w:themeColor="text1"/>
          <w:sz w:val="28"/>
          <w:szCs w:val="28"/>
        </w:rPr>
        <w:footnoteReference w:id="29"/>
      </w:r>
      <w:r w:rsidRPr="00105E85">
        <w:rPr>
          <w:bCs/>
          <w:color w:val="000000" w:themeColor="text1"/>
          <w:sz w:val="28"/>
          <w:szCs w:val="28"/>
        </w:rPr>
        <w:t xml:space="preserve"> where, again, a defense challenge for cause was erroneously denied and the defendant removed the juror using a peremptory strike.  The difference between </w:t>
      </w:r>
      <w:r w:rsidRPr="00105E85">
        <w:rPr>
          <w:bCs/>
          <w:i/>
          <w:iCs/>
          <w:color w:val="000000" w:themeColor="text1"/>
          <w:sz w:val="28"/>
          <w:szCs w:val="28"/>
        </w:rPr>
        <w:t>Ross</w:t>
      </w:r>
      <w:r w:rsidRPr="00105E85">
        <w:rPr>
          <w:bCs/>
          <w:color w:val="000000" w:themeColor="text1"/>
          <w:sz w:val="28"/>
          <w:szCs w:val="28"/>
        </w:rPr>
        <w:t xml:space="preserve"> and </w:t>
      </w:r>
      <w:r w:rsidRPr="00105E85">
        <w:rPr>
          <w:bCs/>
          <w:i/>
          <w:iCs/>
          <w:color w:val="000000" w:themeColor="text1"/>
          <w:sz w:val="28"/>
          <w:szCs w:val="28"/>
        </w:rPr>
        <w:t>Martinez-Salazar</w:t>
      </w:r>
      <w:r w:rsidRPr="00105E85">
        <w:rPr>
          <w:bCs/>
          <w:color w:val="000000" w:themeColor="text1"/>
          <w:sz w:val="28"/>
          <w:szCs w:val="28"/>
        </w:rPr>
        <w:t xml:space="preserve"> was that in the latter case the law did not require the peremptory be used to correct the erroneous ruling.  To the </w:t>
      </w:r>
      <w:r w:rsidRPr="00105E85">
        <w:rPr>
          <w:bCs/>
          <w:i/>
          <w:iCs/>
          <w:color w:val="000000" w:themeColor="text1"/>
          <w:sz w:val="28"/>
          <w:szCs w:val="28"/>
        </w:rPr>
        <w:t>Martinez-Salazar</w:t>
      </w:r>
      <w:r w:rsidRPr="00105E85">
        <w:rPr>
          <w:bCs/>
          <w:color w:val="000000" w:themeColor="text1"/>
          <w:sz w:val="28"/>
          <w:szCs w:val="28"/>
        </w:rPr>
        <w:t xml:space="preserve"> Court this distinction made no difference.  By voluntarily striking the juror on his own, the defendant had remedied the constitutional error.</w:t>
      </w:r>
      <w:r w:rsidRPr="00105E85">
        <w:rPr>
          <w:rStyle w:val="FootnoteReference"/>
          <w:bCs/>
          <w:color w:val="000000" w:themeColor="text1"/>
          <w:sz w:val="28"/>
          <w:szCs w:val="28"/>
        </w:rPr>
        <w:footnoteReference w:id="30"/>
      </w:r>
    </w:p>
    <w:p w14:paraId="52DF4901" w14:textId="77777777" w:rsidR="00E72A54" w:rsidRPr="00105E85" w:rsidRDefault="00E72A54" w:rsidP="00E72A54">
      <w:pPr>
        <w:pStyle w:val="Body"/>
        <w:widowControl w:val="0"/>
        <w:spacing w:line="480" w:lineRule="auto"/>
        <w:ind w:firstLine="720"/>
        <w:jc w:val="both"/>
        <w:rPr>
          <w:bCs/>
          <w:color w:val="000000" w:themeColor="text1"/>
          <w:sz w:val="28"/>
          <w:szCs w:val="28"/>
        </w:rPr>
      </w:pPr>
      <w:r w:rsidRPr="00105E85">
        <w:rPr>
          <w:bCs/>
          <w:i/>
          <w:iCs/>
          <w:color w:val="000000" w:themeColor="text1"/>
          <w:sz w:val="28"/>
          <w:szCs w:val="28"/>
        </w:rPr>
        <w:t>Ross</w:t>
      </w:r>
      <w:r w:rsidRPr="00105E85">
        <w:rPr>
          <w:bCs/>
          <w:color w:val="000000" w:themeColor="text1"/>
          <w:sz w:val="28"/>
          <w:szCs w:val="28"/>
        </w:rPr>
        <w:t xml:space="preserve"> and </w:t>
      </w:r>
      <w:r w:rsidRPr="00105E85">
        <w:rPr>
          <w:bCs/>
          <w:i/>
          <w:iCs/>
          <w:color w:val="000000" w:themeColor="text1"/>
          <w:sz w:val="28"/>
          <w:szCs w:val="28"/>
        </w:rPr>
        <w:t>Martinez-Salazar</w:t>
      </w:r>
      <w:r w:rsidRPr="00105E85">
        <w:rPr>
          <w:bCs/>
          <w:color w:val="000000" w:themeColor="text1"/>
          <w:sz w:val="28"/>
          <w:szCs w:val="28"/>
        </w:rPr>
        <w:t xml:space="preserve"> made it clear that peremptory challenges provide a safety valve to maintaining impartial juries when a court erroneously denies a for-cause challenge.  If </w:t>
      </w:r>
      <w:proofErr w:type="spellStart"/>
      <w:r w:rsidRPr="00105E85">
        <w:rPr>
          <w:bCs/>
          <w:color w:val="000000" w:themeColor="text1"/>
          <w:sz w:val="28"/>
          <w:szCs w:val="28"/>
        </w:rPr>
        <w:t>peremptories</w:t>
      </w:r>
      <w:proofErr w:type="spellEnd"/>
      <w:r w:rsidRPr="00105E85">
        <w:rPr>
          <w:bCs/>
          <w:color w:val="000000" w:themeColor="text1"/>
          <w:sz w:val="28"/>
          <w:szCs w:val="28"/>
        </w:rPr>
        <w:t xml:space="preserve"> are eliminated, then erroneous denials of for-</w:t>
      </w:r>
      <w:proofErr w:type="gramStart"/>
      <w:r w:rsidRPr="00105E85">
        <w:rPr>
          <w:bCs/>
          <w:color w:val="000000" w:themeColor="text1"/>
          <w:sz w:val="28"/>
          <w:szCs w:val="28"/>
        </w:rPr>
        <w:t>cause</w:t>
      </w:r>
      <w:proofErr w:type="gramEnd"/>
      <w:r w:rsidRPr="00105E85">
        <w:rPr>
          <w:bCs/>
          <w:color w:val="000000" w:themeColor="text1"/>
          <w:sz w:val="28"/>
          <w:szCs w:val="28"/>
        </w:rPr>
        <w:t xml:space="preserve"> challenges may again set the stage for an automatic reversal on appeal – in both civil and criminal cases – which was the law in Arizona prior to </w:t>
      </w:r>
      <w:r w:rsidRPr="00105E85">
        <w:rPr>
          <w:bCs/>
          <w:i/>
          <w:iCs/>
          <w:color w:val="000000" w:themeColor="text1"/>
          <w:sz w:val="28"/>
          <w:szCs w:val="28"/>
        </w:rPr>
        <w:t>Martinez-Salazar</w:t>
      </w:r>
      <w:r w:rsidRPr="00105E85">
        <w:rPr>
          <w:bCs/>
          <w:color w:val="000000" w:themeColor="text1"/>
          <w:sz w:val="28"/>
          <w:szCs w:val="28"/>
        </w:rPr>
        <w:t>.</w:t>
      </w:r>
      <w:r w:rsidRPr="00105E85">
        <w:rPr>
          <w:rStyle w:val="FootnoteReference"/>
          <w:bCs/>
          <w:color w:val="000000" w:themeColor="text1"/>
          <w:sz w:val="28"/>
          <w:szCs w:val="28"/>
        </w:rPr>
        <w:footnoteReference w:id="31"/>
      </w:r>
      <w:r w:rsidRPr="00105E85">
        <w:rPr>
          <w:bCs/>
          <w:color w:val="000000" w:themeColor="text1"/>
          <w:sz w:val="28"/>
          <w:szCs w:val="28"/>
        </w:rPr>
        <w:t xml:space="preserve">  </w:t>
      </w:r>
    </w:p>
    <w:p w14:paraId="5B007E02" w14:textId="77777777" w:rsidR="00E72A54" w:rsidRPr="00105E85" w:rsidRDefault="00E72A54" w:rsidP="00E72A54">
      <w:pPr>
        <w:pStyle w:val="Body"/>
        <w:widowControl w:val="0"/>
        <w:numPr>
          <w:ilvl w:val="0"/>
          <w:numId w:val="15"/>
        </w:numPr>
        <w:spacing w:line="480" w:lineRule="auto"/>
        <w:rPr>
          <w:b/>
          <w:color w:val="000000" w:themeColor="text1"/>
          <w:sz w:val="28"/>
          <w:szCs w:val="28"/>
        </w:rPr>
      </w:pPr>
      <w:r w:rsidRPr="00105E85">
        <w:rPr>
          <w:b/>
          <w:color w:val="000000" w:themeColor="text1"/>
          <w:sz w:val="28"/>
          <w:szCs w:val="28"/>
        </w:rPr>
        <w:t>Reduction of Peremptory Strikes During COVID-19.</w:t>
      </w:r>
    </w:p>
    <w:p w14:paraId="3CEEF9FA" w14:textId="5F7CE6A5" w:rsidR="00E72A54" w:rsidRPr="00105E85" w:rsidRDefault="00E72A54" w:rsidP="00E72A54">
      <w:pPr>
        <w:autoSpaceDE w:val="0"/>
        <w:autoSpaceDN w:val="0"/>
        <w:adjustRightInd w:val="0"/>
        <w:spacing w:line="480" w:lineRule="auto"/>
        <w:ind w:firstLine="720"/>
        <w:jc w:val="both"/>
        <w:rPr>
          <w:i/>
          <w:iCs/>
          <w:color w:val="000000" w:themeColor="text1"/>
          <w:sz w:val="28"/>
          <w:szCs w:val="28"/>
        </w:rPr>
      </w:pPr>
      <w:r w:rsidRPr="00105E85">
        <w:rPr>
          <w:color w:val="000000" w:themeColor="text1"/>
          <w:sz w:val="28"/>
          <w:szCs w:val="28"/>
        </w:rPr>
        <w:t xml:space="preserve">Petitioners posit that the reduction in the number of peremptory strikes imposed during the COVID-19 pandemic </w:t>
      </w:r>
      <w:r w:rsidR="00E352EC">
        <w:rPr>
          <w:color w:val="000000" w:themeColor="text1"/>
          <w:sz w:val="28"/>
          <w:szCs w:val="28"/>
        </w:rPr>
        <w:t>demonstrates</w:t>
      </w:r>
      <w:r w:rsidR="00E352EC" w:rsidRPr="00105E85">
        <w:rPr>
          <w:color w:val="000000" w:themeColor="text1"/>
          <w:sz w:val="28"/>
          <w:szCs w:val="28"/>
        </w:rPr>
        <w:t xml:space="preserve"> </w:t>
      </w:r>
      <w:r w:rsidRPr="00105E85">
        <w:rPr>
          <w:color w:val="000000" w:themeColor="text1"/>
          <w:sz w:val="28"/>
          <w:szCs w:val="28"/>
        </w:rPr>
        <w:t xml:space="preserve">that abolishment is unproblematic.  However, no empirical data supports </w:t>
      </w:r>
      <w:r w:rsidR="00E352EC">
        <w:rPr>
          <w:color w:val="000000" w:themeColor="text1"/>
          <w:sz w:val="28"/>
          <w:szCs w:val="28"/>
        </w:rPr>
        <w:t xml:space="preserve">this </w:t>
      </w:r>
      <w:r w:rsidR="002217B6">
        <w:rPr>
          <w:color w:val="000000" w:themeColor="text1"/>
          <w:sz w:val="28"/>
          <w:szCs w:val="28"/>
        </w:rPr>
        <w:t>assertion</w:t>
      </w:r>
      <w:r w:rsidRPr="00105E85">
        <w:rPr>
          <w:color w:val="000000" w:themeColor="text1"/>
          <w:sz w:val="28"/>
          <w:szCs w:val="28"/>
        </w:rPr>
        <w:t xml:space="preserve">.  Juror lack of impartiality, like any other form of juror misconduct, is for the most part impossible to discern during a trial.  It isn’t until post-conviction proceedings that juror </w:t>
      </w:r>
      <w:r w:rsidR="002217B6">
        <w:rPr>
          <w:color w:val="000000" w:themeColor="text1"/>
          <w:sz w:val="28"/>
          <w:szCs w:val="28"/>
        </w:rPr>
        <w:t>bias</w:t>
      </w:r>
      <w:r w:rsidRPr="00105E85">
        <w:rPr>
          <w:color w:val="000000" w:themeColor="text1"/>
          <w:sz w:val="28"/>
          <w:szCs w:val="28"/>
        </w:rPr>
        <w:t xml:space="preserve"> is most often discovered, assuming it’s discovered at all.</w:t>
      </w:r>
    </w:p>
    <w:p w14:paraId="36F8D133" w14:textId="5678D0B2" w:rsidR="00E72A54" w:rsidRPr="00105E85" w:rsidRDefault="00E72A54" w:rsidP="00E72A54">
      <w:pPr>
        <w:autoSpaceDE w:val="0"/>
        <w:autoSpaceDN w:val="0"/>
        <w:adjustRightInd w:val="0"/>
        <w:spacing w:line="480" w:lineRule="auto"/>
        <w:ind w:firstLine="720"/>
        <w:jc w:val="both"/>
        <w:rPr>
          <w:color w:val="000000" w:themeColor="text1"/>
          <w:sz w:val="28"/>
          <w:szCs w:val="28"/>
        </w:rPr>
      </w:pPr>
      <w:r w:rsidRPr="00105E85">
        <w:rPr>
          <w:color w:val="000000" w:themeColor="text1"/>
          <w:sz w:val="28"/>
          <w:szCs w:val="28"/>
        </w:rPr>
        <w:t xml:space="preserve">That a national pandemic required </w:t>
      </w:r>
      <w:r w:rsidR="002217B6">
        <w:rPr>
          <w:color w:val="000000" w:themeColor="text1"/>
          <w:sz w:val="28"/>
          <w:szCs w:val="28"/>
        </w:rPr>
        <w:t>fewer</w:t>
      </w:r>
      <w:r w:rsidR="002217B6" w:rsidRPr="00105E85">
        <w:rPr>
          <w:color w:val="000000" w:themeColor="text1"/>
          <w:sz w:val="28"/>
          <w:szCs w:val="28"/>
        </w:rPr>
        <w:t xml:space="preserve"> </w:t>
      </w:r>
      <w:r w:rsidRPr="00105E85">
        <w:rPr>
          <w:color w:val="000000" w:themeColor="text1"/>
          <w:sz w:val="28"/>
          <w:szCs w:val="28"/>
        </w:rPr>
        <w:t xml:space="preserve">people in a courtroom during a trial does not </w:t>
      </w:r>
      <w:r w:rsidR="002217B6">
        <w:rPr>
          <w:color w:val="000000" w:themeColor="text1"/>
          <w:sz w:val="28"/>
          <w:szCs w:val="28"/>
        </w:rPr>
        <w:t>equal</w:t>
      </w:r>
      <w:r w:rsidRPr="00105E85">
        <w:rPr>
          <w:color w:val="000000" w:themeColor="text1"/>
          <w:sz w:val="28"/>
          <w:szCs w:val="28"/>
        </w:rPr>
        <w:t xml:space="preserve"> a conclusion that the trial was inherently fair or the sitting jurors impartial.  As Petitioners observe in another context, the reduction in peremptory strikes due to COVID “tells us nothing about the overall fairness of the system” concerning those trials occurring at the time. (Petition, at 7, ¶2). Consequently, this argument does not support Petitioners’ request.</w:t>
      </w:r>
    </w:p>
    <w:p w14:paraId="027E6227" w14:textId="77777777" w:rsidR="00E72A54" w:rsidRPr="00105E85" w:rsidRDefault="00E72A54" w:rsidP="00E72A54">
      <w:pPr>
        <w:pStyle w:val="Body"/>
        <w:widowControl w:val="0"/>
        <w:numPr>
          <w:ilvl w:val="0"/>
          <w:numId w:val="15"/>
        </w:numPr>
        <w:spacing w:line="480" w:lineRule="auto"/>
        <w:rPr>
          <w:b/>
          <w:color w:val="000000" w:themeColor="text1"/>
          <w:sz w:val="28"/>
          <w:szCs w:val="28"/>
        </w:rPr>
      </w:pPr>
      <w:r w:rsidRPr="00105E85">
        <w:rPr>
          <w:b/>
          <w:color w:val="000000" w:themeColor="text1"/>
          <w:sz w:val="28"/>
          <w:szCs w:val="28"/>
        </w:rPr>
        <w:t xml:space="preserve">The </w:t>
      </w:r>
      <w:r w:rsidRPr="00105E85">
        <w:rPr>
          <w:b/>
          <w:i/>
          <w:iCs/>
          <w:color w:val="000000" w:themeColor="text1"/>
          <w:sz w:val="28"/>
          <w:szCs w:val="28"/>
        </w:rPr>
        <w:t>Batson</w:t>
      </w:r>
      <w:r w:rsidRPr="00105E85">
        <w:rPr>
          <w:b/>
          <w:color w:val="000000" w:themeColor="text1"/>
          <w:sz w:val="28"/>
          <w:szCs w:val="28"/>
        </w:rPr>
        <w:t xml:space="preserve"> Dilemma. </w:t>
      </w:r>
    </w:p>
    <w:p w14:paraId="458836BA" w14:textId="00F394A2" w:rsidR="00E72A54" w:rsidRPr="00105E85" w:rsidRDefault="00E72A54" w:rsidP="00E72A54">
      <w:pPr>
        <w:pStyle w:val="Body"/>
        <w:widowControl w:val="0"/>
        <w:spacing w:line="480" w:lineRule="auto"/>
        <w:ind w:firstLine="720"/>
        <w:jc w:val="both"/>
        <w:rPr>
          <w:color w:val="000000" w:themeColor="text1"/>
          <w:sz w:val="28"/>
          <w:szCs w:val="28"/>
        </w:rPr>
      </w:pPr>
      <w:r w:rsidRPr="00105E85">
        <w:rPr>
          <w:bCs/>
          <w:color w:val="000000" w:themeColor="text1"/>
          <w:sz w:val="28"/>
          <w:szCs w:val="28"/>
        </w:rPr>
        <w:t xml:space="preserve">Petitioners place considerable reliance on the failure of </w:t>
      </w:r>
      <w:r w:rsidRPr="00105E85">
        <w:rPr>
          <w:bCs/>
          <w:i/>
          <w:iCs/>
          <w:color w:val="000000" w:themeColor="text1"/>
          <w:sz w:val="28"/>
          <w:szCs w:val="28"/>
        </w:rPr>
        <w:t>Batson v. Kentucky</w:t>
      </w:r>
      <w:r w:rsidRPr="00105E85">
        <w:rPr>
          <w:bCs/>
          <w:color w:val="000000" w:themeColor="text1"/>
          <w:sz w:val="28"/>
          <w:szCs w:val="28"/>
        </w:rPr>
        <w:t xml:space="preserve"> to root out race-based peremptory challenges. (Petition at pp. 9-13).  The</w:t>
      </w:r>
      <w:r w:rsidR="00D7380D">
        <w:rPr>
          <w:bCs/>
          <w:color w:val="000000" w:themeColor="text1"/>
          <w:sz w:val="28"/>
          <w:szCs w:val="28"/>
        </w:rPr>
        <w:t>ir</w:t>
      </w:r>
      <w:r w:rsidRPr="00105E85">
        <w:rPr>
          <w:bCs/>
          <w:color w:val="000000" w:themeColor="text1"/>
          <w:sz w:val="28"/>
          <w:szCs w:val="28"/>
        </w:rPr>
        <w:t xml:space="preserve"> stated goal is to “put a stop to intentional and unintentional bias in jury selection</w:t>
      </w:r>
      <w:proofErr w:type="gramStart"/>
      <w:r w:rsidRPr="00105E85">
        <w:rPr>
          <w:bCs/>
          <w:color w:val="000000" w:themeColor="text1"/>
          <w:sz w:val="28"/>
          <w:szCs w:val="28"/>
        </w:rPr>
        <w:t>. . . .</w:t>
      </w:r>
      <w:proofErr w:type="gramEnd"/>
      <w:r w:rsidRPr="00105E85">
        <w:rPr>
          <w:bCs/>
          <w:color w:val="000000" w:themeColor="text1"/>
          <w:sz w:val="28"/>
          <w:szCs w:val="28"/>
        </w:rPr>
        <w:t>”  (</w:t>
      </w:r>
      <w:r w:rsidRPr="00105E85">
        <w:rPr>
          <w:bCs/>
          <w:i/>
          <w:iCs/>
          <w:color w:val="000000" w:themeColor="text1"/>
          <w:sz w:val="28"/>
          <w:szCs w:val="28"/>
        </w:rPr>
        <w:t xml:space="preserve">Id. </w:t>
      </w:r>
      <w:r w:rsidRPr="00105E85">
        <w:rPr>
          <w:bCs/>
          <w:color w:val="000000" w:themeColor="text1"/>
          <w:sz w:val="28"/>
          <w:szCs w:val="28"/>
        </w:rPr>
        <w:t xml:space="preserve">at 2).  </w:t>
      </w:r>
      <w:r w:rsidRPr="00105E85">
        <w:rPr>
          <w:color w:val="000000" w:themeColor="text1"/>
          <w:sz w:val="28"/>
          <w:szCs w:val="28"/>
        </w:rPr>
        <w:t xml:space="preserve">The State Bar does not dispute that peremptory challenges have been used to discriminate against protected classes of prospective jurors.  </w:t>
      </w:r>
      <w:r w:rsidRPr="00105E85">
        <w:rPr>
          <w:bCs/>
          <w:color w:val="000000" w:themeColor="text1"/>
          <w:sz w:val="28"/>
          <w:szCs w:val="28"/>
        </w:rPr>
        <w:t xml:space="preserve">This does not mean, however, that peremptory challenges must be eliminated.  To the contrary, the process should be improved to better ensure the proper use of peremptory strikes.  In this regard, the petitioners reference another pending petition, R-21-0008, which also seeks to solve the problem of discriminatory use of peremptory challenges.  Indeed, </w:t>
      </w:r>
      <w:r w:rsidR="00D7380D">
        <w:rPr>
          <w:bCs/>
          <w:color w:val="000000" w:themeColor="text1"/>
          <w:sz w:val="28"/>
          <w:szCs w:val="28"/>
        </w:rPr>
        <w:t>P</w:t>
      </w:r>
      <w:r w:rsidRPr="00105E85">
        <w:rPr>
          <w:bCs/>
          <w:color w:val="000000" w:themeColor="text1"/>
          <w:sz w:val="28"/>
          <w:szCs w:val="28"/>
        </w:rPr>
        <w:t>etitioners “embrace and incorporate the scholarship” of R-21-0008. (Petition</w:t>
      </w:r>
      <w:r w:rsidRPr="00105E85">
        <w:rPr>
          <w:bCs/>
          <w:i/>
          <w:iCs/>
          <w:color w:val="000000" w:themeColor="text1"/>
          <w:sz w:val="28"/>
          <w:szCs w:val="28"/>
        </w:rPr>
        <w:t xml:space="preserve"> </w:t>
      </w:r>
      <w:r w:rsidRPr="00105E85">
        <w:rPr>
          <w:bCs/>
          <w:color w:val="000000" w:themeColor="text1"/>
          <w:sz w:val="28"/>
          <w:szCs w:val="28"/>
        </w:rPr>
        <w:t>at 3, n.1).</w:t>
      </w:r>
    </w:p>
    <w:p w14:paraId="15A85F22" w14:textId="1B99B7A9" w:rsidR="00E72A54" w:rsidRPr="00105E85" w:rsidRDefault="00E72A54" w:rsidP="00E72A54">
      <w:pPr>
        <w:pStyle w:val="Body"/>
        <w:widowControl w:val="0"/>
        <w:spacing w:line="480" w:lineRule="auto"/>
        <w:ind w:firstLine="720"/>
        <w:jc w:val="both"/>
        <w:rPr>
          <w:color w:val="000000" w:themeColor="text1"/>
          <w:sz w:val="28"/>
          <w:szCs w:val="28"/>
        </w:rPr>
      </w:pPr>
      <w:r w:rsidRPr="00105E85">
        <w:rPr>
          <w:bCs/>
          <w:color w:val="000000" w:themeColor="text1"/>
          <w:sz w:val="28"/>
          <w:szCs w:val="28"/>
        </w:rPr>
        <w:t xml:space="preserve">In essence, R-21-0008 seeks to solve the same problem </w:t>
      </w:r>
      <w:r w:rsidR="00D7380D">
        <w:rPr>
          <w:bCs/>
          <w:color w:val="000000" w:themeColor="text1"/>
          <w:sz w:val="28"/>
          <w:szCs w:val="28"/>
        </w:rPr>
        <w:t>at bar</w:t>
      </w:r>
      <w:r w:rsidRPr="00105E85">
        <w:rPr>
          <w:bCs/>
          <w:color w:val="000000" w:themeColor="text1"/>
          <w:sz w:val="28"/>
          <w:szCs w:val="28"/>
        </w:rPr>
        <w:t xml:space="preserve"> but through adoption of a rule modeled in part after Washington General Rule 37, which altered the Batson framework by instituting an “objective observer” standard to determine if a peremptory strike is grounded in discrimination.  Petition R-21-0008 alters the Washington standard to a reasonable person test, i.e., </w:t>
      </w:r>
      <w:r w:rsidRPr="00105E85">
        <w:rPr>
          <w:color w:val="000000" w:themeColor="text1"/>
          <w:sz w:val="28"/>
          <w:szCs w:val="28"/>
        </w:rPr>
        <w:t>a party may challenge an opponent’s peremptory strike of a potential juror if a reasonable person might see the strike as being connected to discrimination against the prospective juror’s membership in a protected class.  Other jurisdictions have followed</w:t>
      </w:r>
      <w:r w:rsidRPr="00105E85">
        <w:rPr>
          <w:rStyle w:val="FootnoteReference"/>
          <w:color w:val="000000" w:themeColor="text1"/>
          <w:sz w:val="28"/>
          <w:szCs w:val="28"/>
        </w:rPr>
        <w:footnoteReference w:id="32"/>
      </w:r>
      <w:r w:rsidRPr="00105E85">
        <w:rPr>
          <w:color w:val="000000" w:themeColor="text1"/>
          <w:sz w:val="28"/>
          <w:szCs w:val="28"/>
        </w:rPr>
        <w:t xml:space="preserve"> or are studying</w:t>
      </w:r>
      <w:r w:rsidRPr="00105E85">
        <w:rPr>
          <w:rStyle w:val="FootnoteReference"/>
          <w:color w:val="000000" w:themeColor="text1"/>
          <w:sz w:val="28"/>
          <w:szCs w:val="28"/>
        </w:rPr>
        <w:footnoteReference w:id="33"/>
      </w:r>
      <w:r w:rsidRPr="00105E85">
        <w:rPr>
          <w:color w:val="000000" w:themeColor="text1"/>
          <w:sz w:val="28"/>
          <w:szCs w:val="28"/>
        </w:rPr>
        <w:t xml:space="preserve"> the Washington approach.  Alternatives to abrogation of peremptory strikes are available.</w:t>
      </w:r>
    </w:p>
    <w:p w14:paraId="7756527F" w14:textId="77777777" w:rsidR="00E72A54" w:rsidRPr="00105E85" w:rsidRDefault="00E72A54" w:rsidP="00E72A54">
      <w:pPr>
        <w:pStyle w:val="ListParagraph"/>
        <w:numPr>
          <w:ilvl w:val="0"/>
          <w:numId w:val="15"/>
        </w:numPr>
        <w:autoSpaceDE w:val="0"/>
        <w:autoSpaceDN w:val="0"/>
        <w:adjustRightInd w:val="0"/>
        <w:spacing w:line="480" w:lineRule="auto"/>
        <w:jc w:val="both"/>
        <w:rPr>
          <w:b/>
          <w:bCs/>
          <w:color w:val="000000" w:themeColor="text1"/>
          <w:sz w:val="28"/>
          <w:szCs w:val="28"/>
        </w:rPr>
      </w:pPr>
      <w:r w:rsidRPr="00105E85">
        <w:rPr>
          <w:b/>
          <w:bCs/>
          <w:color w:val="000000" w:themeColor="text1"/>
          <w:sz w:val="28"/>
          <w:szCs w:val="28"/>
        </w:rPr>
        <w:t>Potential Confusion as to the Standard of Proof in Criminal Cases.</w:t>
      </w:r>
    </w:p>
    <w:p w14:paraId="6834A459" w14:textId="732799B2" w:rsidR="00936A9A" w:rsidRDefault="00E72A54" w:rsidP="00E72A54">
      <w:pPr>
        <w:pStyle w:val="ListParagraph"/>
        <w:autoSpaceDE w:val="0"/>
        <w:autoSpaceDN w:val="0"/>
        <w:adjustRightInd w:val="0"/>
        <w:spacing w:line="480" w:lineRule="auto"/>
        <w:ind w:left="0" w:firstLine="720"/>
        <w:jc w:val="both"/>
        <w:rPr>
          <w:color w:val="000000" w:themeColor="text1"/>
          <w:sz w:val="28"/>
          <w:szCs w:val="28"/>
        </w:rPr>
      </w:pPr>
      <w:r w:rsidRPr="00105E85">
        <w:rPr>
          <w:color w:val="000000" w:themeColor="text1"/>
          <w:sz w:val="28"/>
          <w:szCs w:val="28"/>
        </w:rPr>
        <w:t xml:space="preserve">Rule 18.4(b) of the Rules of Criminal Procedure is directed at challenges for cause and currently states that “ . . . the court must excuse a prospective juror or jurors from service in the case if there is a </w:t>
      </w:r>
      <w:r w:rsidRPr="00105E85">
        <w:rPr>
          <w:i/>
          <w:iCs/>
          <w:color w:val="000000" w:themeColor="text1"/>
          <w:sz w:val="28"/>
          <w:szCs w:val="28"/>
        </w:rPr>
        <w:t>reasonable ground to believe</w:t>
      </w:r>
      <w:r w:rsidRPr="00105E85">
        <w:rPr>
          <w:color w:val="000000" w:themeColor="text1"/>
          <w:sz w:val="28"/>
          <w:szCs w:val="28"/>
        </w:rPr>
        <w:t xml:space="preserve"> that the juror or jurors cannot render a fair and impartial verdict.” (Emphasis added).  A second provision of the rule, 18.5(f), also addresses proving challenges for cause in criminal cases.  The Petition proposes to modify Rule 18.5(f) to read: “The party challenging a juror for cause has the burden to establish </w:t>
      </w:r>
      <w:r w:rsidRPr="00105E85">
        <w:rPr>
          <w:i/>
          <w:iCs/>
          <w:color w:val="000000" w:themeColor="text1"/>
          <w:sz w:val="28"/>
          <w:szCs w:val="28"/>
        </w:rPr>
        <w:t>by a preponderance of the evidence</w:t>
      </w:r>
      <w:r w:rsidRPr="00105E85">
        <w:rPr>
          <w:color w:val="000000" w:themeColor="text1"/>
          <w:sz w:val="28"/>
          <w:szCs w:val="28"/>
        </w:rPr>
        <w:t xml:space="preserve"> that the juror cannot render </w:t>
      </w:r>
      <w:r w:rsidR="00936A9A">
        <w:rPr>
          <w:color w:val="000000" w:themeColor="text1"/>
          <w:sz w:val="28"/>
          <w:szCs w:val="28"/>
        </w:rPr>
        <w:t>a</w:t>
      </w:r>
      <w:r w:rsidR="00936A9A" w:rsidRPr="00105E85">
        <w:rPr>
          <w:color w:val="000000" w:themeColor="text1"/>
          <w:sz w:val="28"/>
          <w:szCs w:val="28"/>
        </w:rPr>
        <w:t xml:space="preserve"> </w:t>
      </w:r>
      <w:r w:rsidRPr="00105E85">
        <w:rPr>
          <w:color w:val="000000" w:themeColor="text1"/>
          <w:sz w:val="28"/>
          <w:szCs w:val="28"/>
        </w:rPr>
        <w:t xml:space="preserve">fair and impartial verdict.” (Emphasis added.)  </w:t>
      </w:r>
    </w:p>
    <w:p w14:paraId="45A7C65A" w14:textId="60B70481" w:rsidR="00E72A54" w:rsidRPr="00105E85" w:rsidRDefault="00E72A54" w:rsidP="00E72A54">
      <w:pPr>
        <w:pStyle w:val="ListParagraph"/>
        <w:autoSpaceDE w:val="0"/>
        <w:autoSpaceDN w:val="0"/>
        <w:adjustRightInd w:val="0"/>
        <w:spacing w:line="480" w:lineRule="auto"/>
        <w:ind w:left="0" w:firstLine="720"/>
        <w:jc w:val="both"/>
        <w:rPr>
          <w:color w:val="000000" w:themeColor="text1"/>
          <w:sz w:val="28"/>
          <w:szCs w:val="28"/>
        </w:rPr>
      </w:pPr>
      <w:r w:rsidRPr="00105E85">
        <w:rPr>
          <w:color w:val="000000" w:themeColor="text1"/>
          <w:sz w:val="28"/>
          <w:szCs w:val="28"/>
        </w:rPr>
        <w:t>The State Bar submits that the language proposed in amended Rule 18.5(f) is arguably inconsistent with the standard currently found in Rule 18.4(b).  At the very least, the potential for confusion exists if Rule 18.5(f) is modified as the Petition requests.</w:t>
      </w:r>
    </w:p>
    <w:p w14:paraId="50713A0B" w14:textId="77777777" w:rsidR="00E72A54" w:rsidRPr="00105E85" w:rsidRDefault="00E72A54" w:rsidP="00E72A54">
      <w:pPr>
        <w:pStyle w:val="Body"/>
        <w:widowControl w:val="0"/>
        <w:spacing w:line="480" w:lineRule="auto"/>
        <w:ind w:firstLine="720"/>
        <w:jc w:val="both"/>
        <w:rPr>
          <w:rStyle w:val="BodyTextChar"/>
          <w:b/>
          <w:color w:val="000000" w:themeColor="text1"/>
          <w:sz w:val="28"/>
          <w:szCs w:val="28"/>
        </w:rPr>
      </w:pPr>
      <w:r w:rsidRPr="00105E85">
        <w:rPr>
          <w:rStyle w:val="BodyTextChar"/>
          <w:b/>
          <w:color w:val="000000" w:themeColor="text1"/>
          <w:sz w:val="28"/>
          <w:szCs w:val="28"/>
        </w:rPr>
        <w:t xml:space="preserve">B.  </w:t>
      </w:r>
      <w:r w:rsidRPr="00105E85">
        <w:rPr>
          <w:rStyle w:val="BodyTextChar"/>
          <w:b/>
          <w:color w:val="000000" w:themeColor="text1"/>
          <w:sz w:val="28"/>
          <w:szCs w:val="28"/>
          <w:u w:val="single"/>
        </w:rPr>
        <w:t>Conclusion</w:t>
      </w:r>
      <w:r w:rsidRPr="00105E85">
        <w:rPr>
          <w:rStyle w:val="BodyTextChar"/>
          <w:b/>
          <w:color w:val="000000" w:themeColor="text1"/>
          <w:sz w:val="28"/>
          <w:szCs w:val="28"/>
        </w:rPr>
        <w:t>.</w:t>
      </w:r>
    </w:p>
    <w:p w14:paraId="22CC9F8D" w14:textId="284CED62" w:rsidR="00E72A54" w:rsidRPr="00105E85" w:rsidRDefault="00E72A54" w:rsidP="00E72A54">
      <w:pPr>
        <w:pStyle w:val="Body"/>
        <w:widowControl w:val="0"/>
        <w:spacing w:line="480" w:lineRule="auto"/>
        <w:ind w:firstLine="720"/>
        <w:jc w:val="both"/>
        <w:rPr>
          <w:bCs/>
          <w:color w:val="000000" w:themeColor="text1"/>
          <w:sz w:val="28"/>
          <w:szCs w:val="28"/>
        </w:rPr>
      </w:pPr>
      <w:r w:rsidRPr="00105E85">
        <w:rPr>
          <w:bCs/>
          <w:color w:val="000000" w:themeColor="text1"/>
          <w:sz w:val="28"/>
          <w:szCs w:val="28"/>
        </w:rPr>
        <w:t>Human beings are not automatons.  We all possess opinions and attitudes, some of which we are not consciously aware, otherwise known as implicit biases.  Simply because “</w:t>
      </w:r>
      <w:r w:rsidRPr="00105E85">
        <w:rPr>
          <w:color w:val="000000" w:themeColor="text1"/>
          <w:sz w:val="28"/>
          <w:szCs w:val="28"/>
        </w:rPr>
        <w:t>a trial lawyer's instinctive assessment of a juror's predisposition cannot meet the high standards of a challenge for cause does not mean that the lawyer's instinct is erroneous.”</w:t>
      </w:r>
      <w:r w:rsidRPr="00105E85">
        <w:rPr>
          <w:rStyle w:val="FootnoteReference"/>
          <w:color w:val="000000" w:themeColor="text1"/>
          <w:sz w:val="28"/>
          <w:szCs w:val="28"/>
        </w:rPr>
        <w:footnoteReference w:id="34"/>
      </w:r>
      <w:r w:rsidRPr="00105E85">
        <w:rPr>
          <w:color w:val="000000" w:themeColor="text1"/>
          <w:sz w:val="28"/>
          <w:szCs w:val="28"/>
        </w:rPr>
        <w:t xml:space="preserve">  Moreover, limiting the use of the peremptory challenge “increase[s] the possibility that biased jurors will be allowed onto the jury” due to the lack of an articulable for-cause basis for a strike.</w:t>
      </w:r>
      <w:r w:rsidRPr="00105E85">
        <w:rPr>
          <w:rStyle w:val="FootnoteReference"/>
          <w:color w:val="000000" w:themeColor="text1"/>
          <w:sz w:val="28"/>
          <w:szCs w:val="28"/>
        </w:rPr>
        <w:footnoteReference w:id="35"/>
      </w:r>
    </w:p>
    <w:p w14:paraId="1F1198C0" w14:textId="6AA7F0A6" w:rsidR="00E72A54" w:rsidRPr="00105E85" w:rsidRDefault="00936A9A" w:rsidP="00E72A54">
      <w:pPr>
        <w:pStyle w:val="Body"/>
        <w:widowControl w:val="0"/>
        <w:spacing w:line="480" w:lineRule="auto"/>
        <w:ind w:firstLine="720"/>
        <w:jc w:val="both"/>
        <w:rPr>
          <w:bCs/>
          <w:color w:val="000000" w:themeColor="text1"/>
          <w:sz w:val="28"/>
          <w:szCs w:val="28"/>
        </w:rPr>
      </w:pPr>
      <w:r>
        <w:rPr>
          <w:bCs/>
          <w:color w:val="000000" w:themeColor="text1"/>
          <w:sz w:val="28"/>
          <w:szCs w:val="28"/>
        </w:rPr>
        <w:t>E</w:t>
      </w:r>
      <w:r w:rsidR="00E72A54" w:rsidRPr="00105E85">
        <w:rPr>
          <w:bCs/>
          <w:color w:val="000000" w:themeColor="text1"/>
          <w:sz w:val="28"/>
          <w:szCs w:val="28"/>
        </w:rPr>
        <w:t xml:space="preserve">limination of peremptory strikes </w:t>
      </w:r>
      <w:r>
        <w:rPr>
          <w:bCs/>
          <w:color w:val="000000" w:themeColor="text1"/>
          <w:sz w:val="28"/>
          <w:szCs w:val="28"/>
        </w:rPr>
        <w:t>could well result</w:t>
      </w:r>
      <w:r w:rsidRPr="00105E85">
        <w:rPr>
          <w:bCs/>
          <w:color w:val="000000" w:themeColor="text1"/>
          <w:sz w:val="28"/>
          <w:szCs w:val="28"/>
        </w:rPr>
        <w:t xml:space="preserve"> </w:t>
      </w:r>
      <w:r w:rsidR="00E72A54" w:rsidRPr="00105E85">
        <w:rPr>
          <w:bCs/>
          <w:color w:val="000000" w:themeColor="text1"/>
          <w:sz w:val="28"/>
          <w:szCs w:val="28"/>
        </w:rPr>
        <w:t xml:space="preserve">in a jury selection process that </w:t>
      </w:r>
      <w:r>
        <w:rPr>
          <w:bCs/>
          <w:color w:val="000000" w:themeColor="text1"/>
          <w:sz w:val="28"/>
          <w:szCs w:val="28"/>
        </w:rPr>
        <w:t>helped conceal</w:t>
      </w:r>
      <w:r w:rsidR="00E72A54" w:rsidRPr="00105E85">
        <w:rPr>
          <w:bCs/>
          <w:color w:val="000000" w:themeColor="text1"/>
          <w:sz w:val="28"/>
          <w:szCs w:val="28"/>
        </w:rPr>
        <w:t xml:space="preserve"> juror bias, resulting in fewer fair and impartial juries.  </w:t>
      </w:r>
      <w:r>
        <w:rPr>
          <w:bCs/>
          <w:color w:val="000000" w:themeColor="text1"/>
          <w:sz w:val="28"/>
          <w:szCs w:val="28"/>
        </w:rPr>
        <w:t>Addressing</w:t>
      </w:r>
      <w:r w:rsidRPr="00105E85">
        <w:rPr>
          <w:bCs/>
          <w:color w:val="000000" w:themeColor="text1"/>
          <w:sz w:val="28"/>
          <w:szCs w:val="28"/>
        </w:rPr>
        <w:t xml:space="preserve"> </w:t>
      </w:r>
      <w:r w:rsidR="00E72A54" w:rsidRPr="00105E85">
        <w:rPr>
          <w:bCs/>
          <w:color w:val="000000" w:themeColor="text1"/>
          <w:sz w:val="28"/>
          <w:szCs w:val="28"/>
        </w:rPr>
        <w:t xml:space="preserve">the current harms </w:t>
      </w:r>
      <w:r w:rsidR="004D5934">
        <w:rPr>
          <w:bCs/>
          <w:color w:val="000000" w:themeColor="text1"/>
          <w:sz w:val="28"/>
          <w:szCs w:val="28"/>
        </w:rPr>
        <w:t xml:space="preserve">resulting </w:t>
      </w:r>
      <w:r w:rsidR="00105E85">
        <w:rPr>
          <w:bCs/>
          <w:color w:val="000000" w:themeColor="text1"/>
          <w:sz w:val="28"/>
          <w:szCs w:val="28"/>
        </w:rPr>
        <w:t>from</w:t>
      </w:r>
      <w:r w:rsidR="00105E85" w:rsidRPr="00105E85">
        <w:rPr>
          <w:bCs/>
          <w:color w:val="000000" w:themeColor="text1"/>
          <w:sz w:val="28"/>
          <w:szCs w:val="28"/>
        </w:rPr>
        <w:t xml:space="preserve"> </w:t>
      </w:r>
      <w:proofErr w:type="spellStart"/>
      <w:r w:rsidR="00105E85" w:rsidRPr="00105E85">
        <w:rPr>
          <w:bCs/>
          <w:color w:val="000000" w:themeColor="text1"/>
          <w:sz w:val="28"/>
          <w:szCs w:val="28"/>
        </w:rPr>
        <w:t>peremptories</w:t>
      </w:r>
      <w:proofErr w:type="spellEnd"/>
      <w:r w:rsidR="00E72A54" w:rsidRPr="00105E85">
        <w:rPr>
          <w:bCs/>
          <w:color w:val="000000" w:themeColor="text1"/>
          <w:sz w:val="28"/>
          <w:szCs w:val="28"/>
        </w:rPr>
        <w:t xml:space="preserve"> </w:t>
      </w:r>
      <w:r>
        <w:rPr>
          <w:bCs/>
          <w:color w:val="000000" w:themeColor="text1"/>
          <w:sz w:val="28"/>
          <w:szCs w:val="28"/>
        </w:rPr>
        <w:t>should not also work to eliminate</w:t>
      </w:r>
      <w:r w:rsidR="00E72A54" w:rsidRPr="00105E85">
        <w:rPr>
          <w:bCs/>
          <w:color w:val="000000" w:themeColor="text1"/>
          <w:sz w:val="28"/>
          <w:szCs w:val="28"/>
        </w:rPr>
        <w:t xml:space="preserve"> the benefits outlined in this Comment.  </w:t>
      </w:r>
      <w:r w:rsidR="00E72A54" w:rsidRPr="00105E85">
        <w:rPr>
          <w:color w:val="000000" w:themeColor="text1"/>
          <w:sz w:val="28"/>
          <w:szCs w:val="28"/>
        </w:rPr>
        <w:t xml:space="preserve">Instead of eliminating peremptory challenges, the State Bar submits it would be wiser to ensure this important procedure is used properly to secure a fair and impartial jury.  </w:t>
      </w:r>
    </w:p>
    <w:p w14:paraId="011DBDE5" w14:textId="04019CAF" w:rsidR="00E72A54" w:rsidRPr="00105E85" w:rsidRDefault="00E72A54" w:rsidP="00E72A54">
      <w:pPr>
        <w:pStyle w:val="Body"/>
        <w:widowControl w:val="0"/>
        <w:tabs>
          <w:tab w:val="left" w:pos="720"/>
        </w:tabs>
        <w:spacing w:line="480" w:lineRule="auto"/>
        <w:ind w:firstLine="0"/>
        <w:jc w:val="both"/>
        <w:rPr>
          <w:color w:val="000000" w:themeColor="text1"/>
          <w:sz w:val="28"/>
          <w:szCs w:val="28"/>
        </w:rPr>
      </w:pPr>
      <w:r w:rsidRPr="00105E85">
        <w:rPr>
          <w:color w:val="000000" w:themeColor="text1"/>
          <w:sz w:val="28"/>
          <w:szCs w:val="28"/>
        </w:rPr>
        <w:tab/>
        <w:t>For the foregoing reasons, the State Bar of Arizona respectfully requests that the Court reject the proposed amendments to Rules 18.4 and 18.5 of the Arizona Rules of Criminal Procedure and Rule 47(e) of the Arizona Rules of Civil Procedure.</w:t>
      </w:r>
    </w:p>
    <w:p w14:paraId="5D02FE20" w14:textId="77777777" w:rsidR="000F7A7F" w:rsidRPr="00105E85" w:rsidRDefault="000F7A7F" w:rsidP="000F7C13">
      <w:pPr>
        <w:pStyle w:val="Body"/>
        <w:widowControl w:val="0"/>
        <w:tabs>
          <w:tab w:val="left" w:pos="720"/>
        </w:tabs>
        <w:ind w:firstLine="0"/>
        <w:rPr>
          <w:color w:val="000000" w:themeColor="text1"/>
          <w:sz w:val="28"/>
          <w:szCs w:val="28"/>
        </w:rPr>
      </w:pPr>
    </w:p>
    <w:p w14:paraId="56DC022B" w14:textId="078156D6" w:rsidR="000C48A9" w:rsidRPr="00105E85" w:rsidRDefault="00797E8B" w:rsidP="000C48A9">
      <w:pPr>
        <w:pStyle w:val="Body"/>
        <w:widowControl w:val="0"/>
        <w:tabs>
          <w:tab w:val="left" w:pos="720"/>
        </w:tabs>
        <w:ind w:firstLine="0"/>
        <w:rPr>
          <w:color w:val="000000" w:themeColor="text1"/>
          <w:sz w:val="28"/>
          <w:szCs w:val="28"/>
        </w:rPr>
      </w:pPr>
      <w:r>
        <w:rPr>
          <w:noProof/>
        </w:rPr>
        <w:drawing>
          <wp:anchor distT="0" distB="0" distL="114300" distR="114300" simplePos="0" relativeHeight="251658240" behindDoc="0" locked="0" layoutInCell="1" allowOverlap="1" wp14:anchorId="0A065948" wp14:editId="282DB8D1">
            <wp:simplePos x="0" y="0"/>
            <wp:positionH relativeFrom="column">
              <wp:posOffset>3257550</wp:posOffset>
            </wp:positionH>
            <wp:positionV relativeFrom="paragraph">
              <wp:posOffset>271780</wp:posOffset>
            </wp:positionV>
            <wp:extent cx="1895475" cy="723265"/>
            <wp:effectExtent l="0" t="0" r="0" b="635"/>
            <wp:wrapNone/>
            <wp:docPr id="5" name="Picture 5"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5" name="Picture 5"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5475" cy="723265"/>
                    </a:xfrm>
                    <a:prstGeom prst="rect">
                      <a:avLst/>
                    </a:prstGeom>
                  </pic:spPr>
                </pic:pic>
              </a:graphicData>
            </a:graphic>
            <wp14:sizeRelH relativeFrom="page">
              <wp14:pctWidth>0</wp14:pctWidth>
            </wp14:sizeRelH>
            <wp14:sizeRelV relativeFrom="page">
              <wp14:pctHeight>0</wp14:pctHeight>
            </wp14:sizeRelV>
          </wp:anchor>
        </w:drawing>
      </w:r>
      <w:r w:rsidR="006F63FD" w:rsidRPr="00105E85">
        <w:rPr>
          <w:color w:val="000000" w:themeColor="text1"/>
          <w:sz w:val="28"/>
          <w:szCs w:val="28"/>
        </w:rPr>
        <w:t xml:space="preserve">      </w:t>
      </w:r>
      <w:r w:rsidR="000C48A9" w:rsidRPr="00105E85">
        <w:rPr>
          <w:color w:val="000000" w:themeColor="text1"/>
          <w:sz w:val="28"/>
          <w:szCs w:val="28"/>
        </w:rPr>
        <w:t xml:space="preserve">RESPECTFULLY SUBMITTED this </w:t>
      </w:r>
      <w:r w:rsidR="00033B8A">
        <w:rPr>
          <w:color w:val="000000" w:themeColor="text1"/>
          <w:sz w:val="28"/>
          <w:szCs w:val="28"/>
        </w:rPr>
        <w:t>30</w:t>
      </w:r>
      <w:r w:rsidR="00033B8A" w:rsidRPr="00033B8A">
        <w:rPr>
          <w:color w:val="000000" w:themeColor="text1"/>
          <w:sz w:val="28"/>
          <w:szCs w:val="28"/>
          <w:vertAlign w:val="superscript"/>
        </w:rPr>
        <w:t>th</w:t>
      </w:r>
      <w:r w:rsidR="00033B8A">
        <w:rPr>
          <w:color w:val="000000" w:themeColor="text1"/>
          <w:sz w:val="28"/>
          <w:szCs w:val="28"/>
        </w:rPr>
        <w:t xml:space="preserve"> </w:t>
      </w:r>
      <w:r w:rsidR="000C48A9" w:rsidRPr="00105E85">
        <w:rPr>
          <w:color w:val="000000" w:themeColor="text1"/>
          <w:sz w:val="28"/>
          <w:szCs w:val="28"/>
        </w:rPr>
        <w:t>day of</w:t>
      </w:r>
      <w:r w:rsidR="00033B8A">
        <w:rPr>
          <w:color w:val="000000" w:themeColor="text1"/>
          <w:sz w:val="28"/>
          <w:szCs w:val="28"/>
        </w:rPr>
        <w:t xml:space="preserve"> April</w:t>
      </w:r>
      <w:r w:rsidR="00D60D9B" w:rsidRPr="00105E85">
        <w:rPr>
          <w:color w:val="000000" w:themeColor="text1"/>
          <w:sz w:val="28"/>
          <w:szCs w:val="28"/>
        </w:rPr>
        <w:t xml:space="preserve"> 20</w:t>
      </w:r>
      <w:r w:rsidR="00954A5E" w:rsidRPr="00105E85">
        <w:rPr>
          <w:color w:val="000000" w:themeColor="text1"/>
          <w:sz w:val="28"/>
          <w:szCs w:val="28"/>
        </w:rPr>
        <w:t>2</w:t>
      </w:r>
      <w:r w:rsidR="006E4770" w:rsidRPr="00105E85">
        <w:rPr>
          <w:color w:val="000000" w:themeColor="text1"/>
          <w:sz w:val="28"/>
          <w:szCs w:val="28"/>
        </w:rPr>
        <w:t>1</w:t>
      </w:r>
      <w:r w:rsidR="000C48A9" w:rsidRPr="00105E85">
        <w:rPr>
          <w:color w:val="000000" w:themeColor="text1"/>
          <w:sz w:val="28"/>
          <w:szCs w:val="28"/>
        </w:rPr>
        <w:t>.</w:t>
      </w:r>
    </w:p>
    <w:p w14:paraId="514BFEB7" w14:textId="2FA18773" w:rsidR="000C48A9" w:rsidRPr="00105E85" w:rsidRDefault="000C48A9" w:rsidP="000C48A9">
      <w:pPr>
        <w:pStyle w:val="Body"/>
        <w:widowControl w:val="0"/>
        <w:tabs>
          <w:tab w:val="left" w:pos="720"/>
        </w:tabs>
        <w:ind w:firstLine="0"/>
        <w:rPr>
          <w:color w:val="000000" w:themeColor="text1"/>
          <w:sz w:val="28"/>
          <w:szCs w:val="28"/>
        </w:rPr>
      </w:pPr>
    </w:p>
    <w:p w14:paraId="6B779D2D" w14:textId="3103F168" w:rsidR="000C48A9" w:rsidRPr="00105E85" w:rsidRDefault="000C48A9" w:rsidP="000C48A9">
      <w:pPr>
        <w:pStyle w:val="Body"/>
        <w:widowControl w:val="0"/>
        <w:tabs>
          <w:tab w:val="left" w:pos="720"/>
        </w:tabs>
        <w:ind w:firstLine="0"/>
        <w:rPr>
          <w:color w:val="000000" w:themeColor="text1"/>
          <w:sz w:val="28"/>
          <w:szCs w:val="28"/>
        </w:rPr>
      </w:pPr>
    </w:p>
    <w:p w14:paraId="66D5BA5C" w14:textId="77777777" w:rsidR="000C48A9" w:rsidRPr="00105E85" w:rsidRDefault="00F850BE" w:rsidP="000C48A9">
      <w:pPr>
        <w:pStyle w:val="PleadingSignature"/>
        <w:keepNext w:val="0"/>
        <w:keepLines w:val="0"/>
        <w:pBdr>
          <w:top w:val="single" w:sz="4" w:space="1" w:color="auto"/>
        </w:pBdr>
        <w:spacing w:line="240" w:lineRule="auto"/>
        <w:ind w:left="5070"/>
        <w:rPr>
          <w:color w:val="000000" w:themeColor="text1"/>
          <w:sz w:val="28"/>
          <w:szCs w:val="28"/>
        </w:rPr>
      </w:pPr>
      <w:r w:rsidRPr="00105E85">
        <w:rPr>
          <w:color w:val="000000" w:themeColor="text1"/>
          <w:sz w:val="28"/>
          <w:szCs w:val="28"/>
        </w:rPr>
        <w:t>Lisa M. Panahi</w:t>
      </w:r>
    </w:p>
    <w:p w14:paraId="305B54BB" w14:textId="77777777" w:rsidR="000C48A9" w:rsidRPr="00105E85" w:rsidRDefault="000C48A9" w:rsidP="000C48A9">
      <w:pPr>
        <w:pStyle w:val="PleadingSignature"/>
        <w:keepNext w:val="0"/>
        <w:keepLines w:val="0"/>
        <w:spacing w:line="240" w:lineRule="auto"/>
        <w:ind w:left="5070"/>
        <w:rPr>
          <w:color w:val="000000" w:themeColor="text1"/>
          <w:sz w:val="28"/>
          <w:szCs w:val="28"/>
        </w:rPr>
      </w:pPr>
      <w:r w:rsidRPr="00105E85">
        <w:rPr>
          <w:color w:val="000000" w:themeColor="text1"/>
          <w:sz w:val="28"/>
          <w:szCs w:val="28"/>
        </w:rPr>
        <w:t>General Counsel</w:t>
      </w:r>
    </w:p>
    <w:p w14:paraId="3ACE66B2" w14:textId="77777777" w:rsidR="000C48A9" w:rsidRPr="00105E85" w:rsidRDefault="000C48A9" w:rsidP="000C48A9">
      <w:pPr>
        <w:pStyle w:val="PleadingSignature"/>
        <w:keepNext w:val="0"/>
        <w:keepLines w:val="0"/>
        <w:spacing w:line="240" w:lineRule="auto"/>
        <w:ind w:left="5070"/>
        <w:rPr>
          <w:color w:val="000000" w:themeColor="text1"/>
          <w:sz w:val="28"/>
          <w:szCs w:val="28"/>
        </w:rPr>
      </w:pPr>
    </w:p>
    <w:p w14:paraId="1B468F8F" w14:textId="77777777" w:rsidR="000C48A9" w:rsidRPr="00105E85" w:rsidRDefault="000C48A9" w:rsidP="000C48A9">
      <w:pPr>
        <w:pStyle w:val="PleadingSignature"/>
        <w:keepNext w:val="0"/>
        <w:keepLines w:val="0"/>
        <w:spacing w:line="240" w:lineRule="auto"/>
        <w:ind w:left="5070"/>
        <w:rPr>
          <w:color w:val="000000" w:themeColor="text1"/>
          <w:sz w:val="28"/>
          <w:szCs w:val="28"/>
        </w:rPr>
      </w:pPr>
    </w:p>
    <w:p w14:paraId="7CFE3311" w14:textId="77777777" w:rsidR="00C52E56" w:rsidRPr="00105E85" w:rsidRDefault="00C52E56" w:rsidP="004331B2">
      <w:pPr>
        <w:widowControl w:val="0"/>
        <w:spacing w:line="240" w:lineRule="auto"/>
        <w:ind w:right="4140"/>
        <w:rPr>
          <w:color w:val="000000" w:themeColor="text1"/>
          <w:sz w:val="28"/>
          <w:szCs w:val="28"/>
        </w:rPr>
      </w:pPr>
    </w:p>
    <w:p w14:paraId="3EFA1660" w14:textId="77777777" w:rsidR="00C52E56" w:rsidRPr="00105E85" w:rsidRDefault="00C52E56" w:rsidP="004331B2">
      <w:pPr>
        <w:widowControl w:val="0"/>
        <w:spacing w:line="240" w:lineRule="auto"/>
        <w:ind w:right="4140"/>
        <w:rPr>
          <w:color w:val="000000" w:themeColor="text1"/>
          <w:sz w:val="28"/>
          <w:szCs w:val="28"/>
        </w:rPr>
      </w:pPr>
    </w:p>
    <w:p w14:paraId="1B393CD1" w14:textId="77777777" w:rsidR="000C48A9" w:rsidRPr="00105E85" w:rsidRDefault="000C48A9" w:rsidP="004331B2">
      <w:pPr>
        <w:widowControl w:val="0"/>
        <w:spacing w:line="240" w:lineRule="auto"/>
        <w:ind w:right="4140"/>
        <w:rPr>
          <w:color w:val="000000" w:themeColor="text1"/>
          <w:sz w:val="28"/>
          <w:szCs w:val="28"/>
        </w:rPr>
      </w:pPr>
      <w:r w:rsidRPr="00105E85">
        <w:rPr>
          <w:color w:val="000000" w:themeColor="text1"/>
          <w:sz w:val="28"/>
          <w:szCs w:val="28"/>
        </w:rPr>
        <w:t>Electronic copy filed with the</w:t>
      </w:r>
    </w:p>
    <w:p w14:paraId="7DDECC87" w14:textId="77777777" w:rsidR="000C48A9" w:rsidRPr="00105E85" w:rsidRDefault="000C48A9" w:rsidP="004331B2">
      <w:pPr>
        <w:spacing w:line="240" w:lineRule="auto"/>
        <w:ind w:right="4140"/>
        <w:rPr>
          <w:color w:val="000000" w:themeColor="text1"/>
          <w:sz w:val="28"/>
          <w:szCs w:val="28"/>
        </w:rPr>
      </w:pPr>
      <w:r w:rsidRPr="00105E85">
        <w:rPr>
          <w:color w:val="000000" w:themeColor="text1"/>
          <w:sz w:val="28"/>
          <w:szCs w:val="28"/>
        </w:rPr>
        <w:t xml:space="preserve">Clerk of the </w:t>
      </w:r>
      <w:r w:rsidR="00692391" w:rsidRPr="00105E85">
        <w:rPr>
          <w:color w:val="000000" w:themeColor="text1"/>
          <w:sz w:val="28"/>
          <w:szCs w:val="28"/>
        </w:rPr>
        <w:t>Supreme Court of Arizona</w:t>
      </w:r>
    </w:p>
    <w:p w14:paraId="6759567E" w14:textId="06FBB517" w:rsidR="000C48A9" w:rsidRPr="00105E85" w:rsidRDefault="000C48A9" w:rsidP="00C52E56">
      <w:pPr>
        <w:tabs>
          <w:tab w:val="left" w:pos="4836"/>
        </w:tabs>
        <w:spacing w:line="240" w:lineRule="auto"/>
        <w:ind w:right="3870"/>
        <w:rPr>
          <w:color w:val="000000" w:themeColor="text1"/>
          <w:sz w:val="28"/>
          <w:szCs w:val="28"/>
        </w:rPr>
      </w:pPr>
      <w:r w:rsidRPr="00105E85">
        <w:rPr>
          <w:color w:val="000000" w:themeColor="text1"/>
          <w:sz w:val="28"/>
          <w:szCs w:val="28"/>
        </w:rPr>
        <w:t>t</w:t>
      </w:r>
      <w:r w:rsidR="000F7A7F" w:rsidRPr="00105E85">
        <w:rPr>
          <w:color w:val="000000" w:themeColor="text1"/>
          <w:sz w:val="28"/>
          <w:szCs w:val="28"/>
        </w:rPr>
        <w:t xml:space="preserve">his </w:t>
      </w:r>
      <w:r w:rsidR="00033B8A">
        <w:rPr>
          <w:color w:val="000000" w:themeColor="text1"/>
          <w:sz w:val="28"/>
          <w:szCs w:val="28"/>
        </w:rPr>
        <w:t>30</w:t>
      </w:r>
      <w:r w:rsidR="00033B8A" w:rsidRPr="00033B8A">
        <w:rPr>
          <w:color w:val="000000" w:themeColor="text1"/>
          <w:sz w:val="28"/>
          <w:szCs w:val="28"/>
          <w:vertAlign w:val="superscript"/>
        </w:rPr>
        <w:t>th</w:t>
      </w:r>
      <w:r w:rsidR="00033B8A">
        <w:rPr>
          <w:color w:val="000000" w:themeColor="text1"/>
          <w:sz w:val="28"/>
          <w:szCs w:val="28"/>
        </w:rPr>
        <w:t xml:space="preserve"> </w:t>
      </w:r>
      <w:r w:rsidR="000F7A7F" w:rsidRPr="00105E85">
        <w:rPr>
          <w:color w:val="000000" w:themeColor="text1"/>
          <w:sz w:val="28"/>
          <w:szCs w:val="28"/>
        </w:rPr>
        <w:t xml:space="preserve">day of </w:t>
      </w:r>
      <w:r w:rsidR="00033B8A">
        <w:rPr>
          <w:color w:val="000000" w:themeColor="text1"/>
          <w:sz w:val="28"/>
          <w:szCs w:val="28"/>
        </w:rPr>
        <w:t>April</w:t>
      </w:r>
      <w:r w:rsidR="006F63FD" w:rsidRPr="00105E85">
        <w:rPr>
          <w:color w:val="000000" w:themeColor="text1"/>
          <w:sz w:val="28"/>
          <w:szCs w:val="28"/>
        </w:rPr>
        <w:t xml:space="preserve"> </w:t>
      </w:r>
      <w:r w:rsidR="00D60D9B" w:rsidRPr="00105E85">
        <w:rPr>
          <w:color w:val="000000" w:themeColor="text1"/>
          <w:sz w:val="28"/>
          <w:szCs w:val="28"/>
        </w:rPr>
        <w:t>20</w:t>
      </w:r>
      <w:r w:rsidR="00954A5E" w:rsidRPr="00105E85">
        <w:rPr>
          <w:color w:val="000000" w:themeColor="text1"/>
          <w:sz w:val="28"/>
          <w:szCs w:val="28"/>
        </w:rPr>
        <w:t>2</w:t>
      </w:r>
      <w:r w:rsidR="006E4770" w:rsidRPr="00105E85">
        <w:rPr>
          <w:color w:val="000000" w:themeColor="text1"/>
          <w:sz w:val="28"/>
          <w:szCs w:val="28"/>
        </w:rPr>
        <w:t>1</w:t>
      </w:r>
      <w:r w:rsidR="000F7A7F" w:rsidRPr="00105E85">
        <w:rPr>
          <w:color w:val="000000" w:themeColor="text1"/>
          <w:sz w:val="28"/>
          <w:szCs w:val="28"/>
        </w:rPr>
        <w:t>.</w:t>
      </w:r>
    </w:p>
    <w:p w14:paraId="27F41976" w14:textId="77777777" w:rsidR="00E72A54" w:rsidRPr="00105E85" w:rsidRDefault="00E72A54" w:rsidP="00C52E56">
      <w:pPr>
        <w:tabs>
          <w:tab w:val="left" w:pos="4836"/>
        </w:tabs>
        <w:spacing w:line="240" w:lineRule="auto"/>
        <w:ind w:right="3870"/>
        <w:rPr>
          <w:color w:val="000000" w:themeColor="text1"/>
          <w:sz w:val="28"/>
          <w:szCs w:val="28"/>
        </w:rPr>
      </w:pPr>
    </w:p>
    <w:p w14:paraId="69581EED" w14:textId="77777777" w:rsidR="000F7A7F" w:rsidRPr="00105E85" w:rsidRDefault="000F7A7F" w:rsidP="000C48A9">
      <w:pPr>
        <w:spacing w:line="240" w:lineRule="auto"/>
        <w:ind w:right="4572"/>
        <w:rPr>
          <w:color w:val="000000" w:themeColor="text1"/>
          <w:sz w:val="28"/>
          <w:szCs w:val="28"/>
        </w:rPr>
      </w:pPr>
    </w:p>
    <w:p w14:paraId="74A74D4D" w14:textId="1142A77A" w:rsidR="000C48A9" w:rsidRPr="00105E85" w:rsidRDefault="000C48A9" w:rsidP="000C48A9">
      <w:pPr>
        <w:spacing w:line="240" w:lineRule="auto"/>
        <w:ind w:right="4572"/>
        <w:rPr>
          <w:color w:val="000000" w:themeColor="text1"/>
          <w:sz w:val="28"/>
          <w:szCs w:val="28"/>
        </w:rPr>
      </w:pPr>
      <w:r w:rsidRPr="00105E85">
        <w:rPr>
          <w:color w:val="000000" w:themeColor="text1"/>
          <w:sz w:val="28"/>
          <w:szCs w:val="28"/>
        </w:rPr>
        <w:t xml:space="preserve">by: </w:t>
      </w:r>
      <w:r w:rsidR="00033B8A">
        <w:rPr>
          <w:color w:val="000000" w:themeColor="text1"/>
          <w:sz w:val="28"/>
          <w:szCs w:val="28"/>
        </w:rPr>
        <w:t>PSeguin</w:t>
      </w:r>
      <w:bookmarkStart w:id="3" w:name="_GoBack"/>
      <w:bookmarkEnd w:id="3"/>
      <w:r w:rsidRPr="00105E85">
        <w:rPr>
          <w:color w:val="000000" w:themeColor="text1"/>
          <w:sz w:val="28"/>
          <w:szCs w:val="28"/>
        </w:rPr>
        <w:t xml:space="preserve"> </w:t>
      </w:r>
    </w:p>
    <w:p w14:paraId="514D6FB1" w14:textId="77777777" w:rsidR="00494BDF" w:rsidRPr="00105E85" w:rsidRDefault="00494BDF" w:rsidP="000C48A9">
      <w:pPr>
        <w:pStyle w:val="Body"/>
        <w:widowControl w:val="0"/>
        <w:ind w:firstLine="0"/>
        <w:jc w:val="both"/>
        <w:rPr>
          <w:color w:val="000000" w:themeColor="text1"/>
          <w:sz w:val="28"/>
          <w:szCs w:val="28"/>
        </w:rPr>
      </w:pPr>
    </w:p>
    <w:p w14:paraId="22C2C8B9" w14:textId="77777777" w:rsidR="00933EA1" w:rsidRPr="00105E85" w:rsidRDefault="00933EA1" w:rsidP="000F7C13">
      <w:pPr>
        <w:spacing w:line="240" w:lineRule="auto"/>
        <w:rPr>
          <w:strike/>
          <w:color w:val="000000" w:themeColor="text1"/>
          <w:sz w:val="28"/>
          <w:szCs w:val="28"/>
        </w:rPr>
      </w:pPr>
    </w:p>
    <w:p w14:paraId="4A07E8A6" w14:textId="77777777" w:rsidR="00052372" w:rsidRPr="00105E85" w:rsidRDefault="00052372" w:rsidP="00933EA1">
      <w:pPr>
        <w:tabs>
          <w:tab w:val="left" w:pos="8145"/>
        </w:tabs>
        <w:rPr>
          <w:color w:val="000000" w:themeColor="text1"/>
          <w:sz w:val="28"/>
          <w:szCs w:val="28"/>
        </w:rPr>
      </w:pPr>
    </w:p>
    <w:sectPr w:rsidR="00052372" w:rsidRPr="00105E85"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9AFED" w14:textId="77777777" w:rsidR="006E71D1" w:rsidRDefault="006E71D1">
      <w:r>
        <w:separator/>
      </w:r>
    </w:p>
  </w:endnote>
  <w:endnote w:type="continuationSeparator" w:id="0">
    <w:p w14:paraId="3F617011" w14:textId="77777777" w:rsidR="006E71D1" w:rsidRDefault="006E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919B9" w14:textId="77777777" w:rsidR="006E71D1" w:rsidRDefault="006E71D1">
      <w:r>
        <w:separator/>
      </w:r>
    </w:p>
  </w:footnote>
  <w:footnote w:type="continuationSeparator" w:id="0">
    <w:p w14:paraId="1AB7C724" w14:textId="77777777" w:rsidR="006E71D1" w:rsidRDefault="006E71D1">
      <w:r>
        <w:continuationSeparator/>
      </w:r>
    </w:p>
  </w:footnote>
  <w:footnote w:id="1">
    <w:p w14:paraId="4ABE6CF0" w14:textId="77777777" w:rsidR="00E72A54" w:rsidRPr="00E72A54" w:rsidRDefault="00E72A54" w:rsidP="00E72A54">
      <w:pPr>
        <w:spacing w:line="320" w:lineRule="atLeast"/>
        <w:jc w:val="both"/>
        <w:rPr>
          <w:sz w:val="28"/>
          <w:szCs w:val="28"/>
        </w:rPr>
      </w:pPr>
      <w:r w:rsidRPr="00E72A54">
        <w:rPr>
          <w:rStyle w:val="FootnoteReference"/>
          <w:sz w:val="28"/>
          <w:szCs w:val="28"/>
        </w:rPr>
        <w:footnoteRef/>
      </w:r>
      <w:r w:rsidRPr="00797E8B">
        <w:rPr>
          <w:sz w:val="28"/>
          <w:szCs w:val="28"/>
          <w:lang w:val="es-MX"/>
        </w:rPr>
        <w:t xml:space="preserve"> </w:t>
      </w:r>
      <w:hyperlink r:id="rId1" w:history="1">
        <w:r w:rsidRPr="00797E8B">
          <w:rPr>
            <w:i/>
            <w:iCs/>
            <w:sz w:val="28"/>
            <w:szCs w:val="28"/>
            <w:lang w:val="es-MX"/>
          </w:rPr>
          <w:t xml:space="preserve">J.E.B. v. Alabama ex </w:t>
        </w:r>
        <w:proofErr w:type="spellStart"/>
        <w:r w:rsidRPr="00797E8B">
          <w:rPr>
            <w:i/>
            <w:iCs/>
            <w:sz w:val="28"/>
            <w:szCs w:val="28"/>
            <w:lang w:val="es-MX"/>
          </w:rPr>
          <w:t>rel.</w:t>
        </w:r>
        <w:proofErr w:type="spellEnd"/>
        <w:r w:rsidRPr="00797E8B">
          <w:rPr>
            <w:i/>
            <w:iCs/>
            <w:sz w:val="28"/>
            <w:szCs w:val="28"/>
            <w:lang w:val="es-MX"/>
          </w:rPr>
          <w:t xml:space="preserve"> </w:t>
        </w:r>
        <w:r w:rsidRPr="00E72A54">
          <w:rPr>
            <w:i/>
            <w:iCs/>
            <w:sz w:val="28"/>
            <w:szCs w:val="28"/>
          </w:rPr>
          <w:t>T.B.</w:t>
        </w:r>
        <w:r w:rsidRPr="00E72A54">
          <w:rPr>
            <w:sz w:val="28"/>
            <w:szCs w:val="28"/>
          </w:rPr>
          <w:t>, 511 U.S. 127, 147 (1994)</w:t>
        </w:r>
      </w:hyperlink>
      <w:r w:rsidRPr="00E72A54">
        <w:rPr>
          <w:sz w:val="28"/>
          <w:szCs w:val="28"/>
        </w:rPr>
        <w:t xml:space="preserve"> (O’Connor, J., concurring, quoting, </w:t>
      </w:r>
      <w:r w:rsidRPr="00E72A54">
        <w:rPr>
          <w:i/>
          <w:iCs/>
          <w:sz w:val="28"/>
          <w:szCs w:val="28"/>
        </w:rPr>
        <w:t xml:space="preserve">Holland v. Illinois, </w:t>
      </w:r>
      <w:r w:rsidRPr="00E72A54">
        <w:rPr>
          <w:sz w:val="28"/>
          <w:szCs w:val="28"/>
        </w:rPr>
        <w:t xml:space="preserve">493 U.S. 474, 484 (1990)). </w:t>
      </w:r>
    </w:p>
    <w:p w14:paraId="0665FF8B" w14:textId="77777777" w:rsidR="00E72A54" w:rsidRPr="00D934EC" w:rsidRDefault="00E72A54" w:rsidP="00E72A54">
      <w:pPr>
        <w:pStyle w:val="FootnoteText"/>
        <w:rPr>
          <w:sz w:val="26"/>
          <w:szCs w:val="26"/>
        </w:rPr>
      </w:pPr>
    </w:p>
  </w:footnote>
  <w:footnote w:id="2">
    <w:p w14:paraId="12092E7F" w14:textId="4655DAC4" w:rsidR="00E72A54" w:rsidRPr="00E72A54" w:rsidRDefault="00E72A54" w:rsidP="00E72A54">
      <w:pPr>
        <w:pStyle w:val="FootnoteText"/>
        <w:rPr>
          <w:sz w:val="28"/>
          <w:szCs w:val="28"/>
        </w:rPr>
      </w:pPr>
      <w:r w:rsidRPr="00E72A54">
        <w:rPr>
          <w:rStyle w:val="FootnoteReference"/>
          <w:sz w:val="28"/>
          <w:szCs w:val="28"/>
        </w:rPr>
        <w:footnoteRef/>
      </w:r>
      <w:r w:rsidRPr="00E72A54">
        <w:rPr>
          <w:sz w:val="28"/>
          <w:szCs w:val="28"/>
        </w:rPr>
        <w:t xml:space="preserve">  </w:t>
      </w:r>
      <w:r w:rsidR="0026589A">
        <w:rPr>
          <w:i/>
          <w:iCs/>
          <w:sz w:val="28"/>
          <w:szCs w:val="28"/>
        </w:rPr>
        <w:t>Id.</w:t>
      </w:r>
      <w:r w:rsidRPr="00E72A54">
        <w:rPr>
          <w:sz w:val="28"/>
          <w:szCs w:val="28"/>
        </w:rPr>
        <w:t xml:space="preserve"> at 148</w:t>
      </w:r>
      <w:r w:rsidR="0026589A">
        <w:rPr>
          <w:sz w:val="28"/>
          <w:szCs w:val="28"/>
        </w:rPr>
        <w:t xml:space="preserve"> (</w:t>
      </w:r>
      <w:r w:rsidRPr="00E72A54">
        <w:rPr>
          <w:sz w:val="28"/>
          <w:szCs w:val="28"/>
        </w:rPr>
        <w:t>O’Connor, J., concurring</w:t>
      </w:r>
      <w:r w:rsidR="0026589A">
        <w:rPr>
          <w:sz w:val="28"/>
          <w:szCs w:val="28"/>
        </w:rPr>
        <w:t>)</w:t>
      </w:r>
      <w:r w:rsidRPr="00E72A54">
        <w:rPr>
          <w:sz w:val="28"/>
          <w:szCs w:val="28"/>
        </w:rPr>
        <w:t>.</w:t>
      </w:r>
    </w:p>
  </w:footnote>
  <w:footnote w:id="3">
    <w:p w14:paraId="05497E0E" w14:textId="77777777" w:rsidR="00E72A54" w:rsidRPr="00E72A54" w:rsidRDefault="00E72A54" w:rsidP="00E72A54">
      <w:pPr>
        <w:pStyle w:val="Body"/>
        <w:widowControl w:val="0"/>
        <w:spacing w:after="120" w:line="240" w:lineRule="auto"/>
        <w:ind w:firstLine="0"/>
        <w:jc w:val="both"/>
        <w:rPr>
          <w:color w:val="3D3D3D"/>
          <w:sz w:val="28"/>
          <w:szCs w:val="28"/>
        </w:rPr>
      </w:pPr>
      <w:r w:rsidRPr="00E72A54">
        <w:rPr>
          <w:rStyle w:val="FootnoteReference"/>
          <w:sz w:val="28"/>
          <w:szCs w:val="28"/>
        </w:rPr>
        <w:footnoteRef/>
      </w:r>
      <w:r w:rsidRPr="00E72A54">
        <w:rPr>
          <w:sz w:val="28"/>
          <w:szCs w:val="28"/>
        </w:rPr>
        <w:t xml:space="preserve"> </w:t>
      </w:r>
      <w:r w:rsidRPr="00E72A54">
        <w:rPr>
          <w:color w:val="3D3D3D"/>
          <w:sz w:val="28"/>
          <w:szCs w:val="28"/>
        </w:rPr>
        <w:t xml:space="preserve">D.A. Armor, </w:t>
      </w:r>
      <w:r w:rsidRPr="00E72A54">
        <w:rPr>
          <w:i/>
          <w:iCs/>
          <w:color w:val="3D3D3D"/>
          <w:sz w:val="28"/>
          <w:szCs w:val="28"/>
        </w:rPr>
        <w:t>The Illusion of Objectivity: A Bias in the Perception of Freedom from Bias,</w:t>
      </w:r>
      <w:r w:rsidRPr="00E72A54">
        <w:rPr>
          <w:color w:val="3D3D3D"/>
          <w:sz w:val="28"/>
          <w:szCs w:val="28"/>
        </w:rPr>
        <w:t xml:space="preserve"> Dissertation Abstracts International: Section B: The Sciences and Engineering 59(9-B), 5163 (1999).  Available through: </w:t>
      </w:r>
      <w:hyperlink r:id="rId2" w:history="1">
        <w:r w:rsidRPr="00E72A54">
          <w:rPr>
            <w:rStyle w:val="Hyperlink"/>
            <w:sz w:val="28"/>
            <w:szCs w:val="28"/>
          </w:rPr>
          <w:t>https://psycnet.apa.org/record/1999-95006-117</w:t>
        </w:r>
      </w:hyperlink>
    </w:p>
  </w:footnote>
  <w:footnote w:id="4">
    <w:p w14:paraId="6F75903D" w14:textId="77777777" w:rsidR="00E72A54" w:rsidRPr="00E72A54" w:rsidRDefault="00E72A54" w:rsidP="00E72A54">
      <w:pPr>
        <w:pStyle w:val="Body"/>
        <w:widowControl w:val="0"/>
        <w:spacing w:after="120" w:line="240" w:lineRule="auto"/>
        <w:ind w:firstLine="0"/>
        <w:jc w:val="both"/>
        <w:rPr>
          <w:bCs/>
          <w:sz w:val="28"/>
          <w:szCs w:val="28"/>
        </w:rPr>
      </w:pPr>
      <w:r w:rsidRPr="00E72A54">
        <w:rPr>
          <w:rStyle w:val="FootnoteReference"/>
          <w:sz w:val="28"/>
          <w:szCs w:val="28"/>
        </w:rPr>
        <w:footnoteRef/>
      </w:r>
      <w:r w:rsidRPr="00E72A54">
        <w:rPr>
          <w:sz w:val="28"/>
          <w:szCs w:val="28"/>
        </w:rPr>
        <w:t xml:space="preserve"> </w:t>
      </w:r>
      <w:r w:rsidRPr="00E72A54">
        <w:rPr>
          <w:bCs/>
          <w:i/>
          <w:iCs/>
          <w:sz w:val="28"/>
          <w:szCs w:val="28"/>
        </w:rPr>
        <w:t xml:space="preserve">See, </w:t>
      </w:r>
      <w:r w:rsidRPr="00E72A54">
        <w:rPr>
          <w:bCs/>
          <w:sz w:val="28"/>
          <w:szCs w:val="28"/>
        </w:rPr>
        <w:t xml:space="preserve">Robertson R., </w:t>
      </w:r>
      <w:proofErr w:type="spellStart"/>
      <w:r w:rsidRPr="00E72A54">
        <w:rPr>
          <w:bCs/>
          <w:sz w:val="28"/>
          <w:szCs w:val="28"/>
        </w:rPr>
        <w:t>Yokum</w:t>
      </w:r>
      <w:proofErr w:type="spellEnd"/>
      <w:r w:rsidRPr="00E72A54">
        <w:rPr>
          <w:bCs/>
          <w:sz w:val="28"/>
          <w:szCs w:val="28"/>
        </w:rPr>
        <w:t xml:space="preserve"> D., and Parker M. </w:t>
      </w:r>
      <w:r w:rsidRPr="00E72A54">
        <w:rPr>
          <w:bCs/>
          <w:i/>
          <w:iCs/>
          <w:sz w:val="28"/>
          <w:szCs w:val="28"/>
        </w:rPr>
        <w:t>The Inability of Jurors to Self-Diagnose Bias</w:t>
      </w:r>
      <w:r w:rsidRPr="00E72A54">
        <w:rPr>
          <w:bCs/>
          <w:sz w:val="28"/>
          <w:szCs w:val="28"/>
        </w:rPr>
        <w:t xml:space="preserve"> 96 Den. L. Rev. 869</w:t>
      </w:r>
      <w:r w:rsidRPr="00E72A54">
        <w:rPr>
          <w:bCs/>
          <w:i/>
          <w:iCs/>
          <w:sz w:val="28"/>
          <w:szCs w:val="28"/>
        </w:rPr>
        <w:t xml:space="preserve"> </w:t>
      </w:r>
      <w:r w:rsidRPr="00E72A54">
        <w:rPr>
          <w:bCs/>
          <w:sz w:val="28"/>
          <w:szCs w:val="28"/>
        </w:rPr>
        <w:t xml:space="preserve">(2019). </w:t>
      </w:r>
    </w:p>
  </w:footnote>
  <w:footnote w:id="5">
    <w:p w14:paraId="0C2B53FF" w14:textId="77777777" w:rsidR="00E72A54" w:rsidRPr="00DF18B4" w:rsidRDefault="00E72A54" w:rsidP="00E72A54">
      <w:pPr>
        <w:pStyle w:val="FootnoteText"/>
        <w:rPr>
          <w:sz w:val="24"/>
          <w:szCs w:val="24"/>
        </w:rPr>
      </w:pPr>
      <w:r w:rsidRPr="00E72A54">
        <w:rPr>
          <w:rStyle w:val="FootnoteReference"/>
          <w:sz w:val="28"/>
          <w:szCs w:val="28"/>
        </w:rPr>
        <w:footnoteRef/>
      </w:r>
      <w:r w:rsidRPr="00E72A54">
        <w:rPr>
          <w:sz w:val="28"/>
          <w:szCs w:val="28"/>
        </w:rPr>
        <w:t xml:space="preserve"> </w:t>
      </w:r>
      <w:r w:rsidRPr="00E72A54">
        <w:rPr>
          <w:i/>
          <w:iCs/>
          <w:sz w:val="28"/>
          <w:szCs w:val="28"/>
        </w:rPr>
        <w:t xml:space="preserve">Morgan v. Illinois, </w:t>
      </w:r>
      <w:r w:rsidRPr="00E72A54">
        <w:rPr>
          <w:sz w:val="28"/>
          <w:szCs w:val="28"/>
        </w:rPr>
        <w:t>504 U.S. 719, 735-36, n.6 (1992).</w:t>
      </w:r>
    </w:p>
  </w:footnote>
  <w:footnote w:id="6">
    <w:p w14:paraId="75421D66"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Morgan v. Illinois,</w:t>
      </w:r>
      <w:r w:rsidRPr="00E72A54">
        <w:rPr>
          <w:sz w:val="28"/>
          <w:szCs w:val="28"/>
        </w:rPr>
        <w:t xml:space="preserve"> 504 U.S. 719, 734-35 (1992).</w:t>
      </w:r>
    </w:p>
  </w:footnote>
  <w:footnote w:id="7">
    <w:p w14:paraId="046EC200" w14:textId="43739FB7" w:rsidR="00E72A54" w:rsidRPr="00E72A54" w:rsidRDefault="00E72A54" w:rsidP="00E72A54">
      <w:pPr>
        <w:autoSpaceDE w:val="0"/>
        <w:autoSpaceDN w:val="0"/>
        <w:adjustRightInd w:val="0"/>
        <w:spacing w:after="120" w:line="240" w:lineRule="auto"/>
        <w:jc w:val="both"/>
        <w:rPr>
          <w:color w:val="3D3D3D"/>
          <w:sz w:val="28"/>
          <w:szCs w:val="28"/>
        </w:rPr>
      </w:pPr>
      <w:r w:rsidRPr="00E72A54">
        <w:rPr>
          <w:rStyle w:val="FootnoteReference"/>
          <w:sz w:val="28"/>
          <w:szCs w:val="28"/>
        </w:rPr>
        <w:footnoteRef/>
      </w:r>
      <w:r w:rsidRPr="00E72A54">
        <w:rPr>
          <w:sz w:val="28"/>
          <w:szCs w:val="28"/>
        </w:rPr>
        <w:t xml:space="preserve"> </w:t>
      </w:r>
      <w:r w:rsidRPr="00E72A54">
        <w:rPr>
          <w:i/>
          <w:iCs/>
          <w:sz w:val="28"/>
          <w:szCs w:val="28"/>
        </w:rPr>
        <w:t>Id.</w:t>
      </w:r>
      <w:r w:rsidRPr="00E72A54">
        <w:rPr>
          <w:sz w:val="28"/>
          <w:szCs w:val="28"/>
        </w:rPr>
        <w:t xml:space="preserve"> at 729, citing </w:t>
      </w:r>
      <w:r w:rsidRPr="00E72A54">
        <w:rPr>
          <w:i/>
          <w:iCs/>
          <w:sz w:val="28"/>
          <w:szCs w:val="28"/>
        </w:rPr>
        <w:t xml:space="preserve">Dennis v. United States, </w:t>
      </w:r>
      <w:r w:rsidRPr="00E72A54">
        <w:rPr>
          <w:sz w:val="28"/>
          <w:szCs w:val="28"/>
        </w:rPr>
        <w:t>339 U.S.162, 171-72 (1950)</w:t>
      </w:r>
      <w:r w:rsidR="006F58C2">
        <w:rPr>
          <w:i/>
          <w:sz w:val="28"/>
          <w:szCs w:val="28"/>
        </w:rPr>
        <w:t>. S</w:t>
      </w:r>
      <w:r w:rsidRPr="00105E85">
        <w:rPr>
          <w:i/>
          <w:sz w:val="28"/>
          <w:szCs w:val="28"/>
        </w:rPr>
        <w:t>ee also</w:t>
      </w:r>
      <w:r w:rsidRPr="00E72A54">
        <w:rPr>
          <w:sz w:val="28"/>
          <w:szCs w:val="28"/>
        </w:rPr>
        <w:t xml:space="preserve"> </w:t>
      </w:r>
      <w:r w:rsidRPr="00E72A54">
        <w:rPr>
          <w:i/>
          <w:iCs/>
          <w:sz w:val="28"/>
          <w:szCs w:val="28"/>
        </w:rPr>
        <w:t xml:space="preserve">Rosales-Lopez v. United States, </w:t>
      </w:r>
      <w:r w:rsidRPr="00E72A54">
        <w:rPr>
          <w:sz w:val="28"/>
          <w:szCs w:val="28"/>
        </w:rPr>
        <w:t>451 U.S. 182, 188 (1981) (plurality opinion) (</w:t>
      </w:r>
      <w:r w:rsidRPr="00E72A54">
        <w:rPr>
          <w:color w:val="3D3D3D"/>
          <w:sz w:val="28"/>
          <w:szCs w:val="28"/>
        </w:rPr>
        <w:t xml:space="preserve">Without adequate </w:t>
      </w:r>
      <w:proofErr w:type="spellStart"/>
      <w:r w:rsidRPr="00E72A54">
        <w:rPr>
          <w:i/>
          <w:iCs/>
          <w:color w:val="3D3D3D"/>
          <w:sz w:val="28"/>
          <w:szCs w:val="28"/>
        </w:rPr>
        <w:t>voir</w:t>
      </w:r>
      <w:proofErr w:type="spellEnd"/>
      <w:r w:rsidRPr="00E72A54">
        <w:rPr>
          <w:i/>
          <w:iCs/>
          <w:color w:val="3D3D3D"/>
          <w:sz w:val="28"/>
          <w:szCs w:val="28"/>
        </w:rPr>
        <w:t xml:space="preserve"> dire</w:t>
      </w:r>
      <w:r w:rsidRPr="00E72A54">
        <w:rPr>
          <w:color w:val="3D3D3D"/>
          <w:sz w:val="28"/>
          <w:szCs w:val="28"/>
        </w:rPr>
        <w:t xml:space="preserve"> the</w:t>
      </w:r>
      <w:r w:rsidR="00A8618D">
        <w:rPr>
          <w:color w:val="3D3D3D"/>
          <w:sz w:val="28"/>
          <w:szCs w:val="28"/>
        </w:rPr>
        <w:t xml:space="preserve"> </w:t>
      </w:r>
      <w:r w:rsidRPr="00E72A54">
        <w:rPr>
          <w:color w:val="3D3D3D"/>
          <w:sz w:val="28"/>
          <w:szCs w:val="28"/>
        </w:rPr>
        <w:t>judge’s responsibility to remove impartial jurors cannot be fulfilled.).</w:t>
      </w:r>
    </w:p>
  </w:footnote>
  <w:footnote w:id="8">
    <w:p w14:paraId="28153BDD" w14:textId="77777777" w:rsidR="00E72A54" w:rsidRPr="00E72A54" w:rsidRDefault="00E72A54" w:rsidP="00E72A54">
      <w:pPr>
        <w:pStyle w:val="FootnoteText"/>
        <w:spacing w:after="120"/>
        <w:jc w:val="both"/>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Wainwright v. Witt, </w:t>
      </w:r>
      <w:r w:rsidRPr="00E72A54">
        <w:rPr>
          <w:sz w:val="28"/>
          <w:szCs w:val="28"/>
        </w:rPr>
        <w:t xml:space="preserve">469 U.S. 412, 424 (1985) </w:t>
      </w:r>
      <w:r w:rsidRPr="00E72A54">
        <w:rPr>
          <w:color w:val="3D3D3D"/>
          <w:sz w:val="28"/>
          <w:szCs w:val="28"/>
        </w:rPr>
        <w:t>(“[M]any veniremen simply cannot be asked enough questions to reach the point where their bias has been made ‘unmistakably clear.’”).</w:t>
      </w:r>
    </w:p>
  </w:footnote>
  <w:footnote w:id="9">
    <w:p w14:paraId="51A65A29" w14:textId="77777777" w:rsidR="00E72A54" w:rsidRPr="00055777" w:rsidRDefault="00E72A54" w:rsidP="00E72A54">
      <w:pPr>
        <w:pStyle w:val="FootnoteText"/>
        <w:spacing w:after="120"/>
        <w:jc w:val="both"/>
        <w:rPr>
          <w:sz w:val="26"/>
          <w:szCs w:val="26"/>
        </w:rPr>
      </w:pPr>
      <w:r w:rsidRPr="00E72A54">
        <w:rPr>
          <w:rStyle w:val="FootnoteReference"/>
          <w:sz w:val="28"/>
          <w:szCs w:val="28"/>
        </w:rPr>
        <w:footnoteRef/>
      </w:r>
      <w:r w:rsidRPr="00E72A54">
        <w:rPr>
          <w:sz w:val="28"/>
          <w:szCs w:val="28"/>
        </w:rPr>
        <w:t xml:space="preserve"> </w:t>
      </w:r>
      <w:r w:rsidRPr="00E72A54">
        <w:rPr>
          <w:i/>
          <w:iCs/>
          <w:sz w:val="28"/>
          <w:szCs w:val="28"/>
        </w:rPr>
        <w:t xml:space="preserve">City of Seattle v. Erickson, </w:t>
      </w:r>
      <w:r w:rsidRPr="00E72A54">
        <w:rPr>
          <w:sz w:val="28"/>
          <w:szCs w:val="28"/>
        </w:rPr>
        <w:t>398 P.3d 1124, 1134 (Wash. 2017) (Yu, J., concurring).</w:t>
      </w:r>
    </w:p>
  </w:footnote>
  <w:footnote w:id="10">
    <w:p w14:paraId="75DDBEAB" w14:textId="77777777" w:rsidR="00E72A54" w:rsidRPr="00E72A54" w:rsidRDefault="00E72A54" w:rsidP="00E72A54">
      <w:pPr>
        <w:pStyle w:val="FootnoteText"/>
        <w:spacing w:after="120"/>
        <w:jc w:val="both"/>
        <w:rPr>
          <w:sz w:val="28"/>
          <w:szCs w:val="28"/>
        </w:rPr>
      </w:pPr>
      <w:r w:rsidRPr="00E72A54">
        <w:rPr>
          <w:rStyle w:val="FootnoteReference"/>
          <w:sz w:val="28"/>
          <w:szCs w:val="28"/>
        </w:rPr>
        <w:footnoteRef/>
      </w:r>
      <w:r w:rsidRPr="00E72A54">
        <w:rPr>
          <w:sz w:val="28"/>
          <w:szCs w:val="28"/>
        </w:rPr>
        <w:t xml:space="preserve"> Anna Roberts, </w:t>
      </w:r>
      <w:r w:rsidRPr="00E72A54">
        <w:rPr>
          <w:i/>
          <w:iCs/>
          <w:sz w:val="28"/>
          <w:szCs w:val="28"/>
        </w:rPr>
        <w:t xml:space="preserve">(Re)Forming the Jury: Detection and Disinfection of Implicit Juror Bias, </w:t>
      </w:r>
      <w:r w:rsidRPr="00E72A54">
        <w:rPr>
          <w:sz w:val="28"/>
          <w:szCs w:val="28"/>
        </w:rPr>
        <w:t>44 Conn. L. Rev. 827, 844-45 (2012).</w:t>
      </w:r>
    </w:p>
  </w:footnote>
  <w:footnote w:id="11">
    <w:p w14:paraId="56E895EA" w14:textId="77777777" w:rsidR="00E72A54" w:rsidRPr="002A1363" w:rsidRDefault="00E72A54" w:rsidP="00E72A54">
      <w:pPr>
        <w:pStyle w:val="FootnoteText"/>
        <w:rPr>
          <w:sz w:val="26"/>
          <w:szCs w:val="26"/>
        </w:rPr>
      </w:pPr>
      <w:r w:rsidRPr="00E72A54">
        <w:rPr>
          <w:rStyle w:val="FootnoteReference"/>
          <w:sz w:val="28"/>
          <w:szCs w:val="28"/>
        </w:rPr>
        <w:footnoteRef/>
      </w:r>
      <w:r w:rsidRPr="00E72A54">
        <w:rPr>
          <w:sz w:val="28"/>
          <w:szCs w:val="28"/>
        </w:rPr>
        <w:t xml:space="preserve"> </w:t>
      </w:r>
      <w:r w:rsidRPr="00E72A54">
        <w:rPr>
          <w:i/>
          <w:iCs/>
          <w:sz w:val="28"/>
          <w:szCs w:val="28"/>
        </w:rPr>
        <w:t xml:space="preserve">See, </w:t>
      </w:r>
      <w:r w:rsidRPr="00E72A54">
        <w:rPr>
          <w:sz w:val="28"/>
          <w:szCs w:val="28"/>
        </w:rPr>
        <w:t xml:space="preserve">Subsection 6, </w:t>
      </w:r>
      <w:r w:rsidRPr="00E72A54">
        <w:rPr>
          <w:i/>
          <w:iCs/>
          <w:sz w:val="28"/>
          <w:szCs w:val="28"/>
        </w:rPr>
        <w:t>ante</w:t>
      </w:r>
      <w:r w:rsidRPr="00E72A54">
        <w:rPr>
          <w:sz w:val="28"/>
          <w:szCs w:val="28"/>
        </w:rPr>
        <w:t>.</w:t>
      </w:r>
    </w:p>
  </w:footnote>
  <w:footnote w:id="12">
    <w:p w14:paraId="33CC0C26" w14:textId="77777777" w:rsidR="00E72A54" w:rsidRPr="00E72A54" w:rsidRDefault="00E72A54" w:rsidP="00E72A54">
      <w:pPr>
        <w:autoSpaceDE w:val="0"/>
        <w:autoSpaceDN w:val="0"/>
        <w:adjustRightInd w:val="0"/>
        <w:spacing w:after="120" w:line="240" w:lineRule="auto"/>
        <w:jc w:val="both"/>
        <w:rPr>
          <w:rFonts w:eastAsiaTheme="minorHAnsi"/>
          <w:sz w:val="28"/>
          <w:szCs w:val="28"/>
        </w:rPr>
      </w:pPr>
      <w:r w:rsidRPr="00E72A54">
        <w:rPr>
          <w:rStyle w:val="FootnoteReference"/>
          <w:sz w:val="28"/>
          <w:szCs w:val="28"/>
        </w:rPr>
        <w:footnoteRef/>
      </w:r>
      <w:r w:rsidRPr="00E72A54">
        <w:rPr>
          <w:sz w:val="28"/>
          <w:szCs w:val="28"/>
        </w:rPr>
        <w:t xml:space="preserve"> Samuel J. Cohen, </w:t>
      </w:r>
      <w:r w:rsidRPr="00E72A54">
        <w:rPr>
          <w:i/>
          <w:iCs/>
          <w:sz w:val="28"/>
          <w:szCs w:val="28"/>
        </w:rPr>
        <w:t xml:space="preserve">The Regulation of Peremptory Challenges in the United States and England, </w:t>
      </w:r>
      <w:r w:rsidRPr="00E72A54">
        <w:rPr>
          <w:sz w:val="28"/>
          <w:szCs w:val="28"/>
        </w:rPr>
        <w:t xml:space="preserve">6 B.U. Int’l L.J. 287, 306 (1988); </w:t>
      </w:r>
      <w:r w:rsidRPr="00E72A54">
        <w:rPr>
          <w:rFonts w:eastAsiaTheme="minorHAnsi"/>
          <w:sz w:val="28"/>
          <w:szCs w:val="28"/>
        </w:rPr>
        <w:t xml:space="preserve">Judith Heinz, </w:t>
      </w:r>
      <w:r w:rsidRPr="00E72A54">
        <w:rPr>
          <w:rFonts w:eastAsiaTheme="minorHAnsi"/>
          <w:i/>
          <w:iCs/>
          <w:sz w:val="28"/>
          <w:szCs w:val="28"/>
        </w:rPr>
        <w:t>Peremptory Challenges in Criminal Cases: A Comparison of Regulation in the United States, England, and Canada</w:t>
      </w:r>
      <w:r w:rsidRPr="00E72A54">
        <w:rPr>
          <w:rFonts w:eastAsiaTheme="minorHAnsi"/>
          <w:sz w:val="28"/>
          <w:szCs w:val="28"/>
        </w:rPr>
        <w:t xml:space="preserve">, 16 Loy. L.A. Int'l &amp; Comp. Law Rev. 201 (1993), at pp. 205-06. Available at: </w:t>
      </w:r>
      <w:hyperlink r:id="rId3" w:history="1">
        <w:r w:rsidRPr="00E72A54">
          <w:rPr>
            <w:rStyle w:val="Hyperlink"/>
            <w:rFonts w:eastAsiaTheme="minorHAnsi"/>
            <w:sz w:val="28"/>
            <w:szCs w:val="28"/>
          </w:rPr>
          <w:t>https://digitalcommons.lmu.edu/cgi/viewcontent.cgi?referer=https://www.google.com/&amp;httpsredir=1&amp;article=1318&amp;context=ilr</w:t>
        </w:r>
      </w:hyperlink>
      <w:r w:rsidRPr="00E72A54">
        <w:rPr>
          <w:rFonts w:eastAsiaTheme="minorHAnsi"/>
          <w:sz w:val="28"/>
          <w:szCs w:val="28"/>
        </w:rPr>
        <w:t xml:space="preserve"> </w:t>
      </w:r>
    </w:p>
  </w:footnote>
  <w:footnote w:id="13">
    <w:p w14:paraId="35FAD4FD" w14:textId="45C30B0B" w:rsidR="00E72A54" w:rsidRPr="0002599C" w:rsidRDefault="00E72A54" w:rsidP="00E72A54">
      <w:pPr>
        <w:pStyle w:val="FootnoteText"/>
        <w:spacing w:after="120"/>
        <w:rPr>
          <w:sz w:val="26"/>
          <w:szCs w:val="26"/>
        </w:rPr>
      </w:pPr>
      <w:r w:rsidRPr="00E72A54">
        <w:rPr>
          <w:rStyle w:val="FootnoteReference"/>
          <w:sz w:val="28"/>
          <w:szCs w:val="28"/>
        </w:rPr>
        <w:footnoteRef/>
      </w:r>
      <w:r w:rsidRPr="00E72A54">
        <w:rPr>
          <w:sz w:val="28"/>
          <w:szCs w:val="28"/>
        </w:rPr>
        <w:t xml:space="preserve"> Judith Heinz, </w:t>
      </w:r>
      <w:r w:rsidRPr="00E72A54">
        <w:rPr>
          <w:i/>
          <w:iCs/>
          <w:sz w:val="28"/>
          <w:szCs w:val="28"/>
        </w:rPr>
        <w:t xml:space="preserve">supra, </w:t>
      </w:r>
      <w:r w:rsidRPr="00E72A54">
        <w:rPr>
          <w:sz w:val="28"/>
          <w:szCs w:val="28"/>
        </w:rPr>
        <w:t>note 1</w:t>
      </w:r>
      <w:r w:rsidR="00A8618D">
        <w:rPr>
          <w:sz w:val="28"/>
          <w:szCs w:val="28"/>
        </w:rPr>
        <w:t>2</w:t>
      </w:r>
      <w:r w:rsidRPr="00E72A54">
        <w:rPr>
          <w:sz w:val="28"/>
          <w:szCs w:val="28"/>
        </w:rPr>
        <w:t>,</w:t>
      </w:r>
      <w:r w:rsidRPr="00E72A54">
        <w:rPr>
          <w:i/>
          <w:iCs/>
          <w:sz w:val="28"/>
          <w:szCs w:val="28"/>
        </w:rPr>
        <w:t xml:space="preserve"> </w:t>
      </w:r>
      <w:r w:rsidRPr="00E72A54">
        <w:rPr>
          <w:sz w:val="28"/>
          <w:szCs w:val="28"/>
        </w:rPr>
        <w:t>at 206, n. 30.</w:t>
      </w:r>
    </w:p>
  </w:footnote>
  <w:footnote w:id="14">
    <w:p w14:paraId="72C9B6D0"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209.</w:t>
      </w:r>
    </w:p>
  </w:footnote>
  <w:footnote w:id="15">
    <w:p w14:paraId="3F773FA6"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218.</w:t>
      </w:r>
    </w:p>
  </w:footnote>
  <w:footnote w:id="16">
    <w:p w14:paraId="5CD1A755" w14:textId="77777777" w:rsidR="00E72A54" w:rsidRPr="00E72A54" w:rsidRDefault="00E72A54" w:rsidP="00E72A54">
      <w:pPr>
        <w:pStyle w:val="FootnoteText"/>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222.</w:t>
      </w:r>
    </w:p>
  </w:footnote>
  <w:footnote w:id="17">
    <w:p w14:paraId="720D5486"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218-19.</w:t>
      </w:r>
    </w:p>
  </w:footnote>
  <w:footnote w:id="18">
    <w:p w14:paraId="0470810F" w14:textId="77777777" w:rsidR="00E72A54" w:rsidRPr="00362A2A" w:rsidRDefault="00E72A54" w:rsidP="00E72A54">
      <w:pPr>
        <w:pStyle w:val="FootnoteText"/>
        <w:spacing w:after="120"/>
        <w:rPr>
          <w:sz w:val="26"/>
          <w:szCs w:val="26"/>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242.</w:t>
      </w:r>
    </w:p>
  </w:footnote>
  <w:footnote w:id="19">
    <w:p w14:paraId="6B13D0F9" w14:textId="77777777" w:rsidR="00E72A54" w:rsidRPr="00E72A54" w:rsidRDefault="00E72A54" w:rsidP="00E72A54">
      <w:pPr>
        <w:pStyle w:val="FootnoteText"/>
        <w:jc w:val="both"/>
        <w:rPr>
          <w:sz w:val="28"/>
          <w:szCs w:val="28"/>
        </w:rPr>
      </w:pPr>
      <w:r w:rsidRPr="00E72A54">
        <w:rPr>
          <w:rStyle w:val="FootnoteReference"/>
          <w:sz w:val="28"/>
          <w:szCs w:val="28"/>
        </w:rPr>
        <w:footnoteRef/>
      </w:r>
      <w:r w:rsidRPr="00E72A54">
        <w:rPr>
          <w:sz w:val="28"/>
          <w:szCs w:val="28"/>
        </w:rPr>
        <w:t xml:space="preserve"> Julia Schabas, </w:t>
      </w:r>
      <w:r w:rsidRPr="00E72A54">
        <w:rPr>
          <w:i/>
          <w:iCs/>
          <w:sz w:val="28"/>
          <w:szCs w:val="28"/>
        </w:rPr>
        <w:t xml:space="preserve">The Abolition of Peremptory Challenges in R v. Chouhan: A License for Discrimination or Safeguard for Representative Juries? </w:t>
      </w:r>
      <w:r w:rsidRPr="00E72A54">
        <w:rPr>
          <w:sz w:val="28"/>
          <w:szCs w:val="28"/>
        </w:rPr>
        <w:t>Available at:</w:t>
      </w:r>
    </w:p>
    <w:p w14:paraId="7244C6F5" w14:textId="77777777" w:rsidR="00E72A54" w:rsidRPr="00E72A54" w:rsidRDefault="00033B8A" w:rsidP="00E72A54">
      <w:pPr>
        <w:pStyle w:val="FootnoteText"/>
        <w:spacing w:after="120"/>
        <w:jc w:val="both"/>
        <w:rPr>
          <w:sz w:val="28"/>
          <w:szCs w:val="28"/>
        </w:rPr>
      </w:pPr>
      <w:hyperlink r:id="rId4" w:history="1">
        <w:r w:rsidR="00E72A54" w:rsidRPr="00E72A54">
          <w:rPr>
            <w:rStyle w:val="Hyperlink"/>
            <w:sz w:val="28"/>
            <w:szCs w:val="28"/>
          </w:rPr>
          <w:t>http://www.thecourt.ca/the-abolition-of-peremptory-challenges-in-r-v-chouhan-a-license-for-discrimination-or-safeguard-for-representative-juries/</w:t>
        </w:r>
      </w:hyperlink>
      <w:r w:rsidR="00E72A54" w:rsidRPr="00E72A54">
        <w:rPr>
          <w:sz w:val="28"/>
          <w:szCs w:val="28"/>
        </w:rPr>
        <w:t xml:space="preserve"> (Also opposing elimination were the Federation of Asian Canadian Lawyers and the Canadian Muslim Lawyers Assn.)</w:t>
      </w:r>
    </w:p>
  </w:footnote>
  <w:footnote w:id="20">
    <w:p w14:paraId="5391916D" w14:textId="77777777" w:rsidR="00E72A54" w:rsidRPr="00151815" w:rsidRDefault="00E72A54" w:rsidP="00E72A54">
      <w:pPr>
        <w:pStyle w:val="FootnoteText"/>
        <w:jc w:val="both"/>
        <w:rPr>
          <w:sz w:val="26"/>
          <w:szCs w:val="26"/>
        </w:rPr>
      </w:pPr>
      <w:r w:rsidRPr="00E72A54">
        <w:rPr>
          <w:rStyle w:val="FootnoteReference"/>
          <w:sz w:val="28"/>
          <w:szCs w:val="28"/>
        </w:rPr>
        <w:footnoteRef/>
      </w:r>
      <w:r w:rsidRPr="00E72A54">
        <w:rPr>
          <w:sz w:val="28"/>
          <w:szCs w:val="28"/>
        </w:rPr>
        <w:t xml:space="preserve"> Justin Ling, </w:t>
      </w:r>
      <w:r w:rsidRPr="00E72A54">
        <w:rPr>
          <w:i/>
          <w:iCs/>
          <w:sz w:val="28"/>
          <w:szCs w:val="28"/>
        </w:rPr>
        <w:t xml:space="preserve">Why Are We Eliminating Peremptory Challenges? </w:t>
      </w:r>
      <w:r w:rsidRPr="00E72A54">
        <w:rPr>
          <w:sz w:val="28"/>
          <w:szCs w:val="28"/>
        </w:rPr>
        <w:t xml:space="preserve">Available at: </w:t>
      </w:r>
      <w:hyperlink r:id="rId5" w:history="1">
        <w:r w:rsidRPr="00E72A54">
          <w:rPr>
            <w:rStyle w:val="Hyperlink"/>
            <w:sz w:val="28"/>
            <w:szCs w:val="28"/>
          </w:rPr>
          <w:t>https://www.nationalmagazine.ca/en-ca/articles/law/in-depth/2020/why-are-we-elminating-peremptory-challenges</w:t>
        </w:r>
      </w:hyperlink>
      <w:r>
        <w:rPr>
          <w:sz w:val="26"/>
          <w:szCs w:val="26"/>
        </w:rPr>
        <w:t xml:space="preserve"> </w:t>
      </w:r>
    </w:p>
  </w:footnote>
  <w:footnote w:id="21">
    <w:p w14:paraId="1284D625"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Woodson v. North Carolina, </w:t>
      </w:r>
      <w:r w:rsidRPr="00E72A54">
        <w:rPr>
          <w:sz w:val="28"/>
          <w:szCs w:val="28"/>
        </w:rPr>
        <w:t>428 U.S. 280, 305 (1976).</w:t>
      </w:r>
    </w:p>
  </w:footnote>
  <w:footnote w:id="22">
    <w:p w14:paraId="0D18113A" w14:textId="77777777" w:rsidR="00E72A54" w:rsidRPr="00E72A54" w:rsidRDefault="00E72A54" w:rsidP="00E72A54">
      <w:pPr>
        <w:autoSpaceDE w:val="0"/>
        <w:autoSpaceDN w:val="0"/>
        <w:adjustRightInd w:val="0"/>
        <w:spacing w:after="120" w:line="240" w:lineRule="auto"/>
        <w:jc w:val="both"/>
        <w:rPr>
          <w:sz w:val="28"/>
          <w:szCs w:val="28"/>
        </w:rPr>
      </w:pPr>
      <w:r w:rsidRPr="00E72A54">
        <w:rPr>
          <w:rStyle w:val="FootnoteReference"/>
          <w:sz w:val="28"/>
          <w:szCs w:val="28"/>
        </w:rPr>
        <w:footnoteRef/>
      </w:r>
      <w:r w:rsidRPr="00E72A54">
        <w:rPr>
          <w:sz w:val="28"/>
          <w:szCs w:val="28"/>
        </w:rPr>
        <w:t xml:space="preserve"> William J. Bowers, Marla Sandys, Benjamin D. Steiner, </w:t>
      </w:r>
      <w:r w:rsidRPr="00E72A54">
        <w:rPr>
          <w:i/>
          <w:iCs/>
          <w:sz w:val="28"/>
          <w:szCs w:val="28"/>
        </w:rPr>
        <w:t>Foreclosed Impartiality in Capital Sentencing: Jurors’ predispositions, Guilt-Trial Experience, And Premature Decision Making</w:t>
      </w:r>
      <w:r w:rsidRPr="00E72A54">
        <w:rPr>
          <w:sz w:val="28"/>
          <w:szCs w:val="28"/>
        </w:rPr>
        <w:t>, 83 Corn. L. Rev. 1476, 1503-1504 (1998)</w:t>
      </w:r>
      <w:bookmarkStart w:id="2" w:name="_Hlk65140838"/>
      <w:r w:rsidRPr="00E72A54">
        <w:rPr>
          <w:sz w:val="28"/>
          <w:szCs w:val="28"/>
        </w:rPr>
        <w:t>.</w:t>
      </w:r>
    </w:p>
    <w:bookmarkEnd w:id="2"/>
  </w:footnote>
  <w:footnote w:id="23">
    <w:p w14:paraId="6F5991FE" w14:textId="77777777" w:rsidR="00E72A54" w:rsidRPr="00E72A54" w:rsidRDefault="00E72A54" w:rsidP="00E72A54">
      <w:pPr>
        <w:autoSpaceDE w:val="0"/>
        <w:autoSpaceDN w:val="0"/>
        <w:adjustRightInd w:val="0"/>
        <w:spacing w:after="120" w:line="240" w:lineRule="auto"/>
        <w:jc w:val="both"/>
        <w:rPr>
          <w:i/>
          <w:iCs/>
          <w:sz w:val="28"/>
          <w:szCs w:val="28"/>
        </w:rPr>
      </w:pPr>
      <w:r w:rsidRPr="00E72A54">
        <w:rPr>
          <w:rStyle w:val="FootnoteReference"/>
          <w:sz w:val="28"/>
          <w:szCs w:val="28"/>
        </w:rPr>
        <w:footnoteRef/>
      </w:r>
      <w:r w:rsidRPr="00E72A54">
        <w:rPr>
          <w:sz w:val="28"/>
          <w:szCs w:val="28"/>
        </w:rPr>
        <w:t xml:space="preserve"> Sequin &amp; Horowitz, </w:t>
      </w:r>
      <w:r w:rsidRPr="00E72A54">
        <w:rPr>
          <w:i/>
          <w:iCs/>
          <w:sz w:val="28"/>
          <w:szCs w:val="28"/>
        </w:rPr>
        <w:t xml:space="preserve">The Effects of “Death Qualification” on Juror and Jury Decisioning: An Analysis from Three Perspectives, </w:t>
      </w:r>
      <w:r w:rsidRPr="00E72A54">
        <w:rPr>
          <w:sz w:val="28"/>
          <w:szCs w:val="28"/>
        </w:rPr>
        <w:t>8 L. Psychology Rev. 49 (1984.</w:t>
      </w:r>
    </w:p>
  </w:footnote>
  <w:footnote w:id="24">
    <w:p w14:paraId="5A42B8C1" w14:textId="77777777" w:rsidR="00E72A54" w:rsidRPr="00FA529F" w:rsidRDefault="00E72A54" w:rsidP="00E72A54">
      <w:pPr>
        <w:pStyle w:val="FootnoteText"/>
        <w:spacing w:after="120"/>
        <w:rPr>
          <w:sz w:val="26"/>
          <w:szCs w:val="26"/>
        </w:rPr>
      </w:pPr>
      <w:r w:rsidRPr="00E72A54">
        <w:rPr>
          <w:rStyle w:val="FootnoteReference"/>
          <w:sz w:val="28"/>
          <w:szCs w:val="28"/>
        </w:rPr>
        <w:footnoteRef/>
      </w:r>
      <w:r w:rsidRPr="00E72A54">
        <w:rPr>
          <w:sz w:val="28"/>
          <w:szCs w:val="28"/>
        </w:rPr>
        <w:t xml:space="preserve"> </w:t>
      </w:r>
      <w:r w:rsidRPr="00E72A54">
        <w:rPr>
          <w:i/>
          <w:iCs/>
          <w:sz w:val="28"/>
          <w:szCs w:val="28"/>
        </w:rPr>
        <w:t xml:space="preserve">Lockhart v. McCree, </w:t>
      </w:r>
      <w:r w:rsidRPr="00E72A54">
        <w:rPr>
          <w:sz w:val="28"/>
          <w:szCs w:val="28"/>
        </w:rPr>
        <w:t>476 U.S. 162, 168-70 notes 4-5 (1986).</w:t>
      </w:r>
    </w:p>
  </w:footnote>
  <w:footnote w:id="25">
    <w:p w14:paraId="4CB6AB24" w14:textId="77777777" w:rsidR="00E72A54" w:rsidRPr="00E72A54" w:rsidRDefault="00E72A54" w:rsidP="00E72A54">
      <w:pPr>
        <w:pStyle w:val="FootnoteText"/>
        <w:spacing w:after="120"/>
        <w:jc w:val="both"/>
        <w:rPr>
          <w:sz w:val="28"/>
          <w:szCs w:val="28"/>
        </w:rPr>
      </w:pPr>
      <w:r w:rsidRPr="00E72A54">
        <w:rPr>
          <w:rStyle w:val="FootnoteReference"/>
          <w:sz w:val="28"/>
          <w:szCs w:val="28"/>
        </w:rPr>
        <w:footnoteRef/>
      </w:r>
      <w:r w:rsidRPr="00E72A54">
        <w:rPr>
          <w:sz w:val="28"/>
          <w:szCs w:val="28"/>
        </w:rPr>
        <w:t xml:space="preserve"> </w:t>
      </w:r>
      <w:proofErr w:type="spellStart"/>
      <w:r w:rsidRPr="00E72A54">
        <w:rPr>
          <w:i/>
          <w:iCs/>
          <w:sz w:val="28"/>
          <w:szCs w:val="28"/>
        </w:rPr>
        <w:t>Tennard</w:t>
      </w:r>
      <w:proofErr w:type="spellEnd"/>
      <w:r w:rsidRPr="00E72A54">
        <w:rPr>
          <w:i/>
          <w:iCs/>
          <w:sz w:val="28"/>
          <w:szCs w:val="28"/>
        </w:rPr>
        <w:t xml:space="preserve"> v. </w:t>
      </w:r>
      <w:proofErr w:type="spellStart"/>
      <w:r w:rsidRPr="00E72A54">
        <w:rPr>
          <w:i/>
          <w:iCs/>
          <w:sz w:val="28"/>
          <w:szCs w:val="28"/>
        </w:rPr>
        <w:t>Dretke</w:t>
      </w:r>
      <w:proofErr w:type="spellEnd"/>
      <w:r w:rsidRPr="00E72A54">
        <w:rPr>
          <w:i/>
          <w:iCs/>
          <w:sz w:val="28"/>
          <w:szCs w:val="28"/>
        </w:rPr>
        <w:t xml:space="preserve">, </w:t>
      </w:r>
      <w:r w:rsidRPr="00E72A54">
        <w:rPr>
          <w:sz w:val="28"/>
          <w:szCs w:val="28"/>
        </w:rPr>
        <w:t>542 U.S. 274, 285 (2004).</w:t>
      </w:r>
    </w:p>
  </w:footnote>
  <w:footnote w:id="26">
    <w:p w14:paraId="16D0548E"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A.R.S. 13-752(C)(E).</w:t>
      </w:r>
    </w:p>
  </w:footnote>
  <w:footnote w:id="27">
    <w:p w14:paraId="51488235" w14:textId="77777777" w:rsidR="00E72A54" w:rsidRPr="00FA529F" w:rsidRDefault="00E72A54" w:rsidP="00E72A54">
      <w:pPr>
        <w:pStyle w:val="FootnoteText"/>
        <w:spacing w:after="120"/>
        <w:rPr>
          <w:sz w:val="26"/>
          <w:szCs w:val="26"/>
        </w:rPr>
      </w:pPr>
      <w:r w:rsidRPr="00E72A54">
        <w:rPr>
          <w:rStyle w:val="FootnoteReference"/>
          <w:sz w:val="28"/>
          <w:szCs w:val="28"/>
        </w:rPr>
        <w:footnoteRef/>
      </w:r>
      <w:r w:rsidRPr="00E72A54">
        <w:rPr>
          <w:sz w:val="28"/>
          <w:szCs w:val="28"/>
        </w:rPr>
        <w:t xml:space="preserve"> 487 U.S. 81 (1988).</w:t>
      </w:r>
    </w:p>
  </w:footnote>
  <w:footnote w:id="28">
    <w:p w14:paraId="65B8150D"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pp. 90-91.</w:t>
      </w:r>
    </w:p>
  </w:footnote>
  <w:footnote w:id="29">
    <w:p w14:paraId="620C7FD8"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528 U.S. 304 (2000).</w:t>
      </w:r>
    </w:p>
  </w:footnote>
  <w:footnote w:id="30">
    <w:p w14:paraId="14915F6F"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Id. </w:t>
      </w:r>
      <w:r w:rsidRPr="00E72A54">
        <w:rPr>
          <w:sz w:val="28"/>
          <w:szCs w:val="28"/>
        </w:rPr>
        <w:t>at 307.</w:t>
      </w:r>
    </w:p>
  </w:footnote>
  <w:footnote w:id="31">
    <w:p w14:paraId="2806D043" w14:textId="77777777" w:rsidR="00E72A54" w:rsidRPr="00B87246" w:rsidRDefault="00E72A54" w:rsidP="00E72A54">
      <w:pPr>
        <w:pStyle w:val="FootnoteText"/>
        <w:rPr>
          <w:sz w:val="26"/>
          <w:szCs w:val="26"/>
        </w:rPr>
      </w:pPr>
      <w:r w:rsidRPr="00E72A54">
        <w:rPr>
          <w:rStyle w:val="FootnoteReference"/>
          <w:sz w:val="28"/>
          <w:szCs w:val="28"/>
        </w:rPr>
        <w:footnoteRef/>
      </w:r>
      <w:r w:rsidRPr="00E72A54">
        <w:rPr>
          <w:sz w:val="28"/>
          <w:szCs w:val="28"/>
        </w:rPr>
        <w:t xml:space="preserve"> </w:t>
      </w:r>
      <w:r w:rsidRPr="00E72A54">
        <w:rPr>
          <w:i/>
          <w:iCs/>
          <w:sz w:val="28"/>
          <w:szCs w:val="28"/>
        </w:rPr>
        <w:t xml:space="preserve">See, State v. Huerta, </w:t>
      </w:r>
      <w:r w:rsidRPr="00E72A54">
        <w:rPr>
          <w:sz w:val="28"/>
          <w:szCs w:val="28"/>
        </w:rPr>
        <w:t>175 Ariz. 262 (1993).</w:t>
      </w:r>
    </w:p>
  </w:footnote>
  <w:footnote w:id="32">
    <w:p w14:paraId="77DBF74B" w14:textId="668B7D7C" w:rsidR="00E72A54" w:rsidRPr="00E72A54" w:rsidRDefault="00E72A54" w:rsidP="00105E85">
      <w:pPr>
        <w:pStyle w:val="FootnoteText"/>
        <w:jc w:val="both"/>
        <w:rPr>
          <w:sz w:val="28"/>
          <w:szCs w:val="28"/>
        </w:rPr>
      </w:pPr>
      <w:r w:rsidRPr="00E72A54">
        <w:rPr>
          <w:rStyle w:val="FootnoteReference"/>
          <w:sz w:val="28"/>
          <w:szCs w:val="28"/>
        </w:rPr>
        <w:footnoteRef/>
      </w:r>
      <w:r w:rsidRPr="00E72A54">
        <w:rPr>
          <w:sz w:val="28"/>
          <w:szCs w:val="28"/>
        </w:rPr>
        <w:t xml:space="preserve"> </w:t>
      </w:r>
      <w:r w:rsidRPr="00E72A54">
        <w:rPr>
          <w:i/>
          <w:iCs/>
          <w:sz w:val="28"/>
          <w:szCs w:val="28"/>
        </w:rPr>
        <w:t xml:space="preserve">See, e.g., </w:t>
      </w:r>
      <w:r w:rsidRPr="00E72A54">
        <w:rPr>
          <w:sz w:val="28"/>
          <w:szCs w:val="28"/>
        </w:rPr>
        <w:t xml:space="preserve">California Assembly Bill 3070, 2019-2020, Reg. Sess., </w:t>
      </w:r>
      <w:proofErr w:type="spellStart"/>
      <w:r w:rsidRPr="00E72A54">
        <w:rPr>
          <w:sz w:val="28"/>
          <w:szCs w:val="28"/>
        </w:rPr>
        <w:t>ch.</w:t>
      </w:r>
      <w:proofErr w:type="spellEnd"/>
      <w:r w:rsidRPr="00E72A54">
        <w:rPr>
          <w:sz w:val="28"/>
          <w:szCs w:val="28"/>
        </w:rPr>
        <w:t xml:space="preserve"> 318, 2020 Cal. Stat.</w:t>
      </w:r>
      <w:r w:rsidR="00936A9A">
        <w:rPr>
          <w:sz w:val="28"/>
          <w:szCs w:val="28"/>
        </w:rPr>
        <w:t xml:space="preserve"> </w:t>
      </w:r>
      <w:r w:rsidRPr="00E72A54">
        <w:rPr>
          <w:sz w:val="28"/>
          <w:szCs w:val="28"/>
        </w:rPr>
        <w:t xml:space="preserve">Available at: </w:t>
      </w:r>
      <w:hyperlink r:id="rId6" w:history="1">
        <w:r w:rsidRPr="00E72A54">
          <w:rPr>
            <w:rStyle w:val="Hyperlink"/>
            <w:sz w:val="28"/>
            <w:szCs w:val="28"/>
          </w:rPr>
          <w:t>https://legiscan.com/CA/text/AB3070/2019</w:t>
        </w:r>
      </w:hyperlink>
      <w:r w:rsidRPr="00E72A54">
        <w:rPr>
          <w:sz w:val="28"/>
          <w:szCs w:val="28"/>
        </w:rPr>
        <w:t xml:space="preserve"> </w:t>
      </w:r>
    </w:p>
  </w:footnote>
  <w:footnote w:id="33">
    <w:p w14:paraId="4CAAE87D" w14:textId="77777777" w:rsidR="00E72A54" w:rsidRPr="002B0FCE" w:rsidRDefault="00E72A54" w:rsidP="00E72A54">
      <w:pPr>
        <w:pStyle w:val="FootnoteText"/>
        <w:jc w:val="both"/>
        <w:rPr>
          <w:sz w:val="26"/>
          <w:szCs w:val="26"/>
        </w:rPr>
      </w:pPr>
      <w:r w:rsidRPr="00E72A54">
        <w:rPr>
          <w:rStyle w:val="FootnoteReference"/>
          <w:sz w:val="28"/>
          <w:szCs w:val="28"/>
        </w:rPr>
        <w:footnoteRef/>
      </w:r>
      <w:r w:rsidRPr="00E72A54">
        <w:rPr>
          <w:sz w:val="28"/>
          <w:szCs w:val="28"/>
        </w:rPr>
        <w:t xml:space="preserve"> </w:t>
      </w:r>
      <w:r w:rsidRPr="00E72A54">
        <w:rPr>
          <w:i/>
          <w:iCs/>
          <w:sz w:val="28"/>
          <w:szCs w:val="28"/>
        </w:rPr>
        <w:t xml:space="preserve">See, </w:t>
      </w:r>
      <w:r w:rsidRPr="00E72A54">
        <w:rPr>
          <w:sz w:val="28"/>
          <w:szCs w:val="28"/>
        </w:rPr>
        <w:t xml:space="preserve">Supreme Court of Connecticut Jury Selection Task Force.  Information available at: </w:t>
      </w:r>
      <w:hyperlink r:id="rId7" w:history="1">
        <w:r w:rsidRPr="00E72A54">
          <w:rPr>
            <w:rStyle w:val="Hyperlink"/>
            <w:sz w:val="28"/>
            <w:szCs w:val="28"/>
          </w:rPr>
          <w:t>https://www.jud.ct.gov/Committees/jury_taskforce/default.htm</w:t>
        </w:r>
      </w:hyperlink>
      <w:r>
        <w:rPr>
          <w:sz w:val="26"/>
          <w:szCs w:val="26"/>
        </w:rPr>
        <w:t xml:space="preserve"> </w:t>
      </w:r>
    </w:p>
  </w:footnote>
  <w:footnote w:id="34">
    <w:p w14:paraId="53A5E125" w14:textId="77777777" w:rsidR="00E72A54" w:rsidRPr="00E72A54" w:rsidRDefault="00E72A54" w:rsidP="00E72A54">
      <w:pPr>
        <w:pStyle w:val="FootnoteText"/>
        <w:spacing w:after="120"/>
        <w:rPr>
          <w:sz w:val="28"/>
          <w:szCs w:val="28"/>
        </w:rPr>
      </w:pPr>
      <w:r w:rsidRPr="00E72A54">
        <w:rPr>
          <w:rStyle w:val="FootnoteReference"/>
          <w:sz w:val="28"/>
          <w:szCs w:val="28"/>
        </w:rPr>
        <w:footnoteRef/>
      </w:r>
      <w:r w:rsidRPr="00797E8B">
        <w:rPr>
          <w:sz w:val="28"/>
          <w:szCs w:val="28"/>
          <w:lang w:val="es-MX"/>
        </w:rPr>
        <w:t xml:space="preserve"> </w:t>
      </w:r>
      <w:r w:rsidRPr="00797E8B">
        <w:rPr>
          <w:i/>
          <w:iCs/>
          <w:sz w:val="28"/>
          <w:szCs w:val="28"/>
          <w:lang w:val="es-MX"/>
        </w:rPr>
        <w:t xml:space="preserve">J.E.B. v. Alabama ex rel. </w:t>
      </w:r>
      <w:r w:rsidRPr="00E72A54">
        <w:rPr>
          <w:i/>
          <w:iCs/>
          <w:sz w:val="28"/>
          <w:szCs w:val="28"/>
        </w:rPr>
        <w:t>T.B</w:t>
      </w:r>
      <w:r w:rsidRPr="00E72A54">
        <w:rPr>
          <w:sz w:val="28"/>
          <w:szCs w:val="28"/>
        </w:rPr>
        <w:t>., 511 U.S. at 148, O’Connor, J., concurring.</w:t>
      </w:r>
    </w:p>
  </w:footnote>
  <w:footnote w:id="35">
    <w:p w14:paraId="1DBB2B33" w14:textId="77777777" w:rsidR="00E72A54" w:rsidRPr="00515026" w:rsidRDefault="00E72A54" w:rsidP="00E72A54">
      <w:pPr>
        <w:pStyle w:val="FootnoteText"/>
        <w:rPr>
          <w:i/>
          <w:iCs/>
          <w:sz w:val="26"/>
          <w:szCs w:val="26"/>
        </w:rPr>
      </w:pPr>
      <w:r w:rsidRPr="00E72A54">
        <w:rPr>
          <w:rStyle w:val="FootnoteReference"/>
          <w:sz w:val="28"/>
          <w:szCs w:val="28"/>
        </w:rPr>
        <w:footnoteRef/>
      </w:r>
      <w:r w:rsidRPr="00E72A54">
        <w:rPr>
          <w:sz w:val="28"/>
          <w:szCs w:val="28"/>
        </w:rPr>
        <w:t xml:space="preserve"> </w:t>
      </w:r>
      <w:r w:rsidRPr="00E72A54">
        <w:rPr>
          <w:i/>
          <w:iCs/>
          <w:sz w:val="28"/>
          <w:szCs w:val="28"/>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EBCE7"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A6A1F"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4E34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6768E1"/>
    <w:multiLevelType w:val="hybridMultilevel"/>
    <w:tmpl w:val="CE4243EE"/>
    <w:lvl w:ilvl="0" w:tplc="FFECA09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BE32BB"/>
    <w:multiLevelType w:val="hybridMultilevel"/>
    <w:tmpl w:val="E09C499A"/>
    <w:lvl w:ilvl="0" w:tplc="17800C0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E030725"/>
    <w:multiLevelType w:val="hybridMultilevel"/>
    <w:tmpl w:val="885A84F4"/>
    <w:lvl w:ilvl="0" w:tplc="2E1C5F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4"/>
  </w:num>
  <w:num w:numId="5">
    <w:abstractNumId w:val="7"/>
  </w:num>
  <w:num w:numId="6">
    <w:abstractNumId w:val="8"/>
  </w:num>
  <w:num w:numId="7">
    <w:abstractNumId w:val="1"/>
  </w:num>
  <w:num w:numId="8">
    <w:abstractNumId w:val="16"/>
  </w:num>
  <w:num w:numId="9">
    <w:abstractNumId w:val="9"/>
  </w:num>
  <w:num w:numId="10">
    <w:abstractNumId w:val="12"/>
  </w:num>
  <w:num w:numId="11">
    <w:abstractNumId w:val="11"/>
  </w:num>
  <w:num w:numId="12">
    <w:abstractNumId w:val="5"/>
  </w:num>
  <w:num w:numId="13">
    <w:abstractNumId w:val="2"/>
  </w:num>
  <w:num w:numId="14">
    <w:abstractNumId w:val="3"/>
  </w:num>
  <w:num w:numId="15">
    <w:abstractNumId w:val="15"/>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33B8A"/>
    <w:rsid w:val="000410B3"/>
    <w:rsid w:val="00043D4D"/>
    <w:rsid w:val="00052372"/>
    <w:rsid w:val="000666D1"/>
    <w:rsid w:val="0008003D"/>
    <w:rsid w:val="000917C0"/>
    <w:rsid w:val="000A1D6B"/>
    <w:rsid w:val="000C48A9"/>
    <w:rsid w:val="000F7A7F"/>
    <w:rsid w:val="000F7C13"/>
    <w:rsid w:val="00105E85"/>
    <w:rsid w:val="00135326"/>
    <w:rsid w:val="001A2520"/>
    <w:rsid w:val="001F591C"/>
    <w:rsid w:val="00207336"/>
    <w:rsid w:val="002217B6"/>
    <w:rsid w:val="0026589A"/>
    <w:rsid w:val="00274D6A"/>
    <w:rsid w:val="00283833"/>
    <w:rsid w:val="002B54E4"/>
    <w:rsid w:val="00352347"/>
    <w:rsid w:val="003566D6"/>
    <w:rsid w:val="00357F4D"/>
    <w:rsid w:val="003617D1"/>
    <w:rsid w:val="0037408A"/>
    <w:rsid w:val="00376847"/>
    <w:rsid w:val="00377199"/>
    <w:rsid w:val="003A28AC"/>
    <w:rsid w:val="00407E2D"/>
    <w:rsid w:val="004331B2"/>
    <w:rsid w:val="00440E4C"/>
    <w:rsid w:val="00463734"/>
    <w:rsid w:val="00494BDF"/>
    <w:rsid w:val="004C3AE3"/>
    <w:rsid w:val="004D5934"/>
    <w:rsid w:val="00504E1E"/>
    <w:rsid w:val="00506859"/>
    <w:rsid w:val="00520F93"/>
    <w:rsid w:val="00566856"/>
    <w:rsid w:val="005845AE"/>
    <w:rsid w:val="005A21B0"/>
    <w:rsid w:val="005B5161"/>
    <w:rsid w:val="005D6AD4"/>
    <w:rsid w:val="006338C1"/>
    <w:rsid w:val="00636F5E"/>
    <w:rsid w:val="00642155"/>
    <w:rsid w:val="00665CCF"/>
    <w:rsid w:val="006666D1"/>
    <w:rsid w:val="006721EC"/>
    <w:rsid w:val="006766BF"/>
    <w:rsid w:val="00692391"/>
    <w:rsid w:val="006932BA"/>
    <w:rsid w:val="006B4F9A"/>
    <w:rsid w:val="006E4770"/>
    <w:rsid w:val="006E71D1"/>
    <w:rsid w:val="006F58C2"/>
    <w:rsid w:val="006F63FD"/>
    <w:rsid w:val="00732169"/>
    <w:rsid w:val="00735659"/>
    <w:rsid w:val="007427C6"/>
    <w:rsid w:val="0077110E"/>
    <w:rsid w:val="007870CB"/>
    <w:rsid w:val="00797E8B"/>
    <w:rsid w:val="007A3F0F"/>
    <w:rsid w:val="007D5C49"/>
    <w:rsid w:val="007D73FF"/>
    <w:rsid w:val="007E3CCB"/>
    <w:rsid w:val="008006ED"/>
    <w:rsid w:val="00822598"/>
    <w:rsid w:val="008360A1"/>
    <w:rsid w:val="00861563"/>
    <w:rsid w:val="00871AAA"/>
    <w:rsid w:val="00876F57"/>
    <w:rsid w:val="00891AAA"/>
    <w:rsid w:val="008A4EB3"/>
    <w:rsid w:val="00933EA1"/>
    <w:rsid w:val="00936A9A"/>
    <w:rsid w:val="00951416"/>
    <w:rsid w:val="00954A5E"/>
    <w:rsid w:val="00960D21"/>
    <w:rsid w:val="00981D29"/>
    <w:rsid w:val="00981E11"/>
    <w:rsid w:val="009C4BAD"/>
    <w:rsid w:val="00A1564B"/>
    <w:rsid w:val="00A4249C"/>
    <w:rsid w:val="00A5194F"/>
    <w:rsid w:val="00A8618D"/>
    <w:rsid w:val="00A871D6"/>
    <w:rsid w:val="00A93A7C"/>
    <w:rsid w:val="00AC4152"/>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7380D"/>
    <w:rsid w:val="00D80EDC"/>
    <w:rsid w:val="00DF4F15"/>
    <w:rsid w:val="00E047D3"/>
    <w:rsid w:val="00E266B7"/>
    <w:rsid w:val="00E321C5"/>
    <w:rsid w:val="00E352EC"/>
    <w:rsid w:val="00E5772B"/>
    <w:rsid w:val="00E60AE5"/>
    <w:rsid w:val="00E67511"/>
    <w:rsid w:val="00E72A54"/>
    <w:rsid w:val="00E81026"/>
    <w:rsid w:val="00E82D0F"/>
    <w:rsid w:val="00E950B5"/>
    <w:rsid w:val="00EC1294"/>
    <w:rsid w:val="00F05879"/>
    <w:rsid w:val="00F06F5B"/>
    <w:rsid w:val="00F2485D"/>
    <w:rsid w:val="00F33926"/>
    <w:rsid w:val="00F60C61"/>
    <w:rsid w:val="00F64B52"/>
    <w:rsid w:val="00F668FE"/>
    <w:rsid w:val="00F850BE"/>
    <w:rsid w:val="00FB5291"/>
    <w:rsid w:val="00FB5E84"/>
    <w:rsid w:val="00FE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E72A54"/>
    <w:pPr>
      <w:ind w:left="720"/>
      <w:contextualSpacing/>
    </w:pPr>
  </w:style>
  <w:style w:type="paragraph" w:styleId="Revision">
    <w:name w:val="Revision"/>
    <w:hidden/>
    <w:uiPriority w:val="99"/>
    <w:semiHidden/>
    <w:rsid w:val="006F5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digitalcommons.lmu.edu/cgi/viewcontent.cgi?referer=https://www.google.com/&amp;httpsredir=1&amp;article=1318&amp;context=ilr" TargetMode="External"/><Relationship Id="rId7" Type="http://schemas.openxmlformats.org/officeDocument/2006/relationships/hyperlink" Target="https://www.jud.ct.gov/Committees/jury_taskforce/default.htm" TargetMode="External"/><Relationship Id="rId2" Type="http://schemas.openxmlformats.org/officeDocument/2006/relationships/hyperlink" Target="https://psycnet.apa.org/record/1999-95006-117" TargetMode="External"/><Relationship Id="rId1" Type="http://schemas.openxmlformats.org/officeDocument/2006/relationships/hyperlink" Target="https://1.next.westlaw.com/Link/Document/FullText?findType=Y&amp;serNum=1994086673&amp;pubNum=0000708&amp;originatingDoc=Iaf94e781b20911e6b183fddd8cabed20&amp;refType=RP&amp;originationContext=document&amp;transitionType=DocumentItem&amp;contextData=(sc.Search)" TargetMode="External"/><Relationship Id="rId6" Type="http://schemas.openxmlformats.org/officeDocument/2006/relationships/hyperlink" Target="https://legiscan.com/CA/text/AB3070/2019" TargetMode="External"/><Relationship Id="rId5" Type="http://schemas.openxmlformats.org/officeDocument/2006/relationships/hyperlink" Target="https://www.nationalmagazine.ca/en-ca/articles/law/in-depth/2020/why-are-we-elminating-peremptory-challenges" TargetMode="External"/><Relationship Id="rId4" Type="http://schemas.openxmlformats.org/officeDocument/2006/relationships/hyperlink" Target="http://www.thecourt.ca/the-abolition-of-peremptory-challenges-in-r-v-chouhan-a-license-for-discrimination-or-safeguard-for-representative-ju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43EC-34DF-48DE-9CEA-409E6D880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18</Pages>
  <Words>3336</Words>
  <Characters>18161</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2021-05-01T02:06:00Z</dcterms:created>
  <dcterms:modified xsi:type="dcterms:W3CDTF">2021-05-01T02:06:00Z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