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AE2C76" w14:paraId="2DD96AE8" w14:textId="77777777" w:rsidTr="006F63FD">
        <w:trPr>
          <w:cantSplit/>
          <w:trHeight w:val="1987"/>
        </w:trPr>
        <w:tc>
          <w:tcPr>
            <w:tcW w:w="4836" w:type="dxa"/>
          </w:tcPr>
          <w:p w14:paraId="3B92AF78" w14:textId="77777777" w:rsidR="00000C35" w:rsidRPr="00155340" w:rsidRDefault="00F850BE" w:rsidP="00000C35">
            <w:pPr>
              <w:pStyle w:val="FirmInformation"/>
              <w:spacing w:line="240" w:lineRule="auto"/>
              <w:rPr>
                <w:color w:val="000000" w:themeColor="text1"/>
                <w:sz w:val="28"/>
                <w:szCs w:val="28"/>
              </w:rPr>
            </w:pPr>
            <w:bookmarkStart w:id="0" w:name="_zzmpFIXED_CounselTable"/>
            <w:r w:rsidRPr="00155340">
              <w:rPr>
                <w:color w:val="000000" w:themeColor="text1"/>
                <w:sz w:val="28"/>
                <w:szCs w:val="28"/>
              </w:rPr>
              <w:t>Lisa M. Panahi</w:t>
            </w:r>
            <w:r w:rsidR="00732169" w:rsidRPr="00155340">
              <w:rPr>
                <w:color w:val="000000" w:themeColor="text1"/>
                <w:sz w:val="28"/>
                <w:szCs w:val="28"/>
              </w:rPr>
              <w:t xml:space="preserve">, </w:t>
            </w:r>
            <w:r w:rsidRPr="00155340">
              <w:rPr>
                <w:color w:val="000000" w:themeColor="text1"/>
                <w:sz w:val="28"/>
                <w:szCs w:val="28"/>
              </w:rPr>
              <w:t>Bar No. 023421</w:t>
            </w:r>
            <w:r w:rsidR="00732169" w:rsidRPr="00155340">
              <w:rPr>
                <w:color w:val="000000" w:themeColor="text1"/>
                <w:sz w:val="28"/>
                <w:szCs w:val="28"/>
              </w:rPr>
              <w:br/>
            </w:r>
            <w:r w:rsidR="006F63FD" w:rsidRPr="00155340">
              <w:rPr>
                <w:color w:val="000000" w:themeColor="text1"/>
                <w:sz w:val="28"/>
                <w:szCs w:val="28"/>
              </w:rPr>
              <w:t>General Counsel</w:t>
            </w:r>
          </w:p>
          <w:p w14:paraId="056261EB" w14:textId="77777777" w:rsidR="00494BDF" w:rsidRPr="00155340" w:rsidRDefault="00494BDF" w:rsidP="00000C35">
            <w:pPr>
              <w:pStyle w:val="FirmInformation"/>
              <w:spacing w:line="240" w:lineRule="auto"/>
              <w:rPr>
                <w:color w:val="000000" w:themeColor="text1"/>
                <w:sz w:val="28"/>
                <w:szCs w:val="28"/>
              </w:rPr>
            </w:pPr>
            <w:r w:rsidRPr="00155340">
              <w:rPr>
                <w:color w:val="000000" w:themeColor="text1"/>
                <w:sz w:val="28"/>
                <w:szCs w:val="28"/>
              </w:rPr>
              <w:t>State Bar of Arizona</w:t>
            </w:r>
          </w:p>
          <w:p w14:paraId="2A532740" w14:textId="77777777" w:rsidR="00357F4D" w:rsidRPr="00155340" w:rsidRDefault="00357F4D" w:rsidP="00000C35">
            <w:pPr>
              <w:pStyle w:val="FirmInformation"/>
              <w:spacing w:line="240" w:lineRule="auto"/>
              <w:rPr>
                <w:color w:val="000000" w:themeColor="text1"/>
                <w:sz w:val="28"/>
                <w:szCs w:val="28"/>
              </w:rPr>
            </w:pPr>
            <w:r w:rsidRPr="00155340">
              <w:rPr>
                <w:color w:val="000000" w:themeColor="text1"/>
                <w:sz w:val="28"/>
                <w:szCs w:val="28"/>
              </w:rPr>
              <w:t>4201 N. 24th Street, Suite 100</w:t>
            </w:r>
          </w:p>
          <w:p w14:paraId="5315828A" w14:textId="77777777" w:rsidR="00357F4D" w:rsidRPr="00155340" w:rsidRDefault="00357F4D" w:rsidP="00000C35">
            <w:pPr>
              <w:pStyle w:val="FirmInformation"/>
              <w:spacing w:line="240" w:lineRule="auto"/>
              <w:rPr>
                <w:color w:val="000000" w:themeColor="text1"/>
                <w:sz w:val="28"/>
                <w:szCs w:val="28"/>
              </w:rPr>
            </w:pPr>
            <w:r w:rsidRPr="00155340">
              <w:rPr>
                <w:color w:val="000000" w:themeColor="text1"/>
                <w:sz w:val="28"/>
                <w:szCs w:val="28"/>
              </w:rPr>
              <w:t>Phoenix, AZ  85016-6288</w:t>
            </w:r>
          </w:p>
          <w:p w14:paraId="7B3DBC20" w14:textId="77777777" w:rsidR="006F63FD" w:rsidRPr="00155340" w:rsidRDefault="00352347" w:rsidP="00735659">
            <w:pPr>
              <w:pStyle w:val="FirmInformation"/>
              <w:spacing w:line="240" w:lineRule="auto"/>
              <w:rPr>
                <w:color w:val="000000" w:themeColor="text1"/>
                <w:sz w:val="28"/>
                <w:szCs w:val="28"/>
              </w:rPr>
            </w:pPr>
            <w:r w:rsidRPr="00155340">
              <w:rPr>
                <w:color w:val="000000" w:themeColor="text1"/>
                <w:sz w:val="28"/>
                <w:szCs w:val="28"/>
              </w:rPr>
              <w:t>(602) 340-7236</w:t>
            </w:r>
          </w:p>
        </w:tc>
        <w:tc>
          <w:tcPr>
            <w:tcW w:w="4200" w:type="dxa"/>
          </w:tcPr>
          <w:p w14:paraId="0A670938" w14:textId="77777777" w:rsidR="00357F4D" w:rsidRPr="00155340" w:rsidRDefault="00357F4D" w:rsidP="00000C35">
            <w:pPr>
              <w:ind w:left="113" w:right="113"/>
              <w:rPr>
                <w:color w:val="000000" w:themeColor="text1"/>
                <w:sz w:val="28"/>
                <w:szCs w:val="28"/>
              </w:rPr>
            </w:pPr>
          </w:p>
        </w:tc>
      </w:tr>
      <w:bookmarkEnd w:id="0"/>
    </w:tbl>
    <w:p w14:paraId="08E71DA7" w14:textId="77777777" w:rsidR="00357F4D" w:rsidRPr="00155340" w:rsidRDefault="00357F4D" w:rsidP="00735659">
      <w:pPr>
        <w:pStyle w:val="Court"/>
        <w:spacing w:line="508" w:lineRule="exact"/>
        <w:jc w:val="left"/>
        <w:rPr>
          <w:b/>
          <w:color w:val="000000" w:themeColor="text1"/>
          <w:sz w:val="28"/>
          <w:szCs w:val="28"/>
        </w:rPr>
      </w:pPr>
    </w:p>
    <w:p w14:paraId="25693B34" w14:textId="77777777" w:rsidR="000C48A9" w:rsidRPr="00155340" w:rsidRDefault="000F7A7F" w:rsidP="00000C35">
      <w:pPr>
        <w:pStyle w:val="Court"/>
        <w:spacing w:line="240" w:lineRule="auto"/>
        <w:rPr>
          <w:b/>
          <w:color w:val="000000" w:themeColor="text1"/>
          <w:sz w:val="28"/>
          <w:szCs w:val="28"/>
        </w:rPr>
      </w:pPr>
      <w:r w:rsidRPr="00155340">
        <w:rPr>
          <w:b/>
          <w:color w:val="000000" w:themeColor="text1"/>
          <w:sz w:val="28"/>
          <w:szCs w:val="28"/>
        </w:rPr>
        <w:t>IN THE SUPREME COURT</w:t>
      </w:r>
      <w:r w:rsidRPr="00155340">
        <w:rPr>
          <w:b/>
          <w:color w:val="000000" w:themeColor="text1"/>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AE2C76"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155340" w:rsidRDefault="00357F4D" w:rsidP="00E321C5">
            <w:pPr>
              <w:pStyle w:val="Caption"/>
              <w:spacing w:before="240" w:line="260" w:lineRule="exact"/>
              <w:rPr>
                <w:color w:val="000000" w:themeColor="text1"/>
                <w:sz w:val="28"/>
                <w:szCs w:val="28"/>
              </w:rPr>
            </w:pPr>
            <w:bookmarkStart w:id="1" w:name="_zzmpFIXED_CaptionTable"/>
            <w:r w:rsidRPr="00155340">
              <w:rPr>
                <w:color w:val="000000" w:themeColor="text1"/>
                <w:sz w:val="28"/>
                <w:szCs w:val="28"/>
              </w:rPr>
              <w:t>In the Matter of:</w:t>
            </w:r>
          </w:p>
          <w:p w14:paraId="03963DD5" w14:textId="094AA597" w:rsidR="00357F4D" w:rsidRPr="00155340" w:rsidRDefault="00E67511" w:rsidP="00222A61">
            <w:pPr>
              <w:pStyle w:val="Caption"/>
              <w:spacing w:before="240" w:line="260" w:lineRule="exact"/>
              <w:rPr>
                <w:b/>
                <w:color w:val="000000" w:themeColor="text1"/>
                <w:sz w:val="28"/>
                <w:szCs w:val="28"/>
              </w:rPr>
            </w:pPr>
            <w:r w:rsidRPr="00155340">
              <w:rPr>
                <w:b/>
                <w:color w:val="000000" w:themeColor="text1"/>
                <w:sz w:val="28"/>
                <w:szCs w:val="28"/>
              </w:rPr>
              <w:t xml:space="preserve">PETITION TO </w:t>
            </w:r>
            <w:r w:rsidR="00222A61" w:rsidRPr="00155340">
              <w:rPr>
                <w:b/>
                <w:color w:val="000000" w:themeColor="text1"/>
                <w:sz w:val="28"/>
                <w:szCs w:val="28"/>
              </w:rPr>
              <w:t>AMEND THE ARIZONA RULES OF SUPREME COURT TO ADOPT NEW RULE 24 – JURY SELECTION</w:t>
            </w:r>
            <w:r w:rsidR="00222A61" w:rsidRPr="00155340">
              <w:rPr>
                <w:b/>
                <w:color w:val="000000" w:themeColor="text1"/>
                <w:sz w:val="28"/>
                <w:szCs w:val="28"/>
              </w:rPr>
              <w:br/>
            </w:r>
          </w:p>
        </w:tc>
        <w:tc>
          <w:tcPr>
            <w:tcW w:w="4524" w:type="dxa"/>
            <w:tcBorders>
              <w:top w:val="nil"/>
              <w:left w:val="single" w:sz="4" w:space="0" w:color="auto"/>
            </w:tcBorders>
            <w:shd w:val="clear" w:color="auto" w:fill="auto"/>
          </w:tcPr>
          <w:p w14:paraId="35CED5CB" w14:textId="4516B525" w:rsidR="00357F4D" w:rsidRPr="00155340" w:rsidRDefault="00357F4D" w:rsidP="00E321C5">
            <w:pPr>
              <w:pStyle w:val="Caption"/>
              <w:tabs>
                <w:tab w:val="left" w:pos="1238"/>
              </w:tabs>
              <w:spacing w:before="240" w:after="240"/>
              <w:ind w:left="259" w:right="115"/>
              <w:rPr>
                <w:color w:val="000000" w:themeColor="text1"/>
                <w:sz w:val="28"/>
                <w:szCs w:val="28"/>
              </w:rPr>
            </w:pPr>
            <w:r w:rsidRPr="00155340">
              <w:rPr>
                <w:color w:val="000000" w:themeColor="text1"/>
                <w:sz w:val="28"/>
                <w:szCs w:val="28"/>
              </w:rPr>
              <w:t>Supreme Court No. R-</w:t>
            </w:r>
            <w:r w:rsidR="008A4EB3" w:rsidRPr="00155340">
              <w:rPr>
                <w:color w:val="000000" w:themeColor="text1"/>
                <w:sz w:val="28"/>
                <w:szCs w:val="28"/>
              </w:rPr>
              <w:t>2</w:t>
            </w:r>
            <w:r w:rsidR="006E4770" w:rsidRPr="00155340">
              <w:rPr>
                <w:color w:val="000000" w:themeColor="text1"/>
                <w:sz w:val="28"/>
                <w:szCs w:val="28"/>
              </w:rPr>
              <w:t>1</w:t>
            </w:r>
            <w:r w:rsidR="00F850BE" w:rsidRPr="00155340">
              <w:rPr>
                <w:color w:val="000000" w:themeColor="text1"/>
                <w:sz w:val="28"/>
                <w:szCs w:val="28"/>
              </w:rPr>
              <w:t>-</w:t>
            </w:r>
            <w:r w:rsidR="008B794D" w:rsidRPr="00155340">
              <w:rPr>
                <w:color w:val="000000" w:themeColor="text1"/>
                <w:sz w:val="28"/>
                <w:szCs w:val="28"/>
              </w:rPr>
              <w:t>0008</w:t>
            </w:r>
          </w:p>
          <w:p w14:paraId="4072DC09" w14:textId="77777777" w:rsidR="008B794D" w:rsidRPr="00155340" w:rsidRDefault="008B794D" w:rsidP="000F7A7F">
            <w:pPr>
              <w:pStyle w:val="Caption"/>
              <w:tabs>
                <w:tab w:val="left" w:pos="1238"/>
              </w:tabs>
              <w:spacing w:line="260" w:lineRule="exact"/>
              <w:ind w:right="115"/>
              <w:jc w:val="center"/>
              <w:rPr>
                <w:b/>
                <w:color w:val="000000" w:themeColor="text1"/>
                <w:sz w:val="28"/>
                <w:szCs w:val="28"/>
              </w:rPr>
            </w:pPr>
            <w:r w:rsidRPr="00155340">
              <w:rPr>
                <w:b/>
                <w:color w:val="000000" w:themeColor="text1"/>
                <w:sz w:val="28"/>
                <w:szCs w:val="28"/>
              </w:rPr>
              <w:t xml:space="preserve">COMMENT OF </w:t>
            </w:r>
          </w:p>
          <w:p w14:paraId="5AEC962D" w14:textId="78967E29" w:rsidR="00357F4D" w:rsidRPr="00155340" w:rsidRDefault="008B794D" w:rsidP="000F7A7F">
            <w:pPr>
              <w:pStyle w:val="Caption"/>
              <w:tabs>
                <w:tab w:val="left" w:pos="1238"/>
              </w:tabs>
              <w:spacing w:line="260" w:lineRule="exact"/>
              <w:ind w:right="115"/>
              <w:jc w:val="center"/>
              <w:rPr>
                <w:b/>
                <w:color w:val="000000" w:themeColor="text1"/>
                <w:sz w:val="28"/>
                <w:szCs w:val="28"/>
              </w:rPr>
            </w:pPr>
            <w:r w:rsidRPr="00155340">
              <w:rPr>
                <w:b/>
                <w:color w:val="000000" w:themeColor="text1"/>
                <w:sz w:val="28"/>
                <w:szCs w:val="28"/>
              </w:rPr>
              <w:t>THE STATE BAR OF ARIZONA</w:t>
            </w:r>
          </w:p>
          <w:p w14:paraId="414A167D" w14:textId="77777777" w:rsidR="00357F4D" w:rsidRPr="00155340" w:rsidRDefault="00357F4D" w:rsidP="00E321C5">
            <w:pPr>
              <w:pStyle w:val="DocumentTitle"/>
              <w:rPr>
                <w:color w:val="000000" w:themeColor="text1"/>
                <w:sz w:val="28"/>
                <w:szCs w:val="28"/>
              </w:rPr>
            </w:pPr>
          </w:p>
          <w:p w14:paraId="524D8097" w14:textId="77777777" w:rsidR="00357F4D" w:rsidRPr="00155340" w:rsidRDefault="00357F4D" w:rsidP="00E321C5">
            <w:pPr>
              <w:pStyle w:val="Caption"/>
              <w:ind w:left="1512" w:right="115" w:hanging="1253"/>
              <w:rPr>
                <w:color w:val="000000" w:themeColor="text1"/>
                <w:sz w:val="28"/>
                <w:szCs w:val="28"/>
              </w:rPr>
            </w:pPr>
          </w:p>
        </w:tc>
      </w:tr>
      <w:bookmarkEnd w:id="1"/>
    </w:tbl>
    <w:p w14:paraId="14B66B5A" w14:textId="77777777" w:rsidR="004331B2" w:rsidRPr="00155340" w:rsidRDefault="004331B2" w:rsidP="006338C1">
      <w:pPr>
        <w:pStyle w:val="Body"/>
        <w:widowControl w:val="0"/>
        <w:ind w:firstLine="720"/>
        <w:jc w:val="both"/>
        <w:rPr>
          <w:color w:val="000000" w:themeColor="text1"/>
          <w:sz w:val="28"/>
          <w:szCs w:val="28"/>
        </w:rPr>
      </w:pPr>
    </w:p>
    <w:p w14:paraId="2C47F366" w14:textId="4BF6DDB5" w:rsidR="00222A61" w:rsidRPr="00155340" w:rsidRDefault="007A200F" w:rsidP="00155340">
      <w:pPr>
        <w:pStyle w:val="Body"/>
        <w:widowControl w:val="0"/>
        <w:spacing w:line="480" w:lineRule="auto"/>
        <w:ind w:firstLine="0"/>
        <w:jc w:val="both"/>
        <w:rPr>
          <w:color w:val="000000" w:themeColor="text1"/>
          <w:spacing w:val="-3"/>
          <w:sz w:val="28"/>
          <w:szCs w:val="28"/>
        </w:rPr>
      </w:pPr>
      <w:r w:rsidRPr="00155340">
        <w:rPr>
          <w:color w:val="000000" w:themeColor="text1"/>
          <w:sz w:val="28"/>
          <w:szCs w:val="28"/>
        </w:rPr>
        <w:tab/>
      </w:r>
      <w:r w:rsidR="00222A61" w:rsidRPr="00155340">
        <w:rPr>
          <w:color w:val="000000" w:themeColor="text1"/>
          <w:sz w:val="28"/>
          <w:szCs w:val="28"/>
        </w:rPr>
        <w:t xml:space="preserve">The </w:t>
      </w:r>
      <w:r w:rsidR="00222A61" w:rsidRPr="00155340">
        <w:rPr>
          <w:i/>
          <w:iCs/>
          <w:color w:val="000000" w:themeColor="text1"/>
          <w:sz w:val="28"/>
          <w:szCs w:val="28"/>
        </w:rPr>
        <w:t>Batson</w:t>
      </w:r>
      <w:r w:rsidR="00222A61" w:rsidRPr="00155340">
        <w:rPr>
          <w:color w:val="000000" w:themeColor="text1"/>
          <w:sz w:val="28"/>
          <w:szCs w:val="28"/>
        </w:rPr>
        <w:t xml:space="preserve"> Working Group has </w:t>
      </w:r>
      <w:r w:rsidRPr="00155340">
        <w:rPr>
          <w:color w:val="000000" w:themeColor="text1"/>
          <w:sz w:val="28"/>
          <w:szCs w:val="28"/>
        </w:rPr>
        <w:t xml:space="preserve">petitioned for </w:t>
      </w:r>
      <w:r w:rsidR="00222A61" w:rsidRPr="00155340">
        <w:rPr>
          <w:color w:val="000000" w:themeColor="text1"/>
          <w:sz w:val="28"/>
          <w:szCs w:val="28"/>
        </w:rPr>
        <w:t>a new Arizona Supreme Court Rule 24, concerning the exercise or waiver of peremptory jury strikes that result in remov</w:t>
      </w:r>
      <w:r w:rsidR="002046E3" w:rsidRPr="00155340">
        <w:rPr>
          <w:color w:val="000000" w:themeColor="text1"/>
          <w:sz w:val="28"/>
          <w:szCs w:val="28"/>
        </w:rPr>
        <w:t>al</w:t>
      </w:r>
      <w:r w:rsidR="00222A61" w:rsidRPr="00155340">
        <w:rPr>
          <w:color w:val="000000" w:themeColor="text1"/>
          <w:sz w:val="28"/>
          <w:szCs w:val="28"/>
        </w:rPr>
        <w:t xml:space="preserve"> from civil or criminal juries specified classes of prospective jurors.  </w:t>
      </w:r>
      <w:r w:rsidRPr="00155340">
        <w:rPr>
          <w:color w:val="000000" w:themeColor="text1"/>
          <w:sz w:val="28"/>
          <w:szCs w:val="28"/>
        </w:rPr>
        <w:t xml:space="preserve">Pursuant to Rule 28(e) of the Arizona Rules of Supreme Court, the State Bar of Arizona hereby submits its comment in support.   </w:t>
      </w:r>
    </w:p>
    <w:p w14:paraId="67AFFFCA" w14:textId="77777777" w:rsidR="00222A61" w:rsidRPr="00155340" w:rsidRDefault="00222A61" w:rsidP="00222A61">
      <w:pPr>
        <w:pStyle w:val="BodyTextIndent"/>
        <w:numPr>
          <w:ilvl w:val="0"/>
          <w:numId w:val="15"/>
        </w:numPr>
        <w:spacing w:line="480" w:lineRule="auto"/>
        <w:jc w:val="both"/>
        <w:rPr>
          <w:rStyle w:val="BodyTextIndentChar"/>
          <w:b/>
          <w:bCs/>
          <w:color w:val="000000" w:themeColor="text1"/>
          <w:sz w:val="28"/>
          <w:szCs w:val="28"/>
        </w:rPr>
      </w:pPr>
      <w:r w:rsidRPr="00155340">
        <w:rPr>
          <w:rStyle w:val="BodyTextIndentChar"/>
          <w:b/>
          <w:bCs/>
          <w:color w:val="000000" w:themeColor="text1"/>
          <w:sz w:val="28"/>
          <w:szCs w:val="28"/>
          <w:u w:val="single"/>
        </w:rPr>
        <w:t>Introduction</w:t>
      </w:r>
      <w:r w:rsidRPr="00155340">
        <w:rPr>
          <w:rStyle w:val="BodyTextIndentChar"/>
          <w:b/>
          <w:bCs/>
          <w:color w:val="000000" w:themeColor="text1"/>
          <w:sz w:val="28"/>
          <w:szCs w:val="28"/>
        </w:rPr>
        <w:t>.</w:t>
      </w:r>
    </w:p>
    <w:p w14:paraId="7AF9A8CC" w14:textId="61C39E4E" w:rsidR="00222A61" w:rsidRPr="00155340" w:rsidRDefault="007A200F" w:rsidP="00AE2C76">
      <w:pPr>
        <w:pStyle w:val="BodyTextIndent"/>
        <w:spacing w:line="480" w:lineRule="auto"/>
        <w:jc w:val="both"/>
        <w:rPr>
          <w:color w:val="000000" w:themeColor="text1"/>
          <w:sz w:val="28"/>
          <w:szCs w:val="28"/>
        </w:rPr>
      </w:pPr>
      <w:r w:rsidRPr="00155340">
        <w:rPr>
          <w:color w:val="000000" w:themeColor="text1"/>
          <w:sz w:val="28"/>
          <w:szCs w:val="28"/>
        </w:rPr>
        <w:t xml:space="preserve">The working group behind </w:t>
      </w:r>
      <w:r w:rsidR="00222A61" w:rsidRPr="00155340">
        <w:rPr>
          <w:color w:val="000000" w:themeColor="text1"/>
          <w:sz w:val="28"/>
          <w:szCs w:val="28"/>
        </w:rPr>
        <w:t>Petition R-21-0008 included members of the State Bar’s Civil and Criminal Practice and Procedure Committees</w:t>
      </w:r>
      <w:r w:rsidR="002046E3" w:rsidRPr="00155340">
        <w:rPr>
          <w:color w:val="000000" w:themeColor="text1"/>
          <w:sz w:val="28"/>
          <w:szCs w:val="28"/>
        </w:rPr>
        <w:t>,</w:t>
      </w:r>
      <w:r w:rsidR="00222A61" w:rsidRPr="00155340">
        <w:rPr>
          <w:color w:val="000000" w:themeColor="text1"/>
          <w:sz w:val="28"/>
          <w:szCs w:val="28"/>
        </w:rPr>
        <w:t xml:space="preserve"> </w:t>
      </w:r>
      <w:r w:rsidR="00A34BE7" w:rsidRPr="00155340">
        <w:rPr>
          <w:color w:val="000000" w:themeColor="text1"/>
          <w:sz w:val="28"/>
          <w:szCs w:val="28"/>
        </w:rPr>
        <w:t>j</w:t>
      </w:r>
      <w:r w:rsidR="00222A61" w:rsidRPr="00155340">
        <w:rPr>
          <w:color w:val="000000" w:themeColor="text1"/>
          <w:sz w:val="28"/>
          <w:szCs w:val="28"/>
        </w:rPr>
        <w:t xml:space="preserve">udges from the </w:t>
      </w:r>
      <w:r w:rsidRPr="00155340">
        <w:rPr>
          <w:color w:val="000000" w:themeColor="text1"/>
          <w:sz w:val="28"/>
          <w:szCs w:val="28"/>
        </w:rPr>
        <w:t xml:space="preserve">Maricopa and Pima </w:t>
      </w:r>
      <w:r w:rsidR="00222A61" w:rsidRPr="00155340">
        <w:rPr>
          <w:color w:val="000000" w:themeColor="text1"/>
          <w:sz w:val="28"/>
          <w:szCs w:val="28"/>
        </w:rPr>
        <w:t xml:space="preserve">Superior Courts, prosecutors, </w:t>
      </w:r>
      <w:r w:rsidRPr="00155340">
        <w:rPr>
          <w:color w:val="000000" w:themeColor="text1"/>
          <w:sz w:val="28"/>
          <w:szCs w:val="28"/>
        </w:rPr>
        <w:t xml:space="preserve">criminal </w:t>
      </w:r>
      <w:r w:rsidR="00222A61" w:rsidRPr="00155340">
        <w:rPr>
          <w:color w:val="000000" w:themeColor="text1"/>
          <w:sz w:val="28"/>
          <w:szCs w:val="28"/>
        </w:rPr>
        <w:t xml:space="preserve">defense </w:t>
      </w:r>
      <w:r w:rsidRPr="00155340">
        <w:rPr>
          <w:color w:val="000000" w:themeColor="text1"/>
          <w:sz w:val="28"/>
          <w:szCs w:val="28"/>
        </w:rPr>
        <w:t>attorneys</w:t>
      </w:r>
      <w:r w:rsidR="00222A61" w:rsidRPr="00155340">
        <w:rPr>
          <w:color w:val="000000" w:themeColor="text1"/>
          <w:sz w:val="28"/>
          <w:szCs w:val="28"/>
        </w:rPr>
        <w:t>, civil attorneys from urban and rural counties, a</w:t>
      </w:r>
      <w:r w:rsidR="00A34BE7" w:rsidRPr="00155340">
        <w:rPr>
          <w:color w:val="000000" w:themeColor="text1"/>
          <w:sz w:val="28"/>
          <w:szCs w:val="28"/>
        </w:rPr>
        <w:t>n</w:t>
      </w:r>
      <w:r w:rsidR="00222A61" w:rsidRPr="00155340">
        <w:rPr>
          <w:color w:val="000000" w:themeColor="text1"/>
          <w:sz w:val="28"/>
          <w:szCs w:val="28"/>
        </w:rPr>
        <w:t xml:space="preserve"> </w:t>
      </w:r>
      <w:r w:rsidR="00A34BE7" w:rsidRPr="00155340">
        <w:rPr>
          <w:color w:val="000000" w:themeColor="text1"/>
          <w:sz w:val="28"/>
          <w:szCs w:val="28"/>
        </w:rPr>
        <w:t xml:space="preserve">Arizona </w:t>
      </w:r>
      <w:r w:rsidR="00222A61" w:rsidRPr="00155340">
        <w:rPr>
          <w:color w:val="000000" w:themeColor="text1"/>
          <w:sz w:val="28"/>
          <w:szCs w:val="28"/>
        </w:rPr>
        <w:t>Court of Appeals</w:t>
      </w:r>
      <w:r w:rsidR="00A34BE7" w:rsidRPr="00155340">
        <w:rPr>
          <w:color w:val="000000" w:themeColor="text1"/>
          <w:sz w:val="28"/>
          <w:szCs w:val="28"/>
        </w:rPr>
        <w:t xml:space="preserve"> judge</w:t>
      </w:r>
      <w:r w:rsidR="00222A61" w:rsidRPr="00155340">
        <w:rPr>
          <w:color w:val="000000" w:themeColor="text1"/>
          <w:sz w:val="28"/>
          <w:szCs w:val="28"/>
        </w:rPr>
        <w:t xml:space="preserve">, a law </w:t>
      </w:r>
      <w:r w:rsidR="00222A61" w:rsidRPr="00155340">
        <w:rPr>
          <w:color w:val="000000" w:themeColor="text1"/>
          <w:sz w:val="28"/>
          <w:szCs w:val="28"/>
        </w:rPr>
        <w:lastRenderedPageBreak/>
        <w:t>professor, and other interested parties.</w:t>
      </w:r>
      <w:r w:rsidR="00222A61" w:rsidRPr="00155340">
        <w:rPr>
          <w:rStyle w:val="FootnoteReference"/>
          <w:color w:val="000000" w:themeColor="text1"/>
          <w:sz w:val="28"/>
          <w:szCs w:val="28"/>
        </w:rPr>
        <w:footnoteReference w:id="1"/>
      </w:r>
      <w:r w:rsidR="00222A61" w:rsidRPr="00155340">
        <w:rPr>
          <w:color w:val="000000" w:themeColor="text1"/>
          <w:sz w:val="28"/>
          <w:szCs w:val="28"/>
        </w:rPr>
        <w:t xml:space="preserve">  The</w:t>
      </w:r>
      <w:r w:rsidRPr="00155340">
        <w:rPr>
          <w:color w:val="000000" w:themeColor="text1"/>
          <w:sz w:val="28"/>
          <w:szCs w:val="28"/>
        </w:rPr>
        <w:t>ir</w:t>
      </w:r>
      <w:r w:rsidR="00222A61" w:rsidRPr="00155340">
        <w:rPr>
          <w:color w:val="000000" w:themeColor="text1"/>
          <w:sz w:val="28"/>
          <w:szCs w:val="28"/>
        </w:rPr>
        <w:t xml:space="preserve"> </w:t>
      </w:r>
      <w:r w:rsidR="00A34BE7" w:rsidRPr="00155340">
        <w:rPr>
          <w:color w:val="000000" w:themeColor="text1"/>
          <w:sz w:val="28"/>
          <w:szCs w:val="28"/>
        </w:rPr>
        <w:t>P</w:t>
      </w:r>
      <w:r w:rsidR="00222A61" w:rsidRPr="00155340">
        <w:rPr>
          <w:color w:val="000000" w:themeColor="text1"/>
          <w:sz w:val="28"/>
          <w:szCs w:val="28"/>
        </w:rPr>
        <w:t xml:space="preserve">etition proposes modifications to jury selection procedures in all courts </w:t>
      </w:r>
      <w:r w:rsidRPr="00155340">
        <w:rPr>
          <w:color w:val="000000" w:themeColor="text1"/>
          <w:sz w:val="28"/>
          <w:szCs w:val="28"/>
        </w:rPr>
        <w:t>via</w:t>
      </w:r>
      <w:r w:rsidR="00222A61" w:rsidRPr="00155340">
        <w:rPr>
          <w:color w:val="000000" w:themeColor="text1"/>
          <w:sz w:val="28"/>
          <w:szCs w:val="28"/>
        </w:rPr>
        <w:t xml:space="preserve"> new Arizona Supreme Court Rule 24, which would substantial</w:t>
      </w:r>
      <w:r w:rsidRPr="00155340">
        <w:rPr>
          <w:color w:val="000000" w:themeColor="text1"/>
          <w:sz w:val="28"/>
          <w:szCs w:val="28"/>
        </w:rPr>
        <w:t>ly</w:t>
      </w:r>
      <w:r w:rsidR="00222A61" w:rsidRPr="00155340">
        <w:rPr>
          <w:color w:val="000000" w:themeColor="text1"/>
          <w:sz w:val="28"/>
          <w:szCs w:val="28"/>
        </w:rPr>
        <w:t xml:space="preserve"> </w:t>
      </w:r>
      <w:r w:rsidRPr="00155340">
        <w:rPr>
          <w:color w:val="000000" w:themeColor="text1"/>
          <w:sz w:val="28"/>
          <w:szCs w:val="28"/>
        </w:rPr>
        <w:t>alter</w:t>
      </w:r>
      <w:r w:rsidR="00222A61" w:rsidRPr="00155340">
        <w:rPr>
          <w:color w:val="000000" w:themeColor="text1"/>
          <w:sz w:val="28"/>
          <w:szCs w:val="28"/>
        </w:rPr>
        <w:t xml:space="preserve"> procedures for exercising peremptory challenges in both civil and criminal cases.</w:t>
      </w:r>
      <w:r w:rsidRPr="00155340">
        <w:rPr>
          <w:color w:val="000000" w:themeColor="text1"/>
          <w:sz w:val="28"/>
          <w:szCs w:val="28"/>
        </w:rPr>
        <w:t xml:space="preserve">  The purpose is</w:t>
      </w:r>
      <w:r w:rsidR="00222A61" w:rsidRPr="00155340">
        <w:rPr>
          <w:color w:val="000000" w:themeColor="text1"/>
          <w:sz w:val="28"/>
          <w:szCs w:val="28"/>
        </w:rPr>
        <w:t xml:space="preserve"> to address the </w:t>
      </w:r>
      <w:r w:rsidR="00CA7318" w:rsidRPr="00155340">
        <w:rPr>
          <w:color w:val="000000" w:themeColor="text1"/>
          <w:sz w:val="28"/>
          <w:szCs w:val="28"/>
        </w:rPr>
        <w:t>shortcomings</w:t>
      </w:r>
      <w:r w:rsidR="00222A61" w:rsidRPr="00155340">
        <w:rPr>
          <w:color w:val="000000" w:themeColor="text1"/>
          <w:sz w:val="28"/>
          <w:szCs w:val="28"/>
        </w:rPr>
        <w:t xml:space="preserve"> of existing rules and practices </w:t>
      </w:r>
      <w:r w:rsidR="00002066" w:rsidRPr="00155340">
        <w:rPr>
          <w:color w:val="000000" w:themeColor="text1"/>
          <w:sz w:val="28"/>
          <w:szCs w:val="28"/>
        </w:rPr>
        <w:t>aimed at</w:t>
      </w:r>
      <w:r w:rsidR="00222A61" w:rsidRPr="00155340">
        <w:rPr>
          <w:color w:val="000000" w:themeColor="text1"/>
          <w:sz w:val="28"/>
          <w:szCs w:val="28"/>
        </w:rPr>
        <w:t xml:space="preserve"> unlawful discrimination in </w:t>
      </w:r>
      <w:r w:rsidRPr="00155340">
        <w:rPr>
          <w:color w:val="000000" w:themeColor="text1"/>
          <w:sz w:val="28"/>
          <w:szCs w:val="28"/>
        </w:rPr>
        <w:t>the exclusion of</w:t>
      </w:r>
      <w:r w:rsidR="00222A61" w:rsidRPr="00155340">
        <w:rPr>
          <w:color w:val="000000" w:themeColor="text1"/>
          <w:sz w:val="28"/>
          <w:szCs w:val="28"/>
        </w:rPr>
        <w:t xml:space="preserve"> prospective jurors, and </w:t>
      </w:r>
      <w:r w:rsidR="00CA7318" w:rsidRPr="00155340">
        <w:rPr>
          <w:color w:val="000000" w:themeColor="text1"/>
          <w:sz w:val="28"/>
          <w:szCs w:val="28"/>
        </w:rPr>
        <w:t xml:space="preserve">to increase </w:t>
      </w:r>
      <w:r w:rsidR="00222A61" w:rsidRPr="00155340">
        <w:rPr>
          <w:color w:val="000000" w:themeColor="text1"/>
          <w:sz w:val="28"/>
          <w:szCs w:val="28"/>
        </w:rPr>
        <w:t xml:space="preserve">public confidence in the judicial system, </w:t>
      </w:r>
      <w:r w:rsidR="00CA7318" w:rsidRPr="00155340">
        <w:rPr>
          <w:color w:val="000000" w:themeColor="text1"/>
          <w:sz w:val="28"/>
          <w:szCs w:val="28"/>
        </w:rPr>
        <w:t xml:space="preserve">consistent with </w:t>
      </w:r>
      <w:r w:rsidR="00222A61" w:rsidRPr="00155340">
        <w:rPr>
          <w:i/>
          <w:iCs/>
          <w:color w:val="000000" w:themeColor="text1"/>
          <w:sz w:val="28"/>
          <w:szCs w:val="28"/>
        </w:rPr>
        <w:t>Batson v. Kentucky,</w:t>
      </w:r>
      <w:r w:rsidR="00222A61" w:rsidRPr="00155340">
        <w:rPr>
          <w:color w:val="000000" w:themeColor="text1"/>
          <w:sz w:val="28"/>
          <w:szCs w:val="28"/>
        </w:rPr>
        <w:t xml:space="preserve"> 476 U.S. 79 (1986) and its progeny. </w:t>
      </w:r>
    </w:p>
    <w:p w14:paraId="56CD8F25" w14:textId="77777777" w:rsidR="00222A61" w:rsidRPr="00155340" w:rsidRDefault="00222A61" w:rsidP="00222A61">
      <w:pPr>
        <w:pStyle w:val="BodyTextIndent"/>
        <w:spacing w:line="480" w:lineRule="auto"/>
        <w:jc w:val="both"/>
        <w:rPr>
          <w:color w:val="000000" w:themeColor="text1"/>
          <w:sz w:val="28"/>
          <w:szCs w:val="28"/>
        </w:rPr>
      </w:pPr>
      <w:r w:rsidRPr="00155340">
        <w:rPr>
          <w:color w:val="000000" w:themeColor="text1"/>
          <w:sz w:val="28"/>
          <w:szCs w:val="28"/>
        </w:rPr>
        <w:t xml:space="preserve">The Petition asserts, and Courts and Commentators agree, that </w:t>
      </w:r>
      <w:r w:rsidRPr="00155340">
        <w:rPr>
          <w:i/>
          <w:iCs/>
          <w:color w:val="000000" w:themeColor="text1"/>
          <w:sz w:val="28"/>
          <w:szCs w:val="28"/>
        </w:rPr>
        <w:t>Batson</w:t>
      </w:r>
      <w:r w:rsidRPr="00155340">
        <w:rPr>
          <w:color w:val="000000" w:themeColor="text1"/>
          <w:sz w:val="28"/>
          <w:szCs w:val="28"/>
        </w:rPr>
        <w:t xml:space="preserve"> is widely regarded as a failure.</w:t>
      </w:r>
      <w:r w:rsidRPr="00155340">
        <w:rPr>
          <w:rStyle w:val="FootnoteReference"/>
          <w:color w:val="000000" w:themeColor="text1"/>
          <w:sz w:val="28"/>
          <w:szCs w:val="28"/>
        </w:rPr>
        <w:footnoteReference w:id="2"/>
      </w:r>
      <w:r w:rsidRPr="00155340">
        <w:rPr>
          <w:color w:val="000000" w:themeColor="text1"/>
          <w:sz w:val="28"/>
          <w:szCs w:val="28"/>
        </w:rPr>
        <w:t xml:space="preserve">  Moreover, more than thirty years after it was decided, the exact scope of </w:t>
      </w:r>
      <w:r w:rsidRPr="00155340">
        <w:rPr>
          <w:i/>
          <w:iCs/>
          <w:color w:val="000000" w:themeColor="text1"/>
          <w:sz w:val="28"/>
          <w:szCs w:val="28"/>
        </w:rPr>
        <w:t>Batson’s</w:t>
      </w:r>
      <w:r w:rsidRPr="00155340">
        <w:rPr>
          <w:color w:val="000000" w:themeColor="text1"/>
          <w:sz w:val="28"/>
          <w:szCs w:val="28"/>
        </w:rPr>
        <w:t xml:space="preserve"> prohibition on the discriminatory use of peremptory challenges, and its application at trial and in the appellate courts, may yet be regarded as somewhat uncertain, or in a state of flux.</w:t>
      </w:r>
    </w:p>
    <w:p w14:paraId="26F97428" w14:textId="2CEC8404" w:rsidR="00222A61" w:rsidRPr="00155340" w:rsidRDefault="00222A61" w:rsidP="00222A61">
      <w:pPr>
        <w:pStyle w:val="BodyTextIndent"/>
        <w:spacing w:line="480" w:lineRule="auto"/>
        <w:jc w:val="both"/>
        <w:rPr>
          <w:color w:val="000000" w:themeColor="text1"/>
          <w:sz w:val="28"/>
          <w:szCs w:val="28"/>
        </w:rPr>
      </w:pPr>
      <w:r w:rsidRPr="00155340">
        <w:rPr>
          <w:i/>
          <w:iCs/>
          <w:color w:val="000000" w:themeColor="text1"/>
          <w:sz w:val="28"/>
          <w:szCs w:val="28"/>
        </w:rPr>
        <w:t>Batson</w:t>
      </w:r>
      <w:r w:rsidRPr="00155340">
        <w:rPr>
          <w:color w:val="000000" w:themeColor="text1"/>
          <w:sz w:val="28"/>
          <w:szCs w:val="28"/>
        </w:rPr>
        <w:t xml:space="preserve"> held that the Constitution forbids a criminal prosecutor’s exercise of peremptory challenges in a racially discriminatory manner.  The Court has extended </w:t>
      </w:r>
      <w:r w:rsidRPr="00155340">
        <w:rPr>
          <w:i/>
          <w:iCs/>
          <w:color w:val="000000" w:themeColor="text1"/>
          <w:sz w:val="28"/>
          <w:szCs w:val="28"/>
        </w:rPr>
        <w:lastRenderedPageBreak/>
        <w:t>Batson</w:t>
      </w:r>
      <w:r w:rsidRPr="00155340">
        <w:rPr>
          <w:color w:val="000000" w:themeColor="text1"/>
          <w:sz w:val="28"/>
          <w:szCs w:val="28"/>
        </w:rPr>
        <w:t xml:space="preserve"> to civil litigants</w:t>
      </w:r>
      <w:r w:rsidRPr="00155340">
        <w:rPr>
          <w:rStyle w:val="FootnoteReference"/>
          <w:color w:val="000000" w:themeColor="text1"/>
          <w:sz w:val="28"/>
          <w:szCs w:val="28"/>
        </w:rPr>
        <w:footnoteReference w:id="3"/>
      </w:r>
      <w:r w:rsidRPr="00155340">
        <w:rPr>
          <w:color w:val="000000" w:themeColor="text1"/>
          <w:sz w:val="28"/>
          <w:szCs w:val="28"/>
        </w:rPr>
        <w:t xml:space="preserve"> and held that criminal defendants cannot exercise peremptory challenges in a racially discriminatory manner.</w:t>
      </w:r>
      <w:r w:rsidRPr="00155340">
        <w:rPr>
          <w:rStyle w:val="FootnoteReference"/>
          <w:color w:val="000000" w:themeColor="text1"/>
          <w:sz w:val="28"/>
          <w:szCs w:val="28"/>
        </w:rPr>
        <w:footnoteReference w:id="4"/>
      </w:r>
      <w:r w:rsidRPr="00155340">
        <w:rPr>
          <w:color w:val="000000" w:themeColor="text1"/>
          <w:sz w:val="28"/>
          <w:szCs w:val="28"/>
        </w:rPr>
        <w:t xml:space="preserve">  In a case involving the alleged discriminatory use of peremptory strikes against prospective “Latino” or “Hispanic” jurors, the Court  said , “If true, the prosecutor's discriminatory use of peremptory strikes would violate the Equal Protection Clause as interpreted … in </w:t>
      </w:r>
      <w:r w:rsidRPr="00155340">
        <w:rPr>
          <w:i/>
          <w:iCs/>
          <w:color w:val="000000" w:themeColor="text1"/>
          <w:sz w:val="28"/>
          <w:szCs w:val="28"/>
        </w:rPr>
        <w:t>Batson</w:t>
      </w:r>
      <w:r w:rsidRPr="00155340">
        <w:rPr>
          <w:color w:val="000000" w:themeColor="text1"/>
          <w:sz w:val="28"/>
          <w:szCs w:val="28"/>
        </w:rPr>
        <w:t>[.]”</w:t>
      </w:r>
      <w:r w:rsidRPr="00155340">
        <w:rPr>
          <w:rStyle w:val="FootnoteReference"/>
          <w:color w:val="000000" w:themeColor="text1"/>
          <w:sz w:val="28"/>
          <w:szCs w:val="28"/>
        </w:rPr>
        <w:footnoteReference w:id="5"/>
      </w:r>
      <w:r w:rsidRPr="00155340">
        <w:rPr>
          <w:color w:val="000000" w:themeColor="text1"/>
          <w:sz w:val="28"/>
          <w:szCs w:val="28"/>
        </w:rPr>
        <w:t xml:space="preserve"> </w:t>
      </w:r>
      <w:r w:rsidR="002046E3" w:rsidRPr="00155340">
        <w:rPr>
          <w:color w:val="000000" w:themeColor="text1"/>
          <w:sz w:val="28"/>
          <w:szCs w:val="28"/>
        </w:rPr>
        <w:t xml:space="preserve"> </w:t>
      </w:r>
      <w:r w:rsidRPr="00155340">
        <w:rPr>
          <w:color w:val="000000" w:themeColor="text1"/>
          <w:sz w:val="28"/>
          <w:szCs w:val="28"/>
        </w:rPr>
        <w:t xml:space="preserve">The Court, in </w:t>
      </w:r>
      <w:r w:rsidRPr="00155340">
        <w:rPr>
          <w:i/>
          <w:iCs/>
          <w:color w:val="000000" w:themeColor="text1"/>
          <w:sz w:val="28"/>
          <w:szCs w:val="28"/>
        </w:rPr>
        <w:t>J.E.B. v. Alabama</w:t>
      </w:r>
      <w:r w:rsidRPr="00155340">
        <w:rPr>
          <w:color w:val="000000" w:themeColor="text1"/>
          <w:sz w:val="28"/>
          <w:szCs w:val="28"/>
        </w:rPr>
        <w:t xml:space="preserve">, has since extended </w:t>
      </w:r>
      <w:r w:rsidRPr="00155340">
        <w:rPr>
          <w:i/>
          <w:iCs/>
          <w:color w:val="000000" w:themeColor="text1"/>
          <w:sz w:val="28"/>
          <w:szCs w:val="28"/>
        </w:rPr>
        <w:t>Batson</w:t>
      </w:r>
      <w:r w:rsidRPr="00155340">
        <w:rPr>
          <w:color w:val="000000" w:themeColor="text1"/>
          <w:sz w:val="28"/>
          <w:szCs w:val="28"/>
        </w:rPr>
        <w:t xml:space="preserve"> to discrimination on the basis of gender.</w:t>
      </w:r>
      <w:r w:rsidRPr="00155340">
        <w:rPr>
          <w:rStyle w:val="FootnoteReference"/>
          <w:color w:val="000000" w:themeColor="text1"/>
          <w:sz w:val="28"/>
          <w:szCs w:val="28"/>
        </w:rPr>
        <w:footnoteReference w:id="6"/>
      </w:r>
      <w:r w:rsidRPr="00155340">
        <w:rPr>
          <w:color w:val="000000" w:themeColor="text1"/>
          <w:sz w:val="28"/>
          <w:szCs w:val="28"/>
        </w:rPr>
        <w:t xml:space="preserve"> </w:t>
      </w:r>
    </w:p>
    <w:p w14:paraId="4AE9E3B8" w14:textId="44BCD9A6" w:rsidR="00222A61" w:rsidRPr="00155340" w:rsidRDefault="00002066" w:rsidP="00222A61">
      <w:pPr>
        <w:pStyle w:val="BodyTextIndent"/>
        <w:spacing w:line="480" w:lineRule="auto"/>
        <w:jc w:val="both"/>
        <w:rPr>
          <w:color w:val="000000" w:themeColor="text1"/>
          <w:sz w:val="28"/>
          <w:szCs w:val="28"/>
        </w:rPr>
      </w:pPr>
      <w:r w:rsidRPr="00155340">
        <w:rPr>
          <w:color w:val="000000" w:themeColor="text1"/>
          <w:sz w:val="28"/>
          <w:szCs w:val="28"/>
        </w:rPr>
        <w:t>I</w:t>
      </w:r>
      <w:r w:rsidR="00222A61" w:rsidRPr="00155340">
        <w:rPr>
          <w:color w:val="000000" w:themeColor="text1"/>
          <w:sz w:val="28"/>
          <w:szCs w:val="28"/>
        </w:rPr>
        <w:t xml:space="preserve">n </w:t>
      </w:r>
      <w:r w:rsidR="00222A61" w:rsidRPr="00155340">
        <w:rPr>
          <w:i/>
          <w:iCs/>
          <w:color w:val="000000" w:themeColor="text1"/>
          <w:sz w:val="28"/>
          <w:szCs w:val="28"/>
        </w:rPr>
        <w:t>J.E.B.</w:t>
      </w:r>
      <w:r w:rsidRPr="00155340">
        <w:rPr>
          <w:color w:val="000000" w:themeColor="text1"/>
          <w:sz w:val="28"/>
          <w:szCs w:val="28"/>
        </w:rPr>
        <w:t xml:space="preserve">, the Court </w:t>
      </w:r>
      <w:r w:rsidR="00222A61" w:rsidRPr="00155340">
        <w:rPr>
          <w:color w:val="000000" w:themeColor="text1"/>
          <w:sz w:val="28"/>
          <w:szCs w:val="28"/>
        </w:rPr>
        <w:t xml:space="preserve">partly explained the scope of its decision to prohibit discrimination on the basis of gender by affirming that “[p]arties may also exercise their peremptory challenges to remove from the </w:t>
      </w:r>
      <w:r w:rsidR="00222A61" w:rsidRPr="00155340">
        <w:rPr>
          <w:i/>
          <w:iCs/>
          <w:color w:val="000000" w:themeColor="text1"/>
          <w:sz w:val="28"/>
          <w:szCs w:val="28"/>
        </w:rPr>
        <w:t>venire</w:t>
      </w:r>
      <w:r w:rsidR="00222A61" w:rsidRPr="00155340">
        <w:rPr>
          <w:color w:val="000000" w:themeColor="text1"/>
          <w:sz w:val="28"/>
          <w:szCs w:val="28"/>
        </w:rPr>
        <w:t xml:space="preserve"> any group or class of individuals normally subject to ‘rational basis’ review.”</w:t>
      </w:r>
      <w:r w:rsidR="00222A61" w:rsidRPr="00155340">
        <w:rPr>
          <w:rStyle w:val="FootnoteReference"/>
          <w:color w:val="000000" w:themeColor="text1"/>
          <w:sz w:val="28"/>
          <w:szCs w:val="28"/>
        </w:rPr>
        <w:footnoteReference w:id="7"/>
      </w:r>
      <w:r w:rsidR="00222A61" w:rsidRPr="00155340">
        <w:rPr>
          <w:color w:val="000000" w:themeColor="text1"/>
          <w:sz w:val="28"/>
          <w:szCs w:val="28"/>
        </w:rPr>
        <w:t xml:space="preserve">  Although the Supreme Court has yet to apply </w:t>
      </w:r>
      <w:r w:rsidR="00222A61" w:rsidRPr="00155340">
        <w:rPr>
          <w:i/>
          <w:iCs/>
          <w:color w:val="000000" w:themeColor="text1"/>
          <w:sz w:val="28"/>
          <w:szCs w:val="28"/>
        </w:rPr>
        <w:t>Batson</w:t>
      </w:r>
      <w:r w:rsidR="00222A61" w:rsidRPr="00155340">
        <w:rPr>
          <w:color w:val="000000" w:themeColor="text1"/>
          <w:sz w:val="28"/>
          <w:szCs w:val="28"/>
        </w:rPr>
        <w:t xml:space="preserve"> to prohibit discrimination in jury selection based on religion, it has held in other contexts that laws impeding the free exercise of religion </w:t>
      </w:r>
      <w:r w:rsidR="00222A61" w:rsidRPr="00155340">
        <w:rPr>
          <w:color w:val="000000" w:themeColor="text1"/>
          <w:sz w:val="28"/>
          <w:szCs w:val="28"/>
        </w:rPr>
        <w:lastRenderedPageBreak/>
        <w:t>are subject to strict scrutiny.</w:t>
      </w:r>
      <w:r w:rsidR="00222A61" w:rsidRPr="00155340">
        <w:rPr>
          <w:rStyle w:val="FootnoteReference"/>
          <w:color w:val="000000" w:themeColor="text1"/>
          <w:sz w:val="28"/>
          <w:szCs w:val="28"/>
        </w:rPr>
        <w:footnoteReference w:id="8"/>
      </w:r>
      <w:r w:rsidR="00222A61" w:rsidRPr="00155340">
        <w:rPr>
          <w:color w:val="000000" w:themeColor="text1"/>
          <w:sz w:val="28"/>
          <w:szCs w:val="28"/>
        </w:rPr>
        <w:t xml:space="preserve">  It must be noted, however, that this Court has ruled that </w:t>
      </w:r>
      <w:r w:rsidR="00222A61" w:rsidRPr="00155340">
        <w:rPr>
          <w:i/>
          <w:iCs/>
          <w:color w:val="000000" w:themeColor="text1"/>
          <w:sz w:val="28"/>
          <w:szCs w:val="28"/>
        </w:rPr>
        <w:t>Batson</w:t>
      </w:r>
      <w:r w:rsidR="00222A61" w:rsidRPr="00155340">
        <w:rPr>
          <w:color w:val="000000" w:themeColor="text1"/>
          <w:sz w:val="28"/>
          <w:szCs w:val="28"/>
        </w:rPr>
        <w:t xml:space="preserve"> applies to peremptory strikes based upon religious membership or affiliation.</w:t>
      </w:r>
      <w:r w:rsidR="00222A61" w:rsidRPr="00155340">
        <w:rPr>
          <w:rStyle w:val="FootnoteReference"/>
          <w:color w:val="000000" w:themeColor="text1"/>
          <w:sz w:val="28"/>
          <w:szCs w:val="28"/>
        </w:rPr>
        <w:footnoteReference w:id="9"/>
      </w:r>
    </w:p>
    <w:p w14:paraId="09D1E4BC" w14:textId="1BF69F41" w:rsidR="00222A61" w:rsidRPr="00155340" w:rsidRDefault="00222A61" w:rsidP="00222A61">
      <w:pPr>
        <w:pStyle w:val="BodyTextIndent"/>
        <w:spacing w:line="480" w:lineRule="auto"/>
        <w:jc w:val="both"/>
        <w:rPr>
          <w:color w:val="000000" w:themeColor="text1"/>
          <w:sz w:val="28"/>
          <w:szCs w:val="28"/>
        </w:rPr>
      </w:pPr>
      <w:r w:rsidRPr="00155340">
        <w:rPr>
          <w:color w:val="000000" w:themeColor="text1"/>
          <w:sz w:val="28"/>
          <w:szCs w:val="28"/>
        </w:rPr>
        <w:t xml:space="preserve">The Supreme Court’s most recent decision, </w:t>
      </w:r>
      <w:r w:rsidRPr="00155340">
        <w:rPr>
          <w:i/>
          <w:iCs/>
          <w:color w:val="000000" w:themeColor="text1"/>
          <w:sz w:val="28"/>
          <w:szCs w:val="28"/>
        </w:rPr>
        <w:t>United States v. Windsor</w:t>
      </w:r>
      <w:r w:rsidRPr="00155340">
        <w:rPr>
          <w:color w:val="000000" w:themeColor="text1"/>
          <w:sz w:val="28"/>
          <w:szCs w:val="28"/>
        </w:rPr>
        <w:t>, concerning equal protection and classifications based on sexual orientation did not characterize the level of scrutiny it applied to the equal protection claim.</w:t>
      </w:r>
      <w:r w:rsidRPr="00155340">
        <w:rPr>
          <w:rStyle w:val="FootnoteReference"/>
          <w:color w:val="000000" w:themeColor="text1"/>
          <w:sz w:val="28"/>
          <w:szCs w:val="28"/>
        </w:rPr>
        <w:footnoteReference w:id="10"/>
      </w:r>
      <w:r w:rsidRPr="00155340">
        <w:rPr>
          <w:color w:val="000000" w:themeColor="text1"/>
          <w:sz w:val="28"/>
          <w:szCs w:val="28"/>
        </w:rPr>
        <w:t xml:space="preserve">  Although the dissent objected that the Court’s “opinion does not apply strict scrutiny, and its central propositions are taken from rational-basis cases,” it also recognized that “the Court certainly does not </w:t>
      </w:r>
      <w:r w:rsidRPr="00155340">
        <w:rPr>
          <w:i/>
          <w:iCs/>
          <w:color w:val="000000" w:themeColor="text1"/>
          <w:sz w:val="28"/>
          <w:szCs w:val="28"/>
        </w:rPr>
        <w:t>apply</w:t>
      </w:r>
      <w:r w:rsidRPr="00155340">
        <w:rPr>
          <w:color w:val="000000" w:themeColor="text1"/>
          <w:sz w:val="28"/>
          <w:szCs w:val="28"/>
        </w:rPr>
        <w:t xml:space="preserve"> anything that resembles that deferential framework.”</w:t>
      </w:r>
      <w:r w:rsidRPr="00155340">
        <w:rPr>
          <w:rStyle w:val="FootnoteReference"/>
          <w:color w:val="000000" w:themeColor="text1"/>
          <w:sz w:val="28"/>
          <w:szCs w:val="28"/>
        </w:rPr>
        <w:footnoteReference w:id="11"/>
      </w:r>
      <w:r w:rsidRPr="00155340">
        <w:rPr>
          <w:color w:val="000000" w:themeColor="text1"/>
          <w:sz w:val="28"/>
          <w:szCs w:val="28"/>
        </w:rPr>
        <w:t xml:space="preserve">  </w:t>
      </w:r>
      <w:r w:rsidRPr="00155340">
        <w:rPr>
          <w:i/>
          <w:iCs/>
          <w:color w:val="000000" w:themeColor="text1"/>
          <w:sz w:val="28"/>
          <w:szCs w:val="28"/>
        </w:rPr>
        <w:t>Windsor</w:t>
      </w:r>
      <w:r w:rsidRPr="00155340">
        <w:rPr>
          <w:color w:val="000000" w:themeColor="text1"/>
          <w:sz w:val="28"/>
          <w:szCs w:val="28"/>
        </w:rPr>
        <w:t xml:space="preserve"> was subsequently interpreted to conclude that “we are required by </w:t>
      </w:r>
      <w:r w:rsidRPr="00155340">
        <w:rPr>
          <w:i/>
          <w:iCs/>
          <w:color w:val="000000" w:themeColor="text1"/>
          <w:sz w:val="28"/>
          <w:szCs w:val="28"/>
        </w:rPr>
        <w:t>Windsor</w:t>
      </w:r>
      <w:r w:rsidRPr="00155340">
        <w:rPr>
          <w:color w:val="000000" w:themeColor="text1"/>
          <w:sz w:val="28"/>
          <w:szCs w:val="28"/>
        </w:rPr>
        <w:t xml:space="preserve"> to apply heightened scrutiny to classifications based on sexual orientation for purposes of equal protection” and that “equal protection forbids striking a juror on the basis of his sexual orientation.”</w:t>
      </w:r>
      <w:r w:rsidRPr="00155340">
        <w:rPr>
          <w:rStyle w:val="FootnoteReference"/>
          <w:color w:val="000000" w:themeColor="text1"/>
          <w:sz w:val="28"/>
          <w:szCs w:val="28"/>
        </w:rPr>
        <w:footnoteReference w:id="12"/>
      </w:r>
      <w:r w:rsidRPr="00155340">
        <w:rPr>
          <w:color w:val="000000" w:themeColor="text1"/>
          <w:sz w:val="28"/>
          <w:szCs w:val="28"/>
        </w:rPr>
        <w:t xml:space="preserve">  </w:t>
      </w:r>
      <w:r w:rsidR="005C2EDC" w:rsidRPr="00155340">
        <w:rPr>
          <w:color w:val="000000" w:themeColor="text1"/>
          <w:sz w:val="28"/>
          <w:szCs w:val="28"/>
        </w:rPr>
        <w:t>In</w:t>
      </w:r>
      <w:r w:rsidRPr="00155340">
        <w:rPr>
          <w:color w:val="000000" w:themeColor="text1"/>
          <w:sz w:val="28"/>
          <w:szCs w:val="28"/>
        </w:rPr>
        <w:t xml:space="preserve"> </w:t>
      </w:r>
      <w:r w:rsidRPr="00155340">
        <w:rPr>
          <w:i/>
          <w:iCs/>
          <w:color w:val="000000" w:themeColor="text1"/>
          <w:sz w:val="28"/>
          <w:szCs w:val="28"/>
        </w:rPr>
        <w:t>SmithKline Beecham</w:t>
      </w:r>
      <w:r w:rsidR="00002066" w:rsidRPr="00155340">
        <w:rPr>
          <w:color w:val="000000" w:themeColor="text1"/>
          <w:sz w:val="28"/>
          <w:szCs w:val="28"/>
        </w:rPr>
        <w:t>,</w:t>
      </w:r>
      <w:r w:rsidRPr="00155340">
        <w:rPr>
          <w:color w:val="000000" w:themeColor="text1"/>
          <w:sz w:val="28"/>
          <w:szCs w:val="28"/>
        </w:rPr>
        <w:t xml:space="preserve"> </w:t>
      </w:r>
      <w:r w:rsidR="005C2EDC" w:rsidRPr="00155340">
        <w:rPr>
          <w:color w:val="000000" w:themeColor="text1"/>
          <w:sz w:val="28"/>
          <w:szCs w:val="28"/>
        </w:rPr>
        <w:t xml:space="preserve">the Ninth Circuit Court of Appeals </w:t>
      </w:r>
      <w:r w:rsidRPr="00155340">
        <w:rPr>
          <w:color w:val="000000" w:themeColor="text1"/>
          <w:sz w:val="28"/>
          <w:szCs w:val="28"/>
        </w:rPr>
        <w:t xml:space="preserve">recognized that the decision in </w:t>
      </w:r>
      <w:r w:rsidRPr="00155340">
        <w:rPr>
          <w:i/>
          <w:iCs/>
          <w:color w:val="000000" w:themeColor="text1"/>
          <w:sz w:val="28"/>
          <w:szCs w:val="28"/>
        </w:rPr>
        <w:t>J.E.B.</w:t>
      </w:r>
      <w:r w:rsidRPr="00155340">
        <w:rPr>
          <w:color w:val="000000" w:themeColor="text1"/>
          <w:sz w:val="28"/>
          <w:szCs w:val="28"/>
        </w:rPr>
        <w:t xml:space="preserve"> “did not state definitively whether heightened scrutiny is sufficient to warrant </w:t>
      </w:r>
      <w:r w:rsidRPr="00155340">
        <w:rPr>
          <w:i/>
          <w:iCs/>
          <w:color w:val="000000" w:themeColor="text1"/>
          <w:sz w:val="28"/>
          <w:szCs w:val="28"/>
        </w:rPr>
        <w:t>Batson’s</w:t>
      </w:r>
      <w:r w:rsidRPr="00155340">
        <w:rPr>
          <w:color w:val="000000" w:themeColor="text1"/>
          <w:sz w:val="28"/>
          <w:szCs w:val="28"/>
        </w:rPr>
        <w:t xml:space="preserve"> protection or merely necessary.”</w:t>
      </w:r>
      <w:r w:rsidRPr="00155340">
        <w:rPr>
          <w:rStyle w:val="FootnoteReference"/>
          <w:color w:val="000000" w:themeColor="text1"/>
          <w:sz w:val="28"/>
          <w:szCs w:val="28"/>
        </w:rPr>
        <w:footnoteReference w:id="13"/>
      </w:r>
      <w:r w:rsidRPr="00155340">
        <w:rPr>
          <w:color w:val="000000" w:themeColor="text1"/>
          <w:sz w:val="28"/>
          <w:szCs w:val="28"/>
        </w:rPr>
        <w:t xml:space="preserve"> </w:t>
      </w:r>
    </w:p>
    <w:p w14:paraId="5440C06F" w14:textId="7E694AEA" w:rsidR="00222A61" w:rsidRPr="00155340" w:rsidRDefault="00222A61" w:rsidP="00222A61">
      <w:pPr>
        <w:pStyle w:val="BodyTextIndent"/>
        <w:numPr>
          <w:ilvl w:val="0"/>
          <w:numId w:val="15"/>
        </w:numPr>
        <w:spacing w:line="240" w:lineRule="auto"/>
        <w:jc w:val="both"/>
        <w:rPr>
          <w:b/>
          <w:bCs/>
          <w:color w:val="000000" w:themeColor="text1"/>
          <w:sz w:val="28"/>
          <w:szCs w:val="28"/>
        </w:rPr>
      </w:pPr>
      <w:r w:rsidRPr="00155340">
        <w:rPr>
          <w:b/>
          <w:bCs/>
          <w:color w:val="000000" w:themeColor="text1"/>
          <w:sz w:val="28"/>
          <w:szCs w:val="28"/>
          <w:u w:val="single"/>
        </w:rPr>
        <w:t xml:space="preserve">The State Bar Supports </w:t>
      </w:r>
      <w:proofErr w:type="gramStart"/>
      <w:r w:rsidRPr="00155340">
        <w:rPr>
          <w:b/>
          <w:bCs/>
          <w:color w:val="000000" w:themeColor="text1"/>
          <w:sz w:val="28"/>
          <w:szCs w:val="28"/>
          <w:u w:val="single"/>
        </w:rPr>
        <w:t>The</w:t>
      </w:r>
      <w:proofErr w:type="gramEnd"/>
      <w:r w:rsidRPr="00155340">
        <w:rPr>
          <w:b/>
          <w:bCs/>
          <w:color w:val="000000" w:themeColor="text1"/>
          <w:sz w:val="28"/>
          <w:szCs w:val="28"/>
          <w:u w:val="single"/>
        </w:rPr>
        <w:t xml:space="preserve"> </w:t>
      </w:r>
      <w:r w:rsidR="003905F7" w:rsidRPr="00155340">
        <w:rPr>
          <w:b/>
          <w:bCs/>
          <w:color w:val="000000" w:themeColor="text1"/>
          <w:sz w:val="28"/>
          <w:szCs w:val="28"/>
          <w:u w:val="single"/>
        </w:rPr>
        <w:t xml:space="preserve">Batson Working Group </w:t>
      </w:r>
      <w:r w:rsidRPr="00155340">
        <w:rPr>
          <w:b/>
          <w:bCs/>
          <w:color w:val="000000" w:themeColor="text1"/>
          <w:sz w:val="28"/>
          <w:szCs w:val="28"/>
          <w:u w:val="single"/>
        </w:rPr>
        <w:t>Petition</w:t>
      </w:r>
      <w:r w:rsidRPr="00155340">
        <w:rPr>
          <w:b/>
          <w:bCs/>
          <w:color w:val="000000" w:themeColor="text1"/>
          <w:sz w:val="28"/>
          <w:szCs w:val="28"/>
        </w:rPr>
        <w:t>.</w:t>
      </w:r>
    </w:p>
    <w:p w14:paraId="53234EBF" w14:textId="77777777" w:rsidR="00222A61" w:rsidRPr="00155340" w:rsidRDefault="00222A61" w:rsidP="00222A61">
      <w:pPr>
        <w:pStyle w:val="BodyTextIndent"/>
        <w:spacing w:line="240" w:lineRule="auto"/>
        <w:jc w:val="both"/>
        <w:rPr>
          <w:color w:val="000000" w:themeColor="text1"/>
          <w:sz w:val="28"/>
          <w:szCs w:val="28"/>
        </w:rPr>
      </w:pPr>
    </w:p>
    <w:p w14:paraId="0C90C8DC" w14:textId="6224BDD4" w:rsidR="00222A61" w:rsidRPr="00155340" w:rsidRDefault="00222A61" w:rsidP="00222A61">
      <w:pPr>
        <w:pStyle w:val="BodyTextIndent"/>
        <w:spacing w:line="480" w:lineRule="auto"/>
        <w:jc w:val="both"/>
        <w:rPr>
          <w:color w:val="000000" w:themeColor="text1"/>
          <w:sz w:val="28"/>
          <w:szCs w:val="28"/>
        </w:rPr>
      </w:pPr>
      <w:r w:rsidRPr="00155340">
        <w:rPr>
          <w:color w:val="000000" w:themeColor="text1"/>
          <w:sz w:val="28"/>
          <w:szCs w:val="28"/>
        </w:rPr>
        <w:t xml:space="preserve">The proposed </w:t>
      </w:r>
      <w:r w:rsidR="005C2EDC" w:rsidRPr="00155340">
        <w:rPr>
          <w:color w:val="000000" w:themeColor="text1"/>
          <w:sz w:val="28"/>
          <w:szCs w:val="28"/>
        </w:rPr>
        <w:t>rule</w:t>
      </w:r>
      <w:r w:rsidRPr="00155340">
        <w:rPr>
          <w:color w:val="000000" w:themeColor="text1"/>
          <w:sz w:val="28"/>
          <w:szCs w:val="28"/>
        </w:rPr>
        <w:t xml:space="preserve"> would substantially modify the </w:t>
      </w:r>
      <w:r w:rsidRPr="00155340">
        <w:rPr>
          <w:i/>
          <w:iCs/>
          <w:color w:val="000000" w:themeColor="text1"/>
          <w:sz w:val="28"/>
          <w:szCs w:val="28"/>
        </w:rPr>
        <w:t>Batson</w:t>
      </w:r>
      <w:r w:rsidRPr="00155340">
        <w:rPr>
          <w:color w:val="000000" w:themeColor="text1"/>
          <w:sz w:val="28"/>
          <w:szCs w:val="28"/>
        </w:rPr>
        <w:t xml:space="preserve"> framework for peremptory challenges</w:t>
      </w:r>
      <w:r w:rsidR="00002066" w:rsidRPr="00155340">
        <w:rPr>
          <w:color w:val="000000" w:themeColor="text1"/>
          <w:sz w:val="28"/>
          <w:szCs w:val="28"/>
        </w:rPr>
        <w:t>,</w:t>
      </w:r>
      <w:r w:rsidRPr="00155340">
        <w:rPr>
          <w:color w:val="000000" w:themeColor="text1"/>
          <w:sz w:val="28"/>
          <w:szCs w:val="28"/>
        </w:rPr>
        <w:t xml:space="preserve"> to accomplish the purpose of bringing equality to jury service and improving confidence in the judicial system.  The Petition includes an extensive discussion of the state of the law and practice in Arizona and elsewhere, a review of efforts made in other states to reform or correct </w:t>
      </w:r>
      <w:r w:rsidRPr="00155340">
        <w:rPr>
          <w:i/>
          <w:iCs/>
          <w:color w:val="000000" w:themeColor="text1"/>
          <w:sz w:val="28"/>
          <w:szCs w:val="28"/>
        </w:rPr>
        <w:t>Batson</w:t>
      </w:r>
      <w:r w:rsidRPr="00155340">
        <w:rPr>
          <w:color w:val="000000" w:themeColor="text1"/>
          <w:sz w:val="28"/>
          <w:szCs w:val="28"/>
        </w:rPr>
        <w:t xml:space="preserve"> </w:t>
      </w:r>
      <w:r w:rsidR="005C2EDC" w:rsidRPr="00155340">
        <w:rPr>
          <w:color w:val="000000" w:themeColor="text1"/>
          <w:sz w:val="28"/>
          <w:szCs w:val="28"/>
        </w:rPr>
        <w:t xml:space="preserve">rule </w:t>
      </w:r>
      <w:r w:rsidRPr="00155340">
        <w:rPr>
          <w:color w:val="000000" w:themeColor="text1"/>
          <w:sz w:val="28"/>
          <w:szCs w:val="28"/>
        </w:rPr>
        <w:t xml:space="preserve">deficiencies, and </w:t>
      </w:r>
      <w:r w:rsidR="005C2EDC" w:rsidRPr="00155340">
        <w:rPr>
          <w:color w:val="000000" w:themeColor="text1"/>
          <w:sz w:val="28"/>
          <w:szCs w:val="28"/>
        </w:rPr>
        <w:t xml:space="preserve">well-founded </w:t>
      </w:r>
      <w:r w:rsidRPr="00155340">
        <w:rPr>
          <w:color w:val="000000" w:themeColor="text1"/>
          <w:sz w:val="28"/>
          <w:szCs w:val="28"/>
        </w:rPr>
        <w:t>reasons for each of the major provisions of the proposed Rule.</w:t>
      </w:r>
    </w:p>
    <w:p w14:paraId="297660BD" w14:textId="77777777" w:rsidR="00222A61" w:rsidRPr="00155340" w:rsidRDefault="00222A61" w:rsidP="00222A61">
      <w:pPr>
        <w:pStyle w:val="BodyTextIndent"/>
        <w:numPr>
          <w:ilvl w:val="0"/>
          <w:numId w:val="16"/>
        </w:numPr>
        <w:spacing w:line="480" w:lineRule="auto"/>
        <w:jc w:val="both"/>
        <w:rPr>
          <w:color w:val="000000" w:themeColor="text1"/>
          <w:sz w:val="28"/>
          <w:szCs w:val="28"/>
        </w:rPr>
      </w:pPr>
      <w:r w:rsidRPr="00155340">
        <w:rPr>
          <w:b/>
          <w:bCs/>
          <w:color w:val="000000" w:themeColor="text1"/>
          <w:sz w:val="28"/>
          <w:szCs w:val="28"/>
        </w:rPr>
        <w:t xml:space="preserve">Extending Protections Against Discrimination. </w:t>
      </w:r>
      <w:r w:rsidRPr="00155340">
        <w:rPr>
          <w:color w:val="000000" w:themeColor="text1"/>
          <w:sz w:val="28"/>
          <w:szCs w:val="28"/>
        </w:rPr>
        <w:t xml:space="preserve"> </w:t>
      </w:r>
    </w:p>
    <w:p w14:paraId="3D69EAB5" w14:textId="36934B01" w:rsidR="00222A61" w:rsidRPr="00155340" w:rsidRDefault="00222A61" w:rsidP="00222A61">
      <w:pPr>
        <w:pStyle w:val="BodyTextIndent"/>
        <w:spacing w:line="480" w:lineRule="auto"/>
        <w:jc w:val="both"/>
        <w:rPr>
          <w:color w:val="000000" w:themeColor="text1"/>
          <w:sz w:val="28"/>
          <w:szCs w:val="28"/>
        </w:rPr>
      </w:pPr>
      <w:r w:rsidRPr="00155340">
        <w:rPr>
          <w:color w:val="000000" w:themeColor="text1"/>
          <w:sz w:val="28"/>
          <w:szCs w:val="28"/>
        </w:rPr>
        <w:t>First, the Petition would extend the protection against discrimination to the exercise of peremptory challenges made on the basis of race, sex, gender, religion, national origin, ethnicity, disability, age, or sexual orientation – categories of persons already protected against discrimination in the courtroom under the Arizona Code of Judicial Conduct, Canon 2, Rule 2.3(C) of Judicial Conduct.</w:t>
      </w:r>
    </w:p>
    <w:p w14:paraId="235DF680" w14:textId="77777777" w:rsidR="00222A61" w:rsidRPr="00155340" w:rsidRDefault="00222A61" w:rsidP="00155340">
      <w:pPr>
        <w:pStyle w:val="Body"/>
        <w:widowControl w:val="0"/>
        <w:spacing w:line="480" w:lineRule="auto"/>
        <w:ind w:left="720" w:firstLine="720"/>
        <w:jc w:val="both"/>
        <w:rPr>
          <w:b/>
          <w:bCs/>
          <w:color w:val="000000" w:themeColor="text1"/>
          <w:sz w:val="28"/>
          <w:szCs w:val="28"/>
        </w:rPr>
      </w:pPr>
      <w:r w:rsidRPr="00155340">
        <w:rPr>
          <w:b/>
          <w:bCs/>
          <w:color w:val="000000" w:themeColor="text1"/>
          <w:sz w:val="28"/>
          <w:szCs w:val="28"/>
        </w:rPr>
        <w:t xml:space="preserve">2. Elimination of the </w:t>
      </w:r>
      <w:r w:rsidRPr="00155340">
        <w:rPr>
          <w:b/>
          <w:bCs/>
          <w:i/>
          <w:iCs/>
          <w:color w:val="000000" w:themeColor="text1"/>
          <w:sz w:val="28"/>
          <w:szCs w:val="28"/>
        </w:rPr>
        <w:t>Prima Facie</w:t>
      </w:r>
      <w:r w:rsidRPr="00155340">
        <w:rPr>
          <w:b/>
          <w:bCs/>
          <w:color w:val="000000" w:themeColor="text1"/>
          <w:sz w:val="28"/>
          <w:szCs w:val="28"/>
        </w:rPr>
        <w:t xml:space="preserve"> Requirement.</w:t>
      </w:r>
    </w:p>
    <w:p w14:paraId="66C650AF" w14:textId="6677063B"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 xml:space="preserve">Second, the Petition would </w:t>
      </w:r>
      <w:r w:rsidR="00E22946" w:rsidRPr="00155340">
        <w:rPr>
          <w:color w:val="000000" w:themeColor="text1"/>
          <w:sz w:val="28"/>
          <w:szCs w:val="28"/>
        </w:rPr>
        <w:t xml:space="preserve">ease </w:t>
      </w:r>
      <w:r w:rsidRPr="00155340">
        <w:rPr>
          <w:color w:val="000000" w:themeColor="text1"/>
          <w:sz w:val="28"/>
          <w:szCs w:val="28"/>
        </w:rPr>
        <w:t xml:space="preserve">the procedure for objecting to a peremptory challenge by eliminating the requirement that the objecting party make </w:t>
      </w:r>
      <w:proofErr w:type="gramStart"/>
      <w:r w:rsidRPr="00155340">
        <w:rPr>
          <w:color w:val="000000" w:themeColor="text1"/>
          <w:sz w:val="28"/>
          <w:szCs w:val="28"/>
        </w:rPr>
        <w:t xml:space="preserve">a </w:t>
      </w:r>
      <w:r w:rsidRPr="00155340">
        <w:rPr>
          <w:i/>
          <w:iCs/>
          <w:color w:val="000000" w:themeColor="text1"/>
          <w:sz w:val="28"/>
          <w:szCs w:val="28"/>
        </w:rPr>
        <w:t>prima facie</w:t>
      </w:r>
      <w:proofErr w:type="gramEnd"/>
      <w:r w:rsidRPr="00155340">
        <w:rPr>
          <w:color w:val="000000" w:themeColor="text1"/>
          <w:sz w:val="28"/>
          <w:szCs w:val="28"/>
        </w:rPr>
        <w:t xml:space="preserve"> showing of discrimination before an objection can be considered.  Instead, the rule would require only that the objection be made by “simple citation to this rule,” with further discussion conducted outside the presence of the jury panel.</w:t>
      </w:r>
    </w:p>
    <w:p w14:paraId="61122EA7" w14:textId="77BE6AFC" w:rsidR="00222A61" w:rsidRPr="00155340" w:rsidRDefault="00222A61" w:rsidP="00222A61">
      <w:pPr>
        <w:pStyle w:val="Body"/>
        <w:widowControl w:val="0"/>
        <w:spacing w:line="480" w:lineRule="auto"/>
        <w:ind w:firstLine="720"/>
        <w:jc w:val="both"/>
        <w:rPr>
          <w:bCs/>
          <w:color w:val="000000" w:themeColor="text1"/>
          <w:sz w:val="28"/>
          <w:szCs w:val="28"/>
        </w:rPr>
      </w:pPr>
      <w:r w:rsidRPr="00155340">
        <w:rPr>
          <w:bCs/>
          <w:i/>
          <w:iCs/>
          <w:color w:val="000000" w:themeColor="text1"/>
          <w:sz w:val="28"/>
          <w:szCs w:val="28"/>
        </w:rPr>
        <w:t xml:space="preserve">Batson </w:t>
      </w:r>
      <w:r w:rsidRPr="00155340">
        <w:rPr>
          <w:bCs/>
          <w:color w:val="000000" w:themeColor="text1"/>
          <w:sz w:val="28"/>
          <w:szCs w:val="28"/>
        </w:rPr>
        <w:t>was intended “to produce actual answers to suspicions and inferences that discrimination may have infected the jury process.”</w:t>
      </w:r>
      <w:r w:rsidRPr="00155340">
        <w:rPr>
          <w:rStyle w:val="FootnoteReference"/>
          <w:bCs/>
          <w:color w:val="000000" w:themeColor="text1"/>
          <w:sz w:val="28"/>
          <w:szCs w:val="28"/>
        </w:rPr>
        <w:footnoteReference w:id="14"/>
      </w:r>
      <w:r w:rsidRPr="00155340">
        <w:rPr>
          <w:bCs/>
          <w:color w:val="000000" w:themeColor="text1"/>
          <w:sz w:val="28"/>
          <w:szCs w:val="28"/>
        </w:rPr>
        <w:t xml:space="preserve"> Unfortunately, the </w:t>
      </w:r>
      <w:r w:rsidRPr="00155340">
        <w:rPr>
          <w:bCs/>
          <w:i/>
          <w:iCs/>
          <w:color w:val="000000" w:themeColor="text1"/>
          <w:sz w:val="28"/>
          <w:szCs w:val="28"/>
        </w:rPr>
        <w:t>prima facie</w:t>
      </w:r>
      <w:r w:rsidRPr="00155340">
        <w:rPr>
          <w:bCs/>
          <w:color w:val="000000" w:themeColor="text1"/>
          <w:sz w:val="28"/>
          <w:szCs w:val="28"/>
        </w:rPr>
        <w:t xml:space="preserve"> showing of purposeful discrimination required by </w:t>
      </w:r>
      <w:r w:rsidRPr="00155340">
        <w:rPr>
          <w:bCs/>
          <w:i/>
          <w:iCs/>
          <w:color w:val="000000" w:themeColor="text1"/>
          <w:sz w:val="28"/>
          <w:szCs w:val="28"/>
        </w:rPr>
        <w:t>Batson</w:t>
      </w:r>
      <w:r w:rsidRPr="00155340">
        <w:rPr>
          <w:bCs/>
          <w:color w:val="000000" w:themeColor="text1"/>
          <w:sz w:val="28"/>
          <w:szCs w:val="28"/>
        </w:rPr>
        <w:t xml:space="preserve"> has served at times </w:t>
      </w:r>
      <w:r w:rsidR="00E22946" w:rsidRPr="00155340">
        <w:rPr>
          <w:bCs/>
          <w:color w:val="000000" w:themeColor="text1"/>
          <w:sz w:val="28"/>
          <w:szCs w:val="28"/>
        </w:rPr>
        <w:t>as a barrier to</w:t>
      </w:r>
      <w:r w:rsidRPr="00155340">
        <w:rPr>
          <w:bCs/>
          <w:color w:val="000000" w:themeColor="text1"/>
          <w:sz w:val="28"/>
          <w:szCs w:val="28"/>
        </w:rPr>
        <w:t xml:space="preserve"> discussion of meaningful objections to peremptory challenges.  By eliminating the </w:t>
      </w:r>
      <w:r w:rsidRPr="00155340">
        <w:rPr>
          <w:bCs/>
          <w:i/>
          <w:iCs/>
          <w:color w:val="000000" w:themeColor="text1"/>
          <w:sz w:val="28"/>
          <w:szCs w:val="28"/>
        </w:rPr>
        <w:t>prima facie</w:t>
      </w:r>
      <w:r w:rsidRPr="00155340">
        <w:rPr>
          <w:bCs/>
          <w:color w:val="000000" w:themeColor="text1"/>
          <w:sz w:val="28"/>
          <w:szCs w:val="28"/>
        </w:rPr>
        <w:t xml:space="preserve"> requirement, the reasons for all strikes that may be grounded in discrimination will be addressed on the record and an appellate court will always have the benefit of a complete record to review on appeal.</w:t>
      </w:r>
    </w:p>
    <w:p w14:paraId="119497C9" w14:textId="12F03AB2" w:rsidR="00222A61" w:rsidRPr="00155340" w:rsidRDefault="00222A61" w:rsidP="00155340">
      <w:pPr>
        <w:pStyle w:val="Body"/>
        <w:widowControl w:val="0"/>
        <w:spacing w:line="240" w:lineRule="auto"/>
        <w:ind w:left="1800" w:hanging="360"/>
        <w:jc w:val="both"/>
        <w:rPr>
          <w:b/>
          <w:color w:val="000000" w:themeColor="text1"/>
          <w:sz w:val="28"/>
          <w:szCs w:val="28"/>
        </w:rPr>
      </w:pPr>
      <w:r w:rsidRPr="00155340">
        <w:rPr>
          <w:b/>
          <w:color w:val="000000" w:themeColor="text1"/>
          <w:sz w:val="28"/>
          <w:szCs w:val="28"/>
        </w:rPr>
        <w:t xml:space="preserve">3. Modification of the Standard for Determining Discriminatory </w:t>
      </w:r>
      <w:r w:rsidR="003E378F" w:rsidRPr="00155340">
        <w:rPr>
          <w:b/>
          <w:color w:val="000000" w:themeColor="text1"/>
          <w:sz w:val="28"/>
          <w:szCs w:val="28"/>
        </w:rPr>
        <w:t xml:space="preserve">    </w:t>
      </w:r>
      <w:r w:rsidRPr="00155340">
        <w:rPr>
          <w:b/>
          <w:color w:val="000000" w:themeColor="text1"/>
          <w:sz w:val="28"/>
          <w:szCs w:val="28"/>
        </w:rPr>
        <w:t>Intent.</w:t>
      </w:r>
    </w:p>
    <w:p w14:paraId="7A8B29CB" w14:textId="77777777" w:rsidR="003E378F" w:rsidRPr="00155340" w:rsidRDefault="003E378F" w:rsidP="00155340">
      <w:pPr>
        <w:pStyle w:val="Body"/>
        <w:widowControl w:val="0"/>
        <w:spacing w:line="240" w:lineRule="auto"/>
        <w:ind w:left="1440" w:firstLine="0"/>
        <w:jc w:val="both"/>
        <w:rPr>
          <w:b/>
          <w:color w:val="000000" w:themeColor="text1"/>
          <w:sz w:val="28"/>
          <w:szCs w:val="28"/>
        </w:rPr>
      </w:pPr>
    </w:p>
    <w:p w14:paraId="0C8FA8B4" w14:textId="34C86311" w:rsidR="00222A61" w:rsidRPr="00155340" w:rsidRDefault="00222A61" w:rsidP="00222A61">
      <w:pPr>
        <w:pStyle w:val="Body"/>
        <w:widowControl w:val="0"/>
        <w:spacing w:line="480" w:lineRule="auto"/>
        <w:ind w:firstLine="720"/>
        <w:jc w:val="both"/>
        <w:rPr>
          <w:bCs/>
          <w:color w:val="000000" w:themeColor="text1"/>
          <w:sz w:val="28"/>
          <w:szCs w:val="28"/>
        </w:rPr>
      </w:pPr>
      <w:r w:rsidRPr="00155340">
        <w:rPr>
          <w:bCs/>
          <w:color w:val="000000" w:themeColor="text1"/>
          <w:sz w:val="28"/>
          <w:szCs w:val="28"/>
        </w:rPr>
        <w:t xml:space="preserve">The Petition also does away with the main shortcoming of </w:t>
      </w:r>
      <w:r w:rsidRPr="00155340">
        <w:rPr>
          <w:bCs/>
          <w:i/>
          <w:iCs/>
          <w:color w:val="000000" w:themeColor="text1"/>
          <w:sz w:val="28"/>
          <w:szCs w:val="28"/>
        </w:rPr>
        <w:t>Batson</w:t>
      </w:r>
      <w:r w:rsidRPr="00155340">
        <w:rPr>
          <w:bCs/>
          <w:color w:val="000000" w:themeColor="text1"/>
          <w:sz w:val="28"/>
          <w:szCs w:val="28"/>
        </w:rPr>
        <w:t>, the purposeful discrimination requirement where</w:t>
      </w:r>
      <w:r w:rsidR="00002066" w:rsidRPr="00155340">
        <w:rPr>
          <w:bCs/>
          <w:color w:val="000000" w:themeColor="text1"/>
          <w:sz w:val="28"/>
          <w:szCs w:val="28"/>
        </w:rPr>
        <w:t>by</w:t>
      </w:r>
      <w:r w:rsidRPr="00155340">
        <w:rPr>
          <w:bCs/>
          <w:color w:val="000000" w:themeColor="text1"/>
          <w:sz w:val="28"/>
          <w:szCs w:val="28"/>
        </w:rPr>
        <w:t xml:space="preserve">, in order to deny a strike, the judge </w:t>
      </w:r>
      <w:r w:rsidR="00002066" w:rsidRPr="00155340">
        <w:rPr>
          <w:bCs/>
          <w:color w:val="000000" w:themeColor="text1"/>
          <w:sz w:val="28"/>
          <w:szCs w:val="28"/>
        </w:rPr>
        <w:t>must</w:t>
      </w:r>
      <w:r w:rsidRPr="00155340">
        <w:rPr>
          <w:bCs/>
          <w:color w:val="000000" w:themeColor="text1"/>
          <w:sz w:val="28"/>
          <w:szCs w:val="28"/>
        </w:rPr>
        <w:t xml:space="preserve"> make the unpalatable finding that the striking attorney has acted unethically by misleading the court and intentionally violating the constitutional rights of the stricken juror.  In place of the purposeful discrimination requirement, the Petition proposes that the determination of whether a strike may stand </w:t>
      </w:r>
      <w:r w:rsidR="00002066" w:rsidRPr="00155340">
        <w:rPr>
          <w:bCs/>
          <w:color w:val="000000" w:themeColor="text1"/>
          <w:sz w:val="28"/>
          <w:szCs w:val="28"/>
        </w:rPr>
        <w:t xml:space="preserve">instead </w:t>
      </w:r>
      <w:r w:rsidRPr="00155340">
        <w:rPr>
          <w:bCs/>
          <w:color w:val="000000" w:themeColor="text1"/>
          <w:sz w:val="28"/>
          <w:szCs w:val="28"/>
        </w:rPr>
        <w:t>be based upon the following analysis:</w:t>
      </w:r>
    </w:p>
    <w:p w14:paraId="7E47BB15" w14:textId="77777777" w:rsidR="00222A61" w:rsidRPr="00155340" w:rsidRDefault="00222A61" w:rsidP="00222A61">
      <w:pPr>
        <w:spacing w:line="240" w:lineRule="auto"/>
        <w:ind w:left="1440" w:right="1440"/>
        <w:jc w:val="both"/>
        <w:rPr>
          <w:color w:val="000000" w:themeColor="text1"/>
          <w:sz w:val="28"/>
          <w:szCs w:val="28"/>
        </w:rPr>
      </w:pPr>
      <w:r w:rsidRPr="00155340">
        <w:rPr>
          <w:b/>
          <w:bCs/>
          <w:color w:val="000000" w:themeColor="text1"/>
          <w:sz w:val="28"/>
          <w:szCs w:val="28"/>
        </w:rPr>
        <w:t>e) Determination.</w:t>
      </w:r>
      <w:r w:rsidRPr="00155340">
        <w:rPr>
          <w:color w:val="000000" w:themeColor="text1"/>
          <w:sz w:val="28"/>
          <w:szCs w:val="28"/>
        </w:rPr>
        <w:t xml:space="preserve"> The court must then evaluate the reasons given to justify the peremptory challenge or waiver in light of the totality of circumstances. If the court determines that any reasonable person</w:t>
      </w:r>
      <w:r w:rsidRPr="00155340">
        <w:rPr>
          <w:i/>
          <w:color w:val="000000" w:themeColor="text1"/>
          <w:sz w:val="28"/>
          <w:szCs w:val="28"/>
        </w:rPr>
        <w:t xml:space="preserve"> </w:t>
      </w:r>
      <w:r w:rsidRPr="00155340">
        <w:rPr>
          <w:color w:val="000000" w:themeColor="text1"/>
          <w:sz w:val="28"/>
          <w:szCs w:val="28"/>
        </w:rPr>
        <w:t>could view any of</w:t>
      </w:r>
      <w:r w:rsidRPr="00155340">
        <w:rPr>
          <w:i/>
          <w:color w:val="000000" w:themeColor="text1"/>
          <w:sz w:val="28"/>
          <w:szCs w:val="28"/>
        </w:rPr>
        <w:t xml:space="preserve"> </w:t>
      </w:r>
      <w:r w:rsidRPr="00155340">
        <w:rPr>
          <w:color w:val="000000" w:themeColor="text1"/>
          <w:sz w:val="28"/>
          <w:szCs w:val="28"/>
        </w:rPr>
        <w:t xml:space="preserve">race, sex, gender, religion, national origin, ethnicity, disability, age, or sexual orientation, as a conscious or unconscious factor in the </w:t>
      </w:r>
      <w:r w:rsidRPr="00155340">
        <w:rPr>
          <w:iCs/>
          <w:color w:val="000000" w:themeColor="text1"/>
          <w:sz w:val="28"/>
          <w:szCs w:val="28"/>
        </w:rPr>
        <w:t xml:space="preserve">use </w:t>
      </w:r>
      <w:r w:rsidRPr="00155340">
        <w:rPr>
          <w:color w:val="000000" w:themeColor="text1"/>
          <w:sz w:val="28"/>
          <w:szCs w:val="28"/>
        </w:rPr>
        <w:t>or waiver</w:t>
      </w:r>
      <w:r w:rsidRPr="00155340">
        <w:rPr>
          <w:i/>
          <w:color w:val="000000" w:themeColor="text1"/>
          <w:sz w:val="28"/>
          <w:szCs w:val="28"/>
        </w:rPr>
        <w:t xml:space="preserve"> </w:t>
      </w:r>
      <w:r w:rsidRPr="00155340">
        <w:rPr>
          <w:color w:val="000000" w:themeColor="text1"/>
          <w:sz w:val="28"/>
          <w:szCs w:val="28"/>
        </w:rPr>
        <w:t>of a peremptory challenge, then the objection must be sustained, even if other valid reasons are offered. The court need not find purposeful discrimination to sustain the objection. The court must explain its ruling on the record.</w:t>
      </w:r>
    </w:p>
    <w:p w14:paraId="20E10F97" w14:textId="77777777" w:rsidR="00222A61" w:rsidRPr="00155340" w:rsidRDefault="00222A61" w:rsidP="00222A61">
      <w:pPr>
        <w:spacing w:line="240" w:lineRule="auto"/>
        <w:ind w:left="1440" w:right="1440"/>
        <w:jc w:val="both"/>
        <w:rPr>
          <w:color w:val="000000" w:themeColor="text1"/>
          <w:sz w:val="28"/>
          <w:szCs w:val="28"/>
        </w:rPr>
      </w:pPr>
    </w:p>
    <w:p w14:paraId="751FCA2D" w14:textId="77777777" w:rsidR="00222A61" w:rsidRPr="00155340" w:rsidRDefault="00222A61" w:rsidP="00222A61">
      <w:pPr>
        <w:spacing w:line="240" w:lineRule="auto"/>
        <w:ind w:right="1440"/>
        <w:jc w:val="both"/>
        <w:rPr>
          <w:color w:val="000000" w:themeColor="text1"/>
          <w:sz w:val="28"/>
          <w:szCs w:val="28"/>
        </w:rPr>
      </w:pPr>
      <w:r w:rsidRPr="00155340">
        <w:rPr>
          <w:color w:val="000000" w:themeColor="text1"/>
          <w:sz w:val="28"/>
          <w:szCs w:val="28"/>
        </w:rPr>
        <w:t>Petition R-21-0008, Appendix A at 2.</w:t>
      </w:r>
    </w:p>
    <w:p w14:paraId="5F9C14A2" w14:textId="77777777" w:rsidR="00222A61" w:rsidRPr="00155340" w:rsidRDefault="00222A61" w:rsidP="00222A61">
      <w:pPr>
        <w:spacing w:line="240" w:lineRule="auto"/>
        <w:ind w:left="1440" w:right="1440"/>
        <w:jc w:val="both"/>
        <w:rPr>
          <w:color w:val="000000" w:themeColor="text1"/>
          <w:sz w:val="28"/>
          <w:szCs w:val="28"/>
        </w:rPr>
      </w:pPr>
    </w:p>
    <w:p w14:paraId="01D08776" w14:textId="068D4FE8" w:rsidR="00222A61" w:rsidRPr="00155340" w:rsidRDefault="00222A61" w:rsidP="00222A61">
      <w:pPr>
        <w:pStyle w:val="Body"/>
        <w:widowControl w:val="0"/>
        <w:spacing w:line="480" w:lineRule="auto"/>
        <w:ind w:firstLine="720"/>
        <w:jc w:val="both"/>
        <w:rPr>
          <w:bCs/>
          <w:color w:val="000000" w:themeColor="text1"/>
          <w:sz w:val="28"/>
          <w:szCs w:val="28"/>
        </w:rPr>
      </w:pPr>
      <w:r w:rsidRPr="00155340">
        <w:rPr>
          <w:bCs/>
          <w:color w:val="000000" w:themeColor="text1"/>
          <w:sz w:val="28"/>
          <w:szCs w:val="28"/>
        </w:rPr>
        <w:t xml:space="preserve">In essence, the judge’s analysis is: </w:t>
      </w:r>
      <w:r w:rsidR="005307D7" w:rsidRPr="00155340">
        <w:rPr>
          <w:bCs/>
          <w:color w:val="000000" w:themeColor="text1"/>
          <w:sz w:val="28"/>
          <w:szCs w:val="28"/>
        </w:rPr>
        <w:t>I</w:t>
      </w:r>
      <w:r w:rsidRPr="00155340">
        <w:rPr>
          <w:bCs/>
          <w:color w:val="000000" w:themeColor="text1"/>
          <w:sz w:val="28"/>
          <w:szCs w:val="28"/>
        </w:rPr>
        <w:t>f, under the totality of the circumstances, any reasonable person could view the strike as based on conscious or unconscious discrimination against a protected class, the peremptory will be disallowed.</w:t>
      </w:r>
    </w:p>
    <w:p w14:paraId="37E96FF7" w14:textId="763F2AC1" w:rsidR="00222A61" w:rsidRPr="00155340" w:rsidRDefault="00222A61" w:rsidP="00222A61">
      <w:pPr>
        <w:pStyle w:val="Body"/>
        <w:widowControl w:val="0"/>
        <w:spacing w:line="480" w:lineRule="auto"/>
        <w:ind w:firstLine="720"/>
        <w:jc w:val="both"/>
        <w:rPr>
          <w:bCs/>
          <w:color w:val="000000" w:themeColor="text1"/>
          <w:sz w:val="28"/>
          <w:szCs w:val="28"/>
        </w:rPr>
      </w:pPr>
      <w:r w:rsidRPr="00155340">
        <w:rPr>
          <w:bCs/>
          <w:color w:val="000000" w:themeColor="text1"/>
          <w:sz w:val="28"/>
          <w:szCs w:val="28"/>
        </w:rPr>
        <w:t xml:space="preserve">The proposed procedure improves on the </w:t>
      </w:r>
      <w:r w:rsidRPr="00155340">
        <w:rPr>
          <w:bCs/>
          <w:i/>
          <w:iCs/>
          <w:color w:val="000000" w:themeColor="text1"/>
          <w:sz w:val="28"/>
          <w:szCs w:val="28"/>
        </w:rPr>
        <w:t>Batson</w:t>
      </w:r>
      <w:r w:rsidRPr="00155340">
        <w:rPr>
          <w:bCs/>
          <w:color w:val="000000" w:themeColor="text1"/>
          <w:sz w:val="28"/>
          <w:szCs w:val="28"/>
        </w:rPr>
        <w:t xml:space="preserve"> process because the “reasonable person” standard in step three – coupled with the inclusion of the possible existence of unconscious bias – softens the accusation of discrimination underlying the objection and recognizes that discrimination does not have to be overt and intentional and can arise from implicit biases.  Under this procedure, a judge may deny the strike without the unspoken determination that the striking attorney has knowingly engaged in discrimination and then intentionally misled the court by offering a pretextual reason for the strike.</w:t>
      </w:r>
    </w:p>
    <w:p w14:paraId="1179361F" w14:textId="77777777"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 xml:space="preserve">The concept of unconscious discrimination is hardly new.  Justice Marshall addressed it 35 years ago in his concurring opinion in </w:t>
      </w:r>
      <w:r w:rsidRPr="00155340">
        <w:rPr>
          <w:i/>
          <w:iCs/>
          <w:color w:val="000000" w:themeColor="text1"/>
          <w:sz w:val="28"/>
          <w:szCs w:val="28"/>
        </w:rPr>
        <w:t>Batson</w:t>
      </w:r>
      <w:r w:rsidRPr="00155340">
        <w:rPr>
          <w:color w:val="000000" w:themeColor="text1"/>
          <w:sz w:val="28"/>
          <w:szCs w:val="28"/>
        </w:rPr>
        <w:t xml:space="preserve"> when he noted that an individual’s unconscious racism may lead him to conclusions that would not have come to mind if the prospective juror was of a different color.</w:t>
      </w:r>
      <w:r w:rsidRPr="00155340">
        <w:rPr>
          <w:rStyle w:val="FootnoteReference"/>
          <w:color w:val="000000" w:themeColor="text1"/>
          <w:sz w:val="28"/>
          <w:szCs w:val="28"/>
        </w:rPr>
        <w:footnoteReference w:id="15"/>
      </w:r>
      <w:r w:rsidRPr="00155340">
        <w:rPr>
          <w:color w:val="000000" w:themeColor="text1"/>
          <w:sz w:val="28"/>
          <w:szCs w:val="28"/>
        </w:rPr>
        <w:t xml:space="preserve"> </w:t>
      </w:r>
    </w:p>
    <w:p w14:paraId="721DF024" w14:textId="6BCBA058" w:rsidR="00222A61" w:rsidRPr="00155340" w:rsidRDefault="00222A61" w:rsidP="00222A61">
      <w:pPr>
        <w:pStyle w:val="Body"/>
        <w:widowControl w:val="0"/>
        <w:spacing w:line="480" w:lineRule="auto"/>
        <w:ind w:firstLine="720"/>
        <w:jc w:val="both"/>
        <w:rPr>
          <w:bCs/>
          <w:color w:val="000000" w:themeColor="text1"/>
          <w:sz w:val="28"/>
          <w:szCs w:val="28"/>
        </w:rPr>
      </w:pPr>
      <w:r w:rsidRPr="00155340">
        <w:rPr>
          <w:bCs/>
          <w:color w:val="000000" w:themeColor="text1"/>
          <w:sz w:val="28"/>
          <w:szCs w:val="28"/>
        </w:rPr>
        <w:t>The standards provided for in the proposed rule are familiar and workable.  The “totality of the circumstances” test is used to determine whether parental rights should be terminated</w:t>
      </w:r>
      <w:r w:rsidRPr="00155340">
        <w:rPr>
          <w:rStyle w:val="FootnoteReference"/>
          <w:bCs/>
          <w:color w:val="000000" w:themeColor="text1"/>
          <w:sz w:val="28"/>
          <w:szCs w:val="28"/>
        </w:rPr>
        <w:footnoteReference w:id="16"/>
      </w:r>
      <w:r w:rsidRPr="00155340">
        <w:rPr>
          <w:bCs/>
          <w:color w:val="000000" w:themeColor="text1"/>
          <w:sz w:val="28"/>
          <w:szCs w:val="28"/>
        </w:rPr>
        <w:t xml:space="preserve"> and whether error in a criminal case may be considered fundamental.</w:t>
      </w:r>
      <w:r w:rsidRPr="00155340">
        <w:rPr>
          <w:rStyle w:val="FootnoteReference"/>
          <w:bCs/>
          <w:color w:val="000000" w:themeColor="text1"/>
          <w:sz w:val="28"/>
          <w:szCs w:val="28"/>
        </w:rPr>
        <w:footnoteReference w:id="17"/>
      </w:r>
      <w:r w:rsidRPr="00155340">
        <w:rPr>
          <w:bCs/>
          <w:color w:val="000000" w:themeColor="text1"/>
          <w:sz w:val="28"/>
          <w:szCs w:val="28"/>
        </w:rPr>
        <w:t xml:space="preserve">  The “reasonable person” standard is applied in many contexts.</w:t>
      </w:r>
      <w:r w:rsidRPr="00155340">
        <w:rPr>
          <w:rStyle w:val="FootnoteReference"/>
          <w:bCs/>
          <w:color w:val="000000" w:themeColor="text1"/>
          <w:sz w:val="28"/>
          <w:szCs w:val="28"/>
        </w:rPr>
        <w:footnoteReference w:id="18"/>
      </w:r>
      <w:r w:rsidRPr="00155340">
        <w:rPr>
          <w:bCs/>
          <w:color w:val="000000" w:themeColor="text1"/>
          <w:sz w:val="28"/>
          <w:szCs w:val="28"/>
        </w:rPr>
        <w:t xml:space="preserve">  </w:t>
      </w:r>
      <w:r w:rsidR="005307D7" w:rsidRPr="00155340">
        <w:rPr>
          <w:bCs/>
          <w:color w:val="000000" w:themeColor="text1"/>
          <w:sz w:val="28"/>
          <w:szCs w:val="28"/>
        </w:rPr>
        <w:t>Likewise, t</w:t>
      </w:r>
      <w:r w:rsidRPr="00155340">
        <w:rPr>
          <w:bCs/>
          <w:color w:val="000000" w:themeColor="text1"/>
          <w:sz w:val="28"/>
          <w:szCs w:val="28"/>
        </w:rPr>
        <w:t>he “could” standard is workable</w:t>
      </w:r>
      <w:r w:rsidR="005307D7" w:rsidRPr="00155340">
        <w:rPr>
          <w:bCs/>
          <w:color w:val="000000" w:themeColor="text1"/>
          <w:sz w:val="28"/>
          <w:szCs w:val="28"/>
        </w:rPr>
        <w:t xml:space="preserve"> and in use</w:t>
      </w:r>
      <w:r w:rsidR="00F14E66" w:rsidRPr="00155340">
        <w:rPr>
          <w:bCs/>
          <w:color w:val="000000" w:themeColor="text1"/>
          <w:sz w:val="28"/>
          <w:szCs w:val="28"/>
        </w:rPr>
        <w:t xml:space="preserve">, </w:t>
      </w:r>
      <w:r w:rsidRPr="00155340">
        <w:rPr>
          <w:bCs/>
          <w:color w:val="000000" w:themeColor="text1"/>
          <w:sz w:val="28"/>
          <w:szCs w:val="28"/>
        </w:rPr>
        <w:t>applied in Arizona in cases involving both juror and prosecutorial misconduct.  In juror misconduct cases, prejudice is presumed where there is a reasonable possibility that the misconduct “could” have affected the verdict.</w:t>
      </w:r>
      <w:r w:rsidRPr="00155340">
        <w:rPr>
          <w:rStyle w:val="FootnoteReference"/>
          <w:bCs/>
          <w:color w:val="000000" w:themeColor="text1"/>
          <w:sz w:val="28"/>
          <w:szCs w:val="28"/>
        </w:rPr>
        <w:footnoteReference w:id="19"/>
      </w:r>
      <w:r w:rsidRPr="00155340">
        <w:rPr>
          <w:bCs/>
          <w:color w:val="000000" w:themeColor="text1"/>
          <w:sz w:val="28"/>
          <w:szCs w:val="28"/>
        </w:rPr>
        <w:t xml:space="preserve">  In prosecutorial misconduct cases, the reviewing court determines whether a reasonable likelihood exists that misconduct “could” have affected the jury’s verdict.</w:t>
      </w:r>
      <w:r w:rsidRPr="00155340">
        <w:rPr>
          <w:rStyle w:val="FootnoteReference"/>
          <w:bCs/>
          <w:color w:val="000000" w:themeColor="text1"/>
          <w:sz w:val="28"/>
          <w:szCs w:val="28"/>
        </w:rPr>
        <w:footnoteReference w:id="20"/>
      </w:r>
      <w:r w:rsidRPr="00155340">
        <w:rPr>
          <w:bCs/>
          <w:color w:val="000000" w:themeColor="text1"/>
          <w:sz w:val="28"/>
          <w:szCs w:val="28"/>
        </w:rPr>
        <w:t xml:space="preserve"> </w:t>
      </w:r>
    </w:p>
    <w:p w14:paraId="01928DB8" w14:textId="77777777" w:rsidR="00222A61" w:rsidRPr="00155340" w:rsidRDefault="00222A61" w:rsidP="00155340">
      <w:pPr>
        <w:pStyle w:val="Body"/>
        <w:widowControl w:val="0"/>
        <w:spacing w:line="480" w:lineRule="auto"/>
        <w:ind w:left="720" w:firstLine="720"/>
        <w:jc w:val="both"/>
        <w:rPr>
          <w:bCs/>
          <w:color w:val="000000" w:themeColor="text1"/>
          <w:sz w:val="28"/>
          <w:szCs w:val="28"/>
        </w:rPr>
      </w:pPr>
      <w:r w:rsidRPr="00155340">
        <w:rPr>
          <w:b/>
          <w:color w:val="000000" w:themeColor="text1"/>
          <w:sz w:val="28"/>
          <w:szCs w:val="28"/>
        </w:rPr>
        <w:t>4. Consideration of Relevant Circumstances.</w:t>
      </w:r>
      <w:r w:rsidRPr="00155340">
        <w:rPr>
          <w:bCs/>
          <w:color w:val="000000" w:themeColor="text1"/>
          <w:sz w:val="28"/>
          <w:szCs w:val="28"/>
        </w:rPr>
        <w:t xml:space="preserve">  </w:t>
      </w:r>
    </w:p>
    <w:p w14:paraId="09426BFF" w14:textId="7BCD80B1" w:rsidR="007046C5"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I</w:t>
      </w:r>
      <w:r w:rsidRPr="00155340">
        <w:rPr>
          <w:bCs/>
          <w:color w:val="000000" w:themeColor="text1"/>
          <w:sz w:val="28"/>
          <w:szCs w:val="28"/>
        </w:rPr>
        <w:t xml:space="preserve">t has been recognized since day one that the party challenging the strike </w:t>
      </w:r>
      <w:r w:rsidRPr="00155340">
        <w:rPr>
          <w:color w:val="000000" w:themeColor="text1"/>
          <w:sz w:val="28"/>
          <w:szCs w:val="28"/>
        </w:rPr>
        <w:t>may rely on “any . . . relevant circumstances” and “a combination of factors” to establish a claim of discrimination.  Judges should consider “all relevant circumstances” when deciding whether discrimination has been shown.</w:t>
      </w:r>
      <w:r w:rsidRPr="00155340">
        <w:rPr>
          <w:rStyle w:val="FootnoteReference"/>
          <w:color w:val="000000" w:themeColor="text1"/>
          <w:sz w:val="28"/>
          <w:szCs w:val="28"/>
        </w:rPr>
        <w:footnoteReference w:id="21"/>
      </w:r>
      <w:r w:rsidRPr="00155340">
        <w:rPr>
          <w:color w:val="000000" w:themeColor="text1"/>
          <w:sz w:val="28"/>
          <w:szCs w:val="28"/>
        </w:rPr>
        <w:t xml:space="preserve">  In light of this, the proposed Rule outlin</w:t>
      </w:r>
      <w:r w:rsidR="00AE2C76" w:rsidRPr="00155340">
        <w:rPr>
          <w:color w:val="000000" w:themeColor="text1"/>
          <w:sz w:val="28"/>
          <w:szCs w:val="28"/>
        </w:rPr>
        <w:t>es</w:t>
      </w:r>
      <w:r w:rsidRPr="00155340">
        <w:rPr>
          <w:color w:val="000000" w:themeColor="text1"/>
          <w:sz w:val="28"/>
          <w:szCs w:val="28"/>
        </w:rPr>
        <w:t xml:space="preserve"> circumstances a judge may consider in making that determination.  </w:t>
      </w:r>
    </w:p>
    <w:p w14:paraId="6E536A0A" w14:textId="15CF0994"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 xml:space="preserve">The circumstances listed for consideration derive from case law and are intended to provide guidance to the judge in determining whether discrimination may be a motivating factor in the removal of the prospective juror.  For example, </w:t>
      </w:r>
      <w:r w:rsidRPr="00155340">
        <w:rPr>
          <w:bCs/>
          <w:color w:val="000000" w:themeColor="text1"/>
          <w:sz w:val="28"/>
          <w:szCs w:val="28"/>
        </w:rPr>
        <w:t xml:space="preserve">“questions and statements during </w:t>
      </w:r>
      <w:proofErr w:type="spellStart"/>
      <w:r w:rsidRPr="00155340">
        <w:rPr>
          <w:bCs/>
          <w:i/>
          <w:iCs/>
          <w:color w:val="000000" w:themeColor="text1"/>
          <w:sz w:val="28"/>
          <w:szCs w:val="28"/>
        </w:rPr>
        <w:t>voir</w:t>
      </w:r>
      <w:proofErr w:type="spellEnd"/>
      <w:r w:rsidRPr="00155340">
        <w:rPr>
          <w:bCs/>
          <w:i/>
          <w:iCs/>
          <w:color w:val="000000" w:themeColor="text1"/>
          <w:sz w:val="28"/>
          <w:szCs w:val="28"/>
        </w:rPr>
        <w:t xml:space="preserve"> dire </w:t>
      </w:r>
      <w:r w:rsidRPr="00155340">
        <w:rPr>
          <w:bCs/>
          <w:color w:val="000000" w:themeColor="text1"/>
          <w:sz w:val="28"/>
          <w:szCs w:val="28"/>
        </w:rPr>
        <w:t>. . . may support or refute an inference of discriminatory purpose.”</w:t>
      </w:r>
      <w:r w:rsidRPr="00155340">
        <w:rPr>
          <w:rStyle w:val="FootnoteReference"/>
          <w:bCs/>
          <w:color w:val="000000" w:themeColor="text1"/>
          <w:sz w:val="28"/>
          <w:szCs w:val="28"/>
        </w:rPr>
        <w:footnoteReference w:id="22"/>
      </w:r>
      <w:r w:rsidRPr="00155340">
        <w:rPr>
          <w:color w:val="000000" w:themeColor="text1"/>
          <w:sz w:val="28"/>
          <w:szCs w:val="28"/>
        </w:rPr>
        <w:t xml:space="preserve"> </w:t>
      </w:r>
      <w:r w:rsidR="00AE2C76" w:rsidRPr="00155340">
        <w:rPr>
          <w:color w:val="000000" w:themeColor="text1"/>
          <w:sz w:val="28"/>
          <w:szCs w:val="28"/>
        </w:rPr>
        <w:t xml:space="preserve"> </w:t>
      </w:r>
      <w:r w:rsidRPr="00155340">
        <w:rPr>
          <w:color w:val="000000" w:themeColor="text1"/>
          <w:sz w:val="28"/>
          <w:szCs w:val="28"/>
        </w:rPr>
        <w:t>Further, comparisons between challenged jurors and similarly situated, unchallenged jurors can be probative of whether a peremptory challenge is rooted in discrimination.</w:t>
      </w:r>
      <w:r w:rsidRPr="00155340">
        <w:rPr>
          <w:rStyle w:val="FootnoteReference"/>
          <w:color w:val="000000" w:themeColor="text1"/>
          <w:sz w:val="28"/>
          <w:szCs w:val="28"/>
        </w:rPr>
        <w:footnoteReference w:id="23"/>
      </w:r>
      <w:r w:rsidRPr="00155340">
        <w:rPr>
          <w:color w:val="000000" w:themeColor="text1"/>
          <w:sz w:val="28"/>
          <w:szCs w:val="28"/>
        </w:rPr>
        <w:t xml:space="preserve">  In addition, discrimination may be discovered by analyzing “the contrasting </w:t>
      </w:r>
      <w:proofErr w:type="spellStart"/>
      <w:r w:rsidRPr="00155340">
        <w:rPr>
          <w:i/>
          <w:iCs/>
          <w:color w:val="000000" w:themeColor="text1"/>
          <w:sz w:val="28"/>
          <w:szCs w:val="28"/>
        </w:rPr>
        <w:t>voir</w:t>
      </w:r>
      <w:proofErr w:type="spellEnd"/>
      <w:r w:rsidRPr="00155340">
        <w:rPr>
          <w:i/>
          <w:iCs/>
          <w:color w:val="000000" w:themeColor="text1"/>
          <w:sz w:val="28"/>
          <w:szCs w:val="28"/>
        </w:rPr>
        <w:t xml:space="preserve"> dire</w:t>
      </w:r>
      <w:r w:rsidRPr="00155340">
        <w:rPr>
          <w:color w:val="000000" w:themeColor="text1"/>
          <w:sz w:val="28"/>
          <w:szCs w:val="28"/>
        </w:rPr>
        <w:t xml:space="preserve"> questions posed respectively to black and nonblack panel members” of the venire.</w:t>
      </w:r>
      <w:r w:rsidRPr="00155340">
        <w:rPr>
          <w:rStyle w:val="FootnoteReference"/>
          <w:color w:val="000000" w:themeColor="text1"/>
          <w:sz w:val="28"/>
          <w:szCs w:val="28"/>
        </w:rPr>
        <w:footnoteReference w:id="24"/>
      </w:r>
      <w:r w:rsidRPr="00155340">
        <w:rPr>
          <w:color w:val="000000" w:themeColor="text1"/>
          <w:sz w:val="28"/>
          <w:szCs w:val="28"/>
        </w:rPr>
        <w:t xml:space="preserve"> Courts have even taken into account the relevant history of the striking party to determine discriminatory intent.</w:t>
      </w:r>
      <w:r w:rsidRPr="00155340">
        <w:rPr>
          <w:rStyle w:val="FootnoteReference"/>
          <w:color w:val="000000" w:themeColor="text1"/>
          <w:sz w:val="28"/>
          <w:szCs w:val="28"/>
        </w:rPr>
        <w:footnoteReference w:id="25"/>
      </w:r>
      <w:r w:rsidRPr="00155340">
        <w:rPr>
          <w:color w:val="000000" w:themeColor="text1"/>
          <w:sz w:val="28"/>
          <w:szCs w:val="28"/>
        </w:rPr>
        <w:t xml:space="preserve">  </w:t>
      </w:r>
    </w:p>
    <w:p w14:paraId="1117E332" w14:textId="6FD8FC6E"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 xml:space="preserve">Essentially, the circumstances set forth in the </w:t>
      </w:r>
      <w:r w:rsidR="005307D7" w:rsidRPr="00155340">
        <w:rPr>
          <w:color w:val="000000" w:themeColor="text1"/>
          <w:sz w:val="28"/>
          <w:szCs w:val="28"/>
        </w:rPr>
        <w:t xml:space="preserve">proposed </w:t>
      </w:r>
      <w:r w:rsidRPr="00155340">
        <w:rPr>
          <w:color w:val="000000" w:themeColor="text1"/>
          <w:sz w:val="28"/>
          <w:szCs w:val="28"/>
        </w:rPr>
        <w:t xml:space="preserve">rule highlight relevant considerations that are already recognized in the law.  Inclusion of the circumstances will aid judges and lawyers by providing a head-start in determining what factors may be relevant to </w:t>
      </w:r>
      <w:r w:rsidR="007046C5" w:rsidRPr="00155340">
        <w:rPr>
          <w:color w:val="000000" w:themeColor="text1"/>
          <w:sz w:val="28"/>
          <w:szCs w:val="28"/>
        </w:rPr>
        <w:t>evaluating</w:t>
      </w:r>
      <w:r w:rsidRPr="00155340">
        <w:rPr>
          <w:color w:val="000000" w:themeColor="text1"/>
          <w:sz w:val="28"/>
          <w:szCs w:val="28"/>
        </w:rPr>
        <w:t xml:space="preserve"> discriminatory intent.</w:t>
      </w:r>
    </w:p>
    <w:p w14:paraId="5C73A0D9" w14:textId="77777777"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The test set forth in the Petition for determining whether discrimination was a factor in striking a juror requires a judge to have a high degree of confidence before a peremptory strike is permitted to stand.</w:t>
      </w:r>
    </w:p>
    <w:p w14:paraId="5AEE7AB3" w14:textId="77777777" w:rsidR="00222A61" w:rsidRPr="00155340" w:rsidRDefault="00222A61" w:rsidP="00155340">
      <w:pPr>
        <w:pStyle w:val="Body"/>
        <w:widowControl w:val="0"/>
        <w:spacing w:line="480" w:lineRule="auto"/>
        <w:ind w:left="720" w:firstLine="720"/>
        <w:jc w:val="both"/>
        <w:rPr>
          <w:b/>
          <w:bCs/>
          <w:color w:val="000000" w:themeColor="text1"/>
          <w:sz w:val="28"/>
          <w:szCs w:val="28"/>
        </w:rPr>
      </w:pPr>
      <w:r w:rsidRPr="00155340">
        <w:rPr>
          <w:b/>
          <w:bCs/>
          <w:color w:val="000000" w:themeColor="text1"/>
          <w:sz w:val="28"/>
          <w:szCs w:val="28"/>
        </w:rPr>
        <w:t>5. Reasons Presumptively Invalid.</w:t>
      </w:r>
    </w:p>
    <w:p w14:paraId="09E60504" w14:textId="5BDA6D98"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The proposed rule sets forth six reasons that render peremptory strikes presumptively invalid.  The Petition explains that these reasons have historically been associated with improper discrimination in jury selection.</w:t>
      </w:r>
      <w:r w:rsidRPr="00155340">
        <w:rPr>
          <w:rStyle w:val="FootnoteReference"/>
          <w:color w:val="000000" w:themeColor="text1"/>
          <w:sz w:val="28"/>
          <w:szCs w:val="28"/>
        </w:rPr>
        <w:footnoteReference w:id="26"/>
      </w:r>
      <w:r w:rsidRPr="00155340">
        <w:rPr>
          <w:color w:val="000000" w:themeColor="text1"/>
          <w:sz w:val="28"/>
          <w:szCs w:val="28"/>
        </w:rPr>
        <w:t xml:space="preserve">  Importantly, unlike Washington General Rule 37, the proposed rule does not prohibit these reasons altogether, but establishes a rebuttable presumption of invalidity, and provides the striking party an opportunity to show, by clear and convincing evidence, that the strike is unrelated to race, sex, gender, religion, national origin, ethnicity, disability, age, or sexual orientation.</w:t>
      </w:r>
    </w:p>
    <w:p w14:paraId="585B11B7" w14:textId="77777777" w:rsidR="00222A61" w:rsidRPr="00155340" w:rsidRDefault="00222A61" w:rsidP="00155340">
      <w:pPr>
        <w:pStyle w:val="Body"/>
        <w:widowControl w:val="0"/>
        <w:spacing w:line="480" w:lineRule="auto"/>
        <w:ind w:left="720" w:firstLine="720"/>
        <w:jc w:val="both"/>
        <w:rPr>
          <w:b/>
          <w:bCs/>
          <w:color w:val="000000" w:themeColor="text1"/>
          <w:sz w:val="28"/>
          <w:szCs w:val="28"/>
        </w:rPr>
      </w:pPr>
      <w:r w:rsidRPr="00155340">
        <w:rPr>
          <w:b/>
          <w:bCs/>
          <w:color w:val="000000" w:themeColor="text1"/>
          <w:sz w:val="28"/>
          <w:szCs w:val="28"/>
        </w:rPr>
        <w:t>6. Reliance on Conduct.</w:t>
      </w:r>
    </w:p>
    <w:p w14:paraId="40DBBFD5" w14:textId="7AFDB7A6" w:rsidR="007046C5"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 xml:space="preserve">Prospective jurors are often stricken based on unverifiable assertions about demeanor or behavior.  The most recent example of this is found in </w:t>
      </w:r>
      <w:r w:rsidRPr="00155340">
        <w:rPr>
          <w:i/>
          <w:iCs/>
          <w:color w:val="000000" w:themeColor="text1"/>
          <w:sz w:val="28"/>
          <w:szCs w:val="28"/>
        </w:rPr>
        <w:t>State v. Ross</w:t>
      </w:r>
      <w:r w:rsidR="00AE2C76" w:rsidRPr="00155340">
        <w:rPr>
          <w:color w:val="000000" w:themeColor="text1"/>
          <w:sz w:val="28"/>
          <w:szCs w:val="28"/>
        </w:rPr>
        <w:t>,</w:t>
      </w:r>
      <w:r w:rsidRPr="00155340">
        <w:rPr>
          <w:rStyle w:val="FootnoteReference"/>
          <w:color w:val="000000" w:themeColor="text1"/>
          <w:sz w:val="28"/>
          <w:szCs w:val="28"/>
        </w:rPr>
        <w:footnoteReference w:id="27"/>
      </w:r>
      <w:r w:rsidRPr="00155340">
        <w:rPr>
          <w:color w:val="000000" w:themeColor="text1"/>
          <w:sz w:val="28"/>
          <w:szCs w:val="28"/>
        </w:rPr>
        <w:t xml:space="preserve"> where the only African-American </w:t>
      </w:r>
      <w:r w:rsidR="00AE2C76">
        <w:rPr>
          <w:color w:val="000000" w:themeColor="text1"/>
          <w:sz w:val="28"/>
          <w:szCs w:val="28"/>
        </w:rPr>
        <w:t xml:space="preserve">individual </w:t>
      </w:r>
      <w:r w:rsidRPr="00155340">
        <w:rPr>
          <w:color w:val="000000" w:themeColor="text1"/>
          <w:sz w:val="28"/>
          <w:szCs w:val="28"/>
        </w:rPr>
        <w:t>was removed from the venire as the result of an unverifiable claim that he entered the courtroom, “blessed” the defendant, and either said “good luck” or nodded “good luck” to the defendant.</w:t>
      </w:r>
      <w:r w:rsidRPr="00155340">
        <w:rPr>
          <w:rStyle w:val="FootnoteReference"/>
          <w:color w:val="000000" w:themeColor="text1"/>
          <w:sz w:val="28"/>
          <w:szCs w:val="28"/>
        </w:rPr>
        <w:footnoteReference w:id="28"/>
      </w:r>
      <w:r w:rsidRPr="00155340">
        <w:rPr>
          <w:color w:val="000000" w:themeColor="text1"/>
          <w:sz w:val="28"/>
          <w:szCs w:val="28"/>
        </w:rPr>
        <w:t xml:space="preserve">  No one else saw this happen.  </w:t>
      </w:r>
    </w:p>
    <w:p w14:paraId="3E345690" w14:textId="65AB4140" w:rsidR="00222A61" w:rsidRPr="00155340" w:rsidRDefault="00222A61" w:rsidP="00AE2C76">
      <w:pPr>
        <w:pStyle w:val="Body"/>
        <w:widowControl w:val="0"/>
        <w:spacing w:line="480" w:lineRule="auto"/>
        <w:ind w:firstLine="720"/>
        <w:jc w:val="both"/>
        <w:rPr>
          <w:color w:val="000000" w:themeColor="text1"/>
          <w:sz w:val="28"/>
          <w:szCs w:val="28"/>
        </w:rPr>
      </w:pPr>
      <w:r w:rsidRPr="00155340">
        <w:rPr>
          <w:color w:val="000000" w:themeColor="text1"/>
          <w:sz w:val="28"/>
          <w:szCs w:val="28"/>
        </w:rPr>
        <w:t xml:space="preserve">Instead of moving to strike the prospective juror for cause or, alternatively, questioning the prospective juror about his conduct during </w:t>
      </w:r>
      <w:proofErr w:type="spellStart"/>
      <w:r w:rsidRPr="00155340">
        <w:rPr>
          <w:i/>
          <w:iCs/>
          <w:color w:val="000000" w:themeColor="text1"/>
          <w:sz w:val="28"/>
          <w:szCs w:val="28"/>
        </w:rPr>
        <w:t>voir</w:t>
      </w:r>
      <w:proofErr w:type="spellEnd"/>
      <w:r w:rsidRPr="00155340">
        <w:rPr>
          <w:i/>
          <w:iCs/>
          <w:color w:val="000000" w:themeColor="text1"/>
          <w:sz w:val="28"/>
          <w:szCs w:val="28"/>
        </w:rPr>
        <w:t xml:space="preserve"> dire</w:t>
      </w:r>
      <w:r w:rsidRPr="00155340">
        <w:rPr>
          <w:color w:val="000000" w:themeColor="text1"/>
          <w:sz w:val="28"/>
          <w:szCs w:val="28"/>
        </w:rPr>
        <w:t xml:space="preserve">, the prosecutor first mentioned the behavior when providing a reason for the exercise of a peremptory strike following a </w:t>
      </w:r>
      <w:r w:rsidRPr="00155340">
        <w:rPr>
          <w:i/>
          <w:iCs/>
          <w:color w:val="000000" w:themeColor="text1"/>
          <w:sz w:val="28"/>
          <w:szCs w:val="28"/>
        </w:rPr>
        <w:t>Batson</w:t>
      </w:r>
      <w:r w:rsidRPr="00155340">
        <w:rPr>
          <w:color w:val="000000" w:themeColor="text1"/>
          <w:sz w:val="28"/>
          <w:szCs w:val="28"/>
        </w:rPr>
        <w:t xml:space="preserve"> objection.</w:t>
      </w:r>
      <w:r w:rsidRPr="00155340">
        <w:rPr>
          <w:rStyle w:val="FootnoteReference"/>
          <w:color w:val="000000" w:themeColor="text1"/>
          <w:sz w:val="28"/>
          <w:szCs w:val="28"/>
        </w:rPr>
        <w:footnoteReference w:id="29"/>
      </w:r>
      <w:r w:rsidR="007046C5" w:rsidRPr="00155340">
        <w:rPr>
          <w:color w:val="000000" w:themeColor="text1"/>
          <w:sz w:val="28"/>
          <w:szCs w:val="28"/>
        </w:rPr>
        <w:t xml:space="preserve"> </w:t>
      </w:r>
      <w:r w:rsidRPr="00155340">
        <w:rPr>
          <w:color w:val="000000" w:themeColor="text1"/>
          <w:sz w:val="28"/>
          <w:szCs w:val="28"/>
        </w:rPr>
        <w:t xml:space="preserve">On the basis of the prosecutor’s avowal, the Judge let the strike stand.  On appeal, a divided Court </w:t>
      </w:r>
      <w:r w:rsidR="00AE2C76">
        <w:rPr>
          <w:color w:val="000000" w:themeColor="text1"/>
          <w:sz w:val="28"/>
          <w:szCs w:val="28"/>
        </w:rPr>
        <w:t xml:space="preserve">of Appeals </w:t>
      </w:r>
      <w:r w:rsidRPr="00155340">
        <w:rPr>
          <w:color w:val="000000" w:themeColor="text1"/>
          <w:sz w:val="28"/>
          <w:szCs w:val="28"/>
        </w:rPr>
        <w:t xml:space="preserve">reversed and ruled that upholding a peremptory strike in the context of a </w:t>
      </w:r>
      <w:r w:rsidRPr="00155340">
        <w:rPr>
          <w:i/>
          <w:iCs/>
          <w:color w:val="000000" w:themeColor="text1"/>
          <w:sz w:val="28"/>
          <w:szCs w:val="28"/>
        </w:rPr>
        <w:t>Batson</w:t>
      </w:r>
      <w:r w:rsidRPr="00155340">
        <w:rPr>
          <w:color w:val="000000" w:themeColor="text1"/>
          <w:sz w:val="28"/>
          <w:szCs w:val="28"/>
        </w:rPr>
        <w:t xml:space="preserve"> objection requires evidence in support of the reason given for the strike and that an avowal by counsel is not evidence.</w:t>
      </w:r>
      <w:r w:rsidRPr="00155340">
        <w:rPr>
          <w:rStyle w:val="FootnoteReference"/>
          <w:color w:val="000000" w:themeColor="text1"/>
          <w:sz w:val="28"/>
          <w:szCs w:val="28"/>
        </w:rPr>
        <w:footnoteReference w:id="30"/>
      </w:r>
    </w:p>
    <w:p w14:paraId="78E9B032" w14:textId="09BAEB29" w:rsidR="00222A61" w:rsidRPr="00155340" w:rsidRDefault="00222A61" w:rsidP="00222A61">
      <w:pPr>
        <w:pStyle w:val="Body"/>
        <w:widowControl w:val="0"/>
        <w:spacing w:line="480" w:lineRule="auto"/>
        <w:ind w:firstLine="720"/>
        <w:jc w:val="both"/>
        <w:rPr>
          <w:color w:val="000000" w:themeColor="text1"/>
          <w:sz w:val="28"/>
          <w:szCs w:val="28"/>
        </w:rPr>
      </w:pPr>
      <w:r w:rsidRPr="00155340">
        <w:rPr>
          <w:color w:val="000000" w:themeColor="text1"/>
          <w:sz w:val="28"/>
          <w:szCs w:val="28"/>
        </w:rPr>
        <w:t>The Petition notes that demeanor/behavior-based justifications for peremptory strikes should be treated with suspicion because they are often rooted in discrimination.</w:t>
      </w:r>
      <w:r w:rsidRPr="00155340">
        <w:rPr>
          <w:rStyle w:val="FootnoteReference"/>
          <w:color w:val="000000" w:themeColor="text1"/>
          <w:sz w:val="28"/>
          <w:szCs w:val="28"/>
        </w:rPr>
        <w:footnoteReference w:id="31"/>
      </w:r>
      <w:r w:rsidRPr="00155340">
        <w:rPr>
          <w:color w:val="000000" w:themeColor="text1"/>
          <w:sz w:val="28"/>
          <w:szCs w:val="28"/>
        </w:rPr>
        <w:t xml:space="preserve">  Pursuant to the proposed rule, </w:t>
      </w:r>
      <w:r w:rsidR="007046C5" w:rsidRPr="00155340">
        <w:rPr>
          <w:color w:val="000000" w:themeColor="text1"/>
          <w:sz w:val="28"/>
          <w:szCs w:val="28"/>
        </w:rPr>
        <w:t>to</w:t>
      </w:r>
      <w:r w:rsidRPr="00155340">
        <w:rPr>
          <w:color w:val="000000" w:themeColor="text1"/>
          <w:sz w:val="28"/>
          <w:szCs w:val="28"/>
        </w:rPr>
        <w:t xml:space="preserve"> rely on behavior or demeanor as the justification for a peremptory strike</w:t>
      </w:r>
      <w:r w:rsidR="007046C5" w:rsidRPr="00155340">
        <w:rPr>
          <w:color w:val="000000" w:themeColor="text1"/>
          <w:sz w:val="28"/>
          <w:szCs w:val="28"/>
        </w:rPr>
        <w:t>, a party</w:t>
      </w:r>
      <w:r w:rsidRPr="00155340">
        <w:rPr>
          <w:color w:val="000000" w:themeColor="text1"/>
          <w:sz w:val="28"/>
          <w:szCs w:val="28"/>
        </w:rPr>
        <w:t xml:space="preserve"> must provide reasonable notice of the conduct to provide an opportunity for verification and, absent corroboration by the judge or opposing counsel, a conduct-based reason will be invalid. </w:t>
      </w:r>
    </w:p>
    <w:p w14:paraId="38195EDB" w14:textId="7A5F073E" w:rsidR="00222A61" w:rsidRPr="00155340" w:rsidRDefault="00222A61" w:rsidP="00222A61">
      <w:pPr>
        <w:pStyle w:val="Body"/>
        <w:widowControl w:val="0"/>
        <w:spacing w:line="480" w:lineRule="auto"/>
        <w:ind w:firstLine="0"/>
        <w:jc w:val="both"/>
        <w:rPr>
          <w:b/>
          <w:bCs/>
          <w:color w:val="000000" w:themeColor="text1"/>
          <w:sz w:val="28"/>
          <w:szCs w:val="28"/>
        </w:rPr>
      </w:pPr>
      <w:r w:rsidRPr="00155340">
        <w:rPr>
          <w:color w:val="000000" w:themeColor="text1"/>
          <w:sz w:val="28"/>
          <w:szCs w:val="28"/>
        </w:rPr>
        <w:tab/>
      </w:r>
      <w:r w:rsidR="007046C5" w:rsidRPr="00155340">
        <w:rPr>
          <w:color w:val="000000" w:themeColor="text1"/>
          <w:sz w:val="28"/>
          <w:szCs w:val="28"/>
        </w:rPr>
        <w:tab/>
      </w:r>
      <w:r w:rsidRPr="00155340">
        <w:rPr>
          <w:b/>
          <w:bCs/>
          <w:color w:val="000000" w:themeColor="text1"/>
          <w:sz w:val="28"/>
          <w:szCs w:val="28"/>
        </w:rPr>
        <w:t>7. Preservation of Existing Law.</w:t>
      </w:r>
    </w:p>
    <w:p w14:paraId="1D76E213" w14:textId="332E613D" w:rsidR="004331B2" w:rsidRPr="00155340" w:rsidRDefault="00222A61" w:rsidP="00222A61">
      <w:pPr>
        <w:pStyle w:val="BodyTextIndent"/>
        <w:spacing w:line="480" w:lineRule="auto"/>
        <w:jc w:val="both"/>
        <w:rPr>
          <w:rStyle w:val="BodyTextChar"/>
          <w:color w:val="000000" w:themeColor="text1"/>
          <w:sz w:val="28"/>
          <w:szCs w:val="28"/>
        </w:rPr>
      </w:pPr>
      <w:r w:rsidRPr="00155340">
        <w:rPr>
          <w:color w:val="000000" w:themeColor="text1"/>
          <w:sz w:val="28"/>
          <w:szCs w:val="28"/>
        </w:rPr>
        <w:t xml:space="preserve">The Petition does not propose to alter any statutory ground for excusing potential jurors. Nor does it alter procedures for objecting to the use or waiver of a peremptory challenge on the basis of purposeful discrimination under the United States and Arizona Constitutions, objections </w:t>
      </w:r>
      <w:r w:rsidR="001E2220" w:rsidRPr="00155340">
        <w:rPr>
          <w:color w:val="000000" w:themeColor="text1"/>
          <w:sz w:val="28"/>
          <w:szCs w:val="28"/>
        </w:rPr>
        <w:t xml:space="preserve">that </w:t>
      </w:r>
      <w:r w:rsidRPr="00155340">
        <w:rPr>
          <w:color w:val="000000" w:themeColor="text1"/>
          <w:sz w:val="28"/>
          <w:szCs w:val="28"/>
        </w:rPr>
        <w:t>must be separately stated and established.</w:t>
      </w:r>
    </w:p>
    <w:p w14:paraId="74CBABD8" w14:textId="77777777" w:rsidR="000C48A9" w:rsidRPr="00155340" w:rsidRDefault="007A3F0F" w:rsidP="006766BF">
      <w:pPr>
        <w:pStyle w:val="Body"/>
        <w:widowControl w:val="0"/>
        <w:spacing w:line="480" w:lineRule="auto"/>
        <w:ind w:firstLine="0"/>
        <w:jc w:val="center"/>
        <w:rPr>
          <w:rStyle w:val="BodyTextChar"/>
          <w:b/>
          <w:color w:val="000000" w:themeColor="text1"/>
          <w:sz w:val="28"/>
          <w:szCs w:val="28"/>
        </w:rPr>
      </w:pPr>
      <w:r w:rsidRPr="00155340">
        <w:rPr>
          <w:rStyle w:val="BodyTextChar"/>
          <w:b/>
          <w:color w:val="000000" w:themeColor="text1"/>
          <w:sz w:val="28"/>
          <w:szCs w:val="28"/>
        </w:rPr>
        <w:t>CONCLUSION</w:t>
      </w:r>
    </w:p>
    <w:p w14:paraId="448C7F78" w14:textId="2B5B281B" w:rsidR="000F7C13" w:rsidRPr="00155340" w:rsidRDefault="000C48A9" w:rsidP="00155340">
      <w:pPr>
        <w:pStyle w:val="Body"/>
        <w:widowControl w:val="0"/>
        <w:tabs>
          <w:tab w:val="left" w:pos="720"/>
        </w:tabs>
        <w:spacing w:line="480" w:lineRule="auto"/>
        <w:ind w:firstLine="0"/>
        <w:jc w:val="both"/>
        <w:rPr>
          <w:color w:val="000000" w:themeColor="text1"/>
          <w:spacing w:val="-3"/>
          <w:sz w:val="28"/>
          <w:szCs w:val="28"/>
        </w:rPr>
      </w:pPr>
      <w:r w:rsidRPr="00155340">
        <w:rPr>
          <w:color w:val="000000" w:themeColor="text1"/>
          <w:sz w:val="28"/>
          <w:szCs w:val="28"/>
        </w:rPr>
        <w:tab/>
      </w:r>
      <w:r w:rsidR="00AE2C76">
        <w:rPr>
          <w:sz w:val="28"/>
          <w:szCs w:val="28"/>
        </w:rPr>
        <w:t xml:space="preserve">Because </w:t>
      </w:r>
      <w:r w:rsidR="00AE2C76" w:rsidRPr="00222A61">
        <w:rPr>
          <w:sz w:val="28"/>
          <w:szCs w:val="28"/>
        </w:rPr>
        <w:t xml:space="preserve">proposed </w:t>
      </w:r>
      <w:r w:rsidR="009243F6">
        <w:rPr>
          <w:sz w:val="28"/>
          <w:szCs w:val="28"/>
        </w:rPr>
        <w:t xml:space="preserve">Supreme Court Rule 24, as outlined in the Petition, </w:t>
      </w:r>
      <w:r w:rsidR="00AE2C76" w:rsidRPr="00222A61">
        <w:rPr>
          <w:sz w:val="28"/>
          <w:szCs w:val="28"/>
        </w:rPr>
        <w:t>substantially modif</w:t>
      </w:r>
      <w:r w:rsidR="009243F6">
        <w:rPr>
          <w:sz w:val="28"/>
          <w:szCs w:val="28"/>
        </w:rPr>
        <w:t>ies</w:t>
      </w:r>
      <w:r w:rsidR="00AE2C76" w:rsidRPr="00222A61">
        <w:rPr>
          <w:sz w:val="28"/>
          <w:szCs w:val="28"/>
        </w:rPr>
        <w:t xml:space="preserve"> the </w:t>
      </w:r>
      <w:r w:rsidR="00AE2C76" w:rsidRPr="00222A61">
        <w:rPr>
          <w:i/>
          <w:iCs/>
          <w:sz w:val="28"/>
          <w:szCs w:val="28"/>
        </w:rPr>
        <w:t>Batson</w:t>
      </w:r>
      <w:r w:rsidR="00AE2C76" w:rsidRPr="00222A61">
        <w:rPr>
          <w:sz w:val="28"/>
          <w:szCs w:val="28"/>
        </w:rPr>
        <w:t xml:space="preserve"> framework for peremptory challenges</w:t>
      </w:r>
      <w:r w:rsidR="00AE2C76">
        <w:rPr>
          <w:sz w:val="28"/>
          <w:szCs w:val="28"/>
        </w:rPr>
        <w:t>,</w:t>
      </w:r>
      <w:r w:rsidR="00AE2C76" w:rsidRPr="00222A61">
        <w:rPr>
          <w:sz w:val="28"/>
          <w:szCs w:val="28"/>
        </w:rPr>
        <w:t xml:space="preserve"> to accomplish the purpose of bringing equality to jury service and improving confidence in the judicial system</w:t>
      </w:r>
      <w:r w:rsidR="009243F6">
        <w:rPr>
          <w:sz w:val="28"/>
          <w:szCs w:val="28"/>
        </w:rPr>
        <w:t>, t</w:t>
      </w:r>
      <w:r w:rsidR="000F7C13" w:rsidRPr="00155340">
        <w:rPr>
          <w:color w:val="000000" w:themeColor="text1"/>
          <w:sz w:val="28"/>
          <w:szCs w:val="28"/>
        </w:rPr>
        <w:t>he State Bar</w:t>
      </w:r>
      <w:r w:rsidR="00735659" w:rsidRPr="00155340">
        <w:rPr>
          <w:color w:val="000000" w:themeColor="text1"/>
          <w:sz w:val="28"/>
          <w:szCs w:val="28"/>
        </w:rPr>
        <w:t xml:space="preserve"> of Arizona</w:t>
      </w:r>
      <w:r w:rsidR="000F7C13" w:rsidRPr="00155340">
        <w:rPr>
          <w:color w:val="000000" w:themeColor="text1"/>
          <w:sz w:val="28"/>
          <w:szCs w:val="28"/>
        </w:rPr>
        <w:t xml:space="preserve"> respectfully requests that </w:t>
      </w:r>
      <w:r w:rsidR="00222A61" w:rsidRPr="00155340">
        <w:rPr>
          <w:color w:val="000000" w:themeColor="text1"/>
          <w:sz w:val="28"/>
          <w:szCs w:val="28"/>
        </w:rPr>
        <w:t xml:space="preserve">the Court </w:t>
      </w:r>
      <w:r w:rsidR="009243F6">
        <w:rPr>
          <w:color w:val="000000" w:themeColor="text1"/>
          <w:sz w:val="28"/>
          <w:szCs w:val="28"/>
        </w:rPr>
        <w:t>grant</w:t>
      </w:r>
      <w:r w:rsidR="00222A61" w:rsidRPr="00155340">
        <w:rPr>
          <w:color w:val="000000" w:themeColor="text1"/>
          <w:sz w:val="28"/>
          <w:szCs w:val="28"/>
        </w:rPr>
        <w:t xml:space="preserve"> the Petition. </w:t>
      </w:r>
    </w:p>
    <w:p w14:paraId="5D02FE20" w14:textId="36BC849F" w:rsidR="000F7A7F" w:rsidRPr="00155340" w:rsidRDefault="000F7A7F" w:rsidP="000F7C13">
      <w:pPr>
        <w:pStyle w:val="Body"/>
        <w:widowControl w:val="0"/>
        <w:tabs>
          <w:tab w:val="left" w:pos="720"/>
        </w:tabs>
        <w:ind w:firstLine="0"/>
        <w:rPr>
          <w:color w:val="000000" w:themeColor="text1"/>
          <w:sz w:val="28"/>
          <w:szCs w:val="28"/>
        </w:rPr>
      </w:pPr>
    </w:p>
    <w:p w14:paraId="56DC022B" w14:textId="5D189A4D" w:rsidR="000C48A9" w:rsidRPr="00155340" w:rsidRDefault="006F63FD" w:rsidP="000C48A9">
      <w:pPr>
        <w:pStyle w:val="Body"/>
        <w:widowControl w:val="0"/>
        <w:tabs>
          <w:tab w:val="left" w:pos="720"/>
        </w:tabs>
        <w:ind w:firstLine="0"/>
        <w:rPr>
          <w:color w:val="000000" w:themeColor="text1"/>
          <w:sz w:val="28"/>
          <w:szCs w:val="28"/>
        </w:rPr>
      </w:pPr>
      <w:r w:rsidRPr="00155340">
        <w:rPr>
          <w:color w:val="000000" w:themeColor="text1"/>
          <w:sz w:val="28"/>
          <w:szCs w:val="28"/>
        </w:rPr>
        <w:t xml:space="preserve">       </w:t>
      </w:r>
      <w:r w:rsidR="006D6425">
        <w:rPr>
          <w:color w:val="000000" w:themeColor="text1"/>
          <w:sz w:val="28"/>
          <w:szCs w:val="28"/>
        </w:rPr>
        <w:tab/>
      </w:r>
      <w:r w:rsidR="006D6425">
        <w:rPr>
          <w:color w:val="000000" w:themeColor="text1"/>
          <w:sz w:val="28"/>
          <w:szCs w:val="28"/>
        </w:rPr>
        <w:tab/>
      </w:r>
      <w:r w:rsidR="006D6425">
        <w:rPr>
          <w:color w:val="000000" w:themeColor="text1"/>
          <w:sz w:val="28"/>
          <w:szCs w:val="28"/>
        </w:rPr>
        <w:tab/>
      </w:r>
      <w:r w:rsidR="000C48A9" w:rsidRPr="00155340">
        <w:rPr>
          <w:color w:val="000000" w:themeColor="text1"/>
          <w:sz w:val="28"/>
          <w:szCs w:val="28"/>
        </w:rPr>
        <w:t xml:space="preserve">RESPECTFULLY SUBMITTED this </w:t>
      </w:r>
      <w:r w:rsidR="006D6425">
        <w:rPr>
          <w:color w:val="000000" w:themeColor="text1"/>
          <w:sz w:val="28"/>
          <w:szCs w:val="28"/>
        </w:rPr>
        <w:t>30</w:t>
      </w:r>
      <w:r w:rsidR="006D6425">
        <w:rPr>
          <w:color w:val="000000" w:themeColor="text1"/>
          <w:sz w:val="28"/>
          <w:szCs w:val="28"/>
          <w:vertAlign w:val="superscript"/>
        </w:rPr>
        <w:t xml:space="preserve">th </w:t>
      </w:r>
      <w:r w:rsidR="000C48A9" w:rsidRPr="00155340">
        <w:rPr>
          <w:color w:val="000000" w:themeColor="text1"/>
          <w:sz w:val="28"/>
          <w:szCs w:val="28"/>
        </w:rPr>
        <w:t>day of</w:t>
      </w:r>
      <w:r w:rsidR="006D6425">
        <w:rPr>
          <w:color w:val="000000" w:themeColor="text1"/>
          <w:sz w:val="28"/>
          <w:szCs w:val="28"/>
        </w:rPr>
        <w:t xml:space="preserve"> </w:t>
      </w:r>
      <w:proofErr w:type="gramStart"/>
      <w:r w:rsidR="006D6425">
        <w:rPr>
          <w:color w:val="000000" w:themeColor="text1"/>
          <w:sz w:val="28"/>
          <w:szCs w:val="28"/>
        </w:rPr>
        <w:t>April,</w:t>
      </w:r>
      <w:proofErr w:type="gramEnd"/>
      <w:r w:rsidR="00D60D9B" w:rsidRPr="00155340">
        <w:rPr>
          <w:color w:val="000000" w:themeColor="text1"/>
          <w:sz w:val="28"/>
          <w:szCs w:val="28"/>
        </w:rPr>
        <w:t xml:space="preserve"> 20</w:t>
      </w:r>
      <w:r w:rsidR="00954A5E" w:rsidRPr="00155340">
        <w:rPr>
          <w:color w:val="000000" w:themeColor="text1"/>
          <w:sz w:val="28"/>
          <w:szCs w:val="28"/>
        </w:rPr>
        <w:t>2</w:t>
      </w:r>
      <w:r w:rsidR="006E4770" w:rsidRPr="00155340">
        <w:rPr>
          <w:color w:val="000000" w:themeColor="text1"/>
          <w:sz w:val="28"/>
          <w:szCs w:val="28"/>
        </w:rPr>
        <w:t>1</w:t>
      </w:r>
      <w:r w:rsidR="000C48A9" w:rsidRPr="00155340">
        <w:rPr>
          <w:color w:val="000000" w:themeColor="text1"/>
          <w:sz w:val="28"/>
          <w:szCs w:val="28"/>
        </w:rPr>
        <w:t>.</w:t>
      </w:r>
    </w:p>
    <w:p w14:paraId="514BFEB7" w14:textId="774CD83D" w:rsidR="000C48A9" w:rsidRPr="00155340" w:rsidRDefault="00901D04" w:rsidP="000C48A9">
      <w:pPr>
        <w:pStyle w:val="Body"/>
        <w:widowControl w:val="0"/>
        <w:tabs>
          <w:tab w:val="left" w:pos="720"/>
        </w:tabs>
        <w:ind w:firstLine="0"/>
        <w:rPr>
          <w:color w:val="000000" w:themeColor="text1"/>
          <w:sz w:val="28"/>
          <w:szCs w:val="28"/>
        </w:rPr>
      </w:pPr>
      <w:r>
        <w:rPr>
          <w:noProof/>
          <w:color w:val="000000" w:themeColor="text1"/>
          <w:sz w:val="28"/>
          <w:szCs w:val="28"/>
        </w:rPr>
        <w:drawing>
          <wp:anchor distT="0" distB="0" distL="114300" distR="114300" simplePos="0" relativeHeight="251658240" behindDoc="0" locked="0" layoutInCell="1" allowOverlap="1" wp14:anchorId="30E08590" wp14:editId="137250F1">
            <wp:simplePos x="0" y="0"/>
            <wp:positionH relativeFrom="margin">
              <wp:posOffset>3200400</wp:posOffset>
            </wp:positionH>
            <wp:positionV relativeFrom="paragraph">
              <wp:posOffset>10160</wp:posOffset>
            </wp:positionV>
            <wp:extent cx="1895475" cy="723764"/>
            <wp:effectExtent l="0" t="0" r="0" b="635"/>
            <wp:wrapNone/>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sa Panahi Digital Signature Blue (00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723764"/>
                    </a:xfrm>
                    <a:prstGeom prst="rect">
                      <a:avLst/>
                    </a:prstGeom>
                  </pic:spPr>
                </pic:pic>
              </a:graphicData>
            </a:graphic>
            <wp14:sizeRelH relativeFrom="page">
              <wp14:pctWidth>0</wp14:pctWidth>
            </wp14:sizeRelH>
            <wp14:sizeRelV relativeFrom="page">
              <wp14:pctHeight>0</wp14:pctHeight>
            </wp14:sizeRelV>
          </wp:anchor>
        </w:drawing>
      </w:r>
    </w:p>
    <w:p w14:paraId="6B779D2D" w14:textId="6C81E765" w:rsidR="000C48A9" w:rsidRPr="00155340" w:rsidRDefault="000C48A9" w:rsidP="000C48A9">
      <w:pPr>
        <w:pStyle w:val="Body"/>
        <w:widowControl w:val="0"/>
        <w:tabs>
          <w:tab w:val="left" w:pos="720"/>
        </w:tabs>
        <w:ind w:firstLine="0"/>
        <w:rPr>
          <w:color w:val="000000" w:themeColor="text1"/>
          <w:sz w:val="28"/>
          <w:szCs w:val="28"/>
        </w:rPr>
      </w:pPr>
    </w:p>
    <w:p w14:paraId="66D5BA5C" w14:textId="77777777" w:rsidR="000C48A9" w:rsidRPr="00155340" w:rsidRDefault="00F850BE" w:rsidP="000C48A9">
      <w:pPr>
        <w:pStyle w:val="PleadingSignature"/>
        <w:keepNext w:val="0"/>
        <w:keepLines w:val="0"/>
        <w:pBdr>
          <w:top w:val="single" w:sz="4" w:space="1" w:color="auto"/>
        </w:pBdr>
        <w:spacing w:line="240" w:lineRule="auto"/>
        <w:ind w:left="5070"/>
        <w:rPr>
          <w:color w:val="000000" w:themeColor="text1"/>
          <w:sz w:val="28"/>
          <w:szCs w:val="28"/>
        </w:rPr>
      </w:pPr>
      <w:r w:rsidRPr="00155340">
        <w:rPr>
          <w:color w:val="000000" w:themeColor="text1"/>
          <w:sz w:val="28"/>
          <w:szCs w:val="28"/>
        </w:rPr>
        <w:t>Lisa M. Panahi</w:t>
      </w:r>
    </w:p>
    <w:p w14:paraId="305B54BB" w14:textId="77777777" w:rsidR="000C48A9" w:rsidRPr="00155340" w:rsidRDefault="000C48A9" w:rsidP="000C48A9">
      <w:pPr>
        <w:pStyle w:val="PleadingSignature"/>
        <w:keepNext w:val="0"/>
        <w:keepLines w:val="0"/>
        <w:spacing w:line="240" w:lineRule="auto"/>
        <w:ind w:left="5070"/>
        <w:rPr>
          <w:color w:val="000000" w:themeColor="text1"/>
          <w:sz w:val="28"/>
          <w:szCs w:val="28"/>
        </w:rPr>
      </w:pPr>
      <w:r w:rsidRPr="00155340">
        <w:rPr>
          <w:color w:val="000000" w:themeColor="text1"/>
          <w:sz w:val="28"/>
          <w:szCs w:val="28"/>
        </w:rPr>
        <w:t>General Counsel</w:t>
      </w:r>
    </w:p>
    <w:p w14:paraId="3EFA1660" w14:textId="77777777" w:rsidR="00C52E56" w:rsidRPr="00155340" w:rsidRDefault="00C52E56" w:rsidP="004331B2">
      <w:pPr>
        <w:widowControl w:val="0"/>
        <w:spacing w:line="240" w:lineRule="auto"/>
        <w:ind w:right="4140"/>
        <w:rPr>
          <w:color w:val="000000" w:themeColor="text1"/>
          <w:sz w:val="28"/>
          <w:szCs w:val="28"/>
        </w:rPr>
      </w:pPr>
    </w:p>
    <w:p w14:paraId="1B393CD1" w14:textId="77777777" w:rsidR="000C48A9" w:rsidRPr="00155340" w:rsidRDefault="000C48A9" w:rsidP="004331B2">
      <w:pPr>
        <w:widowControl w:val="0"/>
        <w:spacing w:line="240" w:lineRule="auto"/>
        <w:ind w:right="4140"/>
        <w:rPr>
          <w:color w:val="000000" w:themeColor="text1"/>
          <w:sz w:val="28"/>
          <w:szCs w:val="28"/>
        </w:rPr>
      </w:pPr>
      <w:r w:rsidRPr="00155340">
        <w:rPr>
          <w:color w:val="000000" w:themeColor="text1"/>
          <w:sz w:val="28"/>
          <w:szCs w:val="28"/>
        </w:rPr>
        <w:t>Electronic copy filed with the</w:t>
      </w:r>
    </w:p>
    <w:p w14:paraId="7DDECC87" w14:textId="77777777" w:rsidR="000C48A9" w:rsidRPr="00155340" w:rsidRDefault="000C48A9" w:rsidP="004331B2">
      <w:pPr>
        <w:spacing w:line="240" w:lineRule="auto"/>
        <w:ind w:right="4140"/>
        <w:rPr>
          <w:color w:val="000000" w:themeColor="text1"/>
          <w:sz w:val="28"/>
          <w:szCs w:val="28"/>
        </w:rPr>
      </w:pPr>
      <w:r w:rsidRPr="00155340">
        <w:rPr>
          <w:color w:val="000000" w:themeColor="text1"/>
          <w:sz w:val="28"/>
          <w:szCs w:val="28"/>
        </w:rPr>
        <w:t xml:space="preserve">Clerk of the </w:t>
      </w:r>
      <w:r w:rsidR="00692391" w:rsidRPr="00155340">
        <w:rPr>
          <w:color w:val="000000" w:themeColor="text1"/>
          <w:sz w:val="28"/>
          <w:szCs w:val="28"/>
        </w:rPr>
        <w:t>Supreme Court of Arizona</w:t>
      </w:r>
    </w:p>
    <w:p w14:paraId="6759567E" w14:textId="1D836BF2" w:rsidR="000C48A9" w:rsidRPr="00155340" w:rsidRDefault="000C48A9" w:rsidP="00C52E56">
      <w:pPr>
        <w:tabs>
          <w:tab w:val="left" w:pos="4836"/>
        </w:tabs>
        <w:spacing w:line="240" w:lineRule="auto"/>
        <w:ind w:right="3870"/>
        <w:rPr>
          <w:color w:val="000000" w:themeColor="text1"/>
          <w:sz w:val="28"/>
          <w:szCs w:val="28"/>
        </w:rPr>
      </w:pPr>
      <w:r w:rsidRPr="00155340">
        <w:rPr>
          <w:color w:val="000000" w:themeColor="text1"/>
          <w:sz w:val="28"/>
          <w:szCs w:val="28"/>
        </w:rPr>
        <w:t>t</w:t>
      </w:r>
      <w:r w:rsidR="000F7A7F" w:rsidRPr="00155340">
        <w:rPr>
          <w:color w:val="000000" w:themeColor="text1"/>
          <w:sz w:val="28"/>
          <w:szCs w:val="28"/>
        </w:rPr>
        <w:t xml:space="preserve">his </w:t>
      </w:r>
      <w:r w:rsidR="006D6425">
        <w:rPr>
          <w:color w:val="000000" w:themeColor="text1"/>
          <w:sz w:val="28"/>
          <w:szCs w:val="28"/>
        </w:rPr>
        <w:t>30</w:t>
      </w:r>
      <w:r w:rsidR="006D6425" w:rsidRPr="006D6425">
        <w:rPr>
          <w:color w:val="000000" w:themeColor="text1"/>
          <w:sz w:val="28"/>
          <w:szCs w:val="28"/>
          <w:vertAlign w:val="superscript"/>
        </w:rPr>
        <w:t>th</w:t>
      </w:r>
      <w:r w:rsidR="006D6425">
        <w:rPr>
          <w:color w:val="000000" w:themeColor="text1"/>
          <w:sz w:val="28"/>
          <w:szCs w:val="28"/>
        </w:rPr>
        <w:t xml:space="preserve"> </w:t>
      </w:r>
      <w:r w:rsidR="006D6425" w:rsidRPr="00155340">
        <w:rPr>
          <w:color w:val="000000" w:themeColor="text1"/>
          <w:sz w:val="28"/>
          <w:szCs w:val="28"/>
        </w:rPr>
        <w:t>day</w:t>
      </w:r>
      <w:r w:rsidR="000F7A7F" w:rsidRPr="00155340">
        <w:rPr>
          <w:color w:val="000000" w:themeColor="text1"/>
          <w:sz w:val="28"/>
          <w:szCs w:val="28"/>
        </w:rPr>
        <w:t xml:space="preserve"> of </w:t>
      </w:r>
      <w:r w:rsidR="006D6425">
        <w:rPr>
          <w:color w:val="000000" w:themeColor="text1"/>
          <w:sz w:val="28"/>
          <w:szCs w:val="28"/>
        </w:rPr>
        <w:t>April</w:t>
      </w:r>
      <w:r w:rsidR="006F63FD" w:rsidRPr="00155340">
        <w:rPr>
          <w:color w:val="000000" w:themeColor="text1"/>
          <w:sz w:val="28"/>
          <w:szCs w:val="28"/>
        </w:rPr>
        <w:t xml:space="preserve"> </w:t>
      </w:r>
      <w:r w:rsidR="00D60D9B" w:rsidRPr="00155340">
        <w:rPr>
          <w:color w:val="000000" w:themeColor="text1"/>
          <w:sz w:val="28"/>
          <w:szCs w:val="28"/>
        </w:rPr>
        <w:t>20</w:t>
      </w:r>
      <w:r w:rsidR="00954A5E" w:rsidRPr="00155340">
        <w:rPr>
          <w:color w:val="000000" w:themeColor="text1"/>
          <w:sz w:val="28"/>
          <w:szCs w:val="28"/>
        </w:rPr>
        <w:t>2</w:t>
      </w:r>
      <w:r w:rsidR="006E4770" w:rsidRPr="00155340">
        <w:rPr>
          <w:color w:val="000000" w:themeColor="text1"/>
          <w:sz w:val="28"/>
          <w:szCs w:val="28"/>
        </w:rPr>
        <w:t>1</w:t>
      </w:r>
      <w:r w:rsidR="000F7A7F" w:rsidRPr="00155340">
        <w:rPr>
          <w:color w:val="000000" w:themeColor="text1"/>
          <w:sz w:val="28"/>
          <w:szCs w:val="28"/>
        </w:rPr>
        <w:t>.</w:t>
      </w:r>
    </w:p>
    <w:p w14:paraId="454D2822" w14:textId="77777777" w:rsidR="00222A61" w:rsidRPr="00155340" w:rsidRDefault="00222A61" w:rsidP="00C52E56">
      <w:pPr>
        <w:tabs>
          <w:tab w:val="left" w:pos="4836"/>
        </w:tabs>
        <w:spacing w:line="240" w:lineRule="auto"/>
        <w:ind w:right="3870"/>
        <w:rPr>
          <w:color w:val="000000" w:themeColor="text1"/>
          <w:sz w:val="28"/>
          <w:szCs w:val="28"/>
        </w:rPr>
      </w:pPr>
    </w:p>
    <w:p w14:paraId="69581EED" w14:textId="77777777" w:rsidR="000F7A7F" w:rsidRPr="00155340" w:rsidRDefault="000F7A7F" w:rsidP="000C48A9">
      <w:pPr>
        <w:spacing w:line="240" w:lineRule="auto"/>
        <w:ind w:right="4572"/>
        <w:rPr>
          <w:color w:val="000000" w:themeColor="text1"/>
          <w:sz w:val="28"/>
          <w:szCs w:val="28"/>
        </w:rPr>
      </w:pPr>
    </w:p>
    <w:p w14:paraId="74A74D4D" w14:textId="4B666C3B" w:rsidR="000C48A9" w:rsidRPr="00155340" w:rsidRDefault="000C48A9" w:rsidP="000C48A9">
      <w:pPr>
        <w:spacing w:line="240" w:lineRule="auto"/>
        <w:ind w:right="4572"/>
        <w:rPr>
          <w:color w:val="000000" w:themeColor="text1"/>
          <w:sz w:val="28"/>
          <w:szCs w:val="28"/>
        </w:rPr>
      </w:pPr>
      <w:r w:rsidRPr="00155340">
        <w:rPr>
          <w:color w:val="000000" w:themeColor="text1"/>
          <w:sz w:val="28"/>
          <w:szCs w:val="28"/>
        </w:rPr>
        <w:t>by:</w:t>
      </w:r>
      <w:r w:rsidR="006D6425">
        <w:rPr>
          <w:color w:val="000000" w:themeColor="text1"/>
          <w:sz w:val="28"/>
          <w:szCs w:val="28"/>
        </w:rPr>
        <w:t xml:space="preserve"> PSeguin</w:t>
      </w:r>
      <w:bookmarkStart w:id="2" w:name="_GoBack"/>
      <w:bookmarkEnd w:id="2"/>
      <w:r w:rsidRPr="00155340">
        <w:rPr>
          <w:color w:val="000000" w:themeColor="text1"/>
          <w:sz w:val="28"/>
          <w:szCs w:val="28"/>
        </w:rPr>
        <w:t xml:space="preserve"> </w:t>
      </w:r>
    </w:p>
    <w:p w14:paraId="4A07E8A6" w14:textId="77777777" w:rsidR="00052372" w:rsidRPr="00155340" w:rsidRDefault="00052372" w:rsidP="00933EA1">
      <w:pPr>
        <w:tabs>
          <w:tab w:val="left" w:pos="8145"/>
        </w:tabs>
        <w:rPr>
          <w:color w:val="000000" w:themeColor="text1"/>
          <w:sz w:val="28"/>
          <w:szCs w:val="28"/>
        </w:rPr>
      </w:pPr>
    </w:p>
    <w:sectPr w:rsidR="00052372" w:rsidRPr="00155340"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883D" w16cex:dateUtc="2021-04-24T0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0E56" w14:textId="77777777" w:rsidR="00023B61" w:rsidRDefault="00023B61">
      <w:r>
        <w:separator/>
      </w:r>
    </w:p>
  </w:endnote>
  <w:endnote w:type="continuationSeparator" w:id="0">
    <w:p w14:paraId="28351AE3" w14:textId="77777777" w:rsidR="00023B61" w:rsidRDefault="0002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3C25" w14:textId="77777777" w:rsidR="00023B61" w:rsidRDefault="00023B61">
      <w:r>
        <w:separator/>
      </w:r>
    </w:p>
  </w:footnote>
  <w:footnote w:type="continuationSeparator" w:id="0">
    <w:p w14:paraId="07829560" w14:textId="77777777" w:rsidR="00023B61" w:rsidRDefault="00023B61">
      <w:r>
        <w:continuationSeparator/>
      </w:r>
    </w:p>
  </w:footnote>
  <w:footnote w:id="1">
    <w:p w14:paraId="2B79FB50" w14:textId="49ECA1B0"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See </w:t>
      </w:r>
      <w:r w:rsidRPr="00222A61">
        <w:rPr>
          <w:sz w:val="28"/>
          <w:szCs w:val="28"/>
        </w:rPr>
        <w:t>Petition at Appendix B.</w:t>
      </w:r>
    </w:p>
  </w:footnote>
  <w:footnote w:id="2">
    <w:p w14:paraId="01AAF978"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“There is now a broad scholarly consensus that </w:t>
      </w:r>
      <w:r w:rsidRPr="00222A61">
        <w:rPr>
          <w:i/>
          <w:iCs/>
          <w:sz w:val="28"/>
          <w:szCs w:val="28"/>
        </w:rPr>
        <w:t>Batson</w:t>
      </w:r>
      <w:r w:rsidRPr="00222A61">
        <w:rPr>
          <w:sz w:val="28"/>
          <w:szCs w:val="28"/>
        </w:rPr>
        <w:t xml:space="preserve"> has failed to meaningfully limit systemic racial exclusion in jury selection.” Thomas Ward Frampton, </w:t>
      </w:r>
      <w:r w:rsidRPr="00222A61">
        <w:rPr>
          <w:i/>
          <w:iCs/>
          <w:sz w:val="28"/>
          <w:szCs w:val="28"/>
        </w:rPr>
        <w:t>For Cause:</w:t>
      </w:r>
      <w:r>
        <w:rPr>
          <w:i/>
          <w:iCs/>
          <w:sz w:val="28"/>
          <w:szCs w:val="28"/>
        </w:rPr>
        <w:t xml:space="preserve"> </w:t>
      </w:r>
      <w:r w:rsidRPr="00222A61">
        <w:rPr>
          <w:i/>
          <w:iCs/>
          <w:sz w:val="28"/>
          <w:szCs w:val="28"/>
        </w:rPr>
        <w:t>Rethinking Racial Exclusion and the American Jury,</w:t>
      </w:r>
      <w:r w:rsidRPr="00222A61">
        <w:rPr>
          <w:sz w:val="28"/>
          <w:szCs w:val="28"/>
        </w:rPr>
        <w:t xml:space="preserve"> 118 Mich. L. Rev. 785, 788 (2020). </w:t>
      </w:r>
      <w:r w:rsidRPr="00222A61">
        <w:rPr>
          <w:i/>
          <w:iCs/>
          <w:sz w:val="28"/>
          <w:szCs w:val="28"/>
        </w:rPr>
        <w:t xml:space="preserve">See also State v. </w:t>
      </w:r>
      <w:proofErr w:type="spellStart"/>
      <w:r w:rsidRPr="00222A61">
        <w:rPr>
          <w:i/>
          <w:iCs/>
          <w:sz w:val="28"/>
          <w:szCs w:val="28"/>
        </w:rPr>
        <w:t>Saintcalle</w:t>
      </w:r>
      <w:proofErr w:type="spellEnd"/>
      <w:r w:rsidRPr="00222A61">
        <w:rPr>
          <w:i/>
          <w:iCs/>
          <w:sz w:val="28"/>
          <w:szCs w:val="28"/>
        </w:rPr>
        <w:t>,</w:t>
      </w:r>
      <w:r w:rsidRPr="00222A61">
        <w:rPr>
          <w:sz w:val="28"/>
          <w:szCs w:val="28"/>
        </w:rPr>
        <w:t xml:space="preserve"> 309 P.3d 326, 334 (Wash. 2013) (Evidence shows that </w:t>
      </w:r>
      <w:r w:rsidRPr="00222A61">
        <w:rPr>
          <w:i/>
          <w:iCs/>
          <w:sz w:val="28"/>
          <w:szCs w:val="28"/>
        </w:rPr>
        <w:t>Batson</w:t>
      </w:r>
      <w:r w:rsidRPr="00222A61">
        <w:rPr>
          <w:sz w:val="28"/>
          <w:szCs w:val="28"/>
        </w:rPr>
        <w:t xml:space="preserve"> has done very little to make juries more diverse or to prevent race-based peremptory strikes.).</w:t>
      </w:r>
    </w:p>
  </w:footnote>
  <w:footnote w:id="3">
    <w:p w14:paraId="17311610"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Edmonson v. Leesville Concrete Co.,</w:t>
      </w:r>
      <w:r w:rsidRPr="00222A61">
        <w:rPr>
          <w:sz w:val="28"/>
          <w:szCs w:val="28"/>
        </w:rPr>
        <w:t xml:space="preserve"> 500 U.S. 614 (1991).</w:t>
      </w:r>
    </w:p>
  </w:footnote>
  <w:footnote w:id="4">
    <w:p w14:paraId="51281065"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Georgia v. McCollum,</w:t>
      </w:r>
      <w:r w:rsidRPr="00222A61">
        <w:rPr>
          <w:sz w:val="28"/>
          <w:szCs w:val="28"/>
        </w:rPr>
        <w:t xml:space="preserve"> 505 U.S. 42 (1992).</w:t>
      </w:r>
    </w:p>
  </w:footnote>
  <w:footnote w:id="5">
    <w:p w14:paraId="0909E676"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Hernandez v. New York,</w:t>
      </w:r>
      <w:r w:rsidRPr="00222A61">
        <w:rPr>
          <w:sz w:val="28"/>
          <w:szCs w:val="28"/>
        </w:rPr>
        <w:t xml:space="preserve"> 500 U.S. 352, 355 (1991).</w:t>
      </w:r>
    </w:p>
  </w:footnote>
  <w:footnote w:id="6">
    <w:p w14:paraId="5BDAE254" w14:textId="77777777" w:rsidR="00222A61" w:rsidRPr="00D53A89" w:rsidRDefault="00222A61" w:rsidP="00222A61">
      <w:pPr>
        <w:pStyle w:val="FootnoteText"/>
        <w:jc w:val="both"/>
        <w:rPr>
          <w:sz w:val="26"/>
          <w:szCs w:val="26"/>
        </w:rPr>
      </w:pPr>
      <w:r w:rsidRPr="00222A61">
        <w:rPr>
          <w:rStyle w:val="FootnoteReference"/>
          <w:sz w:val="28"/>
          <w:szCs w:val="28"/>
        </w:rPr>
        <w:footnoteRef/>
      </w:r>
      <w:r w:rsidRPr="00222A61">
        <w:rPr>
          <w:sz w:val="28"/>
          <w:szCs w:val="28"/>
        </w:rPr>
        <w:t xml:space="preserve"> </w:t>
      </w:r>
      <w:r w:rsidRPr="00222A61">
        <w:rPr>
          <w:i/>
          <w:iCs/>
          <w:sz w:val="28"/>
          <w:szCs w:val="28"/>
        </w:rPr>
        <w:t>J.E.B. v. Alabama,</w:t>
      </w:r>
      <w:r w:rsidRPr="00222A61">
        <w:rPr>
          <w:sz w:val="28"/>
          <w:szCs w:val="28"/>
        </w:rPr>
        <w:t xml:space="preserve"> 511 U.S. 127, 129 (1994) (“[G]ender, like race, is an unconstitutional proxy for juror competence and impartiality.”).</w:t>
      </w:r>
    </w:p>
  </w:footnote>
  <w:footnote w:id="7">
    <w:p w14:paraId="7729A9D2"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J.E.B. v. Alabama,</w:t>
      </w:r>
      <w:r w:rsidRPr="00222A61">
        <w:rPr>
          <w:sz w:val="28"/>
          <w:szCs w:val="28"/>
        </w:rPr>
        <w:t xml:space="preserve"> 511 U.S. at 143.</w:t>
      </w:r>
    </w:p>
  </w:footnote>
  <w:footnote w:id="8">
    <w:p w14:paraId="1464E06B"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See, e.g., Church of the </w:t>
      </w:r>
      <w:proofErr w:type="spellStart"/>
      <w:r w:rsidRPr="00222A61">
        <w:rPr>
          <w:i/>
          <w:iCs/>
          <w:sz w:val="28"/>
          <w:szCs w:val="28"/>
        </w:rPr>
        <w:t>Lukumi</w:t>
      </w:r>
      <w:proofErr w:type="spellEnd"/>
      <w:r w:rsidRPr="00222A61">
        <w:rPr>
          <w:i/>
          <w:iCs/>
          <w:sz w:val="28"/>
          <w:szCs w:val="28"/>
        </w:rPr>
        <w:t xml:space="preserve"> </w:t>
      </w:r>
      <w:proofErr w:type="spellStart"/>
      <w:r w:rsidRPr="00222A61">
        <w:rPr>
          <w:i/>
          <w:iCs/>
          <w:sz w:val="28"/>
          <w:szCs w:val="28"/>
        </w:rPr>
        <w:t>Babalu</w:t>
      </w:r>
      <w:proofErr w:type="spellEnd"/>
      <w:r w:rsidRPr="00222A61">
        <w:rPr>
          <w:i/>
          <w:iCs/>
          <w:sz w:val="28"/>
          <w:szCs w:val="28"/>
        </w:rPr>
        <w:t xml:space="preserve"> Aye, Inc. v. City of Hialeah,</w:t>
      </w:r>
      <w:r w:rsidRPr="00222A61">
        <w:rPr>
          <w:sz w:val="28"/>
          <w:szCs w:val="28"/>
        </w:rPr>
        <w:t xml:space="preserve"> 508 U.S. 520, 546 (1993) (“A law burdening religious practice that is not neutral or not of general application must undergo the most rigorous of scrutiny”).</w:t>
      </w:r>
    </w:p>
  </w:footnote>
  <w:footnote w:id="9">
    <w:p w14:paraId="7D02178C" w14:textId="77777777" w:rsidR="00222A61" w:rsidRPr="00222A61" w:rsidRDefault="00222A61" w:rsidP="00155340">
      <w:pPr>
        <w:pStyle w:val="BodyTextIndent"/>
        <w:spacing w:line="240" w:lineRule="auto"/>
        <w:ind w:firstLine="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State v. Purcell, </w:t>
      </w:r>
      <w:r w:rsidRPr="00222A61">
        <w:rPr>
          <w:sz w:val="28"/>
          <w:szCs w:val="28"/>
        </w:rPr>
        <w:t xml:space="preserve">199 Ariz. 319, 328 </w:t>
      </w:r>
      <w:r w:rsidRPr="00222A61">
        <w:rPr>
          <w:color w:val="3D3D3D"/>
          <w:sz w:val="28"/>
          <w:szCs w:val="28"/>
        </w:rPr>
        <w:t>¶29 (2001).</w:t>
      </w:r>
    </w:p>
  </w:footnote>
  <w:footnote w:id="10">
    <w:p w14:paraId="544E5C48" w14:textId="77777777" w:rsidR="00222A61" w:rsidRPr="00676994" w:rsidRDefault="00222A61" w:rsidP="00222A61">
      <w:pPr>
        <w:pStyle w:val="FootnoteText"/>
        <w:spacing w:after="120"/>
        <w:jc w:val="both"/>
        <w:rPr>
          <w:sz w:val="26"/>
          <w:szCs w:val="26"/>
        </w:rPr>
      </w:pPr>
      <w:r w:rsidRPr="00222A61">
        <w:rPr>
          <w:rStyle w:val="FootnoteReference"/>
          <w:sz w:val="28"/>
          <w:szCs w:val="28"/>
        </w:rPr>
        <w:footnoteRef/>
      </w:r>
      <w:r w:rsidRPr="00222A61">
        <w:rPr>
          <w:sz w:val="28"/>
          <w:szCs w:val="28"/>
        </w:rPr>
        <w:t xml:space="preserve"> 570 U.S. 744 (2013). The Court in </w:t>
      </w:r>
      <w:r w:rsidRPr="00222A61">
        <w:rPr>
          <w:i/>
          <w:iCs/>
          <w:sz w:val="28"/>
          <w:szCs w:val="28"/>
        </w:rPr>
        <w:t>Windsor</w:t>
      </w:r>
      <w:r w:rsidRPr="00222A61">
        <w:rPr>
          <w:sz w:val="28"/>
          <w:szCs w:val="28"/>
        </w:rPr>
        <w:t xml:space="preserve"> twice suggested that “‘[d]</w:t>
      </w:r>
      <w:proofErr w:type="spellStart"/>
      <w:r w:rsidRPr="00222A61">
        <w:rPr>
          <w:sz w:val="28"/>
          <w:szCs w:val="28"/>
        </w:rPr>
        <w:t>iscriminations</w:t>
      </w:r>
      <w:proofErr w:type="spellEnd"/>
      <w:r w:rsidRPr="00222A61">
        <w:rPr>
          <w:sz w:val="28"/>
          <w:szCs w:val="28"/>
        </w:rPr>
        <w:t xml:space="preserve"> of an unusual character’ especially require careful consideration to determine whether they are obnoxious to the constitutional provision,” </w:t>
      </w:r>
      <w:r w:rsidRPr="00222A61">
        <w:rPr>
          <w:i/>
          <w:iCs/>
          <w:sz w:val="28"/>
          <w:szCs w:val="28"/>
        </w:rPr>
        <w:t>id.</w:t>
      </w:r>
      <w:r w:rsidRPr="00222A61">
        <w:rPr>
          <w:sz w:val="28"/>
          <w:szCs w:val="28"/>
        </w:rPr>
        <w:t xml:space="preserve"> at 768 (quoting </w:t>
      </w:r>
      <w:r w:rsidRPr="00222A61">
        <w:rPr>
          <w:i/>
          <w:iCs/>
          <w:sz w:val="28"/>
          <w:szCs w:val="28"/>
        </w:rPr>
        <w:t>Romer v. Evans,</w:t>
      </w:r>
      <w:r w:rsidRPr="00222A61">
        <w:rPr>
          <w:sz w:val="28"/>
          <w:szCs w:val="28"/>
        </w:rPr>
        <w:t xml:space="preserve"> 517 U.S. 620, 633 (1996), and </w:t>
      </w:r>
      <w:r w:rsidRPr="00222A61">
        <w:rPr>
          <w:i/>
          <w:iCs/>
          <w:sz w:val="28"/>
          <w:szCs w:val="28"/>
        </w:rPr>
        <w:t>Louisville Gas &amp; Elec. Co. v. Coleman,</w:t>
      </w:r>
      <w:r w:rsidRPr="00222A61">
        <w:rPr>
          <w:sz w:val="28"/>
          <w:szCs w:val="28"/>
        </w:rPr>
        <w:t xml:space="preserve"> 277 U.S. 32, 37-38 (1928)), without expressly adopting a standard of heightened scrutiny for discrimination based on sexual orientation.</w:t>
      </w:r>
    </w:p>
  </w:footnote>
  <w:footnote w:id="11">
    <w:p w14:paraId="5D370AE6" w14:textId="77777777" w:rsidR="00222A61" w:rsidRPr="00222A61" w:rsidRDefault="00222A61" w:rsidP="00222A61">
      <w:pPr>
        <w:pStyle w:val="FootnoteText"/>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Windsor</w:t>
      </w:r>
      <w:r w:rsidRPr="00222A61">
        <w:rPr>
          <w:sz w:val="28"/>
          <w:szCs w:val="28"/>
        </w:rPr>
        <w:t xml:space="preserve"> at 794 (Scalia, dissenting) (emphasis in original).</w:t>
      </w:r>
    </w:p>
  </w:footnote>
  <w:footnote w:id="12">
    <w:p w14:paraId="23AA041B" w14:textId="77777777"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SmithKline Beecham Corp. v. Abbott Laboratories,</w:t>
      </w:r>
      <w:r w:rsidRPr="00222A61">
        <w:rPr>
          <w:sz w:val="28"/>
          <w:szCs w:val="28"/>
        </w:rPr>
        <w:t xml:space="preserve"> 740 F. 3d 471, 484 (9th Cir. 2014).</w:t>
      </w:r>
    </w:p>
  </w:footnote>
  <w:footnote w:id="13">
    <w:p w14:paraId="4C6C3E86" w14:textId="77777777" w:rsidR="00222A61" w:rsidRPr="00C247E2" w:rsidRDefault="00222A61" w:rsidP="00222A61">
      <w:pPr>
        <w:pStyle w:val="FootnoteText"/>
        <w:rPr>
          <w:i/>
          <w:iCs/>
          <w:sz w:val="26"/>
          <w:szCs w:val="26"/>
        </w:rPr>
      </w:pPr>
      <w:r w:rsidRPr="00222A61">
        <w:rPr>
          <w:rStyle w:val="FootnoteReference"/>
          <w:sz w:val="28"/>
          <w:szCs w:val="28"/>
        </w:rPr>
        <w:footnoteRef/>
      </w:r>
      <w:r w:rsidRPr="00222A61">
        <w:rPr>
          <w:sz w:val="28"/>
          <w:szCs w:val="28"/>
        </w:rPr>
        <w:t xml:space="preserve"> </w:t>
      </w:r>
      <w:r w:rsidRPr="00222A61">
        <w:rPr>
          <w:i/>
          <w:iCs/>
          <w:sz w:val="28"/>
          <w:szCs w:val="28"/>
        </w:rPr>
        <w:t>Id.</w:t>
      </w:r>
    </w:p>
  </w:footnote>
  <w:footnote w:id="14">
    <w:p w14:paraId="6FA775CA" w14:textId="77777777" w:rsidR="00222A61" w:rsidRPr="00222A61" w:rsidRDefault="00222A61" w:rsidP="00222A61">
      <w:pPr>
        <w:pStyle w:val="FootnoteText"/>
        <w:rPr>
          <w:sz w:val="28"/>
          <w:szCs w:val="28"/>
        </w:rPr>
      </w:pPr>
      <w:r w:rsidRPr="00222A61">
        <w:rPr>
          <w:rStyle w:val="FootnoteReference"/>
          <w:sz w:val="28"/>
          <w:szCs w:val="28"/>
        </w:rPr>
        <w:footnoteRef/>
      </w:r>
      <w:r w:rsidRPr="00222A61">
        <w:rPr>
          <w:sz w:val="28"/>
          <w:szCs w:val="28"/>
        </w:rPr>
        <w:t xml:space="preserve"> </w:t>
      </w:r>
      <w:r w:rsidRPr="00222A61">
        <w:rPr>
          <w:bCs/>
          <w:i/>
          <w:iCs/>
          <w:sz w:val="28"/>
          <w:szCs w:val="28"/>
        </w:rPr>
        <w:t xml:space="preserve">Johnson v. California, </w:t>
      </w:r>
      <w:r w:rsidRPr="00222A61">
        <w:rPr>
          <w:bCs/>
          <w:sz w:val="28"/>
          <w:szCs w:val="28"/>
        </w:rPr>
        <w:t>545 U.S. 162, 172 (2005).</w:t>
      </w:r>
    </w:p>
  </w:footnote>
  <w:footnote w:id="15">
    <w:p w14:paraId="065EC1CB" w14:textId="77777777"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Batson v. Kentucky, </w:t>
      </w:r>
      <w:r w:rsidRPr="00222A61">
        <w:rPr>
          <w:sz w:val="28"/>
          <w:szCs w:val="28"/>
        </w:rPr>
        <w:t>476 U.S. at 106 (Marshall, J. concurring).</w:t>
      </w:r>
    </w:p>
  </w:footnote>
  <w:footnote w:id="16">
    <w:p w14:paraId="7C3D4283" w14:textId="77777777"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Alma S. v. Dep’t of Child Safety, </w:t>
      </w:r>
      <w:r w:rsidRPr="00222A61">
        <w:rPr>
          <w:sz w:val="28"/>
          <w:szCs w:val="28"/>
        </w:rPr>
        <w:t>245 Ariz. 146, 148 ¶ 1 (2018).</w:t>
      </w:r>
    </w:p>
  </w:footnote>
  <w:footnote w:id="17">
    <w:p w14:paraId="552D9D84" w14:textId="77777777"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State v. Escalante, </w:t>
      </w:r>
      <w:r w:rsidRPr="00222A61">
        <w:rPr>
          <w:sz w:val="28"/>
          <w:szCs w:val="28"/>
        </w:rPr>
        <w:t>245 Ariz. 135,</w:t>
      </w:r>
      <w:r w:rsidRPr="00222A61">
        <w:rPr>
          <w:i/>
          <w:iCs/>
          <w:sz w:val="28"/>
          <w:szCs w:val="28"/>
        </w:rPr>
        <w:t xml:space="preserve"> </w:t>
      </w:r>
      <w:r w:rsidRPr="00222A61">
        <w:rPr>
          <w:sz w:val="28"/>
          <w:szCs w:val="28"/>
        </w:rPr>
        <w:t xml:space="preserve">142 </w:t>
      </w:r>
      <w:r w:rsidRPr="00222A61">
        <w:rPr>
          <w:color w:val="3D3D3D"/>
          <w:sz w:val="28"/>
          <w:szCs w:val="28"/>
        </w:rPr>
        <w:t>¶ 21 (2018).</w:t>
      </w:r>
    </w:p>
  </w:footnote>
  <w:footnote w:id="18">
    <w:p w14:paraId="5200A998" w14:textId="1F3E3DCF" w:rsidR="00222A61" w:rsidRPr="00222A61" w:rsidRDefault="00222A61" w:rsidP="00222A61">
      <w:pPr>
        <w:pStyle w:val="FootnoteText"/>
        <w:spacing w:after="120"/>
        <w:jc w:val="both"/>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See, e.g., </w:t>
      </w:r>
      <w:r w:rsidRPr="00222A61">
        <w:rPr>
          <w:i/>
          <w:iCs/>
          <w:color w:val="3D3D3D"/>
          <w:sz w:val="28"/>
          <w:szCs w:val="28"/>
        </w:rPr>
        <w:t xml:space="preserve">Bird v. Rothman, </w:t>
      </w:r>
      <w:r w:rsidRPr="00222A61">
        <w:rPr>
          <w:color w:val="3D3D3D"/>
          <w:sz w:val="28"/>
          <w:szCs w:val="28"/>
        </w:rPr>
        <w:t xml:space="preserve">128 Ariz. 599, 602 (App. 1981) (Whether facts in a malicious prosecution case are sufficient to constitute probable cause is determined using a reasonable person test.); </w:t>
      </w:r>
      <w:r w:rsidRPr="00222A61">
        <w:rPr>
          <w:i/>
          <w:iCs/>
          <w:color w:val="3D3D3D"/>
          <w:sz w:val="28"/>
          <w:szCs w:val="28"/>
        </w:rPr>
        <w:t xml:space="preserve">Ariz. Dept. of Revenue v. Arizona Outdoor Advertisers, </w:t>
      </w:r>
      <w:r w:rsidRPr="00222A61">
        <w:rPr>
          <w:color w:val="3D3D3D"/>
          <w:sz w:val="28"/>
          <w:szCs w:val="28"/>
        </w:rPr>
        <w:t>202 Ariz</w:t>
      </w:r>
      <w:r>
        <w:rPr>
          <w:color w:val="3D3D3D"/>
          <w:sz w:val="26"/>
          <w:szCs w:val="26"/>
        </w:rPr>
        <w:t xml:space="preserve">. </w:t>
      </w:r>
      <w:r w:rsidRPr="00222A61">
        <w:rPr>
          <w:color w:val="3D3D3D"/>
          <w:sz w:val="28"/>
          <w:szCs w:val="28"/>
        </w:rPr>
        <w:t>93, 100 ¶ 38 (App. 2002) (Reasonable person test used to determine the existence of a fixture</w:t>
      </w:r>
      <w:r w:rsidR="005307D7">
        <w:rPr>
          <w:color w:val="3D3D3D"/>
          <w:sz w:val="28"/>
          <w:szCs w:val="28"/>
        </w:rPr>
        <w:t>.</w:t>
      </w:r>
      <w:r w:rsidRPr="00222A61">
        <w:rPr>
          <w:color w:val="3D3D3D"/>
          <w:sz w:val="28"/>
          <w:szCs w:val="28"/>
        </w:rPr>
        <w:t>).</w:t>
      </w:r>
    </w:p>
  </w:footnote>
  <w:footnote w:id="19">
    <w:p w14:paraId="7E77017C" w14:textId="77777777" w:rsidR="00222A61" w:rsidRPr="00222A61" w:rsidRDefault="00222A61" w:rsidP="00222A61">
      <w:pPr>
        <w:spacing w:after="120" w:line="240" w:lineRule="auto"/>
        <w:jc w:val="both"/>
        <w:rPr>
          <w:sz w:val="28"/>
          <w:szCs w:val="28"/>
        </w:rPr>
      </w:pPr>
      <w:r w:rsidRPr="00222A61">
        <w:rPr>
          <w:rStyle w:val="FootnoteReference"/>
          <w:sz w:val="28"/>
          <w:szCs w:val="28"/>
        </w:rPr>
        <w:footnoteRef/>
      </w:r>
      <w:r w:rsidRPr="00222A61">
        <w:rPr>
          <w:sz w:val="28"/>
          <w:szCs w:val="28"/>
        </w:rPr>
        <w:t xml:space="preserve"> </w:t>
      </w:r>
      <w:r w:rsidRPr="00222A61">
        <w:rPr>
          <w:bCs/>
          <w:i/>
          <w:iCs/>
          <w:sz w:val="28"/>
          <w:szCs w:val="28"/>
        </w:rPr>
        <w:t xml:space="preserve">State v. Lang, </w:t>
      </w:r>
      <w:r w:rsidRPr="00222A61">
        <w:rPr>
          <w:bCs/>
          <w:sz w:val="28"/>
          <w:szCs w:val="28"/>
        </w:rPr>
        <w:t xml:space="preserve">176 Ariz. 475, 482 (App. 1993), citing </w:t>
      </w:r>
      <w:r w:rsidRPr="00222A61">
        <w:rPr>
          <w:bCs/>
          <w:i/>
          <w:iCs/>
          <w:sz w:val="28"/>
          <w:szCs w:val="28"/>
        </w:rPr>
        <w:t xml:space="preserve">Marino v. Vasquez, </w:t>
      </w:r>
      <w:r w:rsidRPr="00222A61">
        <w:rPr>
          <w:bCs/>
          <w:sz w:val="28"/>
          <w:szCs w:val="28"/>
        </w:rPr>
        <w:t>812 F.2d 499 (9</w:t>
      </w:r>
      <w:r w:rsidRPr="00222A61">
        <w:rPr>
          <w:bCs/>
          <w:sz w:val="28"/>
          <w:szCs w:val="28"/>
          <w:vertAlign w:val="superscript"/>
        </w:rPr>
        <w:t>th</w:t>
      </w:r>
      <w:r w:rsidRPr="00222A61">
        <w:rPr>
          <w:bCs/>
          <w:sz w:val="28"/>
          <w:szCs w:val="28"/>
        </w:rPr>
        <w:t xml:space="preserve"> Cir. 1987).</w:t>
      </w:r>
    </w:p>
  </w:footnote>
  <w:footnote w:id="20">
    <w:p w14:paraId="3680E703" w14:textId="77777777" w:rsidR="00222A61" w:rsidRPr="00222A61" w:rsidRDefault="00222A61" w:rsidP="00222A61">
      <w:pPr>
        <w:pStyle w:val="Body"/>
        <w:widowControl w:val="0"/>
        <w:spacing w:after="120" w:line="240" w:lineRule="auto"/>
        <w:ind w:firstLine="0"/>
        <w:jc w:val="both"/>
        <w:rPr>
          <w:bCs/>
          <w:sz w:val="28"/>
          <w:szCs w:val="28"/>
        </w:rPr>
      </w:pPr>
      <w:r w:rsidRPr="00222A61">
        <w:rPr>
          <w:rStyle w:val="FootnoteReference"/>
          <w:sz w:val="28"/>
          <w:szCs w:val="28"/>
        </w:rPr>
        <w:footnoteRef/>
      </w:r>
      <w:r w:rsidRPr="00222A61">
        <w:rPr>
          <w:sz w:val="28"/>
          <w:szCs w:val="28"/>
        </w:rPr>
        <w:t xml:space="preserve"> </w:t>
      </w:r>
      <w:r w:rsidRPr="00222A61">
        <w:rPr>
          <w:bCs/>
          <w:i/>
          <w:iCs/>
          <w:sz w:val="28"/>
          <w:szCs w:val="28"/>
        </w:rPr>
        <w:t xml:space="preserve">State v. Moody, </w:t>
      </w:r>
      <w:r w:rsidRPr="00222A61">
        <w:rPr>
          <w:bCs/>
          <w:sz w:val="28"/>
          <w:szCs w:val="28"/>
        </w:rPr>
        <w:t xml:space="preserve">208 Ariz. 424, 459 </w:t>
      </w:r>
      <w:r w:rsidRPr="00222A61">
        <w:rPr>
          <w:color w:val="3D3D3D"/>
          <w:sz w:val="28"/>
          <w:szCs w:val="28"/>
        </w:rPr>
        <w:t>¶145 (2004).</w:t>
      </w:r>
    </w:p>
  </w:footnote>
  <w:footnote w:id="21">
    <w:p w14:paraId="0A2B2666" w14:textId="77777777" w:rsidR="00222A61" w:rsidRPr="00871808" w:rsidRDefault="00222A61" w:rsidP="00222A61">
      <w:pPr>
        <w:pStyle w:val="Body"/>
        <w:widowControl w:val="0"/>
        <w:spacing w:after="120" w:line="240" w:lineRule="auto"/>
        <w:ind w:firstLine="0"/>
        <w:jc w:val="both"/>
        <w:rPr>
          <w:szCs w:val="26"/>
        </w:rPr>
      </w:pPr>
      <w:r w:rsidRPr="00222A61">
        <w:rPr>
          <w:rStyle w:val="FootnoteReference"/>
          <w:sz w:val="28"/>
          <w:szCs w:val="28"/>
        </w:rPr>
        <w:footnoteRef/>
      </w:r>
      <w:r w:rsidRPr="00222A61">
        <w:rPr>
          <w:sz w:val="28"/>
          <w:szCs w:val="28"/>
        </w:rPr>
        <w:t xml:space="preserve"> </w:t>
      </w:r>
      <w:r w:rsidRPr="00155340">
        <w:rPr>
          <w:i/>
          <w:iCs/>
          <w:color w:val="000000" w:themeColor="text1"/>
          <w:sz w:val="28"/>
          <w:szCs w:val="28"/>
        </w:rPr>
        <w:t>Batson v. Kentucky</w:t>
      </w:r>
      <w:r w:rsidRPr="00222A61">
        <w:rPr>
          <w:i/>
          <w:iCs/>
          <w:color w:val="3D3D3D"/>
          <w:sz w:val="28"/>
          <w:szCs w:val="28"/>
        </w:rPr>
        <w:t xml:space="preserve">, </w:t>
      </w:r>
      <w:r w:rsidRPr="00222A61">
        <w:rPr>
          <w:color w:val="3D3D3D"/>
          <w:sz w:val="28"/>
          <w:szCs w:val="28"/>
        </w:rPr>
        <w:t>476 U.S. 79, 96-97 (1986).</w:t>
      </w:r>
    </w:p>
  </w:footnote>
  <w:footnote w:id="22">
    <w:p w14:paraId="346CD565" w14:textId="77777777"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Batson, </w:t>
      </w:r>
      <w:r w:rsidRPr="00222A61">
        <w:rPr>
          <w:sz w:val="28"/>
          <w:szCs w:val="28"/>
        </w:rPr>
        <w:t>476 U.S. at 97.</w:t>
      </w:r>
    </w:p>
  </w:footnote>
  <w:footnote w:id="23">
    <w:p w14:paraId="4E436253" w14:textId="77777777"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color w:val="3D3D3D"/>
          <w:sz w:val="28"/>
          <w:szCs w:val="28"/>
        </w:rPr>
        <w:t xml:space="preserve">Miller-El v. </w:t>
      </w:r>
      <w:proofErr w:type="spellStart"/>
      <w:r w:rsidRPr="00222A61">
        <w:rPr>
          <w:i/>
          <w:iCs/>
          <w:color w:val="3D3D3D"/>
          <w:sz w:val="28"/>
          <w:szCs w:val="28"/>
        </w:rPr>
        <w:t>Dretke</w:t>
      </w:r>
      <w:proofErr w:type="spellEnd"/>
      <w:r w:rsidRPr="00222A61">
        <w:rPr>
          <w:i/>
          <w:iCs/>
          <w:color w:val="3D3D3D"/>
          <w:sz w:val="28"/>
          <w:szCs w:val="28"/>
        </w:rPr>
        <w:t xml:space="preserve">, </w:t>
      </w:r>
      <w:r w:rsidRPr="00222A61">
        <w:rPr>
          <w:color w:val="3D3D3D"/>
          <w:sz w:val="28"/>
          <w:szCs w:val="28"/>
        </w:rPr>
        <w:t xml:space="preserve">545 U.S. 231, 232 (2005).  </w:t>
      </w:r>
    </w:p>
  </w:footnote>
  <w:footnote w:id="24">
    <w:p w14:paraId="0A1FF3CE" w14:textId="77777777" w:rsidR="00222A61" w:rsidRPr="00222A61" w:rsidRDefault="00222A61" w:rsidP="00222A61">
      <w:pPr>
        <w:pStyle w:val="FootnoteText"/>
        <w:spacing w:after="120"/>
        <w:rPr>
          <w:sz w:val="28"/>
          <w:szCs w:val="28"/>
        </w:rPr>
      </w:pPr>
      <w:r w:rsidRPr="00222A61">
        <w:rPr>
          <w:rStyle w:val="FootnoteReference"/>
          <w:sz w:val="28"/>
          <w:szCs w:val="28"/>
        </w:rPr>
        <w:footnoteRef/>
      </w:r>
      <w:r w:rsidRPr="00222A61">
        <w:rPr>
          <w:sz w:val="28"/>
          <w:szCs w:val="28"/>
        </w:rPr>
        <w:t xml:space="preserve"> </w:t>
      </w:r>
      <w:r w:rsidRPr="00222A61">
        <w:rPr>
          <w:i/>
          <w:iCs/>
          <w:color w:val="3D3D3D"/>
          <w:sz w:val="28"/>
          <w:szCs w:val="28"/>
        </w:rPr>
        <w:t xml:space="preserve">Miller-El v. </w:t>
      </w:r>
      <w:proofErr w:type="spellStart"/>
      <w:r w:rsidRPr="00222A61">
        <w:rPr>
          <w:i/>
          <w:iCs/>
          <w:color w:val="3D3D3D"/>
          <w:sz w:val="28"/>
          <w:szCs w:val="28"/>
        </w:rPr>
        <w:t>Dretke</w:t>
      </w:r>
      <w:proofErr w:type="spellEnd"/>
      <w:r w:rsidRPr="00222A61">
        <w:rPr>
          <w:i/>
          <w:iCs/>
          <w:color w:val="3D3D3D"/>
          <w:sz w:val="28"/>
          <w:szCs w:val="28"/>
        </w:rPr>
        <w:t xml:space="preserve">, </w:t>
      </w:r>
      <w:r w:rsidRPr="00222A61">
        <w:rPr>
          <w:color w:val="3D3D3D"/>
          <w:sz w:val="28"/>
          <w:szCs w:val="28"/>
        </w:rPr>
        <w:t>545 U.S. at 233.</w:t>
      </w:r>
    </w:p>
  </w:footnote>
  <w:footnote w:id="25">
    <w:p w14:paraId="06D8DDA9" w14:textId="77777777" w:rsidR="00222A61" w:rsidRPr="00942E79" w:rsidRDefault="00222A61" w:rsidP="00222A61">
      <w:pPr>
        <w:pStyle w:val="FootnoteText"/>
        <w:spacing w:after="120"/>
        <w:jc w:val="both"/>
        <w:rPr>
          <w:sz w:val="26"/>
          <w:szCs w:val="26"/>
        </w:rPr>
      </w:pPr>
      <w:r w:rsidRPr="00222A61">
        <w:rPr>
          <w:rStyle w:val="FootnoteReference"/>
          <w:sz w:val="28"/>
          <w:szCs w:val="28"/>
        </w:rPr>
        <w:footnoteRef/>
      </w:r>
      <w:r w:rsidRPr="00222A61">
        <w:rPr>
          <w:sz w:val="28"/>
          <w:szCs w:val="28"/>
        </w:rPr>
        <w:t xml:space="preserve"> </w:t>
      </w:r>
      <w:r w:rsidRPr="00222A61">
        <w:rPr>
          <w:i/>
          <w:iCs/>
          <w:sz w:val="28"/>
          <w:szCs w:val="28"/>
        </w:rPr>
        <w:t xml:space="preserve">See, e.g., </w:t>
      </w:r>
      <w:r w:rsidRPr="00222A61">
        <w:rPr>
          <w:i/>
          <w:iCs/>
          <w:color w:val="3D3D3D"/>
          <w:sz w:val="28"/>
          <w:szCs w:val="28"/>
        </w:rPr>
        <w:t xml:space="preserve">Miller-El v. </w:t>
      </w:r>
      <w:proofErr w:type="spellStart"/>
      <w:r w:rsidRPr="00222A61">
        <w:rPr>
          <w:i/>
          <w:iCs/>
          <w:color w:val="3D3D3D"/>
          <w:sz w:val="28"/>
          <w:szCs w:val="28"/>
        </w:rPr>
        <w:t>Dretke</w:t>
      </w:r>
      <w:proofErr w:type="spellEnd"/>
      <w:r w:rsidRPr="00222A61">
        <w:rPr>
          <w:i/>
          <w:iCs/>
          <w:color w:val="3D3D3D"/>
          <w:sz w:val="28"/>
          <w:szCs w:val="28"/>
        </w:rPr>
        <w:t xml:space="preserve">, </w:t>
      </w:r>
      <w:r w:rsidRPr="00222A61">
        <w:rPr>
          <w:color w:val="3D3D3D"/>
          <w:sz w:val="28"/>
          <w:szCs w:val="28"/>
        </w:rPr>
        <w:t>545 U.S. at 263 (Court considered the fact that the Dallas County District Attorney’s office had for decades “followed a specific policy of systematically excluding blacks from juries.”).</w:t>
      </w:r>
    </w:p>
  </w:footnote>
  <w:footnote w:id="26">
    <w:p w14:paraId="48BC5C3C" w14:textId="77777777" w:rsidR="00222A61" w:rsidRPr="00222A61" w:rsidRDefault="00222A61" w:rsidP="00222A61">
      <w:pPr>
        <w:pStyle w:val="FootnoteText"/>
        <w:jc w:val="both"/>
        <w:rPr>
          <w:sz w:val="28"/>
          <w:szCs w:val="28"/>
        </w:rPr>
      </w:pPr>
      <w:r w:rsidRPr="00222A61">
        <w:rPr>
          <w:rStyle w:val="FootnoteReference"/>
          <w:sz w:val="28"/>
          <w:szCs w:val="28"/>
        </w:rPr>
        <w:footnoteRef/>
      </w:r>
      <w:r w:rsidRPr="00222A61">
        <w:rPr>
          <w:sz w:val="28"/>
          <w:szCs w:val="28"/>
        </w:rPr>
        <w:t xml:space="preserve"> Petition at pp. 16-18; </w:t>
      </w:r>
      <w:r w:rsidRPr="00222A61">
        <w:rPr>
          <w:i/>
          <w:iCs/>
          <w:sz w:val="28"/>
          <w:szCs w:val="28"/>
        </w:rPr>
        <w:t xml:space="preserve">See, also, e.g., </w:t>
      </w:r>
      <w:r w:rsidRPr="00222A61">
        <w:rPr>
          <w:sz w:val="28"/>
          <w:szCs w:val="28"/>
        </w:rPr>
        <w:t xml:space="preserve">Vida B. Johnson, </w:t>
      </w:r>
      <w:r w:rsidRPr="00222A61">
        <w:rPr>
          <w:i/>
          <w:iCs/>
          <w:sz w:val="28"/>
          <w:szCs w:val="28"/>
        </w:rPr>
        <w:t xml:space="preserve">Arresting Batson: How Striking Jurors Based on Arrest Records Violates Batson, </w:t>
      </w:r>
      <w:r w:rsidRPr="00222A61">
        <w:rPr>
          <w:sz w:val="28"/>
          <w:szCs w:val="28"/>
        </w:rPr>
        <w:t xml:space="preserve">34 Yale L. &amp; </w:t>
      </w:r>
      <w:proofErr w:type="spellStart"/>
      <w:r w:rsidRPr="00222A61">
        <w:rPr>
          <w:sz w:val="28"/>
          <w:szCs w:val="28"/>
        </w:rPr>
        <w:t>Pl’y</w:t>
      </w:r>
      <w:proofErr w:type="spellEnd"/>
      <w:r w:rsidRPr="00222A61">
        <w:rPr>
          <w:sz w:val="28"/>
          <w:szCs w:val="28"/>
        </w:rPr>
        <w:t xml:space="preserve"> Rev. 387, 394 (2016) (“[S]</w:t>
      </w:r>
      <w:proofErr w:type="spellStart"/>
      <w:r w:rsidRPr="00222A61">
        <w:rPr>
          <w:sz w:val="28"/>
          <w:szCs w:val="28"/>
        </w:rPr>
        <w:t>tudies</w:t>
      </w:r>
      <w:proofErr w:type="spellEnd"/>
      <w:r w:rsidRPr="00222A61">
        <w:rPr>
          <w:sz w:val="28"/>
          <w:szCs w:val="28"/>
        </w:rPr>
        <w:t xml:space="preserve"> verify the prominent impact of negative police contacts on the citizenry’s general perceptions of fairness and bias in our justice system.”).</w:t>
      </w:r>
    </w:p>
  </w:footnote>
  <w:footnote w:id="27">
    <w:p w14:paraId="7D2B3A57" w14:textId="77777777" w:rsidR="00222A61" w:rsidRPr="002E05BC" w:rsidRDefault="00222A61" w:rsidP="00222A61">
      <w:pPr>
        <w:rPr>
          <w:sz w:val="26"/>
          <w:szCs w:val="26"/>
        </w:rPr>
      </w:pPr>
      <w:r w:rsidRPr="00222A61">
        <w:rPr>
          <w:rStyle w:val="FootnoteReference"/>
          <w:sz w:val="28"/>
          <w:szCs w:val="28"/>
        </w:rPr>
        <w:footnoteRef/>
      </w:r>
      <w:r w:rsidRPr="00222A61">
        <w:rPr>
          <w:sz w:val="28"/>
          <w:szCs w:val="28"/>
        </w:rPr>
        <w:t xml:space="preserve"> ___ Ariz. ___ (App. 2021), 1-CA-CR 19-0214 (Filed March 9, 2021).</w:t>
      </w:r>
    </w:p>
  </w:footnote>
  <w:footnote w:id="28">
    <w:p w14:paraId="7E6A25EB" w14:textId="77777777" w:rsidR="00222A61" w:rsidRPr="00222A61" w:rsidRDefault="00222A61" w:rsidP="00222A61">
      <w:pPr>
        <w:pStyle w:val="FootnoteText"/>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Id., </w:t>
      </w:r>
      <w:r w:rsidRPr="00222A61">
        <w:rPr>
          <w:sz w:val="28"/>
          <w:szCs w:val="28"/>
        </w:rPr>
        <w:t xml:space="preserve">Slip Op. at 2 </w:t>
      </w:r>
      <w:r w:rsidRPr="00222A61">
        <w:rPr>
          <w:color w:val="3D3D3D"/>
          <w:sz w:val="28"/>
          <w:szCs w:val="28"/>
        </w:rPr>
        <w:t>¶ 1</w:t>
      </w:r>
      <w:r w:rsidRPr="00222A61">
        <w:rPr>
          <w:sz w:val="28"/>
          <w:szCs w:val="28"/>
        </w:rPr>
        <w:t>.</w:t>
      </w:r>
    </w:p>
  </w:footnote>
  <w:footnote w:id="29">
    <w:p w14:paraId="493DB490" w14:textId="77777777" w:rsidR="00222A61" w:rsidRPr="00222A61" w:rsidRDefault="00222A61" w:rsidP="00222A61">
      <w:pPr>
        <w:pStyle w:val="FootnoteText"/>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Id</w:t>
      </w:r>
      <w:r w:rsidRPr="00222A61">
        <w:rPr>
          <w:sz w:val="28"/>
          <w:szCs w:val="28"/>
        </w:rPr>
        <w:t xml:space="preserve">. at pp. 3 </w:t>
      </w:r>
      <w:r w:rsidRPr="00222A61">
        <w:rPr>
          <w:color w:val="3D3D3D"/>
          <w:sz w:val="28"/>
          <w:szCs w:val="28"/>
        </w:rPr>
        <w:t>¶¶ 6-7, 4 ¶¶</w:t>
      </w:r>
      <w:r w:rsidRPr="00222A61">
        <w:rPr>
          <w:sz w:val="28"/>
          <w:szCs w:val="28"/>
        </w:rPr>
        <w:t xml:space="preserve"> 10-11, 9 </w:t>
      </w:r>
      <w:r w:rsidRPr="00222A61">
        <w:rPr>
          <w:color w:val="3D3D3D"/>
          <w:sz w:val="28"/>
          <w:szCs w:val="28"/>
        </w:rPr>
        <w:t>¶</w:t>
      </w:r>
      <w:r w:rsidRPr="00222A61">
        <w:rPr>
          <w:sz w:val="28"/>
          <w:szCs w:val="28"/>
        </w:rPr>
        <w:t>26.</w:t>
      </w:r>
    </w:p>
  </w:footnote>
  <w:footnote w:id="30">
    <w:p w14:paraId="5F44CC75" w14:textId="77777777" w:rsidR="00222A61" w:rsidRPr="00222A61" w:rsidRDefault="00222A61" w:rsidP="00222A61">
      <w:pPr>
        <w:pStyle w:val="FootnoteText"/>
        <w:rPr>
          <w:sz w:val="28"/>
          <w:szCs w:val="28"/>
        </w:rPr>
      </w:pPr>
      <w:r w:rsidRPr="00222A61">
        <w:rPr>
          <w:rStyle w:val="FootnoteReference"/>
          <w:sz w:val="28"/>
          <w:szCs w:val="28"/>
        </w:rPr>
        <w:footnoteRef/>
      </w:r>
      <w:r w:rsidRPr="00222A61">
        <w:rPr>
          <w:sz w:val="28"/>
          <w:szCs w:val="28"/>
        </w:rPr>
        <w:t xml:space="preserve"> </w:t>
      </w:r>
      <w:r w:rsidRPr="00222A61">
        <w:rPr>
          <w:i/>
          <w:iCs/>
          <w:sz w:val="28"/>
          <w:szCs w:val="28"/>
        </w:rPr>
        <w:t xml:space="preserve">Id. </w:t>
      </w:r>
      <w:r w:rsidRPr="00222A61">
        <w:rPr>
          <w:sz w:val="28"/>
          <w:szCs w:val="28"/>
        </w:rPr>
        <w:t xml:space="preserve">at pp. 6 </w:t>
      </w:r>
      <w:r w:rsidRPr="00222A61">
        <w:rPr>
          <w:color w:val="3D3D3D"/>
          <w:sz w:val="28"/>
          <w:szCs w:val="28"/>
        </w:rPr>
        <w:t xml:space="preserve">¶ </w:t>
      </w:r>
      <w:r w:rsidRPr="00222A61">
        <w:rPr>
          <w:sz w:val="28"/>
          <w:szCs w:val="28"/>
        </w:rPr>
        <w:t xml:space="preserve">24, 10-11 </w:t>
      </w:r>
      <w:r w:rsidRPr="00222A61">
        <w:rPr>
          <w:color w:val="3D3D3D"/>
          <w:sz w:val="28"/>
          <w:szCs w:val="28"/>
        </w:rPr>
        <w:t>¶¶ 27-30.</w:t>
      </w:r>
    </w:p>
  </w:footnote>
  <w:footnote w:id="31">
    <w:p w14:paraId="6D647DAB" w14:textId="1603B6EE" w:rsidR="00222A61" w:rsidRPr="005A6112" w:rsidRDefault="00222A61" w:rsidP="00222A61">
      <w:pPr>
        <w:pStyle w:val="FootnoteText"/>
        <w:rPr>
          <w:sz w:val="26"/>
          <w:szCs w:val="26"/>
        </w:rPr>
      </w:pPr>
      <w:r w:rsidRPr="00222A61">
        <w:rPr>
          <w:rStyle w:val="FootnoteReference"/>
          <w:sz w:val="28"/>
          <w:szCs w:val="28"/>
        </w:rPr>
        <w:footnoteRef/>
      </w:r>
      <w:r w:rsidRPr="00222A61">
        <w:rPr>
          <w:sz w:val="28"/>
          <w:szCs w:val="28"/>
        </w:rPr>
        <w:t xml:space="preserve"> </w:t>
      </w:r>
      <w:r w:rsidRPr="00222A61">
        <w:rPr>
          <w:i/>
          <w:iCs/>
          <w:sz w:val="28"/>
          <w:szCs w:val="28"/>
        </w:rPr>
        <w:t xml:space="preserve">See </w:t>
      </w:r>
      <w:r w:rsidRPr="00222A61">
        <w:rPr>
          <w:sz w:val="28"/>
          <w:szCs w:val="28"/>
        </w:rPr>
        <w:t>Proposed Rule, Subsection H, Reliance on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D5E9"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0D45"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6417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4D730B"/>
    <w:multiLevelType w:val="hybridMultilevel"/>
    <w:tmpl w:val="5314AE54"/>
    <w:lvl w:ilvl="0" w:tplc="4BE888D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81C1A"/>
    <w:multiLevelType w:val="hybridMultilevel"/>
    <w:tmpl w:val="C4241FF8"/>
    <w:lvl w:ilvl="0" w:tplc="0B088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5"/>
  </w:num>
  <w:num w:numId="5">
    <w:abstractNumId w:val="7"/>
  </w:num>
  <w:num w:numId="6">
    <w:abstractNumId w:val="8"/>
  </w:num>
  <w:num w:numId="7">
    <w:abstractNumId w:val="2"/>
  </w:num>
  <w:num w:numId="8">
    <w:abstractNumId w:val="15"/>
  </w:num>
  <w:num w:numId="9">
    <w:abstractNumId w:val="9"/>
  </w:num>
  <w:num w:numId="10">
    <w:abstractNumId w:val="12"/>
  </w:num>
  <w:num w:numId="11">
    <w:abstractNumId w:val="11"/>
  </w:num>
  <w:num w:numId="12">
    <w:abstractNumId w:val="6"/>
  </w:num>
  <w:num w:numId="13">
    <w:abstractNumId w:val="3"/>
  </w:num>
  <w:num w:numId="14">
    <w:abstractNumId w:val="4"/>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2066"/>
    <w:rsid w:val="00023B61"/>
    <w:rsid w:val="000410B3"/>
    <w:rsid w:val="00043D4D"/>
    <w:rsid w:val="00052372"/>
    <w:rsid w:val="000666D1"/>
    <w:rsid w:val="0008003D"/>
    <w:rsid w:val="000917C0"/>
    <w:rsid w:val="000A1D6B"/>
    <w:rsid w:val="000C48A9"/>
    <w:rsid w:val="000F7A7F"/>
    <w:rsid w:val="000F7C13"/>
    <w:rsid w:val="00135326"/>
    <w:rsid w:val="00155340"/>
    <w:rsid w:val="001A2520"/>
    <w:rsid w:val="001E2220"/>
    <w:rsid w:val="001F591C"/>
    <w:rsid w:val="002046E3"/>
    <w:rsid w:val="00207336"/>
    <w:rsid w:val="00222A61"/>
    <w:rsid w:val="00274D6A"/>
    <w:rsid w:val="002A3173"/>
    <w:rsid w:val="00352347"/>
    <w:rsid w:val="003566D6"/>
    <w:rsid w:val="00357F4D"/>
    <w:rsid w:val="003617D1"/>
    <w:rsid w:val="00377199"/>
    <w:rsid w:val="003905F7"/>
    <w:rsid w:val="003A28AC"/>
    <w:rsid w:val="003E378F"/>
    <w:rsid w:val="00407E2D"/>
    <w:rsid w:val="004331B2"/>
    <w:rsid w:val="00440E4C"/>
    <w:rsid w:val="00463734"/>
    <w:rsid w:val="00494BDF"/>
    <w:rsid w:val="00496BC0"/>
    <w:rsid w:val="004C3AE3"/>
    <w:rsid w:val="00504E1E"/>
    <w:rsid w:val="00506859"/>
    <w:rsid w:val="00520F93"/>
    <w:rsid w:val="005307D7"/>
    <w:rsid w:val="00566856"/>
    <w:rsid w:val="005845AE"/>
    <w:rsid w:val="005A21B0"/>
    <w:rsid w:val="005B5161"/>
    <w:rsid w:val="005C2EDC"/>
    <w:rsid w:val="005D6AD4"/>
    <w:rsid w:val="006338C1"/>
    <w:rsid w:val="00636F5E"/>
    <w:rsid w:val="00665CCF"/>
    <w:rsid w:val="006666D1"/>
    <w:rsid w:val="006721EC"/>
    <w:rsid w:val="006766BF"/>
    <w:rsid w:val="00692391"/>
    <w:rsid w:val="006932BA"/>
    <w:rsid w:val="006B4F9A"/>
    <w:rsid w:val="006D6425"/>
    <w:rsid w:val="006E4770"/>
    <w:rsid w:val="006F63FD"/>
    <w:rsid w:val="007046C5"/>
    <w:rsid w:val="00732169"/>
    <w:rsid w:val="00735659"/>
    <w:rsid w:val="007427C6"/>
    <w:rsid w:val="0077110E"/>
    <w:rsid w:val="007870CB"/>
    <w:rsid w:val="00797B05"/>
    <w:rsid w:val="007A200F"/>
    <w:rsid w:val="007A3F0F"/>
    <w:rsid w:val="007D5C49"/>
    <w:rsid w:val="007D73FF"/>
    <w:rsid w:val="007E3CCB"/>
    <w:rsid w:val="008006ED"/>
    <w:rsid w:val="00822598"/>
    <w:rsid w:val="008360A1"/>
    <w:rsid w:val="00861563"/>
    <w:rsid w:val="00871AAA"/>
    <w:rsid w:val="00876F57"/>
    <w:rsid w:val="00891AAA"/>
    <w:rsid w:val="008A4EB3"/>
    <w:rsid w:val="008B7529"/>
    <w:rsid w:val="008B794D"/>
    <w:rsid w:val="00901D04"/>
    <w:rsid w:val="009243F6"/>
    <w:rsid w:val="00933EA1"/>
    <w:rsid w:val="00951416"/>
    <w:rsid w:val="00954A5E"/>
    <w:rsid w:val="00960D21"/>
    <w:rsid w:val="00981D29"/>
    <w:rsid w:val="00981E11"/>
    <w:rsid w:val="00991880"/>
    <w:rsid w:val="009D6498"/>
    <w:rsid w:val="009E5A07"/>
    <w:rsid w:val="00A1564B"/>
    <w:rsid w:val="00A34BE7"/>
    <w:rsid w:val="00A4249C"/>
    <w:rsid w:val="00A5194F"/>
    <w:rsid w:val="00A871D6"/>
    <w:rsid w:val="00A93A7C"/>
    <w:rsid w:val="00AE2C76"/>
    <w:rsid w:val="00AF282C"/>
    <w:rsid w:val="00AF3FF7"/>
    <w:rsid w:val="00B1491D"/>
    <w:rsid w:val="00B40F12"/>
    <w:rsid w:val="00B47B7D"/>
    <w:rsid w:val="00C03E0F"/>
    <w:rsid w:val="00C52E56"/>
    <w:rsid w:val="00C5407A"/>
    <w:rsid w:val="00C662B0"/>
    <w:rsid w:val="00C84FD4"/>
    <w:rsid w:val="00C958EE"/>
    <w:rsid w:val="00C97E88"/>
    <w:rsid w:val="00CA7318"/>
    <w:rsid w:val="00CD21FB"/>
    <w:rsid w:val="00D423FE"/>
    <w:rsid w:val="00D442E4"/>
    <w:rsid w:val="00D60D9B"/>
    <w:rsid w:val="00D80EDC"/>
    <w:rsid w:val="00DF4F15"/>
    <w:rsid w:val="00E047D3"/>
    <w:rsid w:val="00E22946"/>
    <w:rsid w:val="00E266B7"/>
    <w:rsid w:val="00E321C5"/>
    <w:rsid w:val="00E5772B"/>
    <w:rsid w:val="00E67511"/>
    <w:rsid w:val="00E81026"/>
    <w:rsid w:val="00E82D0F"/>
    <w:rsid w:val="00E950B5"/>
    <w:rsid w:val="00F05879"/>
    <w:rsid w:val="00F06F5B"/>
    <w:rsid w:val="00F14E66"/>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link w:val="BodyTextIndentChar"/>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BodyTextIndentChar">
    <w:name w:val="Body Text Indent Char"/>
    <w:basedOn w:val="DefaultParagraphFont"/>
    <w:link w:val="BodyTextIndent"/>
    <w:rsid w:val="00222A61"/>
    <w:rPr>
      <w:color w:val="000000"/>
      <w:sz w:val="24"/>
    </w:rPr>
  </w:style>
  <w:style w:type="character" w:styleId="CommentReference">
    <w:name w:val="annotation reference"/>
    <w:basedOn w:val="DefaultParagraphFont"/>
    <w:rsid w:val="007046C5"/>
    <w:rPr>
      <w:sz w:val="16"/>
      <w:szCs w:val="16"/>
    </w:rPr>
  </w:style>
  <w:style w:type="paragraph" w:styleId="CommentText">
    <w:name w:val="annotation text"/>
    <w:basedOn w:val="Normal"/>
    <w:link w:val="CommentTextChar"/>
    <w:rsid w:val="007046C5"/>
    <w:pPr>
      <w:spacing w:line="240" w:lineRule="auto"/>
    </w:pPr>
  </w:style>
  <w:style w:type="character" w:customStyle="1" w:styleId="CommentTextChar">
    <w:name w:val="Comment Text Char"/>
    <w:basedOn w:val="DefaultParagraphFont"/>
    <w:link w:val="CommentText"/>
    <w:rsid w:val="007046C5"/>
  </w:style>
  <w:style w:type="paragraph" w:styleId="CommentSubject">
    <w:name w:val="annotation subject"/>
    <w:basedOn w:val="CommentText"/>
    <w:next w:val="CommentText"/>
    <w:link w:val="CommentSubjectChar"/>
    <w:rsid w:val="007046C5"/>
    <w:rPr>
      <w:b/>
      <w:bCs/>
    </w:rPr>
  </w:style>
  <w:style w:type="character" w:customStyle="1" w:styleId="CommentSubjectChar">
    <w:name w:val="Comment Subject Char"/>
    <w:basedOn w:val="CommentTextChar"/>
    <w:link w:val="CommentSubject"/>
    <w:rsid w:val="00704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C659-A096-4199-9707-4CABD027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13</Pages>
  <Words>2158</Words>
  <Characters>12215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2021-04-30T23:53:00Z</dcterms:created>
  <dcterms:modified xsi:type="dcterms:W3CDTF">2021-04-30T23:53:00Z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