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33C1EB" w14:textId="4C66F922" w:rsidR="00215341" w:rsidRDefault="00215341" w:rsidP="00485E4D"/>
    <w:p w14:paraId="2570634C" w14:textId="639E1B32" w:rsidR="00485E4D" w:rsidRDefault="00485E4D" w:rsidP="00485E4D"/>
    <w:p w14:paraId="28918584" w14:textId="71BBE23B" w:rsidR="00485E4D" w:rsidRPr="00485E4D" w:rsidRDefault="00485E4D" w:rsidP="00485E4D">
      <w:pPr>
        <w:rPr>
          <w:i/>
          <w:iCs/>
        </w:rPr>
      </w:pPr>
    </w:p>
    <w:p w14:paraId="4FE2E400" w14:textId="4E51A380" w:rsidR="00485E4D" w:rsidRDefault="00485E4D" w:rsidP="00485E4D"/>
    <w:p w14:paraId="208646A1" w14:textId="77777777" w:rsidR="00376DAE" w:rsidRDefault="00376DAE" w:rsidP="00656B30">
      <w:pPr>
        <w:jc w:val="right"/>
      </w:pPr>
    </w:p>
    <w:p w14:paraId="57364D1C" w14:textId="7DE586B4" w:rsidR="00656B30" w:rsidRDefault="00A03066" w:rsidP="00656B30">
      <w:pPr>
        <w:jc w:val="right"/>
      </w:pPr>
      <w:r>
        <w:t xml:space="preserve">April </w:t>
      </w:r>
      <w:r w:rsidR="00B36DC5">
        <w:t>9</w:t>
      </w:r>
      <w:r>
        <w:t>, 2021</w:t>
      </w:r>
    </w:p>
    <w:p w14:paraId="7D59B346" w14:textId="73972F6D" w:rsidR="00A03066" w:rsidRDefault="00A03066" w:rsidP="00656B30">
      <w:pPr>
        <w:jc w:val="right"/>
      </w:pPr>
    </w:p>
    <w:p w14:paraId="5CE62F5F" w14:textId="4BAC9C58" w:rsidR="00954E3F" w:rsidRDefault="003F1AE9" w:rsidP="00954E3F">
      <w:pPr>
        <w:rPr>
          <w:rFonts w:cs="Arial"/>
        </w:rPr>
      </w:pPr>
      <w:r>
        <w:rPr>
          <w:rFonts w:cs="Arial"/>
          <w:u w:val="single"/>
        </w:rPr>
        <w:t>SUBMITTED ELECTRONICALLY</w:t>
      </w:r>
    </w:p>
    <w:p w14:paraId="0C84C780" w14:textId="77777777" w:rsidR="00954E3F" w:rsidRDefault="00954E3F" w:rsidP="00954E3F">
      <w:pPr>
        <w:tabs>
          <w:tab w:val="left" w:pos="189"/>
        </w:tabs>
      </w:pPr>
    </w:p>
    <w:p w14:paraId="1E26CB53" w14:textId="6AE8F99D" w:rsidR="00A03066" w:rsidRDefault="00195A27" w:rsidP="00A03066">
      <w:r>
        <w:t xml:space="preserve">Chief Justice </w:t>
      </w:r>
      <w:r w:rsidRPr="00195A27">
        <w:t xml:space="preserve">Robert </w:t>
      </w:r>
      <w:proofErr w:type="spellStart"/>
      <w:r w:rsidRPr="00195A27">
        <w:t>Brutinel</w:t>
      </w:r>
      <w:proofErr w:type="spellEnd"/>
    </w:p>
    <w:p w14:paraId="06BCDB1F" w14:textId="62B3D354" w:rsidR="00195A27" w:rsidRDefault="00195A27" w:rsidP="00A03066">
      <w:r>
        <w:t>Arizona Supreme Court</w:t>
      </w:r>
    </w:p>
    <w:p w14:paraId="4E66F5E9" w14:textId="1AC31C7A" w:rsidR="00EC12FC" w:rsidRDefault="003A0ABA" w:rsidP="00773308">
      <w:r w:rsidRPr="003A0ABA">
        <w:t>1501 W</w:t>
      </w:r>
      <w:r w:rsidR="005C348E">
        <w:t>.</w:t>
      </w:r>
      <w:r w:rsidRPr="003A0ABA">
        <w:t xml:space="preserve"> Washington</w:t>
      </w:r>
      <w:r w:rsidR="00195A27">
        <w:t xml:space="preserve"> 4</w:t>
      </w:r>
      <w:r w:rsidR="00195A27" w:rsidRPr="00195A27">
        <w:rPr>
          <w:vertAlign w:val="superscript"/>
        </w:rPr>
        <w:t>th</w:t>
      </w:r>
      <w:r w:rsidR="00195A27">
        <w:t xml:space="preserve"> Fl.</w:t>
      </w:r>
    </w:p>
    <w:p w14:paraId="7C53EC51" w14:textId="49DA87A5" w:rsidR="00656B30" w:rsidRDefault="003A0ABA" w:rsidP="00773308">
      <w:r w:rsidRPr="003A0ABA">
        <w:t xml:space="preserve">Phoenix, </w:t>
      </w:r>
      <w:r w:rsidR="00195A27">
        <w:t>AZ</w:t>
      </w:r>
      <w:r w:rsidRPr="003A0ABA">
        <w:t xml:space="preserve"> 85007</w:t>
      </w:r>
    </w:p>
    <w:p w14:paraId="56708B9C" w14:textId="77777777" w:rsidR="00656B30" w:rsidRDefault="00656B30" w:rsidP="00773308"/>
    <w:p w14:paraId="196BD31A" w14:textId="63833A98" w:rsidR="00195A27" w:rsidRDefault="00195A27" w:rsidP="00773308"/>
    <w:p w14:paraId="3C6BD3E0" w14:textId="1CCF6AA7" w:rsidR="00004A0F" w:rsidRDefault="00004A0F" w:rsidP="00773308">
      <w:r>
        <w:t xml:space="preserve">Dear Chief Justice </w:t>
      </w:r>
      <w:proofErr w:type="spellStart"/>
      <w:r>
        <w:t>Brutinel</w:t>
      </w:r>
      <w:proofErr w:type="spellEnd"/>
      <w:r>
        <w:t>,</w:t>
      </w:r>
    </w:p>
    <w:p w14:paraId="356381C7" w14:textId="77777777" w:rsidR="00656B30" w:rsidRDefault="00656B30" w:rsidP="00773308"/>
    <w:p w14:paraId="0BB7985E" w14:textId="54896138" w:rsidR="00773308" w:rsidRDefault="00773308" w:rsidP="00773308">
      <w:r>
        <w:t xml:space="preserve">The Washington Association of Criminal Defense Lawyers (“WACDL”) submits this letter in support of Proposed Supreme Court Rule 24. </w:t>
      </w:r>
    </w:p>
    <w:p w14:paraId="1D5D09A5" w14:textId="77777777" w:rsidR="00773308" w:rsidRDefault="00773308" w:rsidP="00773308"/>
    <w:p w14:paraId="1547BAF6" w14:textId="77777777" w:rsidR="00773308" w:rsidRDefault="00773308" w:rsidP="00773308">
      <w:r>
        <w:t xml:space="preserve">WACDL </w:t>
      </w:r>
      <w:r w:rsidRPr="00593AA2">
        <w:t>is an association made up of attorneys practicing criminal</w:t>
      </w:r>
      <w:r>
        <w:t xml:space="preserve"> </w:t>
      </w:r>
      <w:r w:rsidRPr="00593AA2">
        <w:t>defense law in Washington State. It was formed in 1987 to improve the</w:t>
      </w:r>
      <w:r>
        <w:t xml:space="preserve"> </w:t>
      </w:r>
      <w:r w:rsidRPr="00593AA2">
        <w:t>quality and administration of justice. The objectives and purposes of this</w:t>
      </w:r>
      <w:r>
        <w:t xml:space="preserve"> </w:t>
      </w:r>
      <w:r w:rsidRPr="00593AA2">
        <w:t>organization are: (a) To protect and insure by rule of law those individual</w:t>
      </w:r>
      <w:r>
        <w:t xml:space="preserve"> </w:t>
      </w:r>
      <w:r w:rsidRPr="00593AA2">
        <w:t>rights guaranteed by the Washington and Federal Constitutions, and to</w:t>
      </w:r>
      <w:r>
        <w:t xml:space="preserve"> </w:t>
      </w:r>
      <w:r w:rsidRPr="00593AA2">
        <w:t>resist all efforts made to curtail such rights; (b) To improve the</w:t>
      </w:r>
      <w:r>
        <w:t xml:space="preserve"> </w:t>
      </w:r>
      <w:r w:rsidRPr="00593AA2">
        <w:t>professional status of all lawyers and to encourage cooperation between</w:t>
      </w:r>
      <w:r>
        <w:t xml:space="preserve"> </w:t>
      </w:r>
      <w:r w:rsidRPr="00593AA2">
        <w:t>lawyers engaged in the furtherance of our objectives through publications,</w:t>
      </w:r>
      <w:r>
        <w:t xml:space="preserve"> </w:t>
      </w:r>
      <w:r w:rsidRPr="00593AA2">
        <w:t>education, and mutual assistance; and (c) To engage in all activities on a</w:t>
      </w:r>
      <w:r>
        <w:t xml:space="preserve"> </w:t>
      </w:r>
      <w:r w:rsidRPr="00593AA2">
        <w:t>local, state and national level that will advance the purposes for which this</w:t>
      </w:r>
      <w:r>
        <w:t xml:space="preserve"> </w:t>
      </w:r>
      <w:r w:rsidRPr="00593AA2">
        <w:t>organization is formed in order to promote justice and the common good</w:t>
      </w:r>
      <w:r>
        <w:t xml:space="preserve"> </w:t>
      </w:r>
      <w:r w:rsidRPr="00593AA2">
        <w:t>of the citizens of the United States</w:t>
      </w:r>
      <w:r>
        <w:t>.</w:t>
      </w:r>
    </w:p>
    <w:p w14:paraId="7BDC35CC" w14:textId="77777777" w:rsidR="00773308" w:rsidRDefault="00773308" w:rsidP="00773308"/>
    <w:p w14:paraId="4A08C96C" w14:textId="77777777" w:rsidR="00773308" w:rsidRDefault="00773308" w:rsidP="00773308">
      <w:r>
        <w:t xml:space="preserve">WACDL urges the Arizona Supreme Court to adopt Proposed Rule 24 on Jury Selection, which was modeled on Washington’s General Rule 37 (“GR 37”). The Washington Supreme Court adopted GR 37 in April of 2018 to address the intractable problem of discrimination in jury selection. </w:t>
      </w:r>
      <w:r w:rsidRPr="00AE6AEC">
        <w:rPr>
          <w:i/>
          <w:iCs/>
        </w:rPr>
        <w:t xml:space="preserve">Batson </w:t>
      </w:r>
      <w:r w:rsidRPr="00AE6AEC">
        <w:t>has not worked. The procedures it established are not</w:t>
      </w:r>
      <w:r>
        <w:t xml:space="preserve"> </w:t>
      </w:r>
      <w:r w:rsidRPr="00AE6AEC">
        <w:t>“robust enough to effectively combat race discrimination in the selection</w:t>
      </w:r>
      <w:r>
        <w:t xml:space="preserve"> </w:t>
      </w:r>
      <w:r w:rsidRPr="00AE6AEC">
        <w:t xml:space="preserve">of juries.” </w:t>
      </w:r>
      <w:r w:rsidRPr="00AE6AEC">
        <w:rPr>
          <w:i/>
          <w:iCs/>
        </w:rPr>
        <w:t xml:space="preserve">State v. </w:t>
      </w:r>
      <w:proofErr w:type="spellStart"/>
      <w:r w:rsidRPr="00AE6AEC">
        <w:rPr>
          <w:i/>
          <w:iCs/>
        </w:rPr>
        <w:t>Saintcalle</w:t>
      </w:r>
      <w:proofErr w:type="spellEnd"/>
      <w:r w:rsidRPr="00AE6AEC">
        <w:t>, 309 P.3d 326, 329 (</w:t>
      </w:r>
      <w:r>
        <w:t xml:space="preserve">Wash. </w:t>
      </w:r>
      <w:r w:rsidRPr="00AE6AEC">
        <w:t>2013</w:t>
      </w:r>
      <w:r>
        <w:t xml:space="preserve">). </w:t>
      </w:r>
      <w:r w:rsidRPr="00AE6AEC">
        <w:t>Indeed, “[t]</w:t>
      </w:r>
      <w:proofErr w:type="spellStart"/>
      <w:r w:rsidRPr="00AE6AEC">
        <w:t>oday</w:t>
      </w:r>
      <w:proofErr w:type="spellEnd"/>
      <w:r w:rsidRPr="00AE6AEC">
        <w:t xml:space="preserve"> in America, there</w:t>
      </w:r>
      <w:r>
        <w:t xml:space="preserve"> </w:t>
      </w:r>
      <w:r w:rsidRPr="00AE6AEC">
        <w:t>is perhaps no arena of public life or governmental administration where</w:t>
      </w:r>
      <w:r>
        <w:t xml:space="preserve"> </w:t>
      </w:r>
      <w:r w:rsidRPr="00AE6AEC">
        <w:t>racial discrimination is more widespread, apparent, and seemingly</w:t>
      </w:r>
      <w:r>
        <w:t xml:space="preserve"> </w:t>
      </w:r>
      <w:r w:rsidRPr="00AE6AEC">
        <w:t xml:space="preserve">tolerated than in the selection of juries.” Equal Justice Initiative, </w:t>
      </w:r>
      <w:r w:rsidRPr="00AE6AEC">
        <w:rPr>
          <w:i/>
          <w:iCs/>
        </w:rPr>
        <w:t>Illegal</w:t>
      </w:r>
      <w:r>
        <w:rPr>
          <w:i/>
          <w:iCs/>
        </w:rPr>
        <w:t xml:space="preserve"> </w:t>
      </w:r>
      <w:r w:rsidRPr="00AE6AEC">
        <w:rPr>
          <w:i/>
          <w:iCs/>
        </w:rPr>
        <w:t xml:space="preserve">Race Discrimination in Jury Selection: A Continuing Legacy </w:t>
      </w:r>
      <w:r w:rsidRPr="00AE6AEC">
        <w:t>(August</w:t>
      </w:r>
      <w:r>
        <w:t xml:space="preserve"> </w:t>
      </w:r>
      <w:r w:rsidRPr="00AE6AEC">
        <w:t>2010) (“EJI Report”) at 4.</w:t>
      </w:r>
    </w:p>
    <w:p w14:paraId="4E2406E1" w14:textId="77777777" w:rsidR="00773308" w:rsidRDefault="00773308" w:rsidP="0055437C"/>
    <w:p w14:paraId="0C41A6EA" w14:textId="10B5F129" w:rsidR="00A51E08" w:rsidRDefault="00773308" w:rsidP="0055437C">
      <w:r>
        <w:t xml:space="preserve">Proposed Rule 24’s “reasonable person” standard addresses </w:t>
      </w:r>
      <w:r>
        <w:rPr>
          <w:i/>
          <w:iCs/>
        </w:rPr>
        <w:t>Batson</w:t>
      </w:r>
      <w:r>
        <w:t>’s key flaws. First, lawyers who engage in purposeful discrimination “</w:t>
      </w:r>
      <w:r w:rsidRPr="003420EB">
        <w:t>can easily assert facially neutral reasons for striking a juror,</w:t>
      </w:r>
      <w:r>
        <w:t xml:space="preserve"> </w:t>
      </w:r>
      <w:r w:rsidRPr="003420EB">
        <w:t>and trial courts are ill equipped to second-guess</w:t>
      </w:r>
    </w:p>
    <w:p w14:paraId="2EF178DA" w14:textId="77777777" w:rsidR="00A51E08" w:rsidRDefault="00A51E08">
      <w:pPr>
        <w:spacing w:after="200" w:line="276" w:lineRule="auto"/>
      </w:pPr>
      <w:r>
        <w:br w:type="page"/>
      </w:r>
    </w:p>
    <w:p w14:paraId="049985FD" w14:textId="77777777" w:rsidR="00A51E08" w:rsidRDefault="00A51E08" w:rsidP="0055437C"/>
    <w:p w14:paraId="5728CCFD" w14:textId="13622CF6" w:rsidR="00773308" w:rsidRDefault="00773308" w:rsidP="00A51E08">
      <w:pPr>
        <w:ind w:left="-1080"/>
      </w:pPr>
      <w:r w:rsidRPr="003420EB">
        <w:t xml:space="preserve">those reasons.” </w:t>
      </w:r>
      <w:r w:rsidRPr="003420EB">
        <w:rPr>
          <w:i/>
          <w:iCs/>
        </w:rPr>
        <w:t>Batson</w:t>
      </w:r>
      <w:r w:rsidRPr="003420EB">
        <w:t>,</w:t>
      </w:r>
      <w:r>
        <w:t xml:space="preserve"> </w:t>
      </w:r>
      <w:r w:rsidRPr="003420EB">
        <w:t>476 U.S. at 106 (Marshall, J., concurring).</w:t>
      </w:r>
      <w:r>
        <w:t xml:space="preserve"> Second, </w:t>
      </w:r>
      <w:r>
        <w:rPr>
          <w:i/>
          <w:iCs/>
        </w:rPr>
        <w:t>Batson</w:t>
      </w:r>
      <w:r>
        <w:t xml:space="preserve"> </w:t>
      </w:r>
      <w:r w:rsidRPr="00097D33">
        <w:t>“requires a finding of</w:t>
      </w:r>
      <w:r>
        <w:t xml:space="preserve"> </w:t>
      </w:r>
      <w:r w:rsidRPr="00097D33">
        <w:t>‘purposeful discrimination,’” but “discrimination is often unconscious.”</w:t>
      </w:r>
      <w:r>
        <w:t xml:space="preserve"> </w:t>
      </w:r>
      <w:proofErr w:type="spellStart"/>
      <w:r>
        <w:rPr>
          <w:i/>
          <w:iCs/>
        </w:rPr>
        <w:t>Saintcalle</w:t>
      </w:r>
      <w:proofErr w:type="spellEnd"/>
      <w:r>
        <w:t>, 309 P.3d at 338. The proposed test will reduce</w:t>
      </w:r>
      <w:r w:rsidR="00A51E08">
        <w:t xml:space="preserve"> </w:t>
      </w:r>
      <w:r>
        <w:t xml:space="preserve">discrimination by acknowledging the operation of implicit bias in the exercise of peremptory challenges. </w:t>
      </w:r>
    </w:p>
    <w:p w14:paraId="1BD1A8D5" w14:textId="77777777" w:rsidR="00376DAE" w:rsidRDefault="00376DAE" w:rsidP="0055437C">
      <w:pPr>
        <w:ind w:left="-1080"/>
      </w:pPr>
    </w:p>
    <w:p w14:paraId="48EB4681" w14:textId="2D0F831A" w:rsidR="00773308" w:rsidRDefault="00773308" w:rsidP="0055437C">
      <w:pPr>
        <w:ind w:left="-1080"/>
      </w:pPr>
      <w:r>
        <w:t xml:space="preserve">But the objective standard on its own is insufficient, and this Court should also adopt the presumptively invalid justifications for exclusion set forth in subsections (g) and (h) of the proposed rule. As to subsection (g), negative experiences with the police or justice system are highly correlated with race and rarely relevant to fitness to serve. </w:t>
      </w:r>
      <w:r w:rsidRPr="00102043">
        <w:rPr>
          <w:i/>
        </w:rPr>
        <w:t>See</w:t>
      </w:r>
      <w:r w:rsidRPr="00102043">
        <w:t xml:space="preserve"> </w:t>
      </w:r>
      <w:proofErr w:type="spellStart"/>
      <w:r w:rsidRPr="00102043">
        <w:rPr>
          <w:i/>
          <w:iCs/>
        </w:rPr>
        <w:t>Saintcalle</w:t>
      </w:r>
      <w:proofErr w:type="spellEnd"/>
      <w:r w:rsidRPr="00102043">
        <w:rPr>
          <w:i/>
          <w:iCs/>
        </w:rPr>
        <w:t xml:space="preserve">, </w:t>
      </w:r>
      <w:r>
        <w:t>309 P.3d</w:t>
      </w:r>
      <w:r w:rsidRPr="00102043">
        <w:t xml:space="preserve"> at </w:t>
      </w:r>
      <w:r>
        <w:t>362</w:t>
      </w:r>
      <w:r w:rsidRPr="00102043">
        <w:t xml:space="preserve"> (Gonzalez, J., concurring) (citing study noting that striking all persons with a relative in prison could disproportionately exclude racial minorities)</w:t>
      </w:r>
      <w:r>
        <w:t xml:space="preserve">; </w:t>
      </w:r>
      <w:r w:rsidRPr="00F85DCC">
        <w:t xml:space="preserve">Vida B. Johnson, </w:t>
      </w:r>
      <w:r w:rsidRPr="00F85DCC">
        <w:rPr>
          <w:i/>
          <w:iCs/>
        </w:rPr>
        <w:t>Arresting Batson: How Striking Jurors Based on Arrest Records Violates Batson</w:t>
      </w:r>
      <w:r w:rsidRPr="00F85DCC">
        <w:t xml:space="preserve">, 34 Yale L. &amp; </w:t>
      </w:r>
      <w:proofErr w:type="spellStart"/>
      <w:r w:rsidRPr="00F85DCC">
        <w:t>Pl’y</w:t>
      </w:r>
      <w:proofErr w:type="spellEnd"/>
      <w:r w:rsidRPr="00F85DCC">
        <w:t xml:space="preserve"> Rev. 387, 394 (2016)</w:t>
      </w:r>
      <w:r>
        <w:t xml:space="preserve"> (noting</w:t>
      </w:r>
      <w:r w:rsidR="00B947D6">
        <w:t xml:space="preserve"> ther</w:t>
      </w:r>
      <w:r w:rsidR="00875460">
        <w:t>e</w:t>
      </w:r>
      <w:r>
        <w:t xml:space="preserve"> </w:t>
      </w:r>
      <w:r w:rsidRPr="00F85DCC">
        <w:t>is “no question” that racial disparities exist with respect to police contacts and arrests</w:t>
      </w:r>
      <w:r>
        <w:t xml:space="preserve">); </w:t>
      </w:r>
      <w:r w:rsidRPr="00593AA2">
        <w:rPr>
          <w:i/>
          <w:iCs/>
        </w:rPr>
        <w:t>It's still too easy to push blacks, minorities off of juries</w:t>
      </w:r>
      <w:r>
        <w:t>, USA Today (December 14, 2017)</w:t>
      </w:r>
      <w:r>
        <w:rPr>
          <w:rStyle w:val="FootnoteReference"/>
        </w:rPr>
        <w:footnoteReference w:id="2"/>
      </w:r>
      <w:r w:rsidRPr="00F85DCC">
        <w:t xml:space="preserve"> (describing case in which black potential juror was excluded, despite assuring lawyers he could be fair, because he expressed concerns about unfair law enforcement practices)</w:t>
      </w:r>
      <w:r>
        <w:t>.</w:t>
      </w:r>
    </w:p>
    <w:p w14:paraId="04FCADCA" w14:textId="77777777" w:rsidR="00773308" w:rsidRDefault="00773308" w:rsidP="0055437C">
      <w:pPr>
        <w:ind w:left="-1080"/>
      </w:pPr>
    </w:p>
    <w:p w14:paraId="6CA3D993" w14:textId="44BD206F" w:rsidR="00773308" w:rsidRDefault="00773308" w:rsidP="0055437C">
      <w:pPr>
        <w:ind w:left="-1080"/>
      </w:pPr>
      <w:r>
        <w:t xml:space="preserve">Proposed subsection (h) is equally important because demeanor-based justifications for exclusion are often rooted in bias. For example, </w:t>
      </w:r>
      <w:r w:rsidRPr="00B95A63">
        <w:t xml:space="preserve">a party’s “own conscious or unconscious racism may lead him easily to the conclusion that a prospective black juror is sullen, or distant, a characterization that would not have come to his mind if a white juror had acted identically.” </w:t>
      </w:r>
      <w:r w:rsidRPr="00B95A63">
        <w:rPr>
          <w:i/>
        </w:rPr>
        <w:t>Batson</w:t>
      </w:r>
      <w:r w:rsidRPr="00B95A63">
        <w:t xml:space="preserve">, 476 U.S. at 106 (Marshall, J., concurring). </w:t>
      </w:r>
      <w:r>
        <w:t xml:space="preserve">The concern is not merely hypothetical. Studies show attorneys </w:t>
      </w:r>
      <w:r w:rsidRPr="00B95A63">
        <w:t>“frequently justify [peremptory] strikes by making unverifiable assertions about African-American potential jurors’ appearance and demeanor.” EJI Report at 18.</w:t>
      </w:r>
      <w:r>
        <w:t xml:space="preserve"> Because “we </w:t>
      </w:r>
      <w:r w:rsidR="007D69E2">
        <w:t xml:space="preserve">now </w:t>
      </w:r>
      <w:r w:rsidRPr="00B95A63">
        <w:t>know that implicit biases can lead members of different races to perceive members of other races as lazy, or hostile, or threatening</w:t>
      </w:r>
      <w:r>
        <w:t>,” we have an obligation to address the issue by reforming the approach to demeanor-based peremptory challenges.</w:t>
      </w:r>
      <w:r w:rsidR="007D69E2">
        <w:t xml:space="preserve"> </w:t>
      </w:r>
      <w:r w:rsidR="007D69E2" w:rsidRPr="007D69E2">
        <w:t xml:space="preserve">Judge Mark W. Bennett, </w:t>
      </w:r>
      <w:r w:rsidR="007D69E2" w:rsidRPr="007D69E2">
        <w:rPr>
          <w:i/>
        </w:rPr>
        <w:t xml:space="preserve">Unraveling the Gordian Knot of Implicit Bias in Jury Selection: The Problems of Judge-Dominated </w:t>
      </w:r>
      <w:proofErr w:type="spellStart"/>
      <w:r w:rsidR="007D69E2" w:rsidRPr="007D69E2">
        <w:rPr>
          <w:i/>
        </w:rPr>
        <w:t>Voir</w:t>
      </w:r>
      <w:proofErr w:type="spellEnd"/>
      <w:r w:rsidR="007D69E2" w:rsidRPr="007D69E2">
        <w:rPr>
          <w:i/>
        </w:rPr>
        <w:t xml:space="preserve"> Dire, the Failed Promise of Batson, and Proposed Solutions</w:t>
      </w:r>
      <w:r w:rsidR="007D69E2" w:rsidRPr="007D69E2">
        <w:t xml:space="preserve">, 4 Harv. L. &amp; </w:t>
      </w:r>
      <w:proofErr w:type="spellStart"/>
      <w:r w:rsidR="007D69E2" w:rsidRPr="007D69E2">
        <w:t>Pol’y</w:t>
      </w:r>
      <w:proofErr w:type="spellEnd"/>
      <w:r w:rsidR="007D69E2" w:rsidRPr="007D69E2">
        <w:t xml:space="preserve"> Rev. 149, 164 (2010).</w:t>
      </w:r>
      <w:r>
        <w:t xml:space="preserve"> Proposed subsection (h) appropriately addresses the issue by requiring notification and corroboration prior to a demeanor-based dismissal. </w:t>
      </w:r>
    </w:p>
    <w:p w14:paraId="64DEC945" w14:textId="77777777" w:rsidR="00773308" w:rsidRDefault="00773308" w:rsidP="0055437C">
      <w:pPr>
        <w:ind w:left="-1080"/>
      </w:pPr>
    </w:p>
    <w:p w14:paraId="401164C5" w14:textId="3C535A55" w:rsidR="00000D5D" w:rsidRDefault="00773308" w:rsidP="0055437C">
      <w:pPr>
        <w:ind w:left="-1080"/>
      </w:pPr>
      <w:r>
        <w:t xml:space="preserve">Overall, adopting Proposed Rule 24 will improve the administration of justice in Arizona. Anecdotal evidence indicates that jury selection in Washington has become more fair and less discriminatory in the three years since GR 37 was adopted. First, the rule has greatly increased awareness of the issue, and this educational effect appears to have resulted in a much more careful, limited exercise of peremptory challenges by attorneys. Second, when attorneys do exercise questionable peremptory strikes, judges are much more willing to sustain GR 37 objections than they were under </w:t>
      </w:r>
      <w:r>
        <w:rPr>
          <w:i/>
          <w:iCs/>
        </w:rPr>
        <w:t>Batson</w:t>
      </w:r>
      <w:r>
        <w:t xml:space="preserve">’s impossible standard. Finally, while appellate courts had never reversed for a </w:t>
      </w:r>
      <w:r>
        <w:rPr>
          <w:i/>
          <w:iCs/>
        </w:rPr>
        <w:t>Batson</w:t>
      </w:r>
      <w:r>
        <w:t xml:space="preserve"> violation in the decades prior to </w:t>
      </w:r>
      <w:proofErr w:type="spellStart"/>
      <w:r>
        <w:rPr>
          <w:i/>
          <w:iCs/>
        </w:rPr>
        <w:t>Saintcalle</w:t>
      </w:r>
      <w:proofErr w:type="spellEnd"/>
      <w:r>
        <w:t xml:space="preserve">, 309 P.3d at 335, they have enforced GR 37 when both prosecutors and defense attorneys have attempted to skirt its anti-bias imperatives. </w:t>
      </w:r>
      <w:r>
        <w:rPr>
          <w:i/>
          <w:iCs/>
        </w:rPr>
        <w:t xml:space="preserve">See </w:t>
      </w:r>
      <w:r w:rsidRPr="00890D28">
        <w:rPr>
          <w:i/>
          <w:iCs/>
        </w:rPr>
        <w:t xml:space="preserve">State v. </w:t>
      </w:r>
      <w:proofErr w:type="spellStart"/>
      <w:r w:rsidRPr="00890D28">
        <w:rPr>
          <w:i/>
          <w:iCs/>
        </w:rPr>
        <w:t>Listoe</w:t>
      </w:r>
      <w:proofErr w:type="spellEnd"/>
      <w:r w:rsidRPr="00890D28">
        <w:t>, 475 P.3d 534, 536</w:t>
      </w:r>
      <w:r>
        <w:t xml:space="preserve"> (Wash. Ct. App. 2020) (reversing where objective observer “</w:t>
      </w:r>
      <w:r w:rsidRPr="00890D28">
        <w:t>could view race</w:t>
      </w:r>
      <w:r w:rsidR="00B947D6">
        <w:t xml:space="preserve"> </w:t>
      </w:r>
      <w:r w:rsidRPr="00890D28">
        <w:t>as a factor in the State's use of the peremptory challenge</w:t>
      </w:r>
      <w:r>
        <w:t xml:space="preserve">); </w:t>
      </w:r>
      <w:r w:rsidRPr="00890D28">
        <w:rPr>
          <w:i/>
          <w:iCs/>
        </w:rPr>
        <w:t>State v. Omar</w:t>
      </w:r>
      <w:r w:rsidRPr="00890D28">
        <w:t>, 460 P.3d 225, 226,</w:t>
      </w:r>
      <w:r w:rsidR="00B947D6">
        <w:t xml:space="preserve"> </w:t>
      </w:r>
      <w:r w:rsidRPr="00890D28">
        <w:rPr>
          <w:i/>
          <w:iCs/>
        </w:rPr>
        <w:t>review denied</w:t>
      </w:r>
      <w:r w:rsidRPr="00890D28">
        <w:t>, 475 P.3d 164 (2020)</w:t>
      </w:r>
      <w:r>
        <w:t xml:space="preserve"> (affirming trial court’s disallowance of defense peremptory challenge because “</w:t>
      </w:r>
      <w:r w:rsidRPr="00890D28">
        <w:t>an objective observer could view race as a factor in the use of the challenge</w:t>
      </w:r>
      <w:r>
        <w:t xml:space="preserve">”). Although no rule is perfect, </w:t>
      </w:r>
      <w:r>
        <w:lastRenderedPageBreak/>
        <w:t xml:space="preserve">GR 37 is far more effective than </w:t>
      </w:r>
      <w:r>
        <w:rPr>
          <w:i/>
          <w:iCs/>
        </w:rPr>
        <w:t>Batson</w:t>
      </w:r>
      <w:r>
        <w:t>, and Proposed Rule 24 would likewise improve the administration of justice in Arizona.</w:t>
      </w:r>
    </w:p>
    <w:p w14:paraId="70B0C92C" w14:textId="77777777" w:rsidR="00F50838" w:rsidRDefault="00F50838" w:rsidP="0055437C">
      <w:pPr>
        <w:ind w:left="-1080"/>
      </w:pPr>
    </w:p>
    <w:p w14:paraId="1DFF3835" w14:textId="4B8A904A" w:rsidR="00773308" w:rsidRDefault="00773308" w:rsidP="0055437C">
      <w:pPr>
        <w:ind w:left="-1080"/>
      </w:pPr>
      <w:r>
        <w:t>WACDL thanks this Court for considering Proposed Rule 24, and respectfully urges the Court to adopt it in its entirety.</w:t>
      </w:r>
      <w:r w:rsidRPr="00890D28">
        <w:br/>
      </w:r>
    </w:p>
    <w:p w14:paraId="1DCE382F" w14:textId="77777777" w:rsidR="00B947D6" w:rsidRDefault="00B947D6" w:rsidP="0055437C">
      <w:pPr>
        <w:ind w:left="-1080"/>
      </w:pPr>
    </w:p>
    <w:p w14:paraId="76D81E70" w14:textId="10B60562" w:rsidR="00773308" w:rsidRPr="00BB2DF1" w:rsidRDefault="00866DF1" w:rsidP="00376DAE">
      <w:pPr>
        <w:widowControl w:val="0"/>
        <w:tabs>
          <w:tab w:val="left" w:pos="5760"/>
        </w:tabs>
        <w:autoSpaceDE w:val="0"/>
        <w:autoSpaceDN w:val="0"/>
        <w:adjustRightInd w:val="0"/>
        <w:ind w:left="-1080"/>
      </w:pPr>
      <w:r>
        <w:rPr>
          <w:noProof/>
        </w:rPr>
        <w:drawing>
          <wp:anchor distT="0" distB="0" distL="114300" distR="114300" simplePos="0" relativeHeight="251658240" behindDoc="1" locked="0" layoutInCell="1" allowOverlap="1" wp14:anchorId="05390017" wp14:editId="08E7E647">
            <wp:simplePos x="0" y="0"/>
            <wp:positionH relativeFrom="column">
              <wp:posOffset>2335917</wp:posOffset>
            </wp:positionH>
            <wp:positionV relativeFrom="paragraph">
              <wp:posOffset>70122</wp:posOffset>
            </wp:positionV>
            <wp:extent cx="2198063" cy="879105"/>
            <wp:effectExtent l="76200" t="241300" r="75565" b="23876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l="10434" r="5009" b="10997"/>
                    <a:stretch>
                      <a:fillRect/>
                    </a:stretch>
                  </pic:blipFill>
                  <pic:spPr bwMode="auto">
                    <a:xfrm rot="763341">
                      <a:off x="0" y="0"/>
                      <a:ext cx="2198063" cy="879105"/>
                    </a:xfrm>
                    <a:prstGeom prst="rect">
                      <a:avLst/>
                    </a:prstGeom>
                    <a:noFill/>
                    <a:ln>
                      <a:noFill/>
                    </a:ln>
                  </pic:spPr>
                </pic:pic>
              </a:graphicData>
            </a:graphic>
            <wp14:sizeRelH relativeFrom="page">
              <wp14:pctWidth>0</wp14:pctWidth>
            </wp14:sizeRelH>
            <wp14:sizeRelV relativeFrom="page">
              <wp14:pctHeight>0</wp14:pctHeight>
            </wp14:sizeRelV>
          </wp:anchor>
        </w:drawing>
      </w:r>
      <w:r w:rsidR="00773308" w:rsidRPr="00BB2DF1">
        <w:t>Sincerely,</w:t>
      </w:r>
    </w:p>
    <w:p w14:paraId="5C14951D" w14:textId="04A61F21" w:rsidR="00773308" w:rsidRPr="00BB2DF1" w:rsidRDefault="00773308" w:rsidP="00376DAE">
      <w:pPr>
        <w:widowControl w:val="0"/>
        <w:tabs>
          <w:tab w:val="left" w:pos="5760"/>
        </w:tabs>
        <w:autoSpaceDE w:val="0"/>
        <w:autoSpaceDN w:val="0"/>
        <w:adjustRightInd w:val="0"/>
        <w:ind w:left="-1080"/>
      </w:pPr>
    </w:p>
    <w:p w14:paraId="1CA95F11" w14:textId="24957C4B" w:rsidR="00773308" w:rsidRPr="00BB2DF1" w:rsidRDefault="00773308" w:rsidP="00376DAE">
      <w:pPr>
        <w:widowControl w:val="0"/>
        <w:tabs>
          <w:tab w:val="left" w:pos="5760"/>
        </w:tabs>
        <w:autoSpaceDE w:val="0"/>
        <w:autoSpaceDN w:val="0"/>
        <w:adjustRightInd w:val="0"/>
        <w:ind w:left="-1080"/>
        <w:rPr>
          <w:u w:val="single"/>
        </w:rPr>
      </w:pPr>
      <w:r w:rsidRPr="00BB2DF1">
        <w:rPr>
          <w:noProof/>
        </w:rPr>
        <w:drawing>
          <wp:inline distT="0" distB="0" distL="0" distR="0" wp14:anchorId="0D5DA4B8" wp14:editId="5C84DA2B">
            <wp:extent cx="2019769" cy="447675"/>
            <wp:effectExtent l="0" t="0" r="0" b="0"/>
            <wp:docPr id="1" name="Picture 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3314" cy="457327"/>
                    </a:xfrm>
                    <a:prstGeom prst="rect">
                      <a:avLst/>
                    </a:prstGeom>
                    <a:noFill/>
                    <a:ln>
                      <a:noFill/>
                    </a:ln>
                  </pic:spPr>
                </pic:pic>
              </a:graphicData>
            </a:graphic>
          </wp:inline>
        </w:drawing>
      </w:r>
    </w:p>
    <w:p w14:paraId="28B0C760" w14:textId="10E48973" w:rsidR="00773308" w:rsidRPr="00BB2DF1" w:rsidRDefault="00773308" w:rsidP="00866DF1">
      <w:pPr>
        <w:widowControl w:val="0"/>
        <w:tabs>
          <w:tab w:val="left" w:pos="3780"/>
          <w:tab w:val="left" w:pos="5760"/>
        </w:tabs>
        <w:autoSpaceDE w:val="0"/>
        <w:autoSpaceDN w:val="0"/>
        <w:adjustRightInd w:val="0"/>
        <w:ind w:left="-1080"/>
      </w:pPr>
      <w:r w:rsidRPr="00BB2DF1">
        <w:t>Lila J. Silverstein</w:t>
      </w:r>
      <w:r w:rsidR="00866DF1">
        <w:tab/>
        <w:t>Larry Jefferson</w:t>
      </w:r>
    </w:p>
    <w:p w14:paraId="20DD6A32" w14:textId="188757BB" w:rsidR="00773308" w:rsidRDefault="00773308" w:rsidP="00866DF1">
      <w:pPr>
        <w:widowControl w:val="0"/>
        <w:tabs>
          <w:tab w:val="left" w:pos="3780"/>
          <w:tab w:val="left" w:pos="5760"/>
        </w:tabs>
        <w:autoSpaceDE w:val="0"/>
        <w:autoSpaceDN w:val="0"/>
        <w:adjustRightInd w:val="0"/>
        <w:ind w:left="-1080"/>
      </w:pPr>
      <w:r w:rsidRPr="00BB2DF1">
        <w:t>Washington Appellate Project</w:t>
      </w:r>
      <w:r w:rsidR="00866DF1">
        <w:tab/>
        <w:t>WACDL President</w:t>
      </w:r>
    </w:p>
    <w:p w14:paraId="693FBC1B" w14:textId="7A676D3A" w:rsidR="00773308" w:rsidRDefault="00773308" w:rsidP="00376DAE">
      <w:pPr>
        <w:widowControl w:val="0"/>
        <w:tabs>
          <w:tab w:val="left" w:pos="5760"/>
        </w:tabs>
        <w:autoSpaceDE w:val="0"/>
        <w:autoSpaceDN w:val="0"/>
        <w:adjustRightInd w:val="0"/>
        <w:ind w:left="-1080"/>
      </w:pPr>
      <w:r>
        <w:t xml:space="preserve">GR 37 co-drafter and WACDL </w:t>
      </w:r>
    </w:p>
    <w:p w14:paraId="18EA26B9" w14:textId="32509C9A" w:rsidR="747763F1" w:rsidRDefault="00773308" w:rsidP="001315A5">
      <w:pPr>
        <w:widowControl w:val="0"/>
        <w:tabs>
          <w:tab w:val="left" w:pos="5760"/>
        </w:tabs>
        <w:autoSpaceDE w:val="0"/>
        <w:autoSpaceDN w:val="0"/>
        <w:adjustRightInd w:val="0"/>
        <w:ind w:left="-1080"/>
      </w:pPr>
      <w:r>
        <w:t>rep on GR 37 Working Group</w:t>
      </w:r>
    </w:p>
    <w:sectPr w:rsidR="747763F1" w:rsidSect="0042106A">
      <w:headerReference w:type="default" r:id="rId12"/>
      <w:footerReference w:type="even" r:id="rId13"/>
      <w:footerReference w:type="default" r:id="rId14"/>
      <w:headerReference w:type="first" r:id="rId15"/>
      <w:footerReference w:type="first" r:id="rId16"/>
      <w:pgSz w:w="12240" w:h="15840"/>
      <w:pgMar w:top="875" w:right="1440" w:bottom="1440" w:left="2610" w:header="864"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21082" w14:textId="77777777" w:rsidR="001828E4" w:rsidRDefault="001828E4" w:rsidP="00485E4D">
      <w:r>
        <w:separator/>
      </w:r>
    </w:p>
  </w:endnote>
  <w:endnote w:type="continuationSeparator" w:id="0">
    <w:p w14:paraId="39A2C092" w14:textId="77777777" w:rsidR="001828E4" w:rsidRDefault="001828E4" w:rsidP="00485E4D">
      <w:r>
        <w:continuationSeparator/>
      </w:r>
    </w:p>
  </w:endnote>
  <w:endnote w:type="continuationNotice" w:id="1">
    <w:p w14:paraId="45B78982" w14:textId="77777777" w:rsidR="001828E4" w:rsidRDefault="00182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8119124"/>
      <w:docPartObj>
        <w:docPartGallery w:val="Page Numbers (Bottom of Page)"/>
        <w:docPartUnique/>
      </w:docPartObj>
    </w:sdtPr>
    <w:sdtEndPr>
      <w:rPr>
        <w:rStyle w:val="PageNumber"/>
      </w:rPr>
    </w:sdtEndPr>
    <w:sdtContent>
      <w:p w14:paraId="6315080F" w14:textId="7A8C9338" w:rsidR="0042106A" w:rsidRDefault="0042106A" w:rsidP="008515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414587" w14:textId="77777777" w:rsidR="0042106A" w:rsidRDefault="0042106A" w:rsidP="004210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59207994"/>
      <w:docPartObj>
        <w:docPartGallery w:val="Page Numbers (Bottom of Page)"/>
        <w:docPartUnique/>
      </w:docPartObj>
    </w:sdtPr>
    <w:sdtEndPr>
      <w:rPr>
        <w:rStyle w:val="PageNumber"/>
      </w:rPr>
    </w:sdtEndPr>
    <w:sdtContent>
      <w:p w14:paraId="2BA3E137" w14:textId="4E8AC98F" w:rsidR="0042106A" w:rsidRDefault="0042106A" w:rsidP="008515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6133EBA8" w14:textId="5A0166E9" w:rsidR="0042106A" w:rsidRDefault="0042106A" w:rsidP="0042106A">
    <w:pPr>
      <w:pStyle w:val="Footer"/>
      <w:ind w:left="-1080" w:right="360"/>
    </w:pPr>
    <w:r>
      <w:t>WACDL Letter in Support of Proposed Rule 24</w:t>
    </w:r>
    <w:r>
      <w:ptab w:relativeTo="margin" w:alignment="center" w:leader="none"/>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B7AAA" w14:textId="326D58A7" w:rsidR="00A97800" w:rsidRDefault="00B32AE4">
    <w:pPr>
      <w:pStyle w:val="Footer"/>
    </w:pPr>
    <w:r>
      <w:rPr>
        <w:noProof/>
      </w:rPr>
      <mc:AlternateContent>
        <mc:Choice Requires="wps">
          <w:drawing>
            <wp:anchor distT="45720" distB="45720" distL="114300" distR="114300" simplePos="0" relativeHeight="251658241" behindDoc="0" locked="0" layoutInCell="1" allowOverlap="1" wp14:anchorId="27EED74F" wp14:editId="0E35FF10">
              <wp:simplePos x="0" y="0"/>
              <wp:positionH relativeFrom="column">
                <wp:posOffset>-1343025</wp:posOffset>
              </wp:positionH>
              <wp:positionV relativeFrom="paragraph">
                <wp:posOffset>-944245</wp:posOffset>
              </wp:positionV>
              <wp:extent cx="12001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404620"/>
                      </a:xfrm>
                      <a:prstGeom prst="rect">
                        <a:avLst/>
                      </a:prstGeom>
                      <a:solidFill>
                        <a:srgbClr val="FFFFFF"/>
                      </a:solidFill>
                      <a:ln w="9525">
                        <a:noFill/>
                        <a:miter lim="800000"/>
                        <a:headEnd/>
                        <a:tailEnd/>
                      </a:ln>
                    </wps:spPr>
                    <wps:txbx>
                      <w:txbxContent>
                        <w:p w14:paraId="76F263E6" w14:textId="77777777" w:rsidR="00EC61D3" w:rsidRDefault="00EC61D3" w:rsidP="00EC61D3">
                          <w:pPr>
                            <w:pBdr>
                              <w:bottom w:val="single" w:sz="12" w:space="1" w:color="auto"/>
                            </w:pBdr>
                            <w:jc w:val="right"/>
                            <w:rPr>
                              <w:rFonts w:ascii="Garamond" w:hAnsi="Garamond"/>
                              <w:sz w:val="18"/>
                            </w:rPr>
                          </w:pPr>
                        </w:p>
                        <w:p w14:paraId="4BEF7640" w14:textId="77777777" w:rsidR="00EC61D3" w:rsidRDefault="00EC61D3" w:rsidP="00EC61D3">
                          <w:pPr>
                            <w:spacing w:before="120"/>
                            <w:jc w:val="right"/>
                            <w:rPr>
                              <w:rFonts w:ascii="Garamond" w:hAnsi="Garamond"/>
                              <w:sz w:val="18"/>
                            </w:rPr>
                          </w:pPr>
                          <w:r>
                            <w:rPr>
                              <w:rFonts w:ascii="Garamond" w:hAnsi="Garamond"/>
                              <w:sz w:val="18"/>
                            </w:rPr>
                            <w:t>1511 Third Avenue</w:t>
                          </w:r>
                        </w:p>
                        <w:p w14:paraId="3C984D4B" w14:textId="77777777" w:rsidR="00EC61D3" w:rsidRDefault="00EC61D3" w:rsidP="00EC61D3">
                          <w:pPr>
                            <w:jc w:val="right"/>
                            <w:rPr>
                              <w:rFonts w:ascii="Garamond" w:hAnsi="Garamond"/>
                              <w:sz w:val="18"/>
                            </w:rPr>
                          </w:pPr>
                          <w:r>
                            <w:rPr>
                              <w:rFonts w:ascii="Garamond" w:hAnsi="Garamond"/>
                              <w:sz w:val="18"/>
                            </w:rPr>
                            <w:t>Suite 503</w:t>
                          </w:r>
                        </w:p>
                        <w:p w14:paraId="39D9FA22" w14:textId="77777777" w:rsidR="00EC61D3" w:rsidRDefault="00EC61D3" w:rsidP="00EC61D3">
                          <w:pPr>
                            <w:jc w:val="right"/>
                            <w:rPr>
                              <w:rFonts w:ascii="Garamond" w:hAnsi="Garamond"/>
                              <w:sz w:val="18"/>
                            </w:rPr>
                          </w:pPr>
                          <w:r>
                            <w:rPr>
                              <w:rFonts w:ascii="Garamond" w:hAnsi="Garamond"/>
                              <w:sz w:val="18"/>
                            </w:rPr>
                            <w:t>Seattle, WA 98101</w:t>
                          </w:r>
                        </w:p>
                        <w:p w14:paraId="7A5DB38E" w14:textId="77777777" w:rsidR="00EC61D3" w:rsidRDefault="00EC61D3" w:rsidP="00EC61D3">
                          <w:pPr>
                            <w:jc w:val="right"/>
                            <w:rPr>
                              <w:rFonts w:ascii="Garamond" w:hAnsi="Garamond"/>
                              <w:sz w:val="18"/>
                            </w:rPr>
                          </w:pPr>
                          <w:r>
                            <w:rPr>
                              <w:rFonts w:ascii="Garamond" w:hAnsi="Garamond"/>
                              <w:sz w:val="18"/>
                            </w:rPr>
                            <w:t>(206) 623-1302</w:t>
                          </w:r>
                        </w:p>
                        <w:p w14:paraId="77BE3A2E" w14:textId="77777777" w:rsidR="00EC61D3" w:rsidRDefault="00EC61D3" w:rsidP="00EC61D3">
                          <w:pPr>
                            <w:jc w:val="right"/>
                            <w:rPr>
                              <w:rFonts w:ascii="Garamond" w:hAnsi="Garamond"/>
                              <w:sz w:val="18"/>
                            </w:rPr>
                          </w:pPr>
                          <w:r>
                            <w:rPr>
                              <w:rFonts w:ascii="Garamond" w:hAnsi="Garamond"/>
                              <w:sz w:val="18"/>
                            </w:rPr>
                            <w:t>Fax (206) 623-4257</w:t>
                          </w:r>
                        </w:p>
                        <w:p w14:paraId="57CAF09E" w14:textId="77777777" w:rsidR="00EC61D3" w:rsidRDefault="00EC61D3" w:rsidP="00EC61D3">
                          <w:pPr>
                            <w:jc w:val="right"/>
                            <w:rPr>
                              <w:rFonts w:ascii="Garamond" w:hAnsi="Garamond"/>
                              <w:sz w:val="18"/>
                            </w:rPr>
                          </w:pPr>
                          <w:r>
                            <w:rPr>
                              <w:rFonts w:ascii="Garamond" w:hAnsi="Garamond"/>
                              <w:sz w:val="18"/>
                            </w:rPr>
                            <w:t>info@wacdl.org</w:t>
                          </w:r>
                        </w:p>
                        <w:p w14:paraId="1F7DCB9F" w14:textId="77777777" w:rsidR="00EC61D3" w:rsidRDefault="00EC61D3" w:rsidP="00EC61D3">
                          <w:pPr>
                            <w:jc w:val="right"/>
                            <w:rPr>
                              <w:rFonts w:ascii="Garamond" w:hAnsi="Garamond"/>
                              <w:sz w:val="18"/>
                            </w:rPr>
                          </w:pPr>
                          <w:r>
                            <w:rPr>
                              <w:rFonts w:ascii="Garamond" w:hAnsi="Garamond"/>
                              <w:sz w:val="18"/>
                            </w:rPr>
                            <w:t>wacdl.org</w:t>
                          </w:r>
                        </w:p>
                        <w:p w14:paraId="41579442" w14:textId="44D85595" w:rsidR="00B32AE4" w:rsidRDefault="00B32AE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EED74F" id="_x0000_t202" coordsize="21600,21600" o:spt="202" path="m,l,21600r21600,l21600,xe">
              <v:stroke joinstyle="miter"/>
              <v:path gradientshapeok="t" o:connecttype="rect"/>
            </v:shapetype>
            <v:shape id="Text Box 2" o:spid="_x0000_s1027" type="#_x0000_t202" style="position:absolute;margin-left:-105.75pt;margin-top:-74.35pt;width:9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" stroked="f">
              <v:textbox style="mso-fit-shape-to-text:t">
                <w:txbxContent>
                  <w:p w14:paraId="76F263E6" w14:textId="77777777" w:rsidR="00EC61D3" w:rsidRDefault="00EC61D3" w:rsidP="00EC61D3">
                    <w:pPr>
                      <w:pBdr>
                        <w:bottom w:val="single" w:sz="12" w:space="1" w:color="auto"/>
                      </w:pBdr>
                      <w:jc w:val="right"/>
                      <w:rPr>
                        <w:rFonts w:ascii="Garamond" w:hAnsi="Garamond"/>
                        <w:sz w:val="18"/>
                      </w:rPr>
                    </w:pPr>
                  </w:p>
                  <w:p w14:paraId="4BEF7640" w14:textId="77777777" w:rsidR="00EC61D3" w:rsidRDefault="00EC61D3" w:rsidP="00EC61D3">
                    <w:pPr>
                      <w:spacing w:before="120"/>
                      <w:jc w:val="right"/>
                      <w:rPr>
                        <w:rFonts w:ascii="Garamond" w:hAnsi="Garamond"/>
                        <w:sz w:val="18"/>
                      </w:rPr>
                    </w:pPr>
                    <w:r>
                      <w:rPr>
                        <w:rFonts w:ascii="Garamond" w:hAnsi="Garamond"/>
                        <w:sz w:val="18"/>
                      </w:rPr>
                      <w:t>1511 Third Avenue</w:t>
                    </w:r>
                  </w:p>
                  <w:p w14:paraId="3C984D4B" w14:textId="77777777" w:rsidR="00EC61D3" w:rsidRDefault="00EC61D3" w:rsidP="00EC61D3">
                    <w:pPr>
                      <w:jc w:val="right"/>
                      <w:rPr>
                        <w:rFonts w:ascii="Garamond" w:hAnsi="Garamond"/>
                        <w:sz w:val="18"/>
                      </w:rPr>
                    </w:pPr>
                    <w:r>
                      <w:rPr>
                        <w:rFonts w:ascii="Garamond" w:hAnsi="Garamond"/>
                        <w:sz w:val="18"/>
                      </w:rPr>
                      <w:t>Suite 503</w:t>
                    </w:r>
                  </w:p>
                  <w:p w14:paraId="39D9FA22" w14:textId="77777777" w:rsidR="00EC61D3" w:rsidRDefault="00EC61D3" w:rsidP="00EC61D3">
                    <w:pPr>
                      <w:jc w:val="right"/>
                      <w:rPr>
                        <w:rFonts w:ascii="Garamond" w:hAnsi="Garamond"/>
                        <w:sz w:val="18"/>
                      </w:rPr>
                    </w:pPr>
                    <w:r>
                      <w:rPr>
                        <w:rFonts w:ascii="Garamond" w:hAnsi="Garamond"/>
                        <w:sz w:val="18"/>
                      </w:rPr>
                      <w:t>Seattle, WA 98101</w:t>
                    </w:r>
                  </w:p>
                  <w:p w14:paraId="7A5DB38E" w14:textId="77777777" w:rsidR="00EC61D3" w:rsidRDefault="00EC61D3" w:rsidP="00EC61D3">
                    <w:pPr>
                      <w:jc w:val="right"/>
                      <w:rPr>
                        <w:rFonts w:ascii="Garamond" w:hAnsi="Garamond"/>
                        <w:sz w:val="18"/>
                      </w:rPr>
                    </w:pPr>
                    <w:r>
                      <w:rPr>
                        <w:rFonts w:ascii="Garamond" w:hAnsi="Garamond"/>
                        <w:sz w:val="18"/>
                      </w:rPr>
                      <w:t>(206) 623-1302</w:t>
                    </w:r>
                  </w:p>
                  <w:p w14:paraId="77BE3A2E" w14:textId="77777777" w:rsidR="00EC61D3" w:rsidRDefault="00EC61D3" w:rsidP="00EC61D3">
                    <w:pPr>
                      <w:jc w:val="right"/>
                      <w:rPr>
                        <w:rFonts w:ascii="Garamond" w:hAnsi="Garamond"/>
                        <w:sz w:val="18"/>
                      </w:rPr>
                    </w:pPr>
                    <w:r>
                      <w:rPr>
                        <w:rFonts w:ascii="Garamond" w:hAnsi="Garamond"/>
                        <w:sz w:val="18"/>
                      </w:rPr>
                      <w:t>Fax (206) 623-4257</w:t>
                    </w:r>
                  </w:p>
                  <w:p w14:paraId="57CAF09E" w14:textId="77777777" w:rsidR="00EC61D3" w:rsidRDefault="00EC61D3" w:rsidP="00EC61D3">
                    <w:pPr>
                      <w:jc w:val="right"/>
                      <w:rPr>
                        <w:rFonts w:ascii="Garamond" w:hAnsi="Garamond"/>
                        <w:sz w:val="18"/>
                      </w:rPr>
                    </w:pPr>
                    <w:r>
                      <w:rPr>
                        <w:rFonts w:ascii="Garamond" w:hAnsi="Garamond"/>
                        <w:sz w:val="18"/>
                      </w:rPr>
                      <w:t>info@wacdl.org</w:t>
                    </w:r>
                  </w:p>
                  <w:p w14:paraId="1F7DCB9F" w14:textId="77777777" w:rsidR="00EC61D3" w:rsidRDefault="00EC61D3" w:rsidP="00EC61D3">
                    <w:pPr>
                      <w:jc w:val="right"/>
                      <w:rPr>
                        <w:rFonts w:ascii="Garamond" w:hAnsi="Garamond"/>
                        <w:sz w:val="18"/>
                      </w:rPr>
                    </w:pPr>
                    <w:r>
                      <w:rPr>
                        <w:rFonts w:ascii="Garamond" w:hAnsi="Garamond"/>
                        <w:sz w:val="18"/>
                      </w:rPr>
                      <w:t>wacdl.org</w:t>
                    </w:r>
                  </w:p>
                  <w:p w14:paraId="41579442" w14:textId="44D85595" w:rsidR="00B32AE4" w:rsidRDefault="00B32AE4"/>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66872" w14:textId="77777777" w:rsidR="001828E4" w:rsidRDefault="001828E4" w:rsidP="00485E4D">
      <w:r>
        <w:separator/>
      </w:r>
    </w:p>
  </w:footnote>
  <w:footnote w:type="continuationSeparator" w:id="0">
    <w:p w14:paraId="41D51DE3" w14:textId="77777777" w:rsidR="001828E4" w:rsidRDefault="001828E4" w:rsidP="00485E4D">
      <w:r>
        <w:continuationSeparator/>
      </w:r>
    </w:p>
  </w:footnote>
  <w:footnote w:type="continuationNotice" w:id="1">
    <w:p w14:paraId="18F296F8" w14:textId="77777777" w:rsidR="001828E4" w:rsidRDefault="001828E4"/>
  </w:footnote>
  <w:footnote w:id="2">
    <w:p w14:paraId="6FB28DB8" w14:textId="1EFC3AA6" w:rsidR="00773308" w:rsidRPr="007D69E2" w:rsidRDefault="00773308" w:rsidP="00512FF3">
      <w:pPr>
        <w:pStyle w:val="FootnoteText"/>
        <w:ind w:left="-720"/>
        <w:rPr>
          <w:rFonts w:ascii="Arial" w:hAnsi="Arial" w:cs="Arial"/>
        </w:rPr>
      </w:pPr>
      <w:r w:rsidRPr="007D69E2">
        <w:rPr>
          <w:rStyle w:val="FootnoteReference"/>
          <w:rFonts w:ascii="Arial" w:hAnsi="Arial" w:cs="Arial"/>
        </w:rPr>
        <w:footnoteRef/>
      </w:r>
      <w:r w:rsidRPr="007D69E2">
        <w:rPr>
          <w:rFonts w:ascii="Arial" w:hAnsi="Arial" w:cs="Arial"/>
        </w:rPr>
        <w:t xml:space="preserve">Available at: </w:t>
      </w:r>
      <w:hyperlink r:id="rId1" w:history="1">
        <w:r w:rsidRPr="006F1A72">
          <w:rPr>
            <w:rStyle w:val="Hyperlink"/>
            <w:rFonts w:ascii="Arial" w:hAnsi="Arial" w:cs="Arial"/>
          </w:rPr>
          <w:t>https://www.usatoday.com/story/opinion/policing/2017/12/14/jury-selection-race-policing-usa-discrimination/706549001/</w:t>
        </w:r>
      </w:hyperlink>
      <w:r w:rsidRPr="007D69E2">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DCA9E" w14:textId="1019A51F" w:rsidR="00B2763F" w:rsidRDefault="00B2763F">
    <w:pPr>
      <w:pStyle w:val="Header"/>
    </w:pPr>
  </w:p>
  <w:p w14:paraId="42E05520" w14:textId="77777777" w:rsidR="00B2763F" w:rsidRDefault="00B276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12072" w14:textId="62471D6D" w:rsidR="00485E4D" w:rsidRDefault="00485E4D" w:rsidP="00485E4D">
    <w:pPr>
      <w:spacing w:before="60"/>
      <w:rPr>
        <w:rFonts w:ascii="Garamond" w:hAnsi="Garamond"/>
        <w:b/>
        <w:bCs/>
        <w:sz w:val="18"/>
      </w:rPr>
    </w:pPr>
    <w:r>
      <w:rPr>
        <w:noProof/>
      </w:rPr>
      <mc:AlternateContent>
        <mc:Choice Requires="wps">
          <w:drawing>
            <wp:anchor distT="0" distB="0" distL="114300" distR="114300" simplePos="0" relativeHeight="251658240" behindDoc="0" locked="0" layoutInCell="1" allowOverlap="1" wp14:anchorId="16C629DA" wp14:editId="337540E6">
              <wp:simplePos x="0" y="0"/>
              <wp:positionH relativeFrom="column">
                <wp:posOffset>-1304925</wp:posOffset>
              </wp:positionH>
              <wp:positionV relativeFrom="paragraph">
                <wp:posOffset>-48260</wp:posOffset>
              </wp:positionV>
              <wp:extent cx="1219200" cy="14668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1219200" cy="1466850"/>
                      </a:xfrm>
                      <a:prstGeom prst="rect">
                        <a:avLst/>
                      </a:prstGeom>
                      <a:noFill/>
                      <a:ln w="6350">
                        <a:noFill/>
                      </a:ln>
                    </wps:spPr>
                    <wps:txbx>
                      <w:txbxContent>
                        <w:p w14:paraId="41A795BF" w14:textId="77777777" w:rsidR="00485E4D" w:rsidRDefault="00485E4D" w:rsidP="00485E4D">
                          <w:pPr>
                            <w:pBdr>
                              <w:bottom w:val="single" w:sz="12" w:space="1" w:color="auto"/>
                            </w:pBdr>
                            <w:jc w:val="right"/>
                            <w:rPr>
                              <w:rFonts w:ascii="Garamond" w:hAnsi="Garamond"/>
                              <w:b/>
                              <w:bCs/>
                              <w:spacing w:val="-20"/>
                              <w:sz w:val="44"/>
                            </w:rPr>
                          </w:pPr>
                          <w:r>
                            <w:rPr>
                              <w:rFonts w:ascii="Garamond" w:hAnsi="Garamond"/>
                              <w:b/>
                              <w:bCs/>
                              <w:spacing w:val="-30"/>
                              <w:sz w:val="44"/>
                            </w:rPr>
                            <w:t>W</w:t>
                          </w:r>
                          <w:r>
                            <w:rPr>
                              <w:rFonts w:ascii="Garamond" w:hAnsi="Garamond"/>
                              <w:b/>
                              <w:bCs/>
                              <w:spacing w:val="-20"/>
                              <w:sz w:val="44"/>
                            </w:rPr>
                            <w:t>A</w:t>
                          </w:r>
                          <w:r>
                            <w:rPr>
                              <w:rFonts w:ascii="Garamond" w:hAnsi="Garamond"/>
                              <w:b/>
                              <w:bCs/>
                              <w:sz w:val="44"/>
                            </w:rPr>
                            <w:t>CDL</w:t>
                          </w:r>
                        </w:p>
                        <w:p w14:paraId="55289355" w14:textId="3896E9F6" w:rsidR="00485E4D" w:rsidRDefault="00CE6D27" w:rsidP="00485E4D">
                          <w:pPr>
                            <w:spacing w:before="240"/>
                            <w:jc w:val="right"/>
                            <w:rPr>
                              <w:rFonts w:ascii="Garamond" w:hAnsi="Garamond"/>
                              <w:b/>
                              <w:bCs/>
                              <w:sz w:val="18"/>
                            </w:rPr>
                          </w:pPr>
                          <w:r>
                            <w:rPr>
                              <w:rFonts w:ascii="Garamond" w:hAnsi="Garamond"/>
                              <w:b/>
                              <w:bCs/>
                              <w:sz w:val="18"/>
                            </w:rPr>
                            <w:t>Larry Jefferson</w:t>
                          </w:r>
                        </w:p>
                        <w:p w14:paraId="10A900A5" w14:textId="77777777" w:rsidR="00485E4D" w:rsidRDefault="00485E4D" w:rsidP="00485E4D">
                          <w:pPr>
                            <w:jc w:val="right"/>
                            <w:rPr>
                              <w:rFonts w:ascii="Garamond" w:hAnsi="Garamond"/>
                              <w:sz w:val="18"/>
                            </w:rPr>
                          </w:pPr>
                          <w:r>
                            <w:rPr>
                              <w:rFonts w:ascii="Garamond" w:hAnsi="Garamond"/>
                              <w:sz w:val="18"/>
                            </w:rPr>
                            <w:t>President</w:t>
                          </w:r>
                        </w:p>
                        <w:p w14:paraId="3E8A6879" w14:textId="77777777" w:rsidR="00485E4D" w:rsidRDefault="00485E4D" w:rsidP="00485E4D">
                          <w:pPr>
                            <w:spacing w:before="240"/>
                            <w:jc w:val="right"/>
                            <w:rPr>
                              <w:rFonts w:ascii="Garamond" w:hAnsi="Garamond"/>
                              <w:b/>
                              <w:bCs/>
                              <w:sz w:val="18"/>
                            </w:rPr>
                          </w:pPr>
                          <w:r>
                            <w:rPr>
                              <w:rFonts w:ascii="Garamond" w:hAnsi="Garamond"/>
                              <w:b/>
                              <w:bCs/>
                              <w:sz w:val="18"/>
                            </w:rPr>
                            <w:t xml:space="preserve">Amy </w:t>
                          </w:r>
                          <w:proofErr w:type="spellStart"/>
                          <w:r>
                            <w:rPr>
                              <w:rFonts w:ascii="Garamond" w:hAnsi="Garamond"/>
                              <w:b/>
                              <w:bCs/>
                              <w:sz w:val="18"/>
                            </w:rPr>
                            <w:t>Hirotaka</w:t>
                          </w:r>
                          <w:proofErr w:type="spellEnd"/>
                        </w:p>
                        <w:p w14:paraId="5ED6BC14" w14:textId="77777777" w:rsidR="00485E4D" w:rsidRDefault="00485E4D" w:rsidP="00485E4D">
                          <w:pPr>
                            <w:jc w:val="right"/>
                            <w:rPr>
                              <w:rFonts w:ascii="Garamond" w:hAnsi="Garamond"/>
                              <w:sz w:val="18"/>
                            </w:rPr>
                          </w:pPr>
                          <w:r>
                            <w:rPr>
                              <w:rFonts w:ascii="Garamond" w:hAnsi="Garamond"/>
                              <w:sz w:val="18"/>
                            </w:rPr>
                            <w:t>Executive Director</w:t>
                          </w:r>
                        </w:p>
                        <w:p w14:paraId="6EFA2819" w14:textId="77777777" w:rsidR="00485E4D" w:rsidRPr="0016212A" w:rsidRDefault="00485E4D" w:rsidP="00485E4D">
                          <w:pPr>
                            <w:spacing w:after="200" w:line="276" w:lineRule="auto"/>
                            <w:rPr>
                              <w:rFonts w:eastAsia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629DA" id="_x0000_t202" coordsize="21600,21600" o:spt="202" path="m,l,21600r21600,l21600,xe">
              <v:stroke joinstyle="miter"/>
              <v:path gradientshapeok="t" o:connecttype="rect"/>
            </v:shapetype>
            <v:shape id="Text Box 4" o:spid="_x0000_s1026" type="#_x0000_t202" style="position:absolute;margin-left:-102.75pt;margin-top:-3.8pt;width:96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" filled="f" stroked="f" strokeweight=".5pt">
              <v:textbox>
                <w:txbxContent>
                  <w:p w14:paraId="41A795BF" w14:textId="77777777" w:rsidR="00485E4D" w:rsidRDefault="00485E4D" w:rsidP="00485E4D">
                    <w:pPr>
                      <w:pBdr>
                        <w:bottom w:val="single" w:sz="12" w:space="1" w:color="auto"/>
                      </w:pBdr>
                      <w:jc w:val="right"/>
                      <w:rPr>
                        <w:rFonts w:ascii="Garamond" w:hAnsi="Garamond"/>
                        <w:b/>
                        <w:bCs/>
                        <w:spacing w:val="-20"/>
                        <w:sz w:val="44"/>
                      </w:rPr>
                    </w:pPr>
                    <w:r>
                      <w:rPr>
                        <w:rFonts w:ascii="Garamond" w:hAnsi="Garamond"/>
                        <w:b/>
                        <w:bCs/>
                        <w:spacing w:val="-30"/>
                        <w:sz w:val="44"/>
                      </w:rPr>
                      <w:t>W</w:t>
                    </w:r>
                    <w:r>
                      <w:rPr>
                        <w:rFonts w:ascii="Garamond" w:hAnsi="Garamond"/>
                        <w:b/>
                        <w:bCs/>
                        <w:spacing w:val="-20"/>
                        <w:sz w:val="44"/>
                      </w:rPr>
                      <w:t>A</w:t>
                    </w:r>
                    <w:r>
                      <w:rPr>
                        <w:rFonts w:ascii="Garamond" w:hAnsi="Garamond"/>
                        <w:b/>
                        <w:bCs/>
                        <w:sz w:val="44"/>
                      </w:rPr>
                      <w:t>CDL</w:t>
                    </w:r>
                  </w:p>
                  <w:p w14:paraId="55289355" w14:textId="3896E9F6" w:rsidR="00485E4D" w:rsidRDefault="00CE6D27" w:rsidP="00485E4D">
                    <w:pPr>
                      <w:spacing w:before="240"/>
                      <w:jc w:val="right"/>
                      <w:rPr>
                        <w:rFonts w:ascii="Garamond" w:hAnsi="Garamond"/>
                        <w:b/>
                        <w:bCs/>
                        <w:sz w:val="18"/>
                      </w:rPr>
                    </w:pPr>
                    <w:r>
                      <w:rPr>
                        <w:rFonts w:ascii="Garamond" w:hAnsi="Garamond"/>
                        <w:b/>
                        <w:bCs/>
                        <w:sz w:val="18"/>
                      </w:rPr>
                      <w:t>Larry Jefferson</w:t>
                    </w:r>
                  </w:p>
                  <w:p w14:paraId="10A900A5" w14:textId="77777777" w:rsidR="00485E4D" w:rsidRDefault="00485E4D" w:rsidP="00485E4D">
                    <w:pPr>
                      <w:jc w:val="right"/>
                      <w:rPr>
                        <w:rFonts w:ascii="Garamond" w:hAnsi="Garamond"/>
                        <w:sz w:val="18"/>
                      </w:rPr>
                    </w:pPr>
                    <w:r>
                      <w:rPr>
                        <w:rFonts w:ascii="Garamond" w:hAnsi="Garamond"/>
                        <w:sz w:val="18"/>
                      </w:rPr>
                      <w:t>President</w:t>
                    </w:r>
                  </w:p>
                  <w:p w14:paraId="3E8A6879" w14:textId="77777777" w:rsidR="00485E4D" w:rsidRDefault="00485E4D" w:rsidP="00485E4D">
                    <w:pPr>
                      <w:spacing w:before="240"/>
                      <w:jc w:val="right"/>
                      <w:rPr>
                        <w:rFonts w:ascii="Garamond" w:hAnsi="Garamond"/>
                        <w:b/>
                        <w:bCs/>
                        <w:sz w:val="18"/>
                      </w:rPr>
                    </w:pPr>
                    <w:r>
                      <w:rPr>
                        <w:rFonts w:ascii="Garamond" w:hAnsi="Garamond"/>
                        <w:b/>
                        <w:bCs/>
                        <w:sz w:val="18"/>
                      </w:rPr>
                      <w:t xml:space="preserve">Amy </w:t>
                    </w:r>
                    <w:proofErr w:type="spellStart"/>
                    <w:r>
                      <w:rPr>
                        <w:rFonts w:ascii="Garamond" w:hAnsi="Garamond"/>
                        <w:b/>
                        <w:bCs/>
                        <w:sz w:val="18"/>
                      </w:rPr>
                      <w:t>Hirotaka</w:t>
                    </w:r>
                    <w:proofErr w:type="spellEnd"/>
                  </w:p>
                  <w:p w14:paraId="5ED6BC14" w14:textId="77777777" w:rsidR="00485E4D" w:rsidRDefault="00485E4D" w:rsidP="00485E4D">
                    <w:pPr>
                      <w:jc w:val="right"/>
                      <w:rPr>
                        <w:rFonts w:ascii="Garamond" w:hAnsi="Garamond"/>
                        <w:sz w:val="18"/>
                      </w:rPr>
                    </w:pPr>
                    <w:r>
                      <w:rPr>
                        <w:rFonts w:ascii="Garamond" w:hAnsi="Garamond"/>
                        <w:sz w:val="18"/>
                      </w:rPr>
                      <w:t>Executive Director</w:t>
                    </w:r>
                  </w:p>
                  <w:p w14:paraId="6EFA2819" w14:textId="77777777" w:rsidR="00485E4D" w:rsidRPr="0016212A" w:rsidRDefault="00485E4D" w:rsidP="00485E4D">
                    <w:pPr>
                      <w:spacing w:after="200" w:line="276" w:lineRule="auto"/>
                      <w:rPr>
                        <w:rFonts w:eastAsiaTheme="minorHAnsi"/>
                      </w:rPr>
                    </w:pPr>
                  </w:p>
                </w:txbxContent>
              </v:textbox>
              <w10:wrap type="square"/>
            </v:shape>
          </w:pict>
        </mc:Fallback>
      </mc:AlternateContent>
    </w:r>
    <w:r>
      <w:rPr>
        <w:rFonts w:ascii="Garamond" w:hAnsi="Garamond"/>
        <w:b/>
        <w:bCs/>
        <w:sz w:val="18"/>
      </w:rPr>
      <w:t>Washington Association of</w:t>
    </w:r>
  </w:p>
  <w:p w14:paraId="56B694DF" w14:textId="77777777" w:rsidR="00485E4D" w:rsidRDefault="00485E4D" w:rsidP="00485E4D">
    <w:pPr>
      <w:rPr>
        <w:rFonts w:ascii="Garamond" w:hAnsi="Garamond"/>
        <w:b/>
        <w:bCs/>
        <w:sz w:val="18"/>
      </w:rPr>
    </w:pPr>
    <w:r>
      <w:rPr>
        <w:rFonts w:ascii="Garamond" w:hAnsi="Garamond"/>
        <w:b/>
        <w:bCs/>
        <w:sz w:val="18"/>
      </w:rPr>
      <w:t>Criminal Defense Lawyers</w:t>
    </w:r>
  </w:p>
  <w:p w14:paraId="2AD396C3" w14:textId="26E60B2A" w:rsidR="00485E4D" w:rsidRDefault="00485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24AD2"/>
    <w:multiLevelType w:val="hybridMultilevel"/>
    <w:tmpl w:val="1C3E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95A4F"/>
    <w:multiLevelType w:val="hybridMultilevel"/>
    <w:tmpl w:val="82544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1113D2"/>
    <w:multiLevelType w:val="hybridMultilevel"/>
    <w:tmpl w:val="D32AA8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713AD"/>
    <w:multiLevelType w:val="hybridMultilevel"/>
    <w:tmpl w:val="A5DC6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A5"/>
    <w:rsid w:val="00000D5D"/>
    <w:rsid w:val="00002F2D"/>
    <w:rsid w:val="00004A0F"/>
    <w:rsid w:val="0001774A"/>
    <w:rsid w:val="000867F6"/>
    <w:rsid w:val="000C0F56"/>
    <w:rsid w:val="000D7591"/>
    <w:rsid w:val="001315A5"/>
    <w:rsid w:val="00146334"/>
    <w:rsid w:val="00147278"/>
    <w:rsid w:val="001828E4"/>
    <w:rsid w:val="00195A27"/>
    <w:rsid w:val="001A0C4F"/>
    <w:rsid w:val="001D69C0"/>
    <w:rsid w:val="00215341"/>
    <w:rsid w:val="00233D6A"/>
    <w:rsid w:val="002A66ED"/>
    <w:rsid w:val="002B0F12"/>
    <w:rsid w:val="002B48F5"/>
    <w:rsid w:val="00343D29"/>
    <w:rsid w:val="00376DAE"/>
    <w:rsid w:val="003A0ABA"/>
    <w:rsid w:val="003F1AE9"/>
    <w:rsid w:val="004067E4"/>
    <w:rsid w:val="00411272"/>
    <w:rsid w:val="0042106A"/>
    <w:rsid w:val="0046628F"/>
    <w:rsid w:val="00485E4D"/>
    <w:rsid w:val="00512FF3"/>
    <w:rsid w:val="00533B62"/>
    <w:rsid w:val="0055437C"/>
    <w:rsid w:val="0058034A"/>
    <w:rsid w:val="005C348E"/>
    <w:rsid w:val="005E2D0E"/>
    <w:rsid w:val="00656B30"/>
    <w:rsid w:val="006C4166"/>
    <w:rsid w:val="006F1A72"/>
    <w:rsid w:val="006F78C9"/>
    <w:rsid w:val="00773308"/>
    <w:rsid w:val="007D69E2"/>
    <w:rsid w:val="00866DF1"/>
    <w:rsid w:val="00875460"/>
    <w:rsid w:val="00896259"/>
    <w:rsid w:val="008C2389"/>
    <w:rsid w:val="008D2326"/>
    <w:rsid w:val="00903B87"/>
    <w:rsid w:val="0091194B"/>
    <w:rsid w:val="009409A6"/>
    <w:rsid w:val="00954E3F"/>
    <w:rsid w:val="00967368"/>
    <w:rsid w:val="009E06B7"/>
    <w:rsid w:val="009F782F"/>
    <w:rsid w:val="00A03066"/>
    <w:rsid w:val="00A51E08"/>
    <w:rsid w:val="00A958D0"/>
    <w:rsid w:val="00A97800"/>
    <w:rsid w:val="00AA7A0D"/>
    <w:rsid w:val="00AD331E"/>
    <w:rsid w:val="00B2763F"/>
    <w:rsid w:val="00B32AE4"/>
    <w:rsid w:val="00B36DC5"/>
    <w:rsid w:val="00B947D6"/>
    <w:rsid w:val="00BD6FB6"/>
    <w:rsid w:val="00BE4E11"/>
    <w:rsid w:val="00C25A78"/>
    <w:rsid w:val="00CC2DAB"/>
    <w:rsid w:val="00CC3D7D"/>
    <w:rsid w:val="00CD228E"/>
    <w:rsid w:val="00CE6D27"/>
    <w:rsid w:val="00D037A5"/>
    <w:rsid w:val="00E44BC3"/>
    <w:rsid w:val="00EC12FC"/>
    <w:rsid w:val="00EC61D3"/>
    <w:rsid w:val="00F02FAF"/>
    <w:rsid w:val="00F50838"/>
    <w:rsid w:val="00FC0979"/>
    <w:rsid w:val="0327CF6C"/>
    <w:rsid w:val="0E83C366"/>
    <w:rsid w:val="105A8CDD"/>
    <w:rsid w:val="1E35D436"/>
    <w:rsid w:val="36A0F902"/>
    <w:rsid w:val="37B11820"/>
    <w:rsid w:val="3DAAC39D"/>
    <w:rsid w:val="4A6F8F52"/>
    <w:rsid w:val="522099B0"/>
    <w:rsid w:val="5A3D66EA"/>
    <w:rsid w:val="68DCFC73"/>
    <w:rsid w:val="747763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A1EAD1"/>
  <w15:chartTrackingRefBased/>
  <w15:docId w15:val="{92E66D41-8259-4D27-8A69-612155A0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7A5"/>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E4D"/>
    <w:pPr>
      <w:tabs>
        <w:tab w:val="center" w:pos="4680"/>
        <w:tab w:val="right" w:pos="9360"/>
      </w:tabs>
    </w:pPr>
  </w:style>
  <w:style w:type="character" w:customStyle="1" w:styleId="HeaderChar">
    <w:name w:val="Header Char"/>
    <w:basedOn w:val="DefaultParagraphFont"/>
    <w:link w:val="Header"/>
    <w:uiPriority w:val="99"/>
    <w:rsid w:val="00485E4D"/>
    <w:rPr>
      <w:rFonts w:ascii="Arial" w:eastAsia="Times New Roman" w:hAnsi="Arial" w:cs="Times New Roman"/>
      <w:szCs w:val="20"/>
    </w:rPr>
  </w:style>
  <w:style w:type="paragraph" w:styleId="Footer">
    <w:name w:val="footer"/>
    <w:basedOn w:val="Normal"/>
    <w:link w:val="FooterChar"/>
    <w:uiPriority w:val="99"/>
    <w:unhideWhenUsed/>
    <w:rsid w:val="00485E4D"/>
    <w:pPr>
      <w:tabs>
        <w:tab w:val="center" w:pos="4680"/>
        <w:tab w:val="right" w:pos="9360"/>
      </w:tabs>
    </w:pPr>
  </w:style>
  <w:style w:type="character" w:customStyle="1" w:styleId="FooterChar">
    <w:name w:val="Footer Char"/>
    <w:basedOn w:val="DefaultParagraphFont"/>
    <w:link w:val="Footer"/>
    <w:uiPriority w:val="99"/>
    <w:rsid w:val="00485E4D"/>
    <w:rPr>
      <w:rFonts w:ascii="Arial" w:eastAsia="Times New Roman" w:hAnsi="Arial" w:cs="Times New Roman"/>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958D0"/>
    <w:pPr>
      <w:ind w:left="720"/>
      <w:contextualSpacing/>
    </w:pPr>
    <w:rPr>
      <w:rFonts w:asciiTheme="minorHAnsi" w:eastAsiaTheme="minorHAnsi" w:hAnsiTheme="minorHAnsi" w:cstheme="minorBidi"/>
      <w:sz w:val="24"/>
      <w:szCs w:val="24"/>
    </w:rPr>
  </w:style>
  <w:style w:type="character" w:styleId="Hyperlink">
    <w:name w:val="Hyperlink"/>
    <w:basedOn w:val="DefaultParagraphFont"/>
    <w:uiPriority w:val="99"/>
    <w:unhideWhenUsed/>
    <w:rsid w:val="00773308"/>
    <w:rPr>
      <w:color w:val="0000FF" w:themeColor="hyperlink"/>
      <w:u w:val="single"/>
    </w:rPr>
  </w:style>
  <w:style w:type="paragraph" w:styleId="FootnoteText">
    <w:name w:val="footnote text"/>
    <w:basedOn w:val="Normal"/>
    <w:link w:val="FootnoteTextChar"/>
    <w:uiPriority w:val="99"/>
    <w:semiHidden/>
    <w:unhideWhenUsed/>
    <w:rsid w:val="00773308"/>
    <w:rPr>
      <w:rFonts w:ascii="Times New Roman" w:hAnsi="Times New Roman"/>
      <w:sz w:val="20"/>
    </w:rPr>
  </w:style>
  <w:style w:type="character" w:customStyle="1" w:styleId="FootnoteTextChar">
    <w:name w:val="Footnote Text Char"/>
    <w:basedOn w:val="DefaultParagraphFont"/>
    <w:link w:val="FootnoteText"/>
    <w:uiPriority w:val="99"/>
    <w:semiHidden/>
    <w:rsid w:val="0077330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73308"/>
    <w:rPr>
      <w:vertAlign w:val="superscript"/>
    </w:rPr>
  </w:style>
  <w:style w:type="character" w:styleId="PageNumber">
    <w:name w:val="page number"/>
    <w:basedOn w:val="DefaultParagraphFont"/>
    <w:uiPriority w:val="99"/>
    <w:semiHidden/>
    <w:unhideWhenUsed/>
    <w:rsid w:val="0042106A"/>
  </w:style>
  <w:style w:type="character" w:styleId="FollowedHyperlink">
    <w:name w:val="FollowedHyperlink"/>
    <w:basedOn w:val="DefaultParagraphFont"/>
    <w:uiPriority w:val="99"/>
    <w:semiHidden/>
    <w:unhideWhenUsed/>
    <w:rsid w:val="00967368"/>
    <w:rPr>
      <w:color w:val="800080" w:themeColor="followedHyperlink"/>
      <w:u w:val="single"/>
    </w:rPr>
  </w:style>
  <w:style w:type="character" w:styleId="UnresolvedMention">
    <w:name w:val="Unresolved Mention"/>
    <w:basedOn w:val="DefaultParagraphFont"/>
    <w:uiPriority w:val="99"/>
    <w:semiHidden/>
    <w:unhideWhenUsed/>
    <w:rsid w:val="006F1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6460">
      <w:bodyDiv w:val="1"/>
      <w:marLeft w:val="0"/>
      <w:marRight w:val="0"/>
      <w:marTop w:val="0"/>
      <w:marBottom w:val="0"/>
      <w:divBdr>
        <w:top w:val="none" w:sz="0" w:space="0" w:color="auto"/>
        <w:left w:val="none" w:sz="0" w:space="0" w:color="auto"/>
        <w:bottom w:val="none" w:sz="0" w:space="0" w:color="auto"/>
        <w:right w:val="none" w:sz="0" w:space="0" w:color="auto"/>
      </w:divBdr>
    </w:div>
    <w:div w:id="143871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satoday.com/story/opinion/policing/2017/12/14/jury-selection-race-policing-usa-discrimination/706549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uthor0 xmlns="356e8649-f6cd-4f71-b810-328db08baf9f" xsi:nil="true"/>
    <DocumentType xmlns="356e8649-f6cd-4f71-b810-328db08baf9f" xsi:nil="true"/>
    <Summary xmlns="356e8649-f6cd-4f71-b810-328db08baf9f" xsi:nil="true"/>
    <TaxKeywordTaxHTField xmlns="88ee4d57-d71e-4e1e-b2d6-f21014c063ce">
      <Terms xmlns="http://schemas.microsoft.com/office/infopath/2007/PartnerControls"/>
    </TaxKeywordTaxHTField>
    <TaxCatchAll xmlns="88ee4d57-d71e-4e1e-b2d6-f21014c063ce"/>
    <Date xmlns="356e8649-f6cd-4f71-b810-328db08baf9f" xsi:nil="true"/>
    <SharedWithUsers xmlns="88ee4d57-d71e-4e1e-b2d6-f21014c063ce">
      <UserInfo>
        <DisplayName>Amy Hirotaka</DisplayName>
        <AccountId>36</AccountId>
        <AccountType/>
      </UserInfo>
    </SharedWithUsers>
    <account xmlns="356e8649-f6cd-4f71-b810-328db08baf9f"/>
    <Payor xmlns="356e8649-f6cd-4f71-b810-328db08baf9f" xsi:nil="true"/>
    <Payee xmlns="356e8649-f6cd-4f71-b810-328db08baf9f" xsi:nil="true"/>
    <Class xmlns="356e8649-f6cd-4f71-b810-328db08baf9f" xsi:nil="true"/>
    <Bank xmlns="356e8649-f6cd-4f71-b810-328db08baf9f" xsi:nil="true"/>
    <Recordingdate xmlns="356e8649-f6cd-4f71-b810-328db08baf9f" xsi:nil="true"/>
    <payment_x0020_type xmlns="356e8649-f6cd-4f71-b810-328db08baf9f" xsi:nil="true"/>
    <Accounts_x0028_income_x0029_ xmlns="356e8649-f6cd-4f71-b810-328db08baf9f" xsi:nil="true"/>
    <Ordernumber xmlns="356e8649-f6cd-4f71-b810-328db08baf9f" xsi:nil="true"/>
    <transactiontype xmlns="356e8649-f6cd-4f71-b810-328db08baf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F106E8369BE444AA9820C39EB2057C" ma:contentTypeVersion="42" ma:contentTypeDescription="Create a new document." ma:contentTypeScope="" ma:versionID="2c0e22729af9e0ea9382ab1dbc70fdae">
  <xsd:schema xmlns:xsd="http://www.w3.org/2001/XMLSchema" xmlns:xs="http://www.w3.org/2001/XMLSchema" xmlns:p="http://schemas.microsoft.com/office/2006/metadata/properties" xmlns:ns2="356e8649-f6cd-4f71-b810-328db08baf9f" xmlns:ns3="88ee4d57-d71e-4e1e-b2d6-f21014c063ce" targetNamespace="http://schemas.microsoft.com/office/2006/metadata/properties" ma:root="true" ma:fieldsID="f47cfebd71bc9ea6f1f0a6b1dd608eb9" ns2:_="" ns3:_="">
    <xsd:import namespace="356e8649-f6cd-4f71-b810-328db08baf9f"/>
    <xsd:import namespace="88ee4d57-d71e-4e1e-b2d6-f21014c063ce"/>
    <xsd:element name="properties">
      <xsd:complexType>
        <xsd:sequence>
          <xsd:element name="documentManagement">
            <xsd:complexType>
              <xsd:all>
                <xsd:element ref="ns2:account" minOccurs="0"/>
                <xsd:element ref="ns2:Class" minOccurs="0"/>
                <xsd:element ref="ns2:Payor" minOccurs="0"/>
                <xsd:element ref="ns2:Payee" minOccurs="0"/>
                <xsd:element ref="ns2:Bank" minOccurs="0"/>
                <xsd:element ref="ns2:Summary" minOccurs="0"/>
                <xsd:element ref="ns2:payment_x0020_type" minOccurs="0"/>
                <xsd:element ref="ns2:Accounts_x0028_income_x0029_" minOccurs="0"/>
                <xsd:element ref="ns2:transactiontype" minOccurs="0"/>
                <xsd:element ref="ns3:TaxKeywordTaxHTField" minOccurs="0"/>
                <xsd:element ref="ns3:TaxCatchAll"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DocumentType" minOccurs="0"/>
                <xsd:element ref="ns2:Recordingdate" minOccurs="0"/>
                <xsd:element ref="ns2:Author0" minOccurs="0"/>
                <xsd:element ref="ns3:SharedWithUsers" minOccurs="0"/>
                <xsd:element ref="ns3:SharedWithDetails" minOccurs="0"/>
                <xsd:element ref="ns2:Ord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e8649-f6cd-4f71-b810-328db08baf9f" elementFormDefault="qualified">
    <xsd:import namespace="http://schemas.microsoft.com/office/2006/documentManagement/types"/>
    <xsd:import namespace="http://schemas.microsoft.com/office/infopath/2007/PartnerControls"/>
    <xsd:element name="account" ma:index="1" nillable="true" ma:displayName="account (expense)" ma:format="Dropdown" ma:internalName="account" ma:readOnly="false">
      <xsd:complexType>
        <xsd:complexContent>
          <xsd:extension base="dms:MultiChoiceFillIn">
            <xsd:sequence>
              <xsd:element name="Value" maxOccurs="unbounded" minOccurs="0" nillable="true">
                <xsd:simpleType>
                  <xsd:union memberTypes="dms:Text">
                    <xsd:simpleType>
                      <xsd:restriction base="dms:Choice">
                        <xsd:enumeration value="Equipment"/>
                        <xsd:enumeration value="Events: AV"/>
                        <xsd:enumeration value="Events: Catering"/>
                        <xsd:enumeration value="Events: Social"/>
                        <xsd:enumeration value="Events: faculty travel"/>
                        <xsd:enumeration value="Events: room rental"/>
                        <xsd:enumeration value="Events: WSBA fees"/>
                        <xsd:enumeration value="Grant"/>
                        <xsd:enumeration value="Misc. Expense"/>
                        <xsd:enumeration value="Misc. Expense: Bank fees"/>
                        <xsd:enumeration value="Misc. Expense: Gov taxes/fees"/>
                        <xsd:enumeration value="Occupancy"/>
                        <xsd:enumeration value="Online service/software"/>
                        <xsd:enumeration value="Payroll expense"/>
                        <xsd:enumeration value="Payroll taxes"/>
                        <xsd:enumeration value="Personnel - Other"/>
                        <xsd:enumeration value="Personnel - Retirement"/>
                        <xsd:enumeration value="Postage/delivery"/>
                        <xsd:enumeration value="postage: mail prep"/>
                        <xsd:enumeration value="Printing"/>
                        <xsd:enumeration value="Prof. fees"/>
                        <xsd:enumeration value="Prof. fees: lobbying"/>
                        <xsd:enumeration value="Supplies"/>
                        <xsd:enumeration value="Telecom"/>
                      </xsd:restriction>
                    </xsd:simpleType>
                  </xsd:union>
                </xsd:simpleType>
              </xsd:element>
            </xsd:sequence>
          </xsd:extension>
        </xsd:complexContent>
      </xsd:complexType>
    </xsd:element>
    <xsd:element name="Class" ma:index="2" nillable="true" ma:displayName="Class" ma:format="Dropdown" ma:internalName="Class" ma:readOnly="false">
      <xsd:simpleType>
        <xsd:restriction base="dms:Text">
          <xsd:maxLength value="255"/>
        </xsd:restriction>
      </xsd:simpleType>
    </xsd:element>
    <xsd:element name="Payor" ma:index="3" nillable="true" ma:displayName="Payor" ma:format="Dropdown" ma:internalName="Payor" ma:readOnly="false">
      <xsd:simpleType>
        <xsd:restriction base="dms:Note">
          <xsd:maxLength value="255"/>
        </xsd:restriction>
      </xsd:simpleType>
    </xsd:element>
    <xsd:element name="Payee" ma:index="4" nillable="true" ma:displayName="Payee" ma:format="Dropdown" ma:internalName="Payee">
      <xsd:simpleType>
        <xsd:union memberTypes="dms:Text">
          <xsd:simpleType>
            <xsd:restriction base="dms:Choice">
              <xsd:enumeration value="AAA Mail"/>
              <xsd:enumeration value="Affinity for Nonprofits"/>
              <xsd:enumeration value="Bank of America"/>
              <xsd:enumeration value="Consolidated Press"/>
              <xsd:enumeration value="Doncaster Investments"/>
              <xsd:enumeration value="Employment Security Department"/>
              <xsd:enumeration value="Great American Insurance"/>
              <xsd:enumeration value="Intuit"/>
              <xsd:enumeration value="Labor and Industries"/>
              <xsd:enumeration value="Neil Beaver Consulting"/>
              <xsd:enumeration value="Print Time"/>
              <xsd:enumeration value="Secretary of State"/>
              <xsd:enumeration value="Tim Hall"/>
              <xsd:enumeration value="US Treasury"/>
              <xsd:enumeration value="USPS"/>
              <xsd:enumeration value="WSBA"/>
              <xsd:enumeration value="Charles Schwab"/>
              <xsd:enumeration value="Adan Days, Illustrator"/>
              <xsd:enumeration value="WA Department of Revenue"/>
            </xsd:restriction>
          </xsd:simpleType>
        </xsd:union>
      </xsd:simpleType>
    </xsd:element>
    <xsd:element name="Bank" ma:index="5" nillable="true" ma:displayName="Bank" ma:format="Dropdown" ma:internalName="Bank" ma:readOnly="false">
      <xsd:simpleType>
        <xsd:restriction base="dms:Choice">
          <xsd:enumeration value="Bank of America"/>
          <xsd:enumeration value="Beneficial"/>
        </xsd:restriction>
      </xsd:simpleType>
    </xsd:element>
    <xsd:element name="Summary" ma:index="6" nillable="true" ma:displayName="Summary" ma:format="Dropdown" ma:internalName="Summary">
      <xsd:simpleType>
        <xsd:restriction base="dms:Note"/>
      </xsd:simpleType>
    </xsd:element>
    <xsd:element name="payment_x0020_type" ma:index="7" nillable="true" ma:displayName="payment type" ma:format="Dropdown" ma:internalName="payment_x0020_type" ma:readOnly="false">
      <xsd:simpleType>
        <xsd:restriction base="dms:Choice">
          <xsd:enumeration value="credit card"/>
          <xsd:enumeration value="check"/>
          <xsd:enumeration value="ACH"/>
        </xsd:restriction>
      </xsd:simpleType>
    </xsd:element>
    <xsd:element name="Accounts_x0028_income_x0029_" ma:index="8" nillable="true" ma:displayName="Accounts (income)" ma:format="Dropdown" ma:internalName="Accounts_x0028_income_x0029_">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Dues"/>
                        <xsd:enumeration value="CLE fees"/>
                        <xsd:enumeration value="Resources &amp; Publications"/>
                        <xsd:enumeration value="Labels"/>
                        <xsd:enumeration value="Contribution"/>
                        <xsd:enumeration value="Holiday Party: Sponsors"/>
                        <xsd:enumeration value="Holiday Party: donations"/>
                        <xsd:enumeration value="Holiday Party: Tickets"/>
                      </xsd:restriction>
                    </xsd:simpleType>
                  </xsd:union>
                </xsd:simpleType>
              </xsd:element>
            </xsd:sequence>
          </xsd:extension>
        </xsd:complexContent>
      </xsd:complexType>
    </xsd:element>
    <xsd:element name="transactiontype" ma:index="9" nillable="true" ma:displayName="transaction type" ma:format="Dropdown" ma:internalName="transactiontype">
      <xsd:complexType>
        <xsd:complexContent>
          <xsd:extension base="dms:MultiChoice">
            <xsd:sequence>
              <xsd:element name="Value" maxOccurs="unbounded" minOccurs="0" nillable="true">
                <xsd:simpleType>
                  <xsd:restriction base="dms:Choice">
                    <xsd:enumeration value="Debit"/>
                    <xsd:enumeration value="Credit"/>
                    <xsd:enumeration value="Taxes"/>
                    <xsd:enumeration value="Correspondence"/>
                    <xsd:enumeration value="Statements"/>
                  </xsd:restriction>
                </xsd:simple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hidden="true" ma:internalName="MediaServiceLocation" ma:readOnly="true">
      <xsd:simpleType>
        <xsd:restriction base="dms:Text"/>
      </xsd:simpleType>
    </xsd:element>
    <xsd:element name="Date" ma:index="24" nillable="true" ma:displayName="Project Year" ma:hidden="true" ma:indexed="true" ma:internalName="Date" ma:readOnly="false">
      <xsd:simpleType>
        <xsd:restriction base="dms:Text">
          <xsd:maxLength value="4"/>
        </xsd:restriction>
      </xsd:simpleType>
    </xsd:element>
    <xsd:element name="DocumentType" ma:index="25" nillable="true" ma:displayName="Document Type" ma:format="Dropdown" ma:hidden="true" ma:internalName="DocumentType" ma:readOnly="false">
      <xsd:simpleType>
        <xsd:restriction base="dms:Choice">
          <xsd:enumeration value="Amicus Brief"/>
          <xsd:enumeration value="Appellate Brief"/>
          <xsd:enumeration value="Article"/>
          <xsd:enumeration value="CLE Chapter"/>
          <xsd:enumeration value="CLE Manual"/>
          <xsd:enumeration value="CLE Video"/>
          <xsd:enumeration value="Defense Article"/>
          <xsd:enumeration value="Motion"/>
          <xsd:enumeration value="Other"/>
          <xsd:enumeration value="Quick Reference Guide"/>
          <xsd:enumeration value="Transcripts"/>
          <xsd:enumeration value="Unpublished Opinion"/>
          <xsd:enumeration value="WACDL Amicus"/>
        </xsd:restriction>
      </xsd:simpleType>
    </xsd:element>
    <xsd:element name="Recordingdate" ma:index="26" nillable="true" ma:displayName="Recording date" ma:format="DateOnly" ma:hidden="true" ma:internalName="Recordingdate" ma:readOnly="false">
      <xsd:simpleType>
        <xsd:restriction base="dms:DateTime"/>
      </xsd:simpleType>
    </xsd:element>
    <xsd:element name="Author0" ma:index="32" nillable="true" ma:displayName="Author" ma:hidden="true" ma:internalName="Author0" ma:readOnly="false">
      <xsd:simpleType>
        <xsd:restriction base="dms:Text">
          <xsd:maxLength value="255"/>
        </xsd:restriction>
      </xsd:simpleType>
    </xsd:element>
    <xsd:element name="Ordernumber" ma:index="35" nillable="true" ma:displayName="Order number" ma:format="Dropdown" ma:hidden="true" ma:internalName="Ordernumb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8ee4d57-d71e-4e1e-b2d6-f21014c063ce"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Keywords" ma:readOnly="false" ma:fieldId="{23f27201-bee3-471e-b2e7-b64fd8b7ca38}" ma:taxonomyMulti="true" ma:sspId="e8474f6f-6188-46a8-86df-30fb6d466ef4"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1b57d54c-7a6e-4fa4-9032-79e7ea18ea9f}" ma:internalName="TaxCatchAll" ma:readOnly="false" ma:showField="CatchAllData" ma:web="88ee4d57-d71e-4e1e-b2d6-f21014c063ce">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5F64A-1506-483D-8B60-6012C0DAC461}">
  <ds:schemaRefs>
    <ds:schemaRef ds:uri="http://schemas.microsoft.com/office/2006/metadata/properties"/>
    <ds:schemaRef ds:uri="http://schemas.microsoft.com/office/infopath/2007/PartnerControls"/>
    <ds:schemaRef ds:uri="356e8649-f6cd-4f71-b810-328db08baf9f"/>
    <ds:schemaRef ds:uri="88ee4d57-d71e-4e1e-b2d6-f21014c063ce"/>
  </ds:schemaRefs>
</ds:datastoreItem>
</file>

<file path=customXml/itemProps2.xml><?xml version="1.0" encoding="utf-8"?>
<ds:datastoreItem xmlns:ds="http://schemas.openxmlformats.org/officeDocument/2006/customXml" ds:itemID="{BD8780E8-EA2D-4A2F-9FBF-B25A174C1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e8649-f6cd-4f71-b810-328db08baf9f"/>
    <ds:schemaRef ds:uri="88ee4d57-d71e-4e1e-b2d6-f21014c06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243D4-F647-4A03-8825-34F47F0DC1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981</Words>
  <Characters>5596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Rice</dc:creator>
  <cp:keywords/>
  <dc:description/>
  <cp:lastModifiedBy>Fred Rice</cp:lastModifiedBy>
  <cp:revision>14</cp:revision>
  <cp:lastPrinted>2021-04-08T22:16:00Z</cp:lastPrinted>
  <dcterms:created xsi:type="dcterms:W3CDTF">2021-04-08T22:13:00Z</dcterms:created>
  <dcterms:modified xsi:type="dcterms:W3CDTF">2021-04-27T18:59:00Z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0x01010045F106E8369BE444AA9820C39EB2057C</vt:lpwstr>
  </property>
  <property fmtid="{D5CDD505-2E9C-101B-9397-08002B2CF9AE}" pid="3" name="TaxKeyword">
    <vt:lpwstr/>
  </property>
</Properties>
</file>