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0F2F" w14:textId="06F18D00" w:rsidR="00D95E79" w:rsidRPr="00820750" w:rsidRDefault="00D95E79" w:rsidP="00D95E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 xml:space="preserve">Honorable Wendy </w:t>
      </w:r>
      <w:r w:rsidR="005C7978" w:rsidRPr="0082075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820750">
        <w:rPr>
          <w:rFonts w:ascii="Times New Roman" w:eastAsia="Times New Roman" w:hAnsi="Times New Roman" w:cs="Times New Roman"/>
          <w:sz w:val="28"/>
          <w:szCs w:val="28"/>
        </w:rPr>
        <w:t>Million</w:t>
      </w:r>
    </w:p>
    <w:p w14:paraId="59AD6CBE" w14:textId="1429E67C" w:rsidR="00D95E79" w:rsidRPr="00820750" w:rsidRDefault="00A47B56" w:rsidP="00D95E79">
      <w:pPr>
        <w:keepNext/>
        <w:spacing w:after="0" w:line="240" w:lineRule="auto"/>
        <w:contextualSpacing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 xml:space="preserve">Magistrate, </w:t>
      </w:r>
      <w:r w:rsidR="00D95E79" w:rsidRPr="00820750">
        <w:rPr>
          <w:rFonts w:ascii="Times New Roman" w:eastAsia="Times New Roman" w:hAnsi="Times New Roman" w:cs="Times New Roman"/>
          <w:sz w:val="28"/>
          <w:szCs w:val="28"/>
        </w:rPr>
        <w:t>Tucson City Court</w:t>
      </w:r>
    </w:p>
    <w:p w14:paraId="6D3199CD" w14:textId="77777777" w:rsidR="00D95E79" w:rsidRPr="00820750" w:rsidRDefault="00D95E79" w:rsidP="00D95E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>103 E. Alameda</w:t>
      </w:r>
    </w:p>
    <w:p w14:paraId="22E63314" w14:textId="77777777" w:rsidR="00D95E79" w:rsidRPr="00820750" w:rsidRDefault="00D95E79" w:rsidP="00D95E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>Tucson, AZ  85701</w:t>
      </w:r>
    </w:p>
    <w:p w14:paraId="2D6E6B86" w14:textId="77777777" w:rsidR="00D95E79" w:rsidRPr="00820750" w:rsidRDefault="00D95E79" w:rsidP="00D95E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 xml:space="preserve">Chair, Committee on the Impact </w:t>
      </w:r>
    </w:p>
    <w:p w14:paraId="001FB027" w14:textId="77777777" w:rsidR="00D95E79" w:rsidRPr="00820750" w:rsidRDefault="00D95E79" w:rsidP="00D95E7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>of Domestic Violence and the Courts</w:t>
      </w:r>
    </w:p>
    <w:p w14:paraId="5AB56BAF" w14:textId="77777777" w:rsidR="00D95E79" w:rsidRPr="00820750" w:rsidRDefault="00D95E79" w:rsidP="00D95E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 xml:space="preserve">Staff:  </w:t>
      </w:r>
      <w:hyperlink r:id="rId10" w:history="1">
        <w:r w:rsidRPr="00820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kradwanski@courts.az.gov</w:t>
        </w:r>
      </w:hyperlink>
      <w:r w:rsidRPr="00820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8B9876" w14:textId="03C01076" w:rsidR="005C7978" w:rsidRPr="00820750" w:rsidRDefault="005C7978" w:rsidP="005C7978">
      <w:pPr>
        <w:keepNext/>
        <w:spacing w:after="0" w:line="240" w:lineRule="auto"/>
        <w:contextualSpacing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820750">
        <w:rPr>
          <w:rFonts w:ascii="Times New Roman" w:eastAsia="Times New Roman" w:hAnsi="Times New Roman" w:cs="Times New Roman"/>
          <w:sz w:val="28"/>
          <w:szCs w:val="28"/>
        </w:rPr>
        <w:t>Telephone (602) 452-3360</w:t>
      </w:r>
    </w:p>
    <w:p w14:paraId="192181F7" w14:textId="77777777" w:rsidR="00607BD0" w:rsidRDefault="00607BD0" w:rsidP="00D862CA">
      <w:pPr>
        <w:pStyle w:val="xxmsonormal"/>
        <w:spacing w:line="36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</w:p>
    <w:p w14:paraId="2359DCD1" w14:textId="77777777" w:rsidR="00D95E79" w:rsidRDefault="00D95E79" w:rsidP="00D862CA">
      <w:pPr>
        <w:pStyle w:val="xxmsonormal"/>
        <w:spacing w:line="36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</w:p>
    <w:p w14:paraId="4B4B26AC" w14:textId="77777777" w:rsidR="00607BD0" w:rsidRPr="00514F02" w:rsidRDefault="00607BD0" w:rsidP="00607BD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176110" w14:textId="77777777" w:rsidR="00607BD0" w:rsidRPr="00514F02" w:rsidRDefault="00607BD0" w:rsidP="00607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F02">
        <w:rPr>
          <w:rFonts w:ascii="Times New Roman" w:hAnsi="Times New Roman" w:cs="Times New Roman"/>
          <w:b/>
          <w:bCs/>
          <w:sz w:val="28"/>
          <w:szCs w:val="28"/>
        </w:rPr>
        <w:t>IN THE SUPREME COURT OF THE STATE OF ARIZONA</w:t>
      </w:r>
    </w:p>
    <w:p w14:paraId="24F36EB8" w14:textId="77777777" w:rsidR="00607BD0" w:rsidRPr="00514F02" w:rsidRDefault="00607BD0" w:rsidP="006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B3C65" w14:textId="77777777" w:rsidR="00607BD0" w:rsidRPr="00514F02" w:rsidRDefault="00607BD0" w:rsidP="006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02">
        <w:rPr>
          <w:rFonts w:ascii="Times New Roman" w:hAnsi="Times New Roman" w:cs="Times New Roman"/>
          <w:sz w:val="28"/>
          <w:szCs w:val="28"/>
        </w:rPr>
        <w:t>In the Matter of:</w:t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>)</w:t>
      </w:r>
      <w:r w:rsidRPr="00514F02">
        <w:rPr>
          <w:rFonts w:ascii="Times New Roman" w:hAnsi="Times New Roman" w:cs="Times New Roman"/>
          <w:sz w:val="28"/>
          <w:szCs w:val="28"/>
        </w:rPr>
        <w:tab/>
        <w:t>Supreme Court</w:t>
      </w:r>
    </w:p>
    <w:p w14:paraId="4078C755" w14:textId="21166545" w:rsidR="00607BD0" w:rsidRPr="00514F02" w:rsidRDefault="00607BD0" w:rsidP="006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>)</w:t>
      </w:r>
      <w:r w:rsidRPr="00514F02">
        <w:rPr>
          <w:rFonts w:ascii="Times New Roman" w:hAnsi="Times New Roman" w:cs="Times New Roman"/>
          <w:sz w:val="28"/>
          <w:szCs w:val="28"/>
        </w:rPr>
        <w:tab/>
        <w:t>No.</w:t>
      </w:r>
      <w:r w:rsidR="005673BE">
        <w:rPr>
          <w:rFonts w:ascii="Times New Roman" w:hAnsi="Times New Roman" w:cs="Times New Roman"/>
          <w:sz w:val="28"/>
          <w:szCs w:val="28"/>
        </w:rPr>
        <w:t xml:space="preserve"> R-21-0010</w:t>
      </w:r>
    </w:p>
    <w:p w14:paraId="7483DD25" w14:textId="77777777" w:rsidR="00607BD0" w:rsidRPr="00514F02" w:rsidRDefault="00607BD0" w:rsidP="006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02">
        <w:rPr>
          <w:rFonts w:ascii="Times New Roman" w:hAnsi="Times New Roman" w:cs="Times New Roman"/>
          <w:sz w:val="28"/>
          <w:szCs w:val="28"/>
        </w:rPr>
        <w:t>PETITION TO AMEND RULE 16 OF</w:t>
      </w:r>
      <w:r w:rsidRPr="00514F02">
        <w:rPr>
          <w:rFonts w:ascii="Times New Roman" w:hAnsi="Times New Roman" w:cs="Times New Roman"/>
          <w:sz w:val="28"/>
          <w:szCs w:val="28"/>
        </w:rPr>
        <w:tab/>
        <w:t>)</w:t>
      </w:r>
    </w:p>
    <w:p w14:paraId="01C7C969" w14:textId="4E17EE50" w:rsidR="00607BD0" w:rsidRPr="00514F02" w:rsidRDefault="00607BD0" w:rsidP="006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02">
        <w:rPr>
          <w:rFonts w:ascii="Times New Roman" w:hAnsi="Times New Roman" w:cs="Times New Roman"/>
          <w:sz w:val="28"/>
          <w:szCs w:val="28"/>
        </w:rPr>
        <w:t>ARIZONA RULES OF PROTECTIVE</w:t>
      </w:r>
      <w:r w:rsidRPr="00514F02">
        <w:rPr>
          <w:rFonts w:ascii="Times New Roman" w:hAnsi="Times New Roman" w:cs="Times New Roman"/>
          <w:sz w:val="28"/>
          <w:szCs w:val="28"/>
        </w:rPr>
        <w:tab/>
        <w:t>)</w:t>
      </w:r>
      <w:r w:rsidR="0017603B">
        <w:rPr>
          <w:rFonts w:ascii="Times New Roman" w:hAnsi="Times New Roman" w:cs="Times New Roman"/>
          <w:sz w:val="28"/>
          <w:szCs w:val="28"/>
        </w:rPr>
        <w:tab/>
        <w:t>Comment to Petition</w:t>
      </w:r>
    </w:p>
    <w:p w14:paraId="68866316" w14:textId="77777777" w:rsidR="00607BD0" w:rsidRPr="00514F02" w:rsidRDefault="00607BD0" w:rsidP="006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F02">
        <w:rPr>
          <w:rFonts w:ascii="Times New Roman" w:hAnsi="Times New Roman" w:cs="Times New Roman"/>
          <w:sz w:val="28"/>
          <w:szCs w:val="28"/>
        </w:rPr>
        <w:t>ORDER PROCEDURE</w:t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4F02">
        <w:rPr>
          <w:rFonts w:ascii="Times New Roman" w:hAnsi="Times New Roman" w:cs="Times New Roman"/>
          <w:sz w:val="28"/>
          <w:szCs w:val="28"/>
        </w:rPr>
        <w:t>)</w:t>
      </w:r>
    </w:p>
    <w:p w14:paraId="5BB00C17" w14:textId="77777777" w:rsidR="00FA6DB8" w:rsidRDefault="008D6DF2">
      <w:pPr>
        <w:rPr>
          <w:rFonts w:ascii="Times New Roman" w:hAnsi="Times New Roman" w:cs="Times New Roman"/>
          <w:bCs/>
          <w:sz w:val="26"/>
          <w:szCs w:val="26"/>
        </w:rPr>
      </w:pP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  <w:u w:val="single"/>
        </w:rPr>
        <w:tab/>
      </w:r>
      <w:r w:rsidRPr="0017603B">
        <w:rPr>
          <w:rFonts w:ascii="Times New Roman" w:hAnsi="Times New Roman" w:cs="Times New Roman"/>
          <w:bCs/>
          <w:sz w:val="26"/>
          <w:szCs w:val="26"/>
        </w:rPr>
        <w:t>)</w:t>
      </w:r>
    </w:p>
    <w:p w14:paraId="4637CE02" w14:textId="77777777" w:rsidR="00FA6DB8" w:rsidRDefault="00FA6DB8" w:rsidP="00FA6DB8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14:paraId="1BD0D939" w14:textId="2D56A3F8" w:rsidR="00FA6DB8" w:rsidRDefault="00FA6DB8" w:rsidP="001C66DF">
      <w:pPr>
        <w:pStyle w:val="NormalWeb"/>
        <w:spacing w:before="0" w:beforeAutospacing="0" w:after="0" w:afterAutospacing="0" w:line="480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Committee on the Impact of Domestic Violence and the Courts (CIDVC</w:t>
      </w:r>
      <w:bookmarkStart w:id="0" w:name="_GoBack"/>
      <w:bookmarkEnd w:id="0"/>
      <w:r>
        <w:rPr>
          <w:color w:val="000000"/>
          <w:sz w:val="27"/>
          <w:szCs w:val="27"/>
        </w:rPr>
        <w:t xml:space="preserve"> has authorized the Honorable Wendy A. Million, CIDVC chair, to file this comment to Petition No. R-21-0010 on the committee’s behalf.</w:t>
      </w:r>
    </w:p>
    <w:p w14:paraId="23DE7A6A" w14:textId="60B2FEEB" w:rsidR="007D44CC" w:rsidRDefault="000258F8" w:rsidP="001C66DF">
      <w:pPr>
        <w:pStyle w:val="NormalWeb"/>
        <w:spacing w:before="0" w:beforeAutospacing="0" w:after="0" w:afterAutospacing="0" w:line="480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petitioner correctly notes that when the Rules of Protective Order Procedure are silent </w:t>
      </w:r>
      <w:r w:rsidR="007E7777">
        <w:rPr>
          <w:color w:val="000000"/>
          <w:sz w:val="27"/>
          <w:szCs w:val="27"/>
        </w:rPr>
        <w:t xml:space="preserve">on a particular procedure, </w:t>
      </w:r>
      <w:r w:rsidR="00C267EB">
        <w:rPr>
          <w:color w:val="000000"/>
          <w:sz w:val="27"/>
          <w:szCs w:val="27"/>
        </w:rPr>
        <w:t xml:space="preserve">reliance on </w:t>
      </w:r>
      <w:r w:rsidR="007E7777">
        <w:rPr>
          <w:color w:val="000000"/>
          <w:sz w:val="27"/>
          <w:szCs w:val="27"/>
        </w:rPr>
        <w:t>the Rules of Civil Procedure or the Rules of Family Law Procedure</w:t>
      </w:r>
      <w:r w:rsidR="000570A0">
        <w:rPr>
          <w:color w:val="000000"/>
          <w:sz w:val="27"/>
          <w:szCs w:val="27"/>
        </w:rPr>
        <w:t xml:space="preserve"> </w:t>
      </w:r>
      <w:r w:rsidR="00C267EB">
        <w:rPr>
          <w:color w:val="000000"/>
          <w:sz w:val="27"/>
          <w:szCs w:val="27"/>
        </w:rPr>
        <w:t>is necessary</w:t>
      </w:r>
      <w:r w:rsidR="007E7777">
        <w:rPr>
          <w:color w:val="000000"/>
          <w:sz w:val="27"/>
          <w:szCs w:val="27"/>
        </w:rPr>
        <w:t xml:space="preserve">. </w:t>
      </w:r>
      <w:r w:rsidR="0012392F">
        <w:rPr>
          <w:color w:val="000000"/>
          <w:sz w:val="27"/>
          <w:szCs w:val="27"/>
        </w:rPr>
        <w:t xml:space="preserve">CIDVC agrees that there is a need to add a rule </w:t>
      </w:r>
      <w:r w:rsidR="008A1270">
        <w:rPr>
          <w:color w:val="000000"/>
          <w:sz w:val="27"/>
          <w:szCs w:val="27"/>
        </w:rPr>
        <w:t xml:space="preserve">here </w:t>
      </w:r>
      <w:r w:rsidR="009D5CAA">
        <w:rPr>
          <w:color w:val="000000"/>
          <w:sz w:val="27"/>
          <w:szCs w:val="27"/>
        </w:rPr>
        <w:t>but</w:t>
      </w:r>
      <w:r w:rsidR="008A1270">
        <w:rPr>
          <w:color w:val="000000"/>
          <w:sz w:val="27"/>
          <w:szCs w:val="27"/>
        </w:rPr>
        <w:t xml:space="preserve"> </w:t>
      </w:r>
      <w:r w:rsidR="007D44CC">
        <w:rPr>
          <w:color w:val="000000"/>
          <w:sz w:val="27"/>
          <w:szCs w:val="27"/>
        </w:rPr>
        <w:t xml:space="preserve">proposes an alternative </w:t>
      </w:r>
      <w:r w:rsidR="009D5CAA">
        <w:rPr>
          <w:color w:val="000000"/>
          <w:sz w:val="27"/>
          <w:szCs w:val="27"/>
        </w:rPr>
        <w:t>version</w:t>
      </w:r>
      <w:r>
        <w:rPr>
          <w:color w:val="000000"/>
          <w:sz w:val="27"/>
          <w:szCs w:val="27"/>
        </w:rPr>
        <w:t xml:space="preserve"> to address the issues raised by the petitioner.</w:t>
      </w:r>
    </w:p>
    <w:p w14:paraId="0933AADA" w14:textId="7B0938B8" w:rsidR="0020490A" w:rsidRDefault="0001132F" w:rsidP="001C66DF">
      <w:pPr>
        <w:pStyle w:val="NormalWeb"/>
        <w:spacing w:before="0" w:beforeAutospacing="0" w:after="0" w:afterAutospacing="0" w:line="480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Petitioner suggests adding a new Rule 16.1, following Rule 16, Commencement of Proceedings, in Part V, Issuance of Protective Orders. However, </w:t>
      </w:r>
      <w:r w:rsidR="00E9299D">
        <w:rPr>
          <w:color w:val="000000"/>
          <w:sz w:val="27"/>
          <w:szCs w:val="27"/>
        </w:rPr>
        <w:lastRenderedPageBreak/>
        <w:t xml:space="preserve">CIDVC </w:t>
      </w:r>
      <w:r w:rsidR="00554E4B">
        <w:rPr>
          <w:color w:val="000000"/>
          <w:sz w:val="27"/>
          <w:szCs w:val="27"/>
        </w:rPr>
        <w:t xml:space="preserve">believes that the more appropriate placement of a new rule would be in Part VIII, Contested Protective Order Hearings, with modification to </w:t>
      </w:r>
      <w:r w:rsidR="00070E22">
        <w:rPr>
          <w:color w:val="000000"/>
          <w:sz w:val="27"/>
          <w:szCs w:val="27"/>
        </w:rPr>
        <w:t>Rule 38</w:t>
      </w:r>
      <w:r w:rsidR="00B63C22">
        <w:rPr>
          <w:color w:val="000000"/>
          <w:sz w:val="27"/>
          <w:szCs w:val="27"/>
        </w:rPr>
        <w:t xml:space="preserve"> as proposed in </w:t>
      </w:r>
      <w:r w:rsidR="00264AAF">
        <w:rPr>
          <w:color w:val="000000"/>
          <w:sz w:val="27"/>
          <w:szCs w:val="27"/>
        </w:rPr>
        <w:t xml:space="preserve">the </w:t>
      </w:r>
      <w:r w:rsidR="00B63C22">
        <w:rPr>
          <w:color w:val="000000"/>
          <w:sz w:val="27"/>
          <w:szCs w:val="27"/>
        </w:rPr>
        <w:t>Appendix</w:t>
      </w:r>
      <w:r w:rsidR="00722FA1">
        <w:rPr>
          <w:color w:val="000000"/>
          <w:sz w:val="27"/>
          <w:szCs w:val="27"/>
        </w:rPr>
        <w:t xml:space="preserve">. </w:t>
      </w:r>
    </w:p>
    <w:p w14:paraId="449DC17D" w14:textId="352EB0A0" w:rsidR="003A0640" w:rsidRDefault="0001132F" w:rsidP="001C66DF">
      <w:pPr>
        <w:pStyle w:val="NormalWeb"/>
        <w:spacing w:before="0" w:beforeAutospacing="0" w:after="0" w:afterAutospacing="0" w:line="480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CIDVC’s proposal would allo</w:t>
      </w:r>
      <w:r w:rsidR="00B86AE7">
        <w:rPr>
          <w:color w:val="000000"/>
          <w:sz w:val="27"/>
          <w:szCs w:val="27"/>
        </w:rPr>
        <w:t>w amendment of a petition only at a contested hearing</w:t>
      </w:r>
      <w:r w:rsidR="00BB0F35">
        <w:rPr>
          <w:color w:val="000000"/>
          <w:sz w:val="27"/>
          <w:szCs w:val="27"/>
        </w:rPr>
        <w:t xml:space="preserve">. </w:t>
      </w:r>
      <w:r w:rsidR="00B33ECB">
        <w:rPr>
          <w:color w:val="000000"/>
          <w:sz w:val="27"/>
          <w:szCs w:val="27"/>
        </w:rPr>
        <w:t xml:space="preserve">The plaintiff, in the initial petition, made sufficient showing for the court to find a legal basis to issue the protective order for the benefit and safety of the plaintiff. Amending a successful, already-adjudicated petition that is not being challenged by the defendant would serve little purpose. </w:t>
      </w:r>
      <w:r w:rsidR="00BB0F35">
        <w:rPr>
          <w:color w:val="000000"/>
          <w:sz w:val="27"/>
          <w:szCs w:val="27"/>
        </w:rPr>
        <w:t>A defendant can request a contested hearing at any time while the protective order is in effect</w:t>
      </w:r>
      <w:r w:rsidR="00AB772A">
        <w:rPr>
          <w:color w:val="000000"/>
          <w:sz w:val="27"/>
          <w:szCs w:val="27"/>
        </w:rPr>
        <w:t>.</w:t>
      </w:r>
      <w:r w:rsidR="000471FE">
        <w:rPr>
          <w:color w:val="000000"/>
          <w:sz w:val="27"/>
          <w:szCs w:val="27"/>
        </w:rPr>
        <w:t xml:space="preserve"> In many cases, however, the defendant never requests a contested hearing. Allowing </w:t>
      </w:r>
      <w:r w:rsidR="00437F61">
        <w:rPr>
          <w:color w:val="000000"/>
          <w:sz w:val="27"/>
          <w:szCs w:val="27"/>
        </w:rPr>
        <w:t xml:space="preserve">a plaintiff to amend a petition </w:t>
      </w:r>
      <w:r w:rsidR="00937B26">
        <w:rPr>
          <w:color w:val="000000"/>
          <w:sz w:val="27"/>
          <w:szCs w:val="27"/>
        </w:rPr>
        <w:t>“</w:t>
      </w:r>
      <w:r w:rsidR="00437F61">
        <w:rPr>
          <w:color w:val="000000"/>
          <w:sz w:val="27"/>
          <w:szCs w:val="27"/>
        </w:rPr>
        <w:t>just in case</w:t>
      </w:r>
      <w:r w:rsidR="00937B26">
        <w:rPr>
          <w:color w:val="000000"/>
          <w:sz w:val="27"/>
          <w:szCs w:val="27"/>
        </w:rPr>
        <w:t>”</w:t>
      </w:r>
      <w:r w:rsidR="00437F61">
        <w:rPr>
          <w:color w:val="000000"/>
          <w:sz w:val="27"/>
          <w:szCs w:val="27"/>
        </w:rPr>
        <w:t xml:space="preserve"> </w:t>
      </w:r>
      <w:r w:rsidR="001B4CEA">
        <w:rPr>
          <w:color w:val="000000"/>
          <w:sz w:val="27"/>
          <w:szCs w:val="27"/>
        </w:rPr>
        <w:t xml:space="preserve">the defendant asks for a contested hearing would serve </w:t>
      </w:r>
      <w:r w:rsidR="003A0640">
        <w:rPr>
          <w:color w:val="000000"/>
          <w:sz w:val="27"/>
          <w:szCs w:val="27"/>
        </w:rPr>
        <w:t>little</w:t>
      </w:r>
      <w:r w:rsidR="001B4CEA">
        <w:rPr>
          <w:color w:val="000000"/>
          <w:sz w:val="27"/>
          <w:szCs w:val="27"/>
        </w:rPr>
        <w:t xml:space="preserve"> purpose</w:t>
      </w:r>
      <w:r w:rsidR="003A0640">
        <w:rPr>
          <w:color w:val="000000"/>
          <w:sz w:val="27"/>
          <w:szCs w:val="27"/>
        </w:rPr>
        <w:t xml:space="preserve"> and, in fact, could </w:t>
      </w:r>
      <w:r w:rsidR="008C5CB6">
        <w:rPr>
          <w:color w:val="000000"/>
          <w:sz w:val="27"/>
          <w:szCs w:val="27"/>
        </w:rPr>
        <w:t>provide</w:t>
      </w:r>
      <w:r w:rsidR="003A0640">
        <w:rPr>
          <w:color w:val="000000"/>
          <w:sz w:val="27"/>
          <w:szCs w:val="27"/>
        </w:rPr>
        <w:t xml:space="preserve"> the impetus </w:t>
      </w:r>
      <w:r w:rsidR="00AA6762">
        <w:rPr>
          <w:color w:val="000000"/>
          <w:sz w:val="27"/>
          <w:szCs w:val="27"/>
        </w:rPr>
        <w:t>for</w:t>
      </w:r>
      <w:r w:rsidR="003A0640">
        <w:rPr>
          <w:color w:val="000000"/>
          <w:sz w:val="27"/>
          <w:szCs w:val="27"/>
        </w:rPr>
        <w:t xml:space="preserve"> the defendant to </w:t>
      </w:r>
      <w:r w:rsidR="00C03D36">
        <w:rPr>
          <w:color w:val="000000"/>
          <w:sz w:val="27"/>
          <w:szCs w:val="27"/>
        </w:rPr>
        <w:t>ask for</w:t>
      </w:r>
      <w:r w:rsidR="003A0640">
        <w:rPr>
          <w:color w:val="000000"/>
          <w:sz w:val="27"/>
          <w:szCs w:val="27"/>
        </w:rPr>
        <w:t xml:space="preserve"> a contested hearing</w:t>
      </w:r>
      <w:r w:rsidR="001B4CEA">
        <w:rPr>
          <w:color w:val="000000"/>
          <w:sz w:val="27"/>
          <w:szCs w:val="27"/>
        </w:rPr>
        <w:t xml:space="preserve">. </w:t>
      </w:r>
      <w:r w:rsidR="0029262A">
        <w:rPr>
          <w:color w:val="000000"/>
          <w:sz w:val="27"/>
          <w:szCs w:val="27"/>
        </w:rPr>
        <w:t>In addition, c</w:t>
      </w:r>
      <w:r w:rsidR="002276B9">
        <w:rPr>
          <w:color w:val="000000"/>
          <w:sz w:val="27"/>
          <w:szCs w:val="27"/>
        </w:rPr>
        <w:t>ontested hearings are set on short notice—five to ten days from the request depending on the issues</w:t>
      </w:r>
      <w:r w:rsidR="0029262A">
        <w:rPr>
          <w:color w:val="000000"/>
          <w:sz w:val="27"/>
          <w:szCs w:val="27"/>
        </w:rPr>
        <w:t xml:space="preserve">—and requiring the plaintiff to provide </w:t>
      </w:r>
      <w:r w:rsidR="00816381">
        <w:rPr>
          <w:color w:val="000000"/>
          <w:sz w:val="27"/>
          <w:szCs w:val="27"/>
        </w:rPr>
        <w:t>advance written notice</w:t>
      </w:r>
      <w:r w:rsidR="0029262A">
        <w:rPr>
          <w:color w:val="000000"/>
          <w:sz w:val="27"/>
          <w:szCs w:val="27"/>
        </w:rPr>
        <w:t xml:space="preserve"> of the amended petition prior to the hearing may be impractical</w:t>
      </w:r>
      <w:r w:rsidR="002276B9">
        <w:rPr>
          <w:color w:val="000000"/>
          <w:sz w:val="27"/>
          <w:szCs w:val="27"/>
        </w:rPr>
        <w:t>.</w:t>
      </w:r>
    </w:p>
    <w:p w14:paraId="436AA379" w14:textId="73747CB6" w:rsidR="00E9299D" w:rsidRDefault="00AF34A5" w:rsidP="001C66DF">
      <w:pPr>
        <w:pStyle w:val="NormalWeb"/>
        <w:spacing w:before="0" w:beforeAutospacing="0" w:after="0" w:afterAutospacing="0" w:line="480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CIDVC agrees that if the defendant does challenge the petition, then the plaintiff should be allowed an opportunity to amend it at the contested hearing. But </w:t>
      </w:r>
      <w:r w:rsidR="00536A00">
        <w:rPr>
          <w:color w:val="000000"/>
          <w:sz w:val="27"/>
          <w:szCs w:val="27"/>
        </w:rPr>
        <w:t>CIDVC</w:t>
      </w:r>
      <w:r w:rsidR="00D67D4A">
        <w:rPr>
          <w:color w:val="000000"/>
          <w:sz w:val="27"/>
          <w:szCs w:val="27"/>
        </w:rPr>
        <w:t xml:space="preserve"> also</w:t>
      </w:r>
      <w:r w:rsidR="00536A00">
        <w:rPr>
          <w:color w:val="000000"/>
          <w:sz w:val="27"/>
          <w:szCs w:val="27"/>
        </w:rPr>
        <w:t xml:space="preserve"> recognizes the defendant’s due process rights</w:t>
      </w:r>
      <w:r w:rsidR="008D48D7">
        <w:rPr>
          <w:color w:val="000000"/>
          <w:sz w:val="27"/>
          <w:szCs w:val="27"/>
        </w:rPr>
        <w:t xml:space="preserve">. </w:t>
      </w:r>
      <w:r w:rsidR="00B53647">
        <w:rPr>
          <w:color w:val="000000"/>
          <w:sz w:val="27"/>
          <w:szCs w:val="27"/>
        </w:rPr>
        <w:t xml:space="preserve">Due process requires that </w:t>
      </w:r>
      <w:r w:rsidR="00753F1F">
        <w:rPr>
          <w:color w:val="000000"/>
          <w:sz w:val="27"/>
          <w:szCs w:val="27"/>
        </w:rPr>
        <w:t xml:space="preserve">the defendant </w:t>
      </w:r>
      <w:r w:rsidR="00B3117A">
        <w:rPr>
          <w:color w:val="000000"/>
          <w:sz w:val="27"/>
          <w:szCs w:val="27"/>
        </w:rPr>
        <w:t xml:space="preserve">“receive notice, reasonably calculated to </w:t>
      </w:r>
      <w:r w:rsidR="003739C1">
        <w:rPr>
          <w:color w:val="000000"/>
          <w:sz w:val="27"/>
          <w:szCs w:val="27"/>
        </w:rPr>
        <w:t>a</w:t>
      </w:r>
      <w:r w:rsidR="00B3117A">
        <w:rPr>
          <w:color w:val="000000"/>
          <w:sz w:val="27"/>
          <w:szCs w:val="27"/>
        </w:rPr>
        <w:t xml:space="preserve">pprise him of the action in order to adequately prepare his opposition.” </w:t>
      </w:r>
      <w:r w:rsidR="00B3117A">
        <w:rPr>
          <w:i/>
          <w:iCs/>
          <w:color w:val="000000"/>
          <w:sz w:val="27"/>
          <w:szCs w:val="27"/>
        </w:rPr>
        <w:t>Savord v. Morton</w:t>
      </w:r>
      <w:r w:rsidR="00B3117A">
        <w:rPr>
          <w:color w:val="000000"/>
          <w:sz w:val="27"/>
          <w:szCs w:val="27"/>
        </w:rPr>
        <w:t>, 235 Ariz. 256,</w:t>
      </w:r>
      <w:r w:rsidR="008E1C5C">
        <w:rPr>
          <w:color w:val="000000"/>
          <w:sz w:val="27"/>
          <w:szCs w:val="27"/>
        </w:rPr>
        <w:t xml:space="preserve"> 260</w:t>
      </w:r>
      <w:r w:rsidR="00B3117A">
        <w:rPr>
          <w:color w:val="000000"/>
          <w:sz w:val="27"/>
          <w:szCs w:val="27"/>
        </w:rPr>
        <w:t xml:space="preserve"> </w:t>
      </w:r>
      <w:r w:rsidR="003739C1">
        <w:rPr>
          <w:color w:val="000000"/>
          <w:sz w:val="27"/>
          <w:szCs w:val="27"/>
        </w:rPr>
        <w:t>(Ct. App. 2014).</w:t>
      </w:r>
      <w:r w:rsidR="008A031E">
        <w:rPr>
          <w:color w:val="000000"/>
          <w:sz w:val="27"/>
          <w:szCs w:val="27"/>
        </w:rPr>
        <w:t xml:space="preserve"> </w:t>
      </w:r>
      <w:r w:rsidR="001351ED">
        <w:rPr>
          <w:color w:val="000000"/>
          <w:sz w:val="27"/>
          <w:szCs w:val="27"/>
        </w:rPr>
        <w:t xml:space="preserve">Under CIDVC’s proposal, the defendant would be </w:t>
      </w:r>
      <w:r w:rsidR="00342084">
        <w:rPr>
          <w:color w:val="000000"/>
          <w:sz w:val="27"/>
          <w:szCs w:val="27"/>
        </w:rPr>
        <w:t>offered three options</w:t>
      </w:r>
      <w:r w:rsidR="002D102B">
        <w:rPr>
          <w:color w:val="000000"/>
          <w:sz w:val="27"/>
          <w:szCs w:val="27"/>
        </w:rPr>
        <w:t xml:space="preserve"> after being presented with a copy of the amended petition</w:t>
      </w:r>
      <w:r w:rsidR="00342084">
        <w:rPr>
          <w:color w:val="000000"/>
          <w:sz w:val="27"/>
          <w:szCs w:val="27"/>
        </w:rPr>
        <w:t xml:space="preserve">:  </w:t>
      </w:r>
      <w:r w:rsidR="002D102B">
        <w:rPr>
          <w:color w:val="000000"/>
          <w:sz w:val="27"/>
          <w:szCs w:val="27"/>
        </w:rPr>
        <w:t xml:space="preserve">(1) </w:t>
      </w:r>
      <w:r w:rsidR="00342084">
        <w:rPr>
          <w:color w:val="000000"/>
          <w:sz w:val="27"/>
          <w:szCs w:val="27"/>
        </w:rPr>
        <w:t xml:space="preserve">request a continuance to a future date, </w:t>
      </w:r>
      <w:r w:rsidR="002D102B">
        <w:rPr>
          <w:color w:val="000000"/>
          <w:sz w:val="27"/>
          <w:szCs w:val="27"/>
        </w:rPr>
        <w:t>(2) ask</w:t>
      </w:r>
      <w:r w:rsidR="00342084">
        <w:rPr>
          <w:color w:val="000000"/>
          <w:sz w:val="27"/>
          <w:szCs w:val="27"/>
        </w:rPr>
        <w:t xml:space="preserve"> </w:t>
      </w:r>
      <w:r w:rsidR="00D67D4A">
        <w:rPr>
          <w:color w:val="000000"/>
          <w:sz w:val="27"/>
          <w:szCs w:val="27"/>
        </w:rPr>
        <w:t xml:space="preserve">for </w:t>
      </w:r>
      <w:r w:rsidR="00342084">
        <w:rPr>
          <w:color w:val="000000"/>
          <w:sz w:val="27"/>
          <w:szCs w:val="27"/>
        </w:rPr>
        <w:t xml:space="preserve">a brief recess to prepare </w:t>
      </w:r>
      <w:r w:rsidR="002D102B">
        <w:rPr>
          <w:color w:val="000000"/>
          <w:sz w:val="27"/>
          <w:szCs w:val="27"/>
        </w:rPr>
        <w:t>to meet the additional allegations, or (3) waive</w:t>
      </w:r>
      <w:r w:rsidR="00BF1F2A">
        <w:rPr>
          <w:color w:val="000000"/>
          <w:sz w:val="27"/>
          <w:szCs w:val="27"/>
        </w:rPr>
        <w:t xml:space="preserve"> both</w:t>
      </w:r>
      <w:r w:rsidR="00DB23E1">
        <w:rPr>
          <w:color w:val="000000"/>
          <w:sz w:val="27"/>
          <w:szCs w:val="27"/>
        </w:rPr>
        <w:t xml:space="preserve"> a continuance </w:t>
      </w:r>
      <w:r w:rsidR="00BF1F2A">
        <w:rPr>
          <w:color w:val="000000"/>
          <w:sz w:val="27"/>
          <w:szCs w:val="27"/>
        </w:rPr>
        <w:t>and</w:t>
      </w:r>
      <w:r w:rsidR="00DB23E1">
        <w:rPr>
          <w:color w:val="000000"/>
          <w:sz w:val="27"/>
          <w:szCs w:val="27"/>
        </w:rPr>
        <w:t xml:space="preserve"> a recess and proceed with the contested hearing.</w:t>
      </w:r>
      <w:r w:rsidR="00DB4391">
        <w:rPr>
          <w:color w:val="000000"/>
          <w:sz w:val="27"/>
          <w:szCs w:val="27"/>
        </w:rPr>
        <w:t xml:space="preserve"> These options will provide the defendant with notice </w:t>
      </w:r>
      <w:r w:rsidR="007D54BC">
        <w:rPr>
          <w:color w:val="000000"/>
          <w:sz w:val="27"/>
          <w:szCs w:val="27"/>
        </w:rPr>
        <w:t>of the additional allegations and an opportunity to prepare his or her opposition to them.</w:t>
      </w:r>
    </w:p>
    <w:p w14:paraId="755D190B" w14:textId="5FDF4A99" w:rsidR="00892FC1" w:rsidRPr="00892FC1" w:rsidRDefault="00892FC1" w:rsidP="00892FC1">
      <w:pPr>
        <w:tabs>
          <w:tab w:val="left" w:pos="720"/>
        </w:tabs>
        <w:spacing w:after="240" w:line="48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2FC1">
        <w:rPr>
          <w:rFonts w:ascii="Times New Roman" w:eastAsia="Times New Roman" w:hAnsi="Times New Roman" w:cs="Times New Roman"/>
          <w:color w:val="000000"/>
          <w:sz w:val="28"/>
          <w:szCs w:val="28"/>
        </w:rPr>
        <w:t>For the reasons stated above, CIDVC respectfully asks the Court to adopt the proposed amendment to Rule 38, Rules of Protective Order Procedure, as set forth in the Appendix.</w:t>
      </w:r>
    </w:p>
    <w:p w14:paraId="0F969FC7" w14:textId="4D349074" w:rsidR="00892FC1" w:rsidRDefault="00892FC1" w:rsidP="00892FC1">
      <w:pPr>
        <w:spacing w:before="240" w:line="48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Respectfully submitted this </w:t>
      </w:r>
      <w:r w:rsidR="0016491E">
        <w:rPr>
          <w:rFonts w:ascii="Times New Roman" w:eastAsia="Times New Roman" w:hAnsi="Times New Roman" w:cs="Times New Roman"/>
          <w:color w:val="000000"/>
          <w:sz w:val="28"/>
          <w:szCs w:val="28"/>
        </w:rPr>
        <w:t>27th</w:t>
      </w:r>
      <w:r w:rsidRPr="00892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DC6DFA">
        <w:rPr>
          <w:rFonts w:ascii="Times New Roman" w:eastAsia="Times New Roman" w:hAnsi="Times New Roman" w:cs="Times New Roman"/>
          <w:color w:val="000000"/>
          <w:sz w:val="28"/>
          <w:szCs w:val="28"/>
        </w:rPr>
        <w:t>April</w:t>
      </w:r>
      <w:r w:rsidRPr="00892FC1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 w:rsidR="00DC6D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2F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3E909C" w14:textId="25811D36" w:rsidR="00DC6DFA" w:rsidRDefault="00DC6DFA" w:rsidP="005413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4A7117" w14:textId="73E15C57" w:rsidR="005413B5" w:rsidRDefault="005413B5" w:rsidP="005413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05F68" w14:textId="77777777" w:rsidR="005413B5" w:rsidRDefault="005413B5" w:rsidP="005413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30107E" w14:textId="0DEACB15" w:rsidR="00DC6DFA" w:rsidRPr="00826017" w:rsidRDefault="00A47B56" w:rsidP="00826017">
      <w:pPr>
        <w:tabs>
          <w:tab w:val="left" w:pos="468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413B5" w:rsidRPr="005413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/s/</w:t>
      </w:r>
      <w:r w:rsidR="005413B5" w:rsidRPr="005413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413B5" w:rsidRPr="005413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8260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8260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8260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8260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413B5" w:rsidRPr="005413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413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Honorable Wendy A. Million</w:t>
      </w:r>
    </w:p>
    <w:p w14:paraId="02A0483D" w14:textId="77777777" w:rsidR="00826017" w:rsidRDefault="005413B5" w:rsidP="00826017">
      <w:pPr>
        <w:pStyle w:val="NormalWeb"/>
        <w:tabs>
          <w:tab w:val="left" w:pos="4680"/>
        </w:tabs>
        <w:spacing w:before="0" w:beforeAutospacing="0" w:after="0" w:afterAutospacing="0" w:line="48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Pr="00826017">
        <w:rPr>
          <w:color w:val="000000"/>
          <w:sz w:val="28"/>
          <w:szCs w:val="28"/>
        </w:rPr>
        <w:t>Magistrate, Tucson City Court</w:t>
      </w:r>
    </w:p>
    <w:p w14:paraId="71569F83" w14:textId="77777777" w:rsidR="003949EF" w:rsidRDefault="00826017">
      <w:pPr>
        <w:rPr>
          <w:color w:val="000000"/>
          <w:sz w:val="28"/>
          <w:szCs w:val="28"/>
        </w:rPr>
        <w:sectPr w:rsidR="003949EF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br w:type="page"/>
      </w:r>
    </w:p>
    <w:p w14:paraId="4A7DDEBA" w14:textId="536C005C" w:rsidR="00826017" w:rsidRDefault="0082601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62CDE" w14:textId="77777777" w:rsidR="00826017" w:rsidRDefault="00826017" w:rsidP="003949EF">
      <w:pPr>
        <w:pStyle w:val="NormalWeb"/>
        <w:tabs>
          <w:tab w:val="left" w:pos="4680"/>
        </w:tabs>
        <w:spacing w:before="0" w:beforeAutospacing="0" w:after="0" w:afterAutospacing="0" w:line="480" w:lineRule="auto"/>
        <w:rPr>
          <w:bCs/>
          <w:sz w:val="28"/>
          <w:szCs w:val="28"/>
        </w:rPr>
      </w:pPr>
    </w:p>
    <w:p w14:paraId="36513905" w14:textId="77777777" w:rsidR="00826017" w:rsidRDefault="00826017" w:rsidP="003949EF">
      <w:pPr>
        <w:pStyle w:val="NormalWeb"/>
        <w:tabs>
          <w:tab w:val="left" w:pos="4680"/>
        </w:tabs>
        <w:spacing w:before="0" w:beforeAutospacing="0" w:after="0" w:afterAutospacing="0" w:line="480" w:lineRule="auto"/>
        <w:rPr>
          <w:bCs/>
          <w:sz w:val="28"/>
          <w:szCs w:val="28"/>
        </w:rPr>
      </w:pPr>
    </w:p>
    <w:p w14:paraId="185FF2CF" w14:textId="4A4B2004" w:rsidR="00607BD0" w:rsidRPr="00826017" w:rsidRDefault="00CD0069" w:rsidP="003949EF">
      <w:pPr>
        <w:pStyle w:val="NormalWeb"/>
        <w:tabs>
          <w:tab w:val="left" w:pos="4680"/>
        </w:tabs>
        <w:spacing w:before="0" w:beforeAutospacing="0" w:after="0" w:afterAutospacing="0" w:line="48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APPENDIX</w:t>
      </w:r>
      <w:r w:rsidR="00607BD0" w:rsidRPr="00826017">
        <w:rPr>
          <w:bCs/>
          <w:sz w:val="28"/>
          <w:szCs w:val="28"/>
        </w:rPr>
        <w:br w:type="page"/>
      </w:r>
    </w:p>
    <w:p w14:paraId="1A21E3CD" w14:textId="77777777" w:rsidR="00542565" w:rsidRPr="00461396" w:rsidRDefault="0056373E" w:rsidP="00AF7D5A">
      <w:pPr>
        <w:pStyle w:val="xxmsonormal"/>
        <w:spacing w:line="480" w:lineRule="auto"/>
        <w:ind w:left="720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1396">
        <w:rPr>
          <w:rFonts w:ascii="Times New Roman" w:hAnsi="Times New Roman" w:cs="Times New Roman"/>
          <w:b/>
          <w:sz w:val="28"/>
          <w:szCs w:val="28"/>
        </w:rPr>
        <w:t>Rule 38</w:t>
      </w:r>
    </w:p>
    <w:p w14:paraId="3BBF1CDA" w14:textId="77777777" w:rsidR="004F6154" w:rsidRPr="00461396" w:rsidRDefault="004F6154" w:rsidP="00E2667E">
      <w:pPr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396">
        <w:rPr>
          <w:rFonts w:ascii="Times New Roman" w:eastAsia="Times New Roman" w:hAnsi="Times New Roman" w:cs="Times New Roman"/>
          <w:b/>
          <w:sz w:val="28"/>
          <w:szCs w:val="28"/>
        </w:rPr>
        <w:t>38. Contested hearing procedures</w:t>
      </w:r>
    </w:p>
    <w:p w14:paraId="53BDE0C3" w14:textId="7C0D569D" w:rsidR="00C51830" w:rsidRDefault="00777AE4" w:rsidP="00AF7D5A">
      <w:pPr>
        <w:suppressAutoHyphens/>
        <w:spacing w:before="240" w:after="0" w:line="48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(a</w:t>
      </w:r>
      <w:r w:rsidR="00FD0069">
        <w:rPr>
          <w:rFonts w:ascii="Times New Roman" w:eastAsia="Times New Roman" w:hAnsi="Times New Roman" w:cs="Times New Roman"/>
          <w:b/>
          <w:bCs/>
          <w:sz w:val="28"/>
          <w:szCs w:val="28"/>
        </w:rPr>
        <w:t>) through</w:t>
      </w:r>
      <w:r w:rsidR="00FD0069" w:rsidRPr="00461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F6154" w:rsidRPr="00461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(c) </w:t>
      </w:r>
      <w:r w:rsidR="00FD0069" w:rsidRPr="00461396">
        <w:rPr>
          <w:rFonts w:ascii="Times New Roman" w:eastAsia="Times New Roman" w:hAnsi="Times New Roman" w:cs="Times New Roman"/>
          <w:sz w:val="28"/>
          <w:szCs w:val="28"/>
        </w:rPr>
        <w:t>[</w:t>
      </w:r>
      <w:r w:rsidR="004F6154" w:rsidRPr="00461396">
        <w:rPr>
          <w:rFonts w:ascii="Times New Roman" w:eastAsia="Times New Roman" w:hAnsi="Times New Roman" w:cs="Times New Roman"/>
          <w:sz w:val="28"/>
          <w:szCs w:val="28"/>
        </w:rPr>
        <w:t>No changes</w:t>
      </w:r>
      <w:r w:rsidR="00FD0069" w:rsidRPr="00461396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5CC78DAA" w14:textId="4806A9AC" w:rsidR="009D33EA" w:rsidRPr="00461396" w:rsidRDefault="0056373E" w:rsidP="00AF7D5A">
      <w:pPr>
        <w:pStyle w:val="xxmsonormal"/>
        <w:spacing w:line="480" w:lineRule="auto"/>
        <w:ind w:left="1080" w:hanging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F7D5A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2865E6">
        <w:rPr>
          <w:rFonts w:ascii="Times New Roman" w:hAnsi="Times New Roman" w:cs="Times New Roman"/>
          <w:b/>
          <w:sz w:val="28"/>
          <w:szCs w:val="28"/>
          <w:u w:val="single"/>
        </w:rPr>
        <w:t>d) Amended Petition</w:t>
      </w:r>
      <w:r w:rsidR="00EF752D" w:rsidRPr="002865E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F752D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33EA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At a contested hearing, if a plaintiff seeks to testify or present evidence about </w:t>
      </w:r>
      <w:r w:rsidR="00215EEC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relevant </w:t>
      </w:r>
      <w:r w:rsidR="009D33EA" w:rsidRPr="00461396">
        <w:rPr>
          <w:rFonts w:ascii="Times New Roman" w:hAnsi="Times New Roman" w:cs="Times New Roman"/>
          <w:sz w:val="28"/>
          <w:szCs w:val="28"/>
          <w:u w:val="single"/>
        </w:rPr>
        <w:t>allegations that were not included in the petition, the court must:</w:t>
      </w:r>
    </w:p>
    <w:p w14:paraId="6E928C85" w14:textId="0B70D1C1" w:rsidR="009427A6" w:rsidRPr="00461396" w:rsidRDefault="00B970AC" w:rsidP="00AF7D5A">
      <w:pPr>
        <w:pStyle w:val="xxmsonormal"/>
        <w:spacing w:line="480" w:lineRule="auto"/>
        <w:ind w:left="1800" w:hanging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61396">
        <w:rPr>
          <w:rFonts w:ascii="Times New Roman" w:hAnsi="Times New Roman" w:cs="Times New Roman"/>
          <w:sz w:val="28"/>
          <w:szCs w:val="28"/>
          <w:u w:val="single"/>
        </w:rPr>
        <w:t>(a)</w:t>
      </w:r>
      <w:r w:rsidRPr="00461396">
        <w:rPr>
          <w:rFonts w:ascii="Times New Roman" w:hAnsi="Times New Roman" w:cs="Times New Roman"/>
          <w:sz w:val="28"/>
          <w:szCs w:val="28"/>
          <w:u w:val="single"/>
        </w:rPr>
        <w:tab/>
      </w:r>
      <w:r w:rsidR="009D33EA" w:rsidRPr="00461396">
        <w:rPr>
          <w:rFonts w:ascii="Times New Roman" w:hAnsi="Times New Roman" w:cs="Times New Roman"/>
          <w:sz w:val="28"/>
          <w:szCs w:val="28"/>
          <w:u w:val="single"/>
        </w:rPr>
        <w:t>Allow to the plaintiff to amend the petition</w:t>
      </w:r>
      <w:r w:rsidR="00096C29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in writing</w:t>
      </w:r>
      <w:r w:rsidR="00CF78D0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on a form provided by the court</w:t>
      </w:r>
      <w:r w:rsidR="009D33EA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, a copy of which the court must </w:t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>immediately provide to the defendant; and</w:t>
      </w:r>
    </w:p>
    <w:p w14:paraId="0725BB63" w14:textId="140FE5B1" w:rsidR="009427A6" w:rsidRPr="00461396" w:rsidRDefault="00B970AC" w:rsidP="00AF7D5A">
      <w:pPr>
        <w:pStyle w:val="xxmsonormal"/>
        <w:spacing w:line="480" w:lineRule="auto"/>
        <w:ind w:left="1800" w:hanging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61396">
        <w:rPr>
          <w:rFonts w:ascii="Times New Roman" w:hAnsi="Times New Roman" w:cs="Times New Roman"/>
          <w:sz w:val="28"/>
          <w:szCs w:val="28"/>
          <w:u w:val="single"/>
        </w:rPr>
        <w:t xml:space="preserve">(b) </w:t>
      </w:r>
      <w:r w:rsidR="00D862CA" w:rsidRPr="00461396">
        <w:rPr>
          <w:rFonts w:ascii="Times New Roman" w:hAnsi="Times New Roman" w:cs="Times New Roman"/>
          <w:sz w:val="28"/>
          <w:szCs w:val="28"/>
          <w:u w:val="single"/>
        </w:rPr>
        <w:tab/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>Offer the defendant</w:t>
      </w:r>
      <w:r w:rsidR="00CD0EAE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each of</w:t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the following options:</w:t>
      </w:r>
    </w:p>
    <w:p w14:paraId="4D927C30" w14:textId="52837D9B" w:rsidR="009427A6" w:rsidRPr="00461396" w:rsidRDefault="00B970AC" w:rsidP="00AF7D5A">
      <w:pPr>
        <w:pStyle w:val="xxmsonormal"/>
        <w:spacing w:line="480" w:lineRule="auto"/>
        <w:ind w:left="2520" w:hanging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61396">
        <w:rPr>
          <w:rFonts w:ascii="Times New Roman" w:hAnsi="Times New Roman" w:cs="Times New Roman"/>
          <w:sz w:val="28"/>
          <w:szCs w:val="28"/>
          <w:u w:val="single"/>
        </w:rPr>
        <w:t xml:space="preserve">(1) </w:t>
      </w:r>
      <w:r w:rsidR="00D862CA" w:rsidRPr="00461396">
        <w:rPr>
          <w:rFonts w:ascii="Times New Roman" w:hAnsi="Times New Roman" w:cs="Times New Roman"/>
          <w:sz w:val="28"/>
          <w:szCs w:val="28"/>
          <w:u w:val="single"/>
        </w:rPr>
        <w:tab/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>A continuance of the hearing</w:t>
      </w:r>
      <w:r w:rsidR="008A32DC" w:rsidRPr="00461396">
        <w:rPr>
          <w:rFonts w:ascii="Times New Roman" w:hAnsi="Times New Roman" w:cs="Times New Roman"/>
          <w:sz w:val="28"/>
          <w:szCs w:val="28"/>
          <w:u w:val="single"/>
        </w:rPr>
        <w:t>, within the timeframes specified by Rule 38(b),</w:t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to allow the defendant the opportunity to prepare for the </w:t>
      </w:r>
      <w:r w:rsidR="00DA1D1D">
        <w:rPr>
          <w:rFonts w:ascii="Times New Roman" w:hAnsi="Times New Roman" w:cs="Times New Roman"/>
          <w:sz w:val="28"/>
          <w:szCs w:val="28"/>
          <w:u w:val="single"/>
        </w:rPr>
        <w:t>additional</w:t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allegations; </w:t>
      </w:r>
      <w:r w:rsidR="004E6B05" w:rsidRPr="00461396">
        <w:rPr>
          <w:rFonts w:ascii="Times New Roman" w:hAnsi="Times New Roman" w:cs="Times New Roman"/>
          <w:sz w:val="28"/>
          <w:szCs w:val="28"/>
          <w:u w:val="single"/>
        </w:rPr>
        <w:t>or</w:t>
      </w:r>
    </w:p>
    <w:p w14:paraId="07B31243" w14:textId="4994B256" w:rsidR="004E6B05" w:rsidRPr="00461396" w:rsidRDefault="00B970AC" w:rsidP="00AF7D5A">
      <w:pPr>
        <w:pStyle w:val="xxmsonormal"/>
        <w:spacing w:line="480" w:lineRule="auto"/>
        <w:ind w:left="2520" w:hanging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61396">
        <w:rPr>
          <w:rFonts w:ascii="Times New Roman" w:hAnsi="Times New Roman" w:cs="Times New Roman"/>
          <w:sz w:val="28"/>
          <w:szCs w:val="28"/>
          <w:u w:val="single"/>
        </w:rPr>
        <w:t xml:space="preserve">(2) </w:t>
      </w:r>
      <w:r w:rsidR="00D862CA" w:rsidRPr="00461396">
        <w:rPr>
          <w:rFonts w:ascii="Times New Roman" w:hAnsi="Times New Roman" w:cs="Times New Roman"/>
          <w:sz w:val="28"/>
          <w:szCs w:val="28"/>
          <w:u w:val="single"/>
        </w:rPr>
        <w:tab/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A brief recess to allow the defendant the opportunity to review </w:t>
      </w:r>
      <w:r w:rsidR="004E6B05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the amended petition and prepare for </w:t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 w:rsidR="008C12C4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additional </w:t>
      </w:r>
      <w:r w:rsidR="009427A6" w:rsidRPr="00461396">
        <w:rPr>
          <w:rFonts w:ascii="Times New Roman" w:hAnsi="Times New Roman" w:cs="Times New Roman"/>
          <w:sz w:val="28"/>
          <w:szCs w:val="28"/>
          <w:u w:val="single"/>
        </w:rPr>
        <w:t>allegations</w:t>
      </w:r>
      <w:r w:rsidR="004E6B05" w:rsidRPr="00461396">
        <w:rPr>
          <w:rFonts w:ascii="Times New Roman" w:hAnsi="Times New Roman" w:cs="Times New Roman"/>
          <w:sz w:val="28"/>
          <w:szCs w:val="28"/>
          <w:u w:val="single"/>
        </w:rPr>
        <w:t>; or</w:t>
      </w:r>
    </w:p>
    <w:p w14:paraId="7BD03920" w14:textId="688A771D" w:rsidR="009D33EA" w:rsidRPr="00461396" w:rsidRDefault="00B970AC" w:rsidP="00AF7D5A">
      <w:pPr>
        <w:pStyle w:val="xxmsonormal"/>
        <w:spacing w:line="480" w:lineRule="auto"/>
        <w:ind w:left="2520" w:hanging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61396">
        <w:rPr>
          <w:rFonts w:ascii="Times New Roman" w:hAnsi="Times New Roman" w:cs="Times New Roman"/>
          <w:sz w:val="28"/>
          <w:szCs w:val="28"/>
          <w:u w:val="single"/>
        </w:rPr>
        <w:t xml:space="preserve">(3) </w:t>
      </w:r>
      <w:r w:rsidR="00D862CA" w:rsidRPr="00461396">
        <w:rPr>
          <w:rFonts w:ascii="Times New Roman" w:hAnsi="Times New Roman" w:cs="Times New Roman"/>
          <w:sz w:val="28"/>
          <w:szCs w:val="28"/>
          <w:u w:val="single"/>
        </w:rPr>
        <w:tab/>
      </w:r>
      <w:r w:rsidR="00D1600F" w:rsidRPr="00461396">
        <w:rPr>
          <w:rFonts w:ascii="Times New Roman" w:hAnsi="Times New Roman" w:cs="Times New Roman"/>
          <w:sz w:val="28"/>
          <w:szCs w:val="28"/>
          <w:u w:val="single"/>
        </w:rPr>
        <w:t>An explanation of the options</w:t>
      </w:r>
      <w:r w:rsidR="00F2025E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above</w:t>
      </w:r>
      <w:r w:rsidR="00D1600F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and an opportunity to waive them</w:t>
      </w:r>
      <w:r w:rsidR="00F7121C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. If the defendant </w:t>
      </w:r>
      <w:r w:rsidR="00B43B5C" w:rsidRPr="00461396">
        <w:rPr>
          <w:rFonts w:ascii="Times New Roman" w:hAnsi="Times New Roman" w:cs="Times New Roman"/>
          <w:sz w:val="28"/>
          <w:szCs w:val="28"/>
          <w:u w:val="single"/>
        </w:rPr>
        <w:t>waives</w:t>
      </w:r>
      <w:r w:rsidR="00E75BB0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both</w:t>
      </w:r>
      <w:r w:rsidR="00B43B5C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the opportunity for a continuance or a </w:t>
      </w:r>
      <w:r w:rsidR="00014F25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brief </w:t>
      </w:r>
      <w:r w:rsidR="00B43B5C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recess, then the court must </w:t>
      </w:r>
      <w:r w:rsidR="00D1600F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proceed with the </w:t>
      </w:r>
      <w:r w:rsidR="006C793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contested </w:t>
      </w:r>
      <w:r w:rsidR="00D1600F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hearing on the amended petition that includes the </w:t>
      </w:r>
      <w:r w:rsidR="006C7936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additional </w:t>
      </w:r>
      <w:r w:rsidR="00D1600F" w:rsidRPr="00461396">
        <w:rPr>
          <w:rFonts w:ascii="Times New Roman" w:hAnsi="Times New Roman" w:cs="Times New Roman"/>
          <w:sz w:val="28"/>
          <w:szCs w:val="28"/>
          <w:u w:val="single"/>
        </w:rPr>
        <w:t>allegations.</w:t>
      </w:r>
      <w:r w:rsidR="004E6B05" w:rsidRPr="004613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03542C1" w14:textId="25357912" w:rsidR="00AC450A" w:rsidRDefault="009511CE" w:rsidP="00E2667E">
      <w:pPr>
        <w:suppressAutoHyphens/>
        <w:spacing w:after="0" w:line="480" w:lineRule="auto"/>
        <w:ind w:left="720"/>
        <w:contextualSpacing/>
        <w:jc w:val="both"/>
      </w:pPr>
      <w:r w:rsidRPr="00461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(d) </w:t>
      </w:r>
      <w:r w:rsidR="008A21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through </w:t>
      </w:r>
      <w:r w:rsidRPr="00AF7D5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8A21C6" w:rsidRPr="00AF7D5A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AF7D5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461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1396" w:rsidRPr="00461396">
        <w:rPr>
          <w:rFonts w:ascii="Times New Roman" w:eastAsia="Times New Roman" w:hAnsi="Times New Roman" w:cs="Times New Roman"/>
          <w:sz w:val="28"/>
          <w:szCs w:val="28"/>
        </w:rPr>
        <w:t>[</w:t>
      </w:r>
      <w:r w:rsidR="008A21C6" w:rsidRPr="00461396">
        <w:rPr>
          <w:rFonts w:ascii="Times New Roman" w:eastAsia="Times New Roman" w:hAnsi="Times New Roman" w:cs="Times New Roman"/>
          <w:sz w:val="28"/>
          <w:szCs w:val="28"/>
        </w:rPr>
        <w:t>re</w:t>
      </w:r>
      <w:r w:rsidR="00461396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21C6" w:rsidRPr="00461396">
        <w:rPr>
          <w:rFonts w:ascii="Times New Roman" w:eastAsia="Times New Roman" w:hAnsi="Times New Roman" w:cs="Times New Roman"/>
          <w:sz w:val="28"/>
          <w:szCs w:val="28"/>
        </w:rPr>
        <w:t>number</w:t>
      </w:r>
      <w:r w:rsidR="00461396">
        <w:rPr>
          <w:rFonts w:ascii="Times New Roman" w:eastAsia="Times New Roman" w:hAnsi="Times New Roman" w:cs="Times New Roman"/>
          <w:sz w:val="28"/>
          <w:szCs w:val="28"/>
        </w:rPr>
        <w:t>]</w:t>
      </w:r>
    </w:p>
    <w:sectPr w:rsidR="00AC450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01863" w14:textId="77777777" w:rsidR="00C551D2" w:rsidRDefault="00C551D2" w:rsidP="00373ADA">
      <w:pPr>
        <w:spacing w:after="0" w:line="240" w:lineRule="auto"/>
      </w:pPr>
      <w:r>
        <w:separator/>
      </w:r>
    </w:p>
  </w:endnote>
  <w:endnote w:type="continuationSeparator" w:id="0">
    <w:p w14:paraId="27C9A23C" w14:textId="77777777" w:rsidR="00C551D2" w:rsidRDefault="00C551D2" w:rsidP="00373ADA">
      <w:pPr>
        <w:spacing w:after="0" w:line="240" w:lineRule="auto"/>
      </w:pPr>
      <w:r>
        <w:continuationSeparator/>
      </w:r>
    </w:p>
  </w:endnote>
  <w:endnote w:type="continuationNotice" w:id="1">
    <w:p w14:paraId="2575E815" w14:textId="77777777" w:rsidR="00C551D2" w:rsidRDefault="00C55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043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D3865" w14:textId="3C7EDA41" w:rsidR="003949EF" w:rsidRDefault="003949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E5DC5" w14:textId="77777777" w:rsidR="003949EF" w:rsidRDefault="00394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930F" w14:textId="280661ED" w:rsidR="003949EF" w:rsidRDefault="003949EF">
    <w:pPr>
      <w:pStyle w:val="Footer"/>
      <w:jc w:val="center"/>
    </w:pPr>
  </w:p>
  <w:p w14:paraId="396E902C" w14:textId="77777777" w:rsidR="003949EF" w:rsidRDefault="0039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5CEB2" w14:textId="77777777" w:rsidR="00C551D2" w:rsidRDefault="00C551D2" w:rsidP="00373ADA">
      <w:pPr>
        <w:spacing w:after="0" w:line="240" w:lineRule="auto"/>
      </w:pPr>
      <w:r>
        <w:separator/>
      </w:r>
    </w:p>
  </w:footnote>
  <w:footnote w:type="continuationSeparator" w:id="0">
    <w:p w14:paraId="0765259F" w14:textId="77777777" w:rsidR="00C551D2" w:rsidRDefault="00C551D2" w:rsidP="00373ADA">
      <w:pPr>
        <w:spacing w:after="0" w:line="240" w:lineRule="auto"/>
      </w:pPr>
      <w:r>
        <w:continuationSeparator/>
      </w:r>
    </w:p>
  </w:footnote>
  <w:footnote w:type="continuationNotice" w:id="1">
    <w:p w14:paraId="7B8A1206" w14:textId="77777777" w:rsidR="00C551D2" w:rsidRDefault="00C551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DA5"/>
    <w:multiLevelType w:val="hybridMultilevel"/>
    <w:tmpl w:val="4D18EB78"/>
    <w:lvl w:ilvl="0" w:tplc="DF9E2B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4813"/>
    <w:multiLevelType w:val="hybridMultilevel"/>
    <w:tmpl w:val="B11029E4"/>
    <w:lvl w:ilvl="0" w:tplc="8620E1AC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F763E9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00662"/>
    <w:multiLevelType w:val="hybridMultilevel"/>
    <w:tmpl w:val="815ACEF4"/>
    <w:lvl w:ilvl="0" w:tplc="21A06132">
      <w:start w:val="2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218E"/>
    <w:multiLevelType w:val="hybridMultilevel"/>
    <w:tmpl w:val="F1EC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31F8"/>
    <w:multiLevelType w:val="hybridMultilevel"/>
    <w:tmpl w:val="612653A8"/>
    <w:lvl w:ilvl="0" w:tplc="D700965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046B4"/>
    <w:multiLevelType w:val="hybridMultilevel"/>
    <w:tmpl w:val="562AF32A"/>
    <w:lvl w:ilvl="0" w:tplc="15FCBA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EA"/>
    <w:rsid w:val="00001564"/>
    <w:rsid w:val="0001132F"/>
    <w:rsid w:val="00014F25"/>
    <w:rsid w:val="000258F8"/>
    <w:rsid w:val="000471FE"/>
    <w:rsid w:val="000570A0"/>
    <w:rsid w:val="00070E22"/>
    <w:rsid w:val="00094895"/>
    <w:rsid w:val="00096C29"/>
    <w:rsid w:val="000C0DB9"/>
    <w:rsid w:val="000E35E3"/>
    <w:rsid w:val="000F15A9"/>
    <w:rsid w:val="0012392F"/>
    <w:rsid w:val="001351ED"/>
    <w:rsid w:val="00143EF8"/>
    <w:rsid w:val="0016491E"/>
    <w:rsid w:val="0017603B"/>
    <w:rsid w:val="001B3970"/>
    <w:rsid w:val="001B4CEA"/>
    <w:rsid w:val="001C3C05"/>
    <w:rsid w:val="001C66DF"/>
    <w:rsid w:val="001E786C"/>
    <w:rsid w:val="0020222C"/>
    <w:rsid w:val="0020490A"/>
    <w:rsid w:val="00212127"/>
    <w:rsid w:val="00215EEC"/>
    <w:rsid w:val="002276B9"/>
    <w:rsid w:val="00264AAF"/>
    <w:rsid w:val="002865E6"/>
    <w:rsid w:val="0029262A"/>
    <w:rsid w:val="00292D76"/>
    <w:rsid w:val="002D102B"/>
    <w:rsid w:val="002E4FF6"/>
    <w:rsid w:val="00342084"/>
    <w:rsid w:val="003739C1"/>
    <w:rsid w:val="00373ADA"/>
    <w:rsid w:val="0038240E"/>
    <w:rsid w:val="003949EF"/>
    <w:rsid w:val="003A0640"/>
    <w:rsid w:val="003B6244"/>
    <w:rsid w:val="003C1329"/>
    <w:rsid w:val="003E1B32"/>
    <w:rsid w:val="003E319D"/>
    <w:rsid w:val="003F2F26"/>
    <w:rsid w:val="00422F1D"/>
    <w:rsid w:val="00437F61"/>
    <w:rsid w:val="00461396"/>
    <w:rsid w:val="004A4E9D"/>
    <w:rsid w:val="004D5327"/>
    <w:rsid w:val="004E6985"/>
    <w:rsid w:val="004E6B05"/>
    <w:rsid w:val="004F6154"/>
    <w:rsid w:val="00536A00"/>
    <w:rsid w:val="005413B5"/>
    <w:rsid w:val="00542565"/>
    <w:rsid w:val="0055482C"/>
    <w:rsid w:val="00554E4B"/>
    <w:rsid w:val="00555726"/>
    <w:rsid w:val="0056373E"/>
    <w:rsid w:val="005673BE"/>
    <w:rsid w:val="0057134E"/>
    <w:rsid w:val="005767D8"/>
    <w:rsid w:val="005A3BAF"/>
    <w:rsid w:val="005C7978"/>
    <w:rsid w:val="00607BD0"/>
    <w:rsid w:val="006B6C8A"/>
    <w:rsid w:val="006C7936"/>
    <w:rsid w:val="00722FA1"/>
    <w:rsid w:val="00753F1F"/>
    <w:rsid w:val="00777AE4"/>
    <w:rsid w:val="007D44CC"/>
    <w:rsid w:val="007D54BC"/>
    <w:rsid w:val="007D5F4D"/>
    <w:rsid w:val="007D7F05"/>
    <w:rsid w:val="007E7777"/>
    <w:rsid w:val="00804B7E"/>
    <w:rsid w:val="00805E48"/>
    <w:rsid w:val="00816381"/>
    <w:rsid w:val="00820750"/>
    <w:rsid w:val="00826017"/>
    <w:rsid w:val="008807C3"/>
    <w:rsid w:val="00892FC1"/>
    <w:rsid w:val="008A031E"/>
    <w:rsid w:val="008A1270"/>
    <w:rsid w:val="008A21C6"/>
    <w:rsid w:val="008A32DC"/>
    <w:rsid w:val="008C12C4"/>
    <w:rsid w:val="008C5CB6"/>
    <w:rsid w:val="008D48D7"/>
    <w:rsid w:val="008D6DF2"/>
    <w:rsid w:val="008E1C5C"/>
    <w:rsid w:val="00937B26"/>
    <w:rsid w:val="009427A6"/>
    <w:rsid w:val="009511CE"/>
    <w:rsid w:val="009515D5"/>
    <w:rsid w:val="009522AF"/>
    <w:rsid w:val="00956C1D"/>
    <w:rsid w:val="0099196B"/>
    <w:rsid w:val="0099531A"/>
    <w:rsid w:val="009D33EA"/>
    <w:rsid w:val="009D5CAA"/>
    <w:rsid w:val="00A03958"/>
    <w:rsid w:val="00A30412"/>
    <w:rsid w:val="00A47B56"/>
    <w:rsid w:val="00A80575"/>
    <w:rsid w:val="00AA6762"/>
    <w:rsid w:val="00AB772A"/>
    <w:rsid w:val="00AC450A"/>
    <w:rsid w:val="00AF34A5"/>
    <w:rsid w:val="00AF4654"/>
    <w:rsid w:val="00AF7D5A"/>
    <w:rsid w:val="00B0147B"/>
    <w:rsid w:val="00B3117A"/>
    <w:rsid w:val="00B33ECB"/>
    <w:rsid w:val="00B43B5C"/>
    <w:rsid w:val="00B53647"/>
    <w:rsid w:val="00B63C22"/>
    <w:rsid w:val="00B77452"/>
    <w:rsid w:val="00B86AE7"/>
    <w:rsid w:val="00B970AC"/>
    <w:rsid w:val="00BB0F35"/>
    <w:rsid w:val="00BB4E86"/>
    <w:rsid w:val="00BC4793"/>
    <w:rsid w:val="00BD15EE"/>
    <w:rsid w:val="00BF1F2A"/>
    <w:rsid w:val="00BF6683"/>
    <w:rsid w:val="00C03D36"/>
    <w:rsid w:val="00C267EB"/>
    <w:rsid w:val="00C317C8"/>
    <w:rsid w:val="00C46CFB"/>
    <w:rsid w:val="00C51830"/>
    <w:rsid w:val="00C551D2"/>
    <w:rsid w:val="00C768FB"/>
    <w:rsid w:val="00C80F7F"/>
    <w:rsid w:val="00C82658"/>
    <w:rsid w:val="00CA58AC"/>
    <w:rsid w:val="00CD0069"/>
    <w:rsid w:val="00CD0EAE"/>
    <w:rsid w:val="00CE096A"/>
    <w:rsid w:val="00CF78D0"/>
    <w:rsid w:val="00D11E12"/>
    <w:rsid w:val="00D1233B"/>
    <w:rsid w:val="00D1600F"/>
    <w:rsid w:val="00D3490D"/>
    <w:rsid w:val="00D45B15"/>
    <w:rsid w:val="00D623E5"/>
    <w:rsid w:val="00D67D4A"/>
    <w:rsid w:val="00D862CA"/>
    <w:rsid w:val="00D93219"/>
    <w:rsid w:val="00D95E79"/>
    <w:rsid w:val="00DA1D1D"/>
    <w:rsid w:val="00DB23E1"/>
    <w:rsid w:val="00DB4391"/>
    <w:rsid w:val="00DC6DFA"/>
    <w:rsid w:val="00E2667E"/>
    <w:rsid w:val="00E400A7"/>
    <w:rsid w:val="00E428D2"/>
    <w:rsid w:val="00E75BB0"/>
    <w:rsid w:val="00E762A8"/>
    <w:rsid w:val="00E9299D"/>
    <w:rsid w:val="00E97A75"/>
    <w:rsid w:val="00ED2279"/>
    <w:rsid w:val="00EF752D"/>
    <w:rsid w:val="00F142E8"/>
    <w:rsid w:val="00F2025E"/>
    <w:rsid w:val="00F5397F"/>
    <w:rsid w:val="00F7121C"/>
    <w:rsid w:val="00FA6DB8"/>
    <w:rsid w:val="00FB6489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3E357"/>
  <w15:chartTrackingRefBased/>
  <w15:docId w15:val="{6778F851-C631-4049-8DA7-4A02E967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D33EA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73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ADA"/>
  </w:style>
  <w:style w:type="paragraph" w:styleId="Footer">
    <w:name w:val="footer"/>
    <w:basedOn w:val="Normal"/>
    <w:link w:val="FooterChar"/>
    <w:uiPriority w:val="99"/>
    <w:unhideWhenUsed/>
    <w:rsid w:val="00373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DA"/>
  </w:style>
  <w:style w:type="paragraph" w:styleId="NormalWeb">
    <w:name w:val="Normal (Web)"/>
    <w:basedOn w:val="Normal"/>
    <w:uiPriority w:val="99"/>
    <w:unhideWhenUsed/>
    <w:rsid w:val="00FA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radwanski@courts.az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53F0D4EBE14A819FF3867E3F3893" ma:contentTypeVersion="11" ma:contentTypeDescription="Create a new document." ma:contentTypeScope="" ma:versionID="0f3f70c8ad46f4c1b97262ab6d5caf8c">
  <xsd:schema xmlns:xsd="http://www.w3.org/2001/XMLSchema" xmlns:xs="http://www.w3.org/2001/XMLSchema" xmlns:p="http://schemas.microsoft.com/office/2006/metadata/properties" xmlns:ns3="0ffb37f9-1bcf-4e3e-b04f-292b64b553dd" xmlns:ns4="1e974bef-5dd2-41e1-8e43-1bc1ec2e2770" targetNamespace="http://schemas.microsoft.com/office/2006/metadata/properties" ma:root="true" ma:fieldsID="2383af9dcbd3eae5606111641bc896ae" ns3:_="" ns4:_="">
    <xsd:import namespace="0ffb37f9-1bcf-4e3e-b04f-292b64b553dd"/>
    <xsd:import namespace="1e974bef-5dd2-41e1-8e43-1bc1ec2e27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74bef-5dd2-41e1-8e43-1bc1ec2e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7E2FB-AEED-4867-BB4B-F25B4D084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b37f9-1bcf-4e3e-b04f-292b64b553dd"/>
    <ds:schemaRef ds:uri="1e974bef-5dd2-41e1-8e43-1bc1ec2e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C6043-0E5B-435F-8050-AADDFFC98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F53E0-DE70-4B75-8E66-DFAABD00A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763</Words>
  <Characters>3918</Characters>
  <Application>Microsoft Office Word</Application>
  <DocSecurity>0</DocSecurity>
  <Lines>97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Radwanski, Kay</dc:creator>
  <cp:keywords/>
  <dc:description/>
  <cp:lastModifiedBy>Radwanski, Kay</cp:lastModifiedBy>
  <cp:revision>109</cp:revision>
  <dcterms:created xsi:type="dcterms:W3CDTF">2021-04-13T22:44:00Z</dcterms:created>
  <dcterms:modified xsi:type="dcterms:W3CDTF">2021-04-27T19:06:00Z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0x010100FF6C53F0D4EBE14A819FF3867E3F3893</vt:lpwstr>
  </property>
</Properties>
</file>