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1512C" w14:textId="52C1ADF6" w:rsidR="009124E2" w:rsidRPr="00D318F9" w:rsidRDefault="009124E2" w:rsidP="009124E2">
      <w:pPr>
        <w:spacing w:line="240" w:lineRule="auto"/>
        <w:rPr>
          <w:rFonts w:ascii="Century Schoolbook" w:hAnsi="Century Schoolbook"/>
          <w:sz w:val="28"/>
          <w:szCs w:val="28"/>
        </w:rPr>
      </w:pPr>
      <w:r w:rsidRPr="00D318F9">
        <w:rPr>
          <w:rFonts w:ascii="Century Schoolbook" w:hAnsi="Century Schoolbook"/>
          <w:sz w:val="28"/>
          <w:szCs w:val="28"/>
        </w:rPr>
        <w:t>Hon. Greg Sakall</w:t>
      </w:r>
      <w:r w:rsidR="0055781F">
        <w:rPr>
          <w:rFonts w:ascii="Century Schoolbook" w:hAnsi="Century Schoolbook"/>
          <w:sz w:val="28"/>
          <w:szCs w:val="28"/>
        </w:rPr>
        <w:t xml:space="preserve"> (</w:t>
      </w:r>
      <w:r w:rsidRPr="00D318F9">
        <w:rPr>
          <w:rFonts w:ascii="Century Schoolbook" w:hAnsi="Century Schoolbook"/>
          <w:sz w:val="28"/>
          <w:szCs w:val="28"/>
        </w:rPr>
        <w:t>021310</w:t>
      </w:r>
      <w:r w:rsidR="0055781F">
        <w:rPr>
          <w:rFonts w:ascii="Century Schoolbook" w:hAnsi="Century Schoolbook"/>
          <w:sz w:val="28"/>
          <w:szCs w:val="28"/>
        </w:rPr>
        <w:t>)</w:t>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sidRPr="00622C26">
        <w:rPr>
          <w:rStyle w:val="Hyperlink"/>
          <w:rFonts w:ascii="Century Schoolbook" w:hAnsi="Century Schoolbook"/>
          <w:color w:val="auto"/>
          <w:sz w:val="28"/>
          <w:szCs w:val="28"/>
          <w:u w:val="none"/>
        </w:rPr>
        <w:t>Andrew Jacobs, Esq.</w:t>
      </w:r>
      <w:r w:rsidR="0055781F">
        <w:rPr>
          <w:rStyle w:val="Hyperlink"/>
          <w:rFonts w:ascii="Century Schoolbook" w:hAnsi="Century Schoolbook"/>
          <w:color w:val="auto"/>
          <w:sz w:val="28"/>
          <w:szCs w:val="28"/>
          <w:u w:val="none"/>
        </w:rPr>
        <w:t xml:space="preserve"> (021446)</w:t>
      </w:r>
      <w:r w:rsidR="00D318F9" w:rsidRPr="00622C26">
        <w:rPr>
          <w:rStyle w:val="Hyperlink"/>
          <w:rFonts w:ascii="Century Schoolbook" w:hAnsi="Century Schoolbook"/>
          <w:color w:val="auto"/>
          <w:sz w:val="28"/>
          <w:szCs w:val="28"/>
          <w:u w:val="none"/>
        </w:rPr>
        <w:t xml:space="preserve"> </w:t>
      </w:r>
    </w:p>
    <w:p w14:paraId="6243CD70" w14:textId="625363BF" w:rsidR="009124E2" w:rsidRPr="00D318F9" w:rsidRDefault="009124E2" w:rsidP="009124E2">
      <w:pPr>
        <w:spacing w:line="240" w:lineRule="auto"/>
        <w:rPr>
          <w:rFonts w:ascii="Century Schoolbook" w:hAnsi="Century Schoolbook"/>
          <w:sz w:val="28"/>
          <w:szCs w:val="28"/>
        </w:rPr>
      </w:pPr>
      <w:r w:rsidRPr="00D318F9">
        <w:rPr>
          <w:rFonts w:ascii="Century Schoolbook" w:hAnsi="Century Schoolbook"/>
          <w:sz w:val="28"/>
          <w:szCs w:val="28"/>
        </w:rPr>
        <w:t>Judge, Division 23</w:t>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sidRPr="00622C26">
        <w:rPr>
          <w:rStyle w:val="Hyperlink"/>
          <w:rFonts w:ascii="Century Schoolbook" w:hAnsi="Century Schoolbook"/>
          <w:color w:val="auto"/>
          <w:sz w:val="28"/>
          <w:szCs w:val="28"/>
          <w:u w:val="none"/>
        </w:rPr>
        <w:t>Snell &amp; Wilmer</w:t>
      </w:r>
      <w:r w:rsidR="0055781F">
        <w:rPr>
          <w:rStyle w:val="Hyperlink"/>
          <w:rFonts w:ascii="Century Schoolbook" w:hAnsi="Century Schoolbook"/>
          <w:color w:val="auto"/>
          <w:sz w:val="28"/>
          <w:szCs w:val="28"/>
          <w:u w:val="none"/>
        </w:rPr>
        <w:t>, LLP</w:t>
      </w:r>
    </w:p>
    <w:p w14:paraId="342AB4A1" w14:textId="6B3BA1AA" w:rsidR="009124E2" w:rsidRPr="00D318F9" w:rsidRDefault="009124E2" w:rsidP="009124E2">
      <w:pPr>
        <w:spacing w:line="240" w:lineRule="auto"/>
        <w:rPr>
          <w:rFonts w:ascii="Century Schoolbook" w:hAnsi="Century Schoolbook"/>
          <w:sz w:val="28"/>
          <w:szCs w:val="28"/>
        </w:rPr>
      </w:pPr>
      <w:r w:rsidRPr="00D318F9">
        <w:rPr>
          <w:rFonts w:ascii="Century Schoolbook" w:hAnsi="Century Schoolbook"/>
          <w:sz w:val="28"/>
          <w:szCs w:val="28"/>
        </w:rPr>
        <w:t>Pima County Superior Court</w:t>
      </w:r>
      <w:r w:rsidR="00D318F9">
        <w:rPr>
          <w:rFonts w:ascii="Century Schoolbook" w:hAnsi="Century Schoolbook"/>
          <w:sz w:val="28"/>
          <w:szCs w:val="28"/>
        </w:rPr>
        <w:tab/>
      </w:r>
      <w:r w:rsidR="00D318F9">
        <w:rPr>
          <w:rFonts w:ascii="Century Schoolbook" w:hAnsi="Century Schoolbook"/>
          <w:sz w:val="28"/>
          <w:szCs w:val="28"/>
        </w:rPr>
        <w:tab/>
      </w:r>
      <w:r w:rsidR="00D318F9" w:rsidRPr="00622C26">
        <w:rPr>
          <w:rStyle w:val="Hyperlink"/>
          <w:rFonts w:ascii="Century Schoolbook" w:hAnsi="Century Schoolbook"/>
          <w:color w:val="auto"/>
          <w:sz w:val="28"/>
          <w:szCs w:val="28"/>
          <w:u w:val="none"/>
        </w:rPr>
        <w:t>400 E. Van Buren St.,</w:t>
      </w:r>
      <w:r w:rsidR="0055781F">
        <w:rPr>
          <w:rStyle w:val="Hyperlink"/>
          <w:rFonts w:ascii="Century Schoolbook" w:hAnsi="Century Schoolbook"/>
          <w:color w:val="auto"/>
          <w:sz w:val="28"/>
          <w:szCs w:val="28"/>
          <w:u w:val="none"/>
        </w:rPr>
        <w:t xml:space="preserve"> Suite </w:t>
      </w:r>
      <w:r w:rsidR="00D318F9" w:rsidRPr="00622C26">
        <w:rPr>
          <w:rStyle w:val="Hyperlink"/>
          <w:rFonts w:ascii="Century Schoolbook" w:hAnsi="Century Schoolbook"/>
          <w:color w:val="auto"/>
          <w:sz w:val="28"/>
          <w:szCs w:val="28"/>
          <w:u w:val="none"/>
        </w:rPr>
        <w:t>1900</w:t>
      </w:r>
    </w:p>
    <w:p w14:paraId="073D50E9" w14:textId="69B5D4CA" w:rsidR="009124E2" w:rsidRPr="00D318F9" w:rsidRDefault="009124E2" w:rsidP="00C674AA">
      <w:pPr>
        <w:spacing w:line="240" w:lineRule="auto"/>
        <w:rPr>
          <w:rFonts w:ascii="Century Schoolbook" w:hAnsi="Century Schoolbook"/>
          <w:sz w:val="28"/>
          <w:szCs w:val="28"/>
        </w:rPr>
      </w:pPr>
      <w:r w:rsidRPr="00D318F9">
        <w:rPr>
          <w:rFonts w:ascii="Century Schoolbook" w:hAnsi="Century Schoolbook"/>
          <w:sz w:val="28"/>
          <w:szCs w:val="28"/>
        </w:rPr>
        <w:t>110 West Congress St.</w:t>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sidRPr="00622C26">
        <w:rPr>
          <w:rStyle w:val="Hyperlink"/>
          <w:rFonts w:ascii="Century Schoolbook" w:hAnsi="Century Schoolbook"/>
          <w:color w:val="auto"/>
          <w:sz w:val="28"/>
          <w:szCs w:val="28"/>
          <w:u w:val="none"/>
        </w:rPr>
        <w:t>Phoenix, AZ 85004-2202</w:t>
      </w:r>
    </w:p>
    <w:p w14:paraId="5655BEAE" w14:textId="7FB14815" w:rsidR="009124E2" w:rsidRPr="00D318F9" w:rsidRDefault="009124E2" w:rsidP="009124E2">
      <w:pPr>
        <w:spacing w:line="240" w:lineRule="auto"/>
        <w:rPr>
          <w:rFonts w:ascii="Century Schoolbook" w:hAnsi="Century Schoolbook"/>
          <w:sz w:val="28"/>
          <w:szCs w:val="28"/>
        </w:rPr>
      </w:pPr>
      <w:r w:rsidRPr="00D318F9">
        <w:rPr>
          <w:rFonts w:ascii="Century Schoolbook" w:hAnsi="Century Schoolbook"/>
          <w:sz w:val="28"/>
          <w:szCs w:val="28"/>
        </w:rPr>
        <w:t>Tucson, AZ 85701</w:t>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55781F">
        <w:rPr>
          <w:rFonts w:ascii="Century Schoolbook" w:hAnsi="Century Schoolbook"/>
          <w:sz w:val="28"/>
          <w:szCs w:val="28"/>
        </w:rPr>
        <w:t>(602) 382-6308</w:t>
      </w:r>
    </w:p>
    <w:p w14:paraId="3280F05B" w14:textId="4F2753C0" w:rsidR="009124E2" w:rsidRDefault="009124E2" w:rsidP="009124E2">
      <w:pPr>
        <w:spacing w:line="240" w:lineRule="auto"/>
        <w:rPr>
          <w:rFonts w:ascii="Century Schoolbook" w:hAnsi="Century Schoolbook"/>
          <w:sz w:val="28"/>
          <w:szCs w:val="28"/>
        </w:rPr>
      </w:pPr>
      <w:r w:rsidRPr="00D318F9">
        <w:rPr>
          <w:rFonts w:ascii="Century Schoolbook" w:hAnsi="Century Schoolbook"/>
          <w:sz w:val="28"/>
          <w:szCs w:val="28"/>
        </w:rPr>
        <w:t>(520) 724-8301</w:t>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hyperlink r:id="rId8" w:history="1">
        <w:r w:rsidR="00D318F9" w:rsidRPr="00501808">
          <w:rPr>
            <w:rStyle w:val="Hyperlink"/>
            <w:rFonts w:ascii="Century Schoolbook" w:hAnsi="Century Schoolbook"/>
            <w:sz w:val="28"/>
            <w:szCs w:val="28"/>
          </w:rPr>
          <w:t>ajacobs@swlaw.com</w:t>
        </w:r>
      </w:hyperlink>
    </w:p>
    <w:p w14:paraId="1525F801" w14:textId="506DB1B9" w:rsidR="009124E2" w:rsidRPr="00D318F9" w:rsidRDefault="00BD2C69" w:rsidP="009124E2">
      <w:pPr>
        <w:spacing w:line="240" w:lineRule="auto"/>
        <w:rPr>
          <w:rStyle w:val="Hyperlink"/>
          <w:rFonts w:ascii="Century Schoolbook" w:hAnsi="Century Schoolbook"/>
          <w:sz w:val="28"/>
          <w:szCs w:val="28"/>
        </w:rPr>
      </w:pPr>
      <w:hyperlink r:id="rId9" w:history="1">
        <w:r w:rsidR="009124E2" w:rsidRPr="00D318F9">
          <w:rPr>
            <w:rStyle w:val="Hyperlink"/>
            <w:rFonts w:ascii="Century Schoolbook" w:hAnsi="Century Schoolbook"/>
            <w:sz w:val="28"/>
            <w:szCs w:val="28"/>
          </w:rPr>
          <w:t>gsakall@sc.pima.gov</w:t>
        </w:r>
      </w:hyperlink>
    </w:p>
    <w:p w14:paraId="08E02C16" w14:textId="49B5CF8B" w:rsidR="00D318F9" w:rsidRDefault="00D318F9" w:rsidP="009124E2">
      <w:pPr>
        <w:spacing w:line="240" w:lineRule="auto"/>
        <w:rPr>
          <w:rStyle w:val="Hyperlink"/>
          <w:rFonts w:ascii="Century Schoolbook" w:hAnsi="Century Schoolbook"/>
          <w:sz w:val="28"/>
          <w:szCs w:val="28"/>
        </w:rPr>
      </w:pPr>
    </w:p>
    <w:p w14:paraId="398A91FB" w14:textId="77777777" w:rsidR="00D318F9" w:rsidRPr="00D318F9" w:rsidRDefault="00D318F9" w:rsidP="00D318F9">
      <w:pPr>
        <w:spacing w:line="240" w:lineRule="auto"/>
        <w:rPr>
          <w:rFonts w:ascii="Century Schoolbook" w:hAnsi="Century Schoolbook"/>
          <w:sz w:val="28"/>
          <w:szCs w:val="28"/>
        </w:rPr>
      </w:pPr>
      <w:r w:rsidRPr="00D318F9">
        <w:rPr>
          <w:rFonts w:ascii="Century Schoolbook" w:hAnsi="Century Schoolbook"/>
          <w:sz w:val="28"/>
          <w:szCs w:val="28"/>
        </w:rPr>
        <w:t xml:space="preserve">Hon. </w:t>
      </w:r>
      <w:r>
        <w:rPr>
          <w:rFonts w:ascii="Century Schoolbook" w:hAnsi="Century Schoolbook"/>
          <w:sz w:val="28"/>
          <w:szCs w:val="28"/>
        </w:rPr>
        <w:t>Kenneth Lee</w:t>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sidRPr="00D318F9">
        <w:rPr>
          <w:rFonts w:ascii="Century Schoolbook" w:hAnsi="Century Schoolbook"/>
          <w:sz w:val="28"/>
          <w:szCs w:val="28"/>
        </w:rPr>
        <w:t xml:space="preserve">Hon. </w:t>
      </w:r>
      <w:r>
        <w:rPr>
          <w:rFonts w:ascii="Century Schoolbook" w:hAnsi="Century Schoolbook"/>
          <w:sz w:val="28"/>
          <w:szCs w:val="28"/>
        </w:rPr>
        <w:t>Richard Gordon</w:t>
      </w:r>
    </w:p>
    <w:p w14:paraId="7EBAA6AC" w14:textId="77777777" w:rsidR="00D318F9" w:rsidRPr="00D318F9" w:rsidRDefault="00D318F9" w:rsidP="00D318F9">
      <w:pPr>
        <w:spacing w:line="240" w:lineRule="auto"/>
        <w:rPr>
          <w:rFonts w:ascii="Century Schoolbook" w:hAnsi="Century Schoolbook"/>
          <w:sz w:val="28"/>
          <w:szCs w:val="28"/>
        </w:rPr>
      </w:pPr>
      <w:r w:rsidRPr="00D318F9">
        <w:rPr>
          <w:rFonts w:ascii="Century Schoolbook" w:hAnsi="Century Schoolbook"/>
          <w:sz w:val="28"/>
          <w:szCs w:val="28"/>
        </w:rPr>
        <w:t>Judge, Division 3</w:t>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sidRPr="00D318F9">
        <w:rPr>
          <w:rFonts w:ascii="Century Schoolbook" w:hAnsi="Century Schoolbook"/>
          <w:sz w:val="28"/>
          <w:szCs w:val="28"/>
        </w:rPr>
        <w:t xml:space="preserve">Judge, Division </w:t>
      </w:r>
      <w:r>
        <w:rPr>
          <w:rFonts w:ascii="Century Schoolbook" w:hAnsi="Century Schoolbook"/>
          <w:sz w:val="28"/>
          <w:szCs w:val="28"/>
        </w:rPr>
        <w:t>8</w:t>
      </w:r>
    </w:p>
    <w:p w14:paraId="21A779C4" w14:textId="77777777" w:rsidR="00D318F9" w:rsidRPr="00D318F9" w:rsidRDefault="00D318F9" w:rsidP="00D318F9">
      <w:pPr>
        <w:spacing w:line="240" w:lineRule="auto"/>
        <w:rPr>
          <w:rFonts w:ascii="Century Schoolbook" w:hAnsi="Century Schoolbook"/>
          <w:sz w:val="28"/>
          <w:szCs w:val="28"/>
        </w:rPr>
      </w:pPr>
      <w:r w:rsidRPr="00D318F9">
        <w:rPr>
          <w:rFonts w:ascii="Century Schoolbook" w:hAnsi="Century Schoolbook"/>
          <w:sz w:val="28"/>
          <w:szCs w:val="28"/>
        </w:rPr>
        <w:t>Pima County Superior Court</w:t>
      </w:r>
      <w:r>
        <w:rPr>
          <w:rFonts w:ascii="Century Schoolbook" w:hAnsi="Century Schoolbook"/>
          <w:sz w:val="28"/>
          <w:szCs w:val="28"/>
        </w:rPr>
        <w:tab/>
      </w:r>
      <w:r>
        <w:rPr>
          <w:rFonts w:ascii="Century Schoolbook" w:hAnsi="Century Schoolbook"/>
          <w:sz w:val="28"/>
          <w:szCs w:val="28"/>
        </w:rPr>
        <w:tab/>
      </w:r>
      <w:r w:rsidRPr="00D318F9">
        <w:rPr>
          <w:rFonts w:ascii="Century Schoolbook" w:hAnsi="Century Schoolbook"/>
          <w:sz w:val="28"/>
          <w:szCs w:val="28"/>
        </w:rPr>
        <w:t>Pima County Superior Court</w:t>
      </w:r>
    </w:p>
    <w:p w14:paraId="01D1988C" w14:textId="19BDCAD3" w:rsidR="00D318F9" w:rsidRPr="00D318F9" w:rsidRDefault="00D318F9" w:rsidP="00C674AA">
      <w:pPr>
        <w:tabs>
          <w:tab w:val="left" w:pos="5040"/>
          <w:tab w:val="left" w:pos="6747"/>
        </w:tabs>
        <w:spacing w:line="240" w:lineRule="auto"/>
        <w:rPr>
          <w:rFonts w:ascii="Century Schoolbook" w:hAnsi="Century Schoolbook"/>
          <w:sz w:val="28"/>
          <w:szCs w:val="28"/>
        </w:rPr>
      </w:pPr>
      <w:r w:rsidRPr="00D318F9">
        <w:rPr>
          <w:rFonts w:ascii="Century Schoolbook" w:hAnsi="Century Schoolbook"/>
          <w:sz w:val="28"/>
          <w:szCs w:val="28"/>
        </w:rPr>
        <w:t>110 West Congress St.</w:t>
      </w:r>
      <w:r>
        <w:rPr>
          <w:rFonts w:ascii="Century Schoolbook" w:hAnsi="Century Schoolbook"/>
          <w:sz w:val="28"/>
          <w:szCs w:val="28"/>
        </w:rPr>
        <w:tab/>
      </w:r>
      <w:r w:rsidRPr="00D318F9">
        <w:rPr>
          <w:rFonts w:ascii="Century Schoolbook" w:hAnsi="Century Schoolbook"/>
          <w:sz w:val="28"/>
          <w:szCs w:val="28"/>
        </w:rPr>
        <w:t>110 West Congress St.</w:t>
      </w:r>
      <w:r w:rsidRPr="00D318F9">
        <w:rPr>
          <w:rFonts w:ascii="Century Schoolbook" w:hAnsi="Century Schoolbook"/>
          <w:sz w:val="28"/>
          <w:szCs w:val="28"/>
        </w:rPr>
        <w:tab/>
      </w:r>
    </w:p>
    <w:p w14:paraId="0F0F0E9B" w14:textId="77777777" w:rsidR="00D318F9" w:rsidRPr="00D318F9" w:rsidRDefault="00D318F9" w:rsidP="00D318F9">
      <w:pPr>
        <w:spacing w:line="240" w:lineRule="auto"/>
        <w:rPr>
          <w:rFonts w:ascii="Century Schoolbook" w:hAnsi="Century Schoolbook"/>
          <w:sz w:val="28"/>
          <w:szCs w:val="28"/>
        </w:rPr>
      </w:pPr>
      <w:r w:rsidRPr="00D318F9">
        <w:rPr>
          <w:rFonts w:ascii="Century Schoolbook" w:hAnsi="Century Schoolbook"/>
          <w:sz w:val="28"/>
          <w:szCs w:val="28"/>
        </w:rPr>
        <w:t>Tucson, AZ 85701</w:t>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sidRPr="00D318F9">
        <w:rPr>
          <w:rFonts w:ascii="Century Schoolbook" w:hAnsi="Century Schoolbook"/>
          <w:sz w:val="28"/>
          <w:szCs w:val="28"/>
        </w:rPr>
        <w:t>Tucson, AZ 85701</w:t>
      </w:r>
    </w:p>
    <w:p w14:paraId="0796A8C9" w14:textId="77777777" w:rsidR="00D318F9" w:rsidRPr="00D318F9" w:rsidRDefault="00D318F9" w:rsidP="00D318F9">
      <w:pPr>
        <w:spacing w:line="240" w:lineRule="auto"/>
        <w:rPr>
          <w:rFonts w:ascii="Century Schoolbook" w:hAnsi="Century Schoolbook"/>
          <w:sz w:val="28"/>
          <w:szCs w:val="28"/>
        </w:rPr>
      </w:pPr>
      <w:r w:rsidRPr="00D318F9">
        <w:rPr>
          <w:rFonts w:ascii="Century Schoolbook" w:hAnsi="Century Schoolbook"/>
          <w:sz w:val="28"/>
          <w:szCs w:val="28"/>
        </w:rPr>
        <w:t>(520) 724-8</w:t>
      </w:r>
      <w:r>
        <w:rPr>
          <w:rFonts w:ascii="Century Schoolbook" w:hAnsi="Century Schoolbook"/>
          <w:sz w:val="28"/>
          <w:szCs w:val="28"/>
        </w:rPr>
        <w:t>5</w:t>
      </w:r>
      <w:r w:rsidRPr="00D318F9">
        <w:rPr>
          <w:rFonts w:ascii="Century Schoolbook" w:hAnsi="Century Schoolbook"/>
          <w:sz w:val="28"/>
          <w:szCs w:val="28"/>
        </w:rPr>
        <w:t>31</w:t>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Pr>
          <w:rFonts w:ascii="Century Schoolbook" w:hAnsi="Century Schoolbook"/>
          <w:sz w:val="28"/>
          <w:szCs w:val="28"/>
        </w:rPr>
        <w:tab/>
      </w:r>
      <w:r w:rsidRPr="00D318F9">
        <w:rPr>
          <w:rFonts w:ascii="Century Schoolbook" w:hAnsi="Century Schoolbook"/>
          <w:sz w:val="28"/>
          <w:szCs w:val="28"/>
        </w:rPr>
        <w:t>(520) 724-</w:t>
      </w:r>
      <w:r>
        <w:rPr>
          <w:rFonts w:ascii="Century Schoolbook" w:hAnsi="Century Schoolbook"/>
          <w:sz w:val="28"/>
          <w:szCs w:val="28"/>
        </w:rPr>
        <w:t>9889</w:t>
      </w:r>
    </w:p>
    <w:p w14:paraId="256E6F7F" w14:textId="77777777" w:rsidR="00D318F9" w:rsidRPr="00D318F9" w:rsidRDefault="00BD2C69" w:rsidP="00D318F9">
      <w:pPr>
        <w:spacing w:line="240" w:lineRule="auto"/>
        <w:rPr>
          <w:rStyle w:val="Hyperlink"/>
          <w:rFonts w:ascii="Century Schoolbook" w:hAnsi="Century Schoolbook"/>
          <w:sz w:val="28"/>
          <w:szCs w:val="28"/>
        </w:rPr>
      </w:pPr>
      <w:hyperlink r:id="rId10" w:history="1">
        <w:r w:rsidR="00D318F9" w:rsidRPr="008F20DA">
          <w:rPr>
            <w:rStyle w:val="Hyperlink"/>
            <w:rFonts w:ascii="Century Schoolbook" w:hAnsi="Century Schoolbook"/>
            <w:sz w:val="28"/>
            <w:szCs w:val="28"/>
          </w:rPr>
          <w:t>klee</w:t>
        </w:r>
        <w:r w:rsidR="00D318F9" w:rsidRPr="00501808">
          <w:rPr>
            <w:rStyle w:val="Hyperlink"/>
            <w:rFonts w:ascii="Century Schoolbook" w:hAnsi="Century Schoolbook"/>
            <w:sz w:val="28"/>
            <w:szCs w:val="28"/>
          </w:rPr>
          <w:t>@sc.pima.gov</w:t>
        </w:r>
      </w:hyperlink>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r w:rsidR="00D318F9">
        <w:rPr>
          <w:rFonts w:ascii="Century Schoolbook" w:hAnsi="Century Schoolbook"/>
          <w:sz w:val="28"/>
          <w:szCs w:val="28"/>
        </w:rPr>
        <w:tab/>
      </w:r>
      <w:hyperlink r:id="rId11" w:history="1">
        <w:r w:rsidR="00D318F9" w:rsidRPr="00622C26">
          <w:rPr>
            <w:rStyle w:val="Hyperlink"/>
            <w:rFonts w:ascii="Century Schoolbook" w:hAnsi="Century Schoolbook"/>
            <w:sz w:val="28"/>
            <w:szCs w:val="28"/>
          </w:rPr>
          <w:t>rgordon@sc.pima.gov</w:t>
        </w:r>
      </w:hyperlink>
    </w:p>
    <w:p w14:paraId="20187340" w14:textId="32C4CBFC" w:rsidR="00D318F9" w:rsidRPr="00D318F9" w:rsidRDefault="00D318F9" w:rsidP="00D318F9">
      <w:pPr>
        <w:tabs>
          <w:tab w:val="left" w:pos="6747"/>
        </w:tabs>
        <w:spacing w:line="240" w:lineRule="auto"/>
        <w:rPr>
          <w:rFonts w:ascii="Century Schoolbook" w:hAnsi="Century Schoolbook"/>
          <w:sz w:val="28"/>
          <w:szCs w:val="28"/>
        </w:rPr>
      </w:pPr>
    </w:p>
    <w:p w14:paraId="1FACF639" w14:textId="77777777" w:rsidR="005E1399" w:rsidRPr="00D318F9" w:rsidRDefault="006A015E" w:rsidP="00094ABB">
      <w:pPr>
        <w:jc w:val="center"/>
        <w:rPr>
          <w:rFonts w:ascii="Century Schoolbook" w:hAnsi="Century Schoolbook"/>
          <w:b/>
          <w:sz w:val="28"/>
          <w:szCs w:val="28"/>
        </w:rPr>
      </w:pPr>
      <w:r w:rsidRPr="00D318F9">
        <w:rPr>
          <w:rFonts w:ascii="Century Schoolbook" w:hAnsi="Century Schoolbook"/>
          <w:b/>
          <w:sz w:val="28"/>
          <w:szCs w:val="28"/>
        </w:rPr>
        <w:t>IN THE SUPREME COURT</w:t>
      </w:r>
    </w:p>
    <w:p w14:paraId="302CB62A" w14:textId="1D9C739E" w:rsidR="00E7453A" w:rsidRPr="00D318F9" w:rsidRDefault="006A015E" w:rsidP="008A3442">
      <w:pPr>
        <w:jc w:val="center"/>
        <w:rPr>
          <w:rFonts w:ascii="Century Schoolbook" w:hAnsi="Century Schoolbook"/>
          <w:b/>
          <w:sz w:val="28"/>
          <w:szCs w:val="28"/>
        </w:rPr>
      </w:pPr>
      <w:r w:rsidRPr="00D318F9">
        <w:rPr>
          <w:rFonts w:ascii="Century Schoolbook" w:hAnsi="Century Schoolbook"/>
          <w:b/>
          <w:sz w:val="28"/>
          <w:szCs w:val="28"/>
        </w:rPr>
        <w:t>STATE OF ARIZONA</w:t>
      </w:r>
    </w:p>
    <w:p w14:paraId="368C84AA" w14:textId="77777777" w:rsidR="005E1399" w:rsidRPr="00D318F9" w:rsidRDefault="005E1399" w:rsidP="00D318F9">
      <w:pPr>
        <w:jc w:val="center"/>
        <w:rPr>
          <w:rFonts w:ascii="Century Schoolbook" w:hAnsi="Century Schoolbook"/>
          <w:b/>
          <w:sz w:val="28"/>
          <w:szCs w:val="28"/>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F85E94" w:rsidRPr="00E7453A" w14:paraId="7AF817A6" w14:textId="77777777" w:rsidTr="00A07BF3">
        <w:trPr>
          <w:trHeight w:val="2441"/>
        </w:trPr>
        <w:tc>
          <w:tcPr>
            <w:tcW w:w="4770" w:type="dxa"/>
            <w:shd w:val="clear" w:color="auto" w:fill="auto"/>
          </w:tcPr>
          <w:p w14:paraId="47CA4845" w14:textId="77777777" w:rsidR="00B73BA9" w:rsidRPr="00D318F9" w:rsidRDefault="006A015E" w:rsidP="009D6CAB">
            <w:pPr>
              <w:spacing w:line="240" w:lineRule="auto"/>
              <w:ind w:right="86"/>
              <w:jc w:val="both"/>
              <w:rPr>
                <w:rFonts w:ascii="Century Schoolbook" w:hAnsi="Century Schoolbook"/>
                <w:sz w:val="28"/>
                <w:szCs w:val="28"/>
              </w:rPr>
            </w:pPr>
            <w:bookmarkStart w:id="0" w:name="Parties"/>
            <w:bookmarkEnd w:id="0"/>
            <w:r w:rsidRPr="00D318F9">
              <w:rPr>
                <w:rFonts w:ascii="Century Schoolbook" w:hAnsi="Century Schoolbook"/>
                <w:sz w:val="28"/>
                <w:szCs w:val="28"/>
              </w:rPr>
              <w:t>In the matter of:</w:t>
            </w:r>
          </w:p>
          <w:p w14:paraId="36436917" w14:textId="77777777" w:rsidR="006A015E" w:rsidRPr="00D318F9" w:rsidRDefault="006A015E" w:rsidP="009D6CAB">
            <w:pPr>
              <w:spacing w:line="240" w:lineRule="auto"/>
              <w:ind w:right="86"/>
              <w:jc w:val="both"/>
              <w:rPr>
                <w:rFonts w:ascii="Century Schoolbook" w:hAnsi="Century Schoolbook"/>
                <w:sz w:val="28"/>
                <w:szCs w:val="28"/>
              </w:rPr>
            </w:pPr>
          </w:p>
          <w:p w14:paraId="53237205" w14:textId="3893C6F2" w:rsidR="006A015E" w:rsidRPr="00D318F9" w:rsidRDefault="001F3038" w:rsidP="001F3038">
            <w:pPr>
              <w:spacing w:line="240" w:lineRule="auto"/>
              <w:ind w:right="86"/>
              <w:jc w:val="both"/>
              <w:rPr>
                <w:rFonts w:ascii="Century Schoolbook" w:hAnsi="Century Schoolbook"/>
                <w:bCs/>
                <w:caps/>
                <w:sz w:val="28"/>
                <w:szCs w:val="28"/>
              </w:rPr>
            </w:pPr>
            <w:r w:rsidRPr="00D318F9">
              <w:rPr>
                <w:rFonts w:ascii="Century Schoolbook" w:hAnsi="Century Schoolbook"/>
                <w:bCs/>
                <w:caps/>
                <w:sz w:val="28"/>
                <w:szCs w:val="28"/>
              </w:rPr>
              <w:t>Petition to Amend Various Rules of Procedure Related to the Peremptory Change of Judge</w:t>
            </w:r>
          </w:p>
        </w:tc>
        <w:tc>
          <w:tcPr>
            <w:tcW w:w="4842" w:type="dxa"/>
            <w:tcBorders>
              <w:top w:val="nil"/>
              <w:bottom w:val="nil"/>
            </w:tcBorders>
            <w:shd w:val="clear" w:color="auto" w:fill="auto"/>
          </w:tcPr>
          <w:p w14:paraId="11D9FB6B" w14:textId="69B82224" w:rsidR="00515C65" w:rsidRPr="00D318F9" w:rsidRDefault="00B30BF9" w:rsidP="009D6CAB">
            <w:pPr>
              <w:pStyle w:val="SingleSpacing"/>
              <w:spacing w:line="240" w:lineRule="auto"/>
              <w:ind w:left="180"/>
              <w:rPr>
                <w:rFonts w:ascii="Century Schoolbook" w:hAnsi="Century Schoolbook"/>
                <w:sz w:val="28"/>
                <w:szCs w:val="28"/>
              </w:rPr>
            </w:pPr>
            <w:bookmarkStart w:id="1" w:name="CaseNumber"/>
            <w:bookmarkEnd w:id="1"/>
            <w:r w:rsidRPr="00D318F9">
              <w:rPr>
                <w:rFonts w:ascii="Century Schoolbook" w:hAnsi="Century Schoolbook"/>
                <w:sz w:val="28"/>
                <w:szCs w:val="28"/>
              </w:rPr>
              <w:t>Supreme Court No. R-</w:t>
            </w:r>
            <w:r w:rsidR="001F3038" w:rsidRPr="00D318F9">
              <w:rPr>
                <w:rFonts w:ascii="Century Schoolbook" w:hAnsi="Century Schoolbook"/>
                <w:sz w:val="28"/>
                <w:szCs w:val="28"/>
              </w:rPr>
              <w:t>21-0006</w:t>
            </w:r>
          </w:p>
          <w:p w14:paraId="728EE3ED" w14:textId="77777777" w:rsidR="00515C65" w:rsidRPr="00D318F9" w:rsidRDefault="00515C65" w:rsidP="009D6CAB">
            <w:pPr>
              <w:spacing w:line="240" w:lineRule="auto"/>
              <w:ind w:left="187"/>
              <w:rPr>
                <w:rFonts w:ascii="Century Schoolbook" w:hAnsi="Century Schoolbook"/>
                <w:b/>
                <w:sz w:val="28"/>
                <w:szCs w:val="28"/>
              </w:rPr>
            </w:pPr>
          </w:p>
          <w:p w14:paraId="6ECAF3CE" w14:textId="3ECCD261" w:rsidR="008A3442" w:rsidRPr="00D318F9" w:rsidRDefault="006A015E" w:rsidP="009D6CAB">
            <w:pPr>
              <w:spacing w:line="240" w:lineRule="auto"/>
              <w:ind w:left="187"/>
              <w:rPr>
                <w:rFonts w:ascii="Century Schoolbook" w:hAnsi="Century Schoolbook"/>
                <w:sz w:val="28"/>
                <w:szCs w:val="28"/>
              </w:rPr>
            </w:pPr>
            <w:r w:rsidRPr="00D318F9">
              <w:rPr>
                <w:rFonts w:ascii="Century Schoolbook" w:hAnsi="Century Schoolbook"/>
                <w:b/>
                <w:sz w:val="28"/>
                <w:szCs w:val="28"/>
              </w:rPr>
              <w:t xml:space="preserve">COMMENT </w:t>
            </w:r>
            <w:r w:rsidR="00E35548" w:rsidRPr="00D318F9">
              <w:rPr>
                <w:rFonts w:ascii="Century Schoolbook" w:hAnsi="Century Schoolbook"/>
                <w:b/>
                <w:sz w:val="28"/>
                <w:szCs w:val="28"/>
              </w:rPr>
              <w:t xml:space="preserve">RE: </w:t>
            </w:r>
            <w:r w:rsidR="007163F3" w:rsidRPr="00D318F9">
              <w:rPr>
                <w:rFonts w:ascii="Century Schoolbook" w:hAnsi="Century Schoolbook"/>
                <w:b/>
                <w:sz w:val="28"/>
                <w:szCs w:val="28"/>
              </w:rPr>
              <w:t>PROPOSED RULE CHANGES</w:t>
            </w:r>
          </w:p>
        </w:tc>
      </w:tr>
    </w:tbl>
    <w:p w14:paraId="5D36047C" w14:textId="77C2CD86" w:rsidR="009124E2" w:rsidRPr="00D318F9" w:rsidRDefault="009124E2" w:rsidP="00D318F9">
      <w:pPr>
        <w:spacing w:before="240" w:line="480" w:lineRule="exact"/>
        <w:jc w:val="both"/>
        <w:rPr>
          <w:rFonts w:ascii="Century Schoolbook" w:hAnsi="Century Schoolbook"/>
          <w:sz w:val="28"/>
          <w:szCs w:val="28"/>
        </w:rPr>
      </w:pPr>
      <w:r w:rsidRPr="00D318F9">
        <w:rPr>
          <w:rFonts w:ascii="Century Schoolbook" w:hAnsi="Century Schoolbook"/>
          <w:sz w:val="28"/>
          <w:szCs w:val="28"/>
        </w:rPr>
        <w:tab/>
        <w:t>Pursuant to Rule 28</w:t>
      </w:r>
      <w:r w:rsidR="00240B55" w:rsidRPr="00D318F9">
        <w:rPr>
          <w:rFonts w:ascii="Century Schoolbook" w:hAnsi="Century Schoolbook"/>
          <w:sz w:val="28"/>
          <w:szCs w:val="28"/>
        </w:rPr>
        <w:t>(e)</w:t>
      </w:r>
      <w:r w:rsidRPr="00D318F9">
        <w:rPr>
          <w:rFonts w:ascii="Century Schoolbook" w:hAnsi="Century Schoolbook"/>
          <w:sz w:val="28"/>
          <w:szCs w:val="28"/>
        </w:rPr>
        <w:t>, Rules of the Supr</w:t>
      </w:r>
      <w:r w:rsidR="00240B55" w:rsidRPr="00D318F9">
        <w:rPr>
          <w:rFonts w:ascii="Century Schoolbook" w:hAnsi="Century Schoolbook"/>
          <w:sz w:val="28"/>
          <w:szCs w:val="28"/>
        </w:rPr>
        <w:t>e</w:t>
      </w:r>
      <w:r w:rsidRPr="00D318F9">
        <w:rPr>
          <w:rFonts w:ascii="Century Schoolbook" w:hAnsi="Century Schoolbook"/>
          <w:sz w:val="28"/>
          <w:szCs w:val="28"/>
        </w:rPr>
        <w:t xml:space="preserve">me Court, </w:t>
      </w:r>
      <w:r w:rsidR="00240B55" w:rsidRPr="00D318F9">
        <w:rPr>
          <w:rFonts w:ascii="Century Schoolbook" w:hAnsi="Century Schoolbook"/>
          <w:sz w:val="28"/>
          <w:szCs w:val="28"/>
        </w:rPr>
        <w:t>Greg Sakall, Judge, Division 23 of the Pima County Superior Court,</w:t>
      </w:r>
      <w:r w:rsidR="00240B55" w:rsidRPr="00D318F9">
        <w:rPr>
          <w:rStyle w:val="FootnoteReference"/>
          <w:rFonts w:ascii="Century Schoolbook" w:hAnsi="Century Schoolbook"/>
          <w:sz w:val="28"/>
          <w:szCs w:val="28"/>
        </w:rPr>
        <w:footnoteReference w:id="1"/>
      </w:r>
      <w:r w:rsidR="00240B55" w:rsidRPr="00D318F9">
        <w:rPr>
          <w:rFonts w:ascii="Century Schoolbook" w:hAnsi="Century Schoolbook"/>
          <w:sz w:val="28"/>
          <w:szCs w:val="28"/>
        </w:rPr>
        <w:t xml:space="preserve"> </w:t>
      </w:r>
      <w:r w:rsidR="008F20DA">
        <w:rPr>
          <w:rFonts w:ascii="Century Schoolbook" w:hAnsi="Century Schoolbook"/>
          <w:sz w:val="28"/>
          <w:szCs w:val="28"/>
        </w:rPr>
        <w:t xml:space="preserve">along with </w:t>
      </w:r>
      <w:r w:rsidR="008F20DA">
        <w:rPr>
          <w:rFonts w:ascii="Century Schoolbook" w:hAnsi="Century Schoolbook"/>
          <w:sz w:val="28"/>
          <w:szCs w:val="28"/>
        </w:rPr>
        <w:lastRenderedPageBreak/>
        <w:t>Andrew Jacobs, the Hon. Kenneth Lee, and the Hon. Richard Gordon</w:t>
      </w:r>
      <w:r w:rsidR="00E7453A" w:rsidRPr="00D318F9">
        <w:rPr>
          <w:rFonts w:ascii="Century Schoolbook" w:hAnsi="Century Schoolbook"/>
          <w:sz w:val="28"/>
          <w:szCs w:val="28"/>
        </w:rPr>
        <w:t xml:space="preserve"> (collectively, “Commenters”) </w:t>
      </w:r>
      <w:r w:rsidR="00240B55" w:rsidRPr="00D318F9">
        <w:rPr>
          <w:rFonts w:ascii="Century Schoolbook" w:hAnsi="Century Schoolbook"/>
          <w:sz w:val="28"/>
          <w:szCs w:val="28"/>
        </w:rPr>
        <w:t xml:space="preserve">respectfully submit this Comment </w:t>
      </w:r>
      <w:r w:rsidR="00B9454F">
        <w:rPr>
          <w:rFonts w:ascii="Century Schoolbook" w:hAnsi="Century Schoolbook"/>
          <w:sz w:val="28"/>
          <w:szCs w:val="28"/>
        </w:rPr>
        <w:t>recommending against adopting</w:t>
      </w:r>
      <w:r w:rsidR="00B9454F" w:rsidRPr="00D318F9">
        <w:rPr>
          <w:rFonts w:ascii="Century Schoolbook" w:hAnsi="Century Schoolbook"/>
          <w:sz w:val="28"/>
          <w:szCs w:val="28"/>
        </w:rPr>
        <w:t xml:space="preserve"> </w:t>
      </w:r>
      <w:r w:rsidR="00240B55" w:rsidRPr="00D318F9">
        <w:rPr>
          <w:rFonts w:ascii="Century Schoolbook" w:hAnsi="Century Schoolbook"/>
          <w:sz w:val="28"/>
          <w:szCs w:val="28"/>
        </w:rPr>
        <w:t xml:space="preserve">the proposed changes </w:t>
      </w:r>
      <w:r w:rsidR="00E7453A">
        <w:rPr>
          <w:rFonts w:ascii="Century Schoolbook" w:hAnsi="Century Schoolbook"/>
          <w:sz w:val="28"/>
          <w:szCs w:val="28"/>
        </w:rPr>
        <w:t>to the rules governing the practice for</w:t>
      </w:r>
      <w:r w:rsidR="00240B55" w:rsidRPr="00D318F9">
        <w:rPr>
          <w:rFonts w:ascii="Century Schoolbook" w:hAnsi="Century Schoolbook"/>
          <w:sz w:val="28"/>
          <w:szCs w:val="28"/>
        </w:rPr>
        <w:t xml:space="preserve"> the peremptory change of judge</w:t>
      </w:r>
      <w:r w:rsidR="00B9454F">
        <w:rPr>
          <w:rFonts w:ascii="Century Schoolbook" w:hAnsi="Century Schoolbook"/>
          <w:sz w:val="28"/>
          <w:szCs w:val="28"/>
        </w:rPr>
        <w:t xml:space="preserve"> in Petition 21-0006 (“the Petition”).</w:t>
      </w:r>
    </w:p>
    <w:p w14:paraId="5269E233" w14:textId="37B5F2A2" w:rsidR="00262D03" w:rsidRDefault="00240B55" w:rsidP="00E7453A">
      <w:pPr>
        <w:spacing w:line="480" w:lineRule="exact"/>
        <w:jc w:val="both"/>
        <w:rPr>
          <w:rFonts w:ascii="Century Schoolbook" w:hAnsi="Century Schoolbook"/>
          <w:sz w:val="28"/>
          <w:szCs w:val="28"/>
        </w:rPr>
      </w:pPr>
      <w:r w:rsidRPr="00D318F9">
        <w:rPr>
          <w:rFonts w:ascii="Century Schoolbook" w:hAnsi="Century Schoolbook"/>
          <w:sz w:val="28"/>
          <w:szCs w:val="28"/>
        </w:rPr>
        <w:tab/>
      </w:r>
      <w:r w:rsidR="00262D03">
        <w:rPr>
          <w:rFonts w:ascii="Century Schoolbook" w:hAnsi="Century Schoolbook"/>
          <w:sz w:val="28"/>
          <w:szCs w:val="28"/>
        </w:rPr>
        <w:t>The</w:t>
      </w:r>
      <w:r w:rsidR="004C0815">
        <w:rPr>
          <w:rFonts w:ascii="Century Schoolbook" w:hAnsi="Century Schoolbook"/>
          <w:sz w:val="28"/>
          <w:szCs w:val="28"/>
        </w:rPr>
        <w:t xml:space="preserve"> Petition may or may not be right as a matter of policy</w:t>
      </w:r>
      <w:r w:rsidR="00262D03">
        <w:rPr>
          <w:rFonts w:ascii="Century Schoolbook" w:hAnsi="Century Schoolbook"/>
          <w:sz w:val="28"/>
          <w:szCs w:val="28"/>
        </w:rPr>
        <w:t>.  T</w:t>
      </w:r>
      <w:r w:rsidR="004C0815">
        <w:rPr>
          <w:rFonts w:ascii="Century Schoolbook" w:hAnsi="Century Schoolbook"/>
          <w:sz w:val="28"/>
          <w:szCs w:val="28"/>
        </w:rPr>
        <w:t>he Petition and comments about it demonstrate that reasonable people can and do differ about whether litigants should have a right to change of judge</w:t>
      </w:r>
      <w:r w:rsidR="00262D03">
        <w:rPr>
          <w:rFonts w:ascii="Century Schoolbook" w:hAnsi="Century Schoolbook"/>
          <w:sz w:val="28"/>
          <w:szCs w:val="28"/>
        </w:rPr>
        <w:t xml:space="preserve">.  But </w:t>
      </w:r>
      <w:r w:rsidR="004C0815">
        <w:rPr>
          <w:rFonts w:ascii="Century Schoolbook" w:hAnsi="Century Schoolbook"/>
          <w:sz w:val="28"/>
          <w:szCs w:val="28"/>
        </w:rPr>
        <w:t xml:space="preserve">the point of this </w:t>
      </w:r>
      <w:r w:rsidR="0034646D">
        <w:rPr>
          <w:rFonts w:ascii="Century Schoolbook" w:hAnsi="Century Schoolbook"/>
          <w:sz w:val="28"/>
          <w:szCs w:val="28"/>
        </w:rPr>
        <w:t>C</w:t>
      </w:r>
      <w:r w:rsidR="004C0815">
        <w:rPr>
          <w:rFonts w:ascii="Century Schoolbook" w:hAnsi="Century Schoolbook"/>
          <w:sz w:val="28"/>
          <w:szCs w:val="28"/>
        </w:rPr>
        <w:t>omment differs greatly from the Petition and comments upon it the Commenters have seen.  The Petition devotes the entirety of its arguments for repeal of all change of judge rules to arguments that litiga</w:t>
      </w:r>
      <w:r w:rsidR="0034646D">
        <w:rPr>
          <w:rFonts w:ascii="Century Schoolbook" w:hAnsi="Century Schoolbook"/>
          <w:sz w:val="28"/>
          <w:szCs w:val="28"/>
        </w:rPr>
        <w:t>nts</w:t>
      </w:r>
      <w:r w:rsidR="004C0815">
        <w:rPr>
          <w:rFonts w:ascii="Century Schoolbook" w:hAnsi="Century Schoolbook"/>
          <w:sz w:val="28"/>
          <w:szCs w:val="28"/>
        </w:rPr>
        <w:t xml:space="preserve"> simply should not have the right to change of judge, for a variety of policy reasons.</w:t>
      </w:r>
      <w:r w:rsidR="00262D03">
        <w:rPr>
          <w:rFonts w:ascii="Century Schoolbook" w:hAnsi="Century Schoolbook"/>
          <w:sz w:val="28"/>
          <w:szCs w:val="28"/>
        </w:rPr>
        <w:t xml:space="preserve">  </w:t>
      </w:r>
      <w:r w:rsidR="00262D03" w:rsidRPr="00D318F9">
        <w:rPr>
          <w:rFonts w:ascii="Century Schoolbook" w:hAnsi="Century Schoolbook"/>
          <w:i/>
          <w:iCs/>
          <w:sz w:val="28"/>
          <w:szCs w:val="28"/>
        </w:rPr>
        <w:t>See</w:t>
      </w:r>
      <w:r w:rsidR="00262D03">
        <w:rPr>
          <w:rFonts w:ascii="Century Schoolbook" w:hAnsi="Century Schoolbook"/>
          <w:sz w:val="28"/>
          <w:szCs w:val="28"/>
        </w:rPr>
        <w:t xml:space="preserve"> Petition, at 2-6.  Likewise, comments against the Petition are generally devoted to policy arguments for litigants having the right to change of judge.  </w:t>
      </w:r>
      <w:r w:rsidR="00262D03" w:rsidRPr="00D318F9">
        <w:rPr>
          <w:rFonts w:ascii="Century Schoolbook" w:hAnsi="Century Schoolbook"/>
          <w:i/>
          <w:iCs/>
          <w:sz w:val="28"/>
          <w:szCs w:val="28"/>
        </w:rPr>
        <w:t>See generally</w:t>
      </w:r>
      <w:r w:rsidR="00262D03">
        <w:rPr>
          <w:rFonts w:ascii="Century Schoolbook" w:hAnsi="Century Schoolbook"/>
          <w:sz w:val="28"/>
          <w:szCs w:val="28"/>
        </w:rPr>
        <w:t xml:space="preserve"> Comment of the Pima County Bar Association (filed February 25, 2021</w:t>
      </w:r>
      <w:proofErr w:type="gramStart"/>
      <w:r w:rsidR="00262D03">
        <w:rPr>
          <w:rFonts w:ascii="Century Schoolbook" w:hAnsi="Century Schoolbook"/>
          <w:sz w:val="28"/>
          <w:szCs w:val="28"/>
        </w:rPr>
        <w:t>);</w:t>
      </w:r>
      <w:proofErr w:type="gramEnd"/>
      <w:r w:rsidR="00262D03">
        <w:rPr>
          <w:rFonts w:ascii="Century Schoolbook" w:hAnsi="Century Schoolbook"/>
          <w:sz w:val="28"/>
          <w:szCs w:val="28"/>
        </w:rPr>
        <w:t xml:space="preserve"> Comment of the Arizona State Bar.  </w:t>
      </w:r>
    </w:p>
    <w:p w14:paraId="6DB67EBB" w14:textId="276E3277" w:rsidR="00B9454F" w:rsidRDefault="0034646D" w:rsidP="00D318F9">
      <w:pPr>
        <w:spacing w:line="480" w:lineRule="exact"/>
        <w:ind w:firstLine="720"/>
        <w:jc w:val="both"/>
        <w:rPr>
          <w:rFonts w:ascii="Century Schoolbook" w:hAnsi="Century Schoolbook"/>
          <w:sz w:val="28"/>
          <w:szCs w:val="28"/>
        </w:rPr>
      </w:pPr>
      <w:r>
        <w:rPr>
          <w:rFonts w:ascii="Century Schoolbook" w:hAnsi="Century Schoolbook"/>
          <w:sz w:val="28"/>
          <w:szCs w:val="28"/>
        </w:rPr>
        <w:t>With</w:t>
      </w:r>
      <w:r w:rsidR="00262D03">
        <w:rPr>
          <w:rFonts w:ascii="Century Schoolbook" w:hAnsi="Century Schoolbook"/>
          <w:sz w:val="28"/>
          <w:szCs w:val="28"/>
        </w:rPr>
        <w:t xml:space="preserve"> </w:t>
      </w:r>
      <w:r w:rsidR="00B9454F">
        <w:rPr>
          <w:rFonts w:ascii="Century Schoolbook" w:hAnsi="Century Schoolbook"/>
          <w:sz w:val="28"/>
          <w:szCs w:val="28"/>
        </w:rPr>
        <w:t>great</w:t>
      </w:r>
      <w:r w:rsidR="00262D03">
        <w:rPr>
          <w:rFonts w:ascii="Century Schoolbook" w:hAnsi="Century Schoolbook"/>
          <w:sz w:val="28"/>
          <w:szCs w:val="28"/>
        </w:rPr>
        <w:t xml:space="preserve"> respect to the </w:t>
      </w:r>
      <w:r w:rsidR="00B9454F">
        <w:rPr>
          <w:rFonts w:ascii="Century Schoolbook" w:hAnsi="Century Schoolbook"/>
          <w:sz w:val="28"/>
          <w:szCs w:val="28"/>
        </w:rPr>
        <w:t xml:space="preserve">thoughtful </w:t>
      </w:r>
      <w:r w:rsidR="00262D03">
        <w:rPr>
          <w:rFonts w:ascii="Century Schoolbook" w:hAnsi="Century Schoolbook"/>
          <w:sz w:val="28"/>
          <w:szCs w:val="28"/>
        </w:rPr>
        <w:t xml:space="preserve">judges and lawyers on both sides of this </w:t>
      </w:r>
      <w:r w:rsidR="00B9454F">
        <w:rPr>
          <w:rFonts w:ascii="Century Schoolbook" w:hAnsi="Century Schoolbook"/>
          <w:sz w:val="28"/>
          <w:szCs w:val="28"/>
        </w:rPr>
        <w:t xml:space="preserve">policy </w:t>
      </w:r>
      <w:r w:rsidR="00262D03">
        <w:rPr>
          <w:rFonts w:ascii="Century Schoolbook" w:hAnsi="Century Schoolbook"/>
          <w:sz w:val="28"/>
          <w:szCs w:val="28"/>
        </w:rPr>
        <w:t xml:space="preserve">dispute, the Commenters write to suggest that the policy questions both sides have focused on are not relevant.  </w:t>
      </w:r>
      <w:r w:rsidR="00B9454F">
        <w:rPr>
          <w:rFonts w:ascii="Century Schoolbook" w:hAnsi="Century Schoolbook"/>
          <w:sz w:val="28"/>
          <w:szCs w:val="28"/>
        </w:rPr>
        <w:t xml:space="preserve">The </w:t>
      </w:r>
      <w:r w:rsidR="00262D03">
        <w:rPr>
          <w:rFonts w:ascii="Century Schoolbook" w:hAnsi="Century Schoolbook"/>
          <w:sz w:val="28"/>
          <w:szCs w:val="28"/>
        </w:rPr>
        <w:t>Supreme Court does not have the discretion to eliminate the right to change of judge outside of criminal matters, as the Petition mistakenly suggests it may do</w:t>
      </w:r>
      <w:r w:rsidR="00B9454F">
        <w:rPr>
          <w:rFonts w:ascii="Century Schoolbook" w:hAnsi="Century Schoolbook"/>
          <w:sz w:val="28"/>
          <w:szCs w:val="28"/>
        </w:rPr>
        <w:t>.</w:t>
      </w:r>
      <w:r w:rsidR="004C0815">
        <w:rPr>
          <w:rFonts w:ascii="Century Schoolbook" w:hAnsi="Century Schoolbook"/>
          <w:sz w:val="28"/>
          <w:szCs w:val="28"/>
        </w:rPr>
        <w:t xml:space="preserve">  </w:t>
      </w:r>
      <w:r w:rsidR="005D0EC8" w:rsidRPr="00D318F9">
        <w:rPr>
          <w:rFonts w:ascii="Century Schoolbook" w:hAnsi="Century Schoolbook"/>
          <w:sz w:val="28"/>
          <w:szCs w:val="28"/>
        </w:rPr>
        <w:t>In non-criminal matters in the Superior Court, th</w:t>
      </w:r>
      <w:r w:rsidR="005D0DE8" w:rsidRPr="00D318F9">
        <w:rPr>
          <w:rFonts w:ascii="Century Schoolbook" w:hAnsi="Century Schoolbook"/>
          <w:sz w:val="28"/>
          <w:szCs w:val="28"/>
        </w:rPr>
        <w:t>e</w:t>
      </w:r>
      <w:r w:rsidR="005D0EC8" w:rsidRPr="00D318F9">
        <w:rPr>
          <w:rFonts w:ascii="Century Schoolbook" w:hAnsi="Century Schoolbook"/>
          <w:sz w:val="28"/>
          <w:szCs w:val="28"/>
        </w:rPr>
        <w:t xml:space="preserve"> substantial substantive right to a peremptory change of judge has existed </w:t>
      </w:r>
      <w:r w:rsidR="00B9454F">
        <w:rPr>
          <w:rFonts w:ascii="Century Schoolbook" w:hAnsi="Century Schoolbook"/>
          <w:sz w:val="28"/>
          <w:szCs w:val="28"/>
        </w:rPr>
        <w:t>within the</w:t>
      </w:r>
      <w:r w:rsidR="005D0EC8" w:rsidRPr="00D318F9">
        <w:rPr>
          <w:rFonts w:ascii="Century Schoolbook" w:hAnsi="Century Schoolbook"/>
          <w:sz w:val="28"/>
          <w:szCs w:val="28"/>
        </w:rPr>
        <w:t xml:space="preserve"> common law since </w:t>
      </w:r>
      <w:r w:rsidR="00B9454F">
        <w:rPr>
          <w:rFonts w:ascii="Century Schoolbook" w:hAnsi="Century Schoolbook"/>
          <w:sz w:val="28"/>
          <w:szCs w:val="28"/>
        </w:rPr>
        <w:t>Arizona’s</w:t>
      </w:r>
      <w:r w:rsidR="005D0EC8" w:rsidRPr="00D318F9">
        <w:rPr>
          <w:rFonts w:ascii="Century Schoolbook" w:hAnsi="Century Schoolbook"/>
          <w:sz w:val="28"/>
          <w:szCs w:val="28"/>
        </w:rPr>
        <w:t xml:space="preserve"> days as a </w:t>
      </w:r>
      <w:r w:rsidR="00F15E27" w:rsidRPr="00D318F9">
        <w:rPr>
          <w:rFonts w:ascii="Century Schoolbook" w:hAnsi="Century Schoolbook"/>
          <w:sz w:val="28"/>
          <w:szCs w:val="28"/>
        </w:rPr>
        <w:t>T</w:t>
      </w:r>
      <w:r w:rsidR="005D0EC8" w:rsidRPr="00D318F9">
        <w:rPr>
          <w:rFonts w:ascii="Century Schoolbook" w:hAnsi="Century Schoolbook"/>
          <w:sz w:val="28"/>
          <w:szCs w:val="28"/>
        </w:rPr>
        <w:t xml:space="preserve">erritory, and the Legislature </w:t>
      </w:r>
      <w:r w:rsidR="00B9454F">
        <w:rPr>
          <w:rFonts w:ascii="Century Schoolbook" w:hAnsi="Century Schoolbook"/>
          <w:sz w:val="28"/>
          <w:szCs w:val="28"/>
        </w:rPr>
        <w:t>codified</w:t>
      </w:r>
      <w:r w:rsidR="005D0EC8" w:rsidRPr="00D318F9">
        <w:rPr>
          <w:rFonts w:ascii="Century Schoolbook" w:hAnsi="Century Schoolbook"/>
          <w:sz w:val="28"/>
          <w:szCs w:val="28"/>
        </w:rPr>
        <w:t xml:space="preserve"> th</w:t>
      </w:r>
      <w:r w:rsidR="00262D03">
        <w:rPr>
          <w:rFonts w:ascii="Century Schoolbook" w:hAnsi="Century Schoolbook"/>
          <w:sz w:val="28"/>
          <w:szCs w:val="28"/>
        </w:rPr>
        <w:t>at</w:t>
      </w:r>
      <w:r w:rsidR="005D0EC8" w:rsidRPr="00D318F9">
        <w:rPr>
          <w:rFonts w:ascii="Century Schoolbook" w:hAnsi="Century Schoolbook"/>
          <w:sz w:val="28"/>
          <w:szCs w:val="28"/>
        </w:rPr>
        <w:t xml:space="preserve"> common law in A.R.S. §</w:t>
      </w:r>
      <w:r w:rsidR="00262D03">
        <w:rPr>
          <w:rFonts w:ascii="Century Schoolbook" w:hAnsi="Century Schoolbook"/>
          <w:sz w:val="28"/>
          <w:szCs w:val="28"/>
        </w:rPr>
        <w:t xml:space="preserve"> </w:t>
      </w:r>
      <w:r w:rsidR="005D0EC8" w:rsidRPr="00D318F9">
        <w:rPr>
          <w:rFonts w:ascii="Century Schoolbook" w:hAnsi="Century Schoolbook"/>
          <w:sz w:val="28"/>
          <w:szCs w:val="28"/>
        </w:rPr>
        <w:t xml:space="preserve">12-409.  Thus, contrary </w:t>
      </w:r>
      <w:r w:rsidR="005D0EC8" w:rsidRPr="00D318F9">
        <w:rPr>
          <w:rFonts w:ascii="Century Schoolbook" w:hAnsi="Century Schoolbook"/>
          <w:sz w:val="28"/>
          <w:szCs w:val="28"/>
        </w:rPr>
        <w:lastRenderedPageBreak/>
        <w:t xml:space="preserve">to the first sentence in the Petition’s argument section—“The peremptory change of judge rules confer an absolute right on parties to remove a trial judge without cause” (Petition, </w:t>
      </w:r>
      <w:r w:rsidR="00B9454F">
        <w:rPr>
          <w:rFonts w:ascii="Century Schoolbook" w:hAnsi="Century Schoolbook"/>
          <w:sz w:val="28"/>
          <w:szCs w:val="28"/>
        </w:rPr>
        <w:t>at</w:t>
      </w:r>
      <w:r w:rsidR="005D0EC8" w:rsidRPr="00D318F9">
        <w:rPr>
          <w:rFonts w:ascii="Century Schoolbook" w:hAnsi="Century Schoolbook"/>
          <w:sz w:val="28"/>
          <w:szCs w:val="28"/>
        </w:rPr>
        <w:t xml:space="preserve"> 2), the party’s right in non-criminal matters in the Superior Court is based upon common law and statute, and cannot be abrogated by </w:t>
      </w:r>
      <w:r>
        <w:rPr>
          <w:rFonts w:ascii="Century Schoolbook" w:hAnsi="Century Schoolbook"/>
          <w:sz w:val="28"/>
          <w:szCs w:val="28"/>
        </w:rPr>
        <w:t xml:space="preserve">simply </w:t>
      </w:r>
      <w:r w:rsidR="00B9454F">
        <w:rPr>
          <w:rFonts w:ascii="Century Schoolbook" w:hAnsi="Century Schoolbook"/>
          <w:sz w:val="28"/>
          <w:szCs w:val="28"/>
        </w:rPr>
        <w:t>eliminating the rules that presently govern the practice</w:t>
      </w:r>
      <w:r w:rsidR="005D0EC8" w:rsidRPr="00D318F9">
        <w:rPr>
          <w:rFonts w:ascii="Century Schoolbook" w:hAnsi="Century Schoolbook"/>
          <w:sz w:val="28"/>
          <w:szCs w:val="28"/>
        </w:rPr>
        <w:t>.</w:t>
      </w:r>
      <w:r w:rsidR="00262D03">
        <w:rPr>
          <w:rFonts w:ascii="Century Schoolbook" w:hAnsi="Century Schoolbook"/>
          <w:sz w:val="28"/>
          <w:szCs w:val="28"/>
        </w:rPr>
        <w:t xml:space="preserve"> </w:t>
      </w:r>
    </w:p>
    <w:p w14:paraId="5F021EB7" w14:textId="566DCD7C" w:rsidR="008F20DA" w:rsidRPr="00D318F9" w:rsidRDefault="00B9454F" w:rsidP="00C674AA">
      <w:pPr>
        <w:spacing w:line="480" w:lineRule="exact"/>
        <w:ind w:firstLine="720"/>
        <w:jc w:val="both"/>
        <w:rPr>
          <w:rFonts w:ascii="Century Schoolbook" w:hAnsi="Century Schoolbook"/>
          <w:sz w:val="28"/>
          <w:szCs w:val="28"/>
        </w:rPr>
      </w:pPr>
      <w:r>
        <w:rPr>
          <w:rFonts w:ascii="Century Schoolbook" w:hAnsi="Century Schoolbook"/>
          <w:sz w:val="28"/>
          <w:szCs w:val="28"/>
        </w:rPr>
        <w:t>Thus, granting the Petition would not advance the Petition’s goal of eliminating all change of judge practice in Arizona, and it would defeat the Petition’s stated purpose of improving public confidence in the courts and in the law.  For even i</w:t>
      </w:r>
      <w:r w:rsidR="005D0EC8" w:rsidRPr="00D318F9">
        <w:rPr>
          <w:rFonts w:ascii="Century Schoolbook" w:hAnsi="Century Schoolbook"/>
          <w:sz w:val="28"/>
          <w:szCs w:val="28"/>
        </w:rPr>
        <w:t xml:space="preserve">f the Court were to grant the Petition, </w:t>
      </w:r>
      <w:r w:rsidRPr="00E56B2B">
        <w:rPr>
          <w:rFonts w:ascii="Century Schoolbook" w:hAnsi="Century Schoolbook"/>
          <w:sz w:val="28"/>
          <w:szCs w:val="28"/>
        </w:rPr>
        <w:t xml:space="preserve">the Superior Court in non-criminal matters would </w:t>
      </w:r>
      <w:r>
        <w:rPr>
          <w:rFonts w:ascii="Century Schoolbook" w:hAnsi="Century Schoolbook"/>
          <w:sz w:val="28"/>
          <w:szCs w:val="28"/>
        </w:rPr>
        <w:t xml:space="preserve">still </w:t>
      </w:r>
      <w:r w:rsidRPr="00E56B2B">
        <w:rPr>
          <w:rFonts w:ascii="Century Schoolbook" w:hAnsi="Century Schoolbook"/>
          <w:sz w:val="28"/>
          <w:szCs w:val="28"/>
        </w:rPr>
        <w:t>have to enforce A.R.S. §</w:t>
      </w:r>
      <w:r>
        <w:rPr>
          <w:rFonts w:ascii="Century Schoolbook" w:hAnsi="Century Schoolbook"/>
          <w:sz w:val="28"/>
          <w:szCs w:val="28"/>
        </w:rPr>
        <w:t xml:space="preserve"> </w:t>
      </w:r>
      <w:r w:rsidRPr="00E56B2B">
        <w:rPr>
          <w:rFonts w:ascii="Century Schoolbook" w:hAnsi="Century Schoolbook"/>
          <w:sz w:val="28"/>
          <w:szCs w:val="28"/>
        </w:rPr>
        <w:t xml:space="preserve">12-409, as well as the pre-1972 </w:t>
      </w:r>
      <w:r>
        <w:rPr>
          <w:rFonts w:ascii="Century Schoolbook" w:hAnsi="Century Schoolbook"/>
          <w:sz w:val="28"/>
          <w:szCs w:val="28"/>
        </w:rPr>
        <w:t xml:space="preserve">Supreme Court </w:t>
      </w:r>
      <w:r w:rsidRPr="00E56B2B">
        <w:rPr>
          <w:rFonts w:ascii="Century Schoolbook" w:hAnsi="Century Schoolbook"/>
          <w:sz w:val="28"/>
          <w:szCs w:val="28"/>
        </w:rPr>
        <w:t>caselaw interpreting that statute</w:t>
      </w:r>
      <w:r>
        <w:rPr>
          <w:rFonts w:ascii="Century Schoolbook" w:hAnsi="Century Schoolbook"/>
          <w:sz w:val="28"/>
          <w:szCs w:val="28"/>
        </w:rPr>
        <w:t>.  All that granting the Petition would accomplish would be t</w:t>
      </w:r>
      <w:r w:rsidR="005D0EC8" w:rsidRPr="00D318F9">
        <w:rPr>
          <w:rFonts w:ascii="Century Schoolbook" w:hAnsi="Century Schoolbook"/>
          <w:sz w:val="28"/>
          <w:szCs w:val="28"/>
        </w:rPr>
        <w:t xml:space="preserve">he Court </w:t>
      </w:r>
      <w:r>
        <w:rPr>
          <w:rFonts w:ascii="Century Schoolbook" w:hAnsi="Century Schoolbook"/>
          <w:sz w:val="28"/>
          <w:szCs w:val="28"/>
        </w:rPr>
        <w:t>ceding</w:t>
      </w:r>
      <w:r w:rsidR="005D0EC8" w:rsidRPr="00D318F9">
        <w:rPr>
          <w:rFonts w:ascii="Century Schoolbook" w:hAnsi="Century Schoolbook"/>
          <w:sz w:val="28"/>
          <w:szCs w:val="28"/>
        </w:rPr>
        <w:t xml:space="preserve"> its constitutional right to </w:t>
      </w:r>
      <w:r w:rsidR="00537E8D" w:rsidRPr="00D318F9">
        <w:rPr>
          <w:rFonts w:ascii="Century Schoolbook" w:hAnsi="Century Schoolbook"/>
          <w:sz w:val="28"/>
          <w:szCs w:val="28"/>
        </w:rPr>
        <w:t>adopt rules of procedure in this area</w:t>
      </w:r>
      <w:r>
        <w:rPr>
          <w:rFonts w:ascii="Century Schoolbook" w:hAnsi="Century Schoolbook"/>
          <w:sz w:val="28"/>
          <w:szCs w:val="28"/>
        </w:rPr>
        <w:t xml:space="preserve">.  The result </w:t>
      </w:r>
      <w:r w:rsidR="00537E8D" w:rsidRPr="00D318F9">
        <w:rPr>
          <w:rFonts w:ascii="Century Schoolbook" w:hAnsi="Century Schoolbook"/>
          <w:sz w:val="28"/>
          <w:szCs w:val="28"/>
        </w:rPr>
        <w:t xml:space="preserve">would be </w:t>
      </w:r>
      <w:r>
        <w:rPr>
          <w:rFonts w:ascii="Century Schoolbook" w:hAnsi="Century Schoolbook"/>
          <w:sz w:val="28"/>
          <w:szCs w:val="28"/>
        </w:rPr>
        <w:t xml:space="preserve">a host of problems.  Pragmatically, there would be </w:t>
      </w:r>
      <w:r w:rsidR="00537E8D" w:rsidRPr="00D318F9">
        <w:rPr>
          <w:rFonts w:ascii="Century Schoolbook" w:hAnsi="Century Schoolbook"/>
          <w:sz w:val="28"/>
          <w:szCs w:val="28"/>
        </w:rPr>
        <w:t xml:space="preserve">more administrative inconvenience, more delay, </w:t>
      </w:r>
      <w:r>
        <w:rPr>
          <w:rFonts w:ascii="Century Schoolbook" w:hAnsi="Century Schoolbook"/>
          <w:sz w:val="28"/>
          <w:szCs w:val="28"/>
        </w:rPr>
        <w:t xml:space="preserve">and </w:t>
      </w:r>
      <w:r w:rsidR="00537E8D" w:rsidRPr="00D318F9">
        <w:rPr>
          <w:rFonts w:ascii="Century Schoolbook" w:hAnsi="Century Schoolbook"/>
          <w:sz w:val="28"/>
          <w:szCs w:val="28"/>
        </w:rPr>
        <w:t>increased costs</w:t>
      </w:r>
      <w:r>
        <w:rPr>
          <w:rFonts w:ascii="Century Schoolbook" w:hAnsi="Century Schoolbook"/>
          <w:sz w:val="28"/>
          <w:szCs w:val="28"/>
        </w:rPr>
        <w:t>.  But there would also be a return to a more openly accusatory and critical practice of change of judge, creating bad feeling and friction wisely avoided by the enactment of Ariz. R. Civ. P. 42</w:t>
      </w:r>
      <w:r w:rsidR="008F20DA">
        <w:rPr>
          <w:rFonts w:ascii="Century Schoolbook" w:hAnsi="Century Schoolbook"/>
          <w:sz w:val="28"/>
          <w:szCs w:val="28"/>
        </w:rPr>
        <w:t xml:space="preserve"> (now 42.1)</w:t>
      </w:r>
      <w:r>
        <w:rPr>
          <w:rFonts w:ascii="Century Schoolbook" w:hAnsi="Century Schoolbook"/>
          <w:sz w:val="28"/>
          <w:szCs w:val="28"/>
        </w:rPr>
        <w:t xml:space="preserve"> in 1972.  And there would be </w:t>
      </w:r>
      <w:r w:rsidR="00537E8D" w:rsidRPr="00D318F9">
        <w:rPr>
          <w:rFonts w:ascii="Century Schoolbook" w:hAnsi="Century Schoolbook"/>
          <w:sz w:val="28"/>
          <w:szCs w:val="28"/>
        </w:rPr>
        <w:t>less public trust and confidence in the judiciary</w:t>
      </w:r>
      <w:r>
        <w:rPr>
          <w:rFonts w:ascii="Century Schoolbook" w:hAnsi="Century Schoolbook"/>
          <w:sz w:val="28"/>
          <w:szCs w:val="28"/>
        </w:rPr>
        <w:t xml:space="preserve">, flowing from </w:t>
      </w:r>
      <w:proofErr w:type="gramStart"/>
      <w:r>
        <w:rPr>
          <w:rFonts w:ascii="Century Schoolbook" w:hAnsi="Century Schoolbook"/>
          <w:sz w:val="28"/>
          <w:szCs w:val="28"/>
        </w:rPr>
        <w:t>all of</w:t>
      </w:r>
      <w:proofErr w:type="gramEnd"/>
      <w:r>
        <w:rPr>
          <w:rFonts w:ascii="Century Schoolbook" w:hAnsi="Century Schoolbook"/>
          <w:sz w:val="28"/>
          <w:szCs w:val="28"/>
        </w:rPr>
        <w:t xml:space="preserve"> these many problems.</w:t>
      </w:r>
    </w:p>
    <w:p w14:paraId="0C55995F" w14:textId="77777777" w:rsidR="00AB0D5B" w:rsidRDefault="00AB0D5B">
      <w:pPr>
        <w:spacing w:line="240" w:lineRule="auto"/>
        <w:rPr>
          <w:rFonts w:ascii="Century Schoolbook" w:hAnsi="Century Schoolbook"/>
          <w:b/>
          <w:bCs/>
          <w:sz w:val="28"/>
          <w:szCs w:val="28"/>
        </w:rPr>
      </w:pPr>
      <w:r>
        <w:rPr>
          <w:rFonts w:ascii="Century Schoolbook" w:hAnsi="Century Schoolbook"/>
          <w:b/>
          <w:bCs/>
          <w:sz w:val="28"/>
          <w:szCs w:val="28"/>
        </w:rPr>
        <w:br w:type="page"/>
      </w:r>
    </w:p>
    <w:p w14:paraId="0E2574F4" w14:textId="19EF4C7A" w:rsidR="00537E8D" w:rsidRPr="00D318F9" w:rsidRDefault="00537E8D" w:rsidP="00D318F9">
      <w:pPr>
        <w:tabs>
          <w:tab w:val="left" w:pos="9360"/>
        </w:tabs>
        <w:spacing w:before="240" w:after="120" w:line="240" w:lineRule="auto"/>
        <w:ind w:left="720" w:hanging="720"/>
        <w:jc w:val="both"/>
        <w:rPr>
          <w:rFonts w:ascii="Century Schoolbook" w:hAnsi="Century Schoolbook"/>
          <w:b/>
          <w:bCs/>
          <w:sz w:val="28"/>
          <w:szCs w:val="28"/>
        </w:rPr>
      </w:pPr>
      <w:r w:rsidRPr="00D318F9">
        <w:rPr>
          <w:rFonts w:ascii="Century Schoolbook" w:hAnsi="Century Schoolbook"/>
          <w:b/>
          <w:bCs/>
          <w:sz w:val="28"/>
          <w:szCs w:val="28"/>
        </w:rPr>
        <w:lastRenderedPageBreak/>
        <w:t>A.</w:t>
      </w:r>
      <w:r w:rsidRPr="00D318F9">
        <w:rPr>
          <w:rFonts w:ascii="Century Schoolbook" w:hAnsi="Century Schoolbook"/>
          <w:b/>
          <w:bCs/>
          <w:sz w:val="28"/>
          <w:szCs w:val="28"/>
        </w:rPr>
        <w:tab/>
      </w:r>
      <w:r w:rsidR="00B14458" w:rsidRPr="00B14458">
        <w:rPr>
          <w:rFonts w:ascii="Century Schoolbook" w:hAnsi="Century Schoolbook"/>
          <w:b/>
          <w:bCs/>
          <w:sz w:val="28"/>
          <w:szCs w:val="28"/>
        </w:rPr>
        <w:t>This Court’s Twin</w:t>
      </w:r>
      <w:r w:rsidR="00B14458" w:rsidRPr="0034646D">
        <w:rPr>
          <w:rFonts w:ascii="Century Schoolbook" w:hAnsi="Century Schoolbook"/>
          <w:b/>
          <w:bCs/>
          <w:sz w:val="28"/>
          <w:szCs w:val="28"/>
        </w:rPr>
        <w:t xml:space="preserve"> </w:t>
      </w:r>
      <w:r w:rsidR="00B14458" w:rsidRPr="00B14458">
        <w:rPr>
          <w:rFonts w:ascii="Century Schoolbook" w:hAnsi="Century Schoolbook"/>
          <w:b/>
          <w:bCs/>
          <w:sz w:val="28"/>
          <w:szCs w:val="28"/>
        </w:rPr>
        <w:t>Recognitions That A.R.S. § 12-409(A) Confers a Substantive Right a</w:t>
      </w:r>
      <w:r w:rsidR="00B14458" w:rsidRPr="00D318F9">
        <w:rPr>
          <w:rFonts w:ascii="Century Schoolbook" w:hAnsi="Century Schoolbook"/>
          <w:b/>
          <w:bCs/>
          <w:sz w:val="28"/>
          <w:szCs w:val="28"/>
        </w:rPr>
        <w:t>nd That</w:t>
      </w:r>
      <w:r w:rsidR="00B14458" w:rsidRPr="00B14458">
        <w:rPr>
          <w:rFonts w:ascii="Century Schoolbook" w:hAnsi="Century Schoolbook"/>
          <w:b/>
          <w:bCs/>
          <w:sz w:val="28"/>
          <w:szCs w:val="28"/>
        </w:rPr>
        <w:t xml:space="preserve"> This Court</w:t>
      </w:r>
      <w:r w:rsidR="00B14458" w:rsidRPr="0034646D">
        <w:rPr>
          <w:rFonts w:ascii="Century Schoolbook" w:hAnsi="Century Schoolbook"/>
          <w:b/>
          <w:bCs/>
          <w:sz w:val="28"/>
          <w:szCs w:val="28"/>
        </w:rPr>
        <w:t xml:space="preserve"> Cannot Abridge </w:t>
      </w:r>
      <w:r w:rsidR="00B14458" w:rsidRPr="00B14458">
        <w:rPr>
          <w:rFonts w:ascii="Century Schoolbook" w:hAnsi="Century Schoolbook"/>
          <w:b/>
          <w:bCs/>
          <w:sz w:val="28"/>
          <w:szCs w:val="28"/>
        </w:rPr>
        <w:t xml:space="preserve">Substantive Rights </w:t>
      </w:r>
      <w:r w:rsidR="00B14458">
        <w:rPr>
          <w:rFonts w:ascii="Century Schoolbook" w:hAnsi="Century Schoolbook"/>
          <w:b/>
          <w:bCs/>
          <w:sz w:val="28"/>
          <w:szCs w:val="28"/>
        </w:rPr>
        <w:t>Through</w:t>
      </w:r>
      <w:r w:rsidR="00B14458" w:rsidRPr="00B14458">
        <w:rPr>
          <w:rFonts w:ascii="Century Schoolbook" w:hAnsi="Century Schoolbook"/>
          <w:b/>
          <w:bCs/>
          <w:sz w:val="28"/>
          <w:szCs w:val="28"/>
        </w:rPr>
        <w:t xml:space="preserve"> Procedure Rules</w:t>
      </w:r>
      <w:r w:rsidR="00B14458" w:rsidRPr="00D318F9">
        <w:rPr>
          <w:rFonts w:ascii="Century Schoolbook" w:hAnsi="Century Schoolbook"/>
          <w:b/>
          <w:bCs/>
          <w:sz w:val="28"/>
          <w:szCs w:val="28"/>
        </w:rPr>
        <w:t xml:space="preserve"> </w:t>
      </w:r>
      <w:r w:rsidR="00B14458">
        <w:rPr>
          <w:rFonts w:ascii="Century Schoolbook" w:hAnsi="Century Schoolbook"/>
          <w:b/>
          <w:bCs/>
          <w:sz w:val="28"/>
          <w:szCs w:val="28"/>
        </w:rPr>
        <w:t>Prevent</w:t>
      </w:r>
      <w:r w:rsidR="00B14458" w:rsidRPr="00D318F9">
        <w:rPr>
          <w:rFonts w:ascii="Century Schoolbook" w:hAnsi="Century Schoolbook"/>
          <w:b/>
          <w:bCs/>
          <w:sz w:val="28"/>
          <w:szCs w:val="28"/>
        </w:rPr>
        <w:t xml:space="preserve"> this Court </w:t>
      </w:r>
      <w:r w:rsidR="00B14458">
        <w:rPr>
          <w:rFonts w:ascii="Century Schoolbook" w:hAnsi="Century Schoolbook"/>
          <w:b/>
          <w:bCs/>
          <w:sz w:val="28"/>
          <w:szCs w:val="28"/>
        </w:rPr>
        <w:t>From</w:t>
      </w:r>
      <w:r w:rsidR="00B14458" w:rsidRPr="00D318F9">
        <w:rPr>
          <w:rFonts w:ascii="Century Schoolbook" w:hAnsi="Century Schoolbook"/>
          <w:b/>
          <w:bCs/>
          <w:sz w:val="28"/>
          <w:szCs w:val="28"/>
        </w:rPr>
        <w:t xml:space="preserve"> Eliminat</w:t>
      </w:r>
      <w:r w:rsidR="00B14458">
        <w:rPr>
          <w:rFonts w:ascii="Century Schoolbook" w:hAnsi="Century Schoolbook"/>
          <w:b/>
          <w:bCs/>
          <w:sz w:val="28"/>
          <w:szCs w:val="28"/>
        </w:rPr>
        <w:t>ing</w:t>
      </w:r>
      <w:r w:rsidR="00B14458" w:rsidRPr="00D318F9">
        <w:rPr>
          <w:rFonts w:ascii="Century Schoolbook" w:hAnsi="Century Schoolbook"/>
          <w:b/>
          <w:bCs/>
          <w:sz w:val="28"/>
          <w:szCs w:val="28"/>
        </w:rPr>
        <w:t xml:space="preserve"> Change of Judge in </w:t>
      </w:r>
      <w:r w:rsidR="00B14458" w:rsidRPr="00C674AA">
        <w:rPr>
          <w:rFonts w:ascii="Century Schoolbook" w:hAnsi="Century Schoolbook"/>
          <w:b/>
          <w:bCs/>
          <w:sz w:val="28"/>
          <w:szCs w:val="28"/>
        </w:rPr>
        <w:t>Non-Criminal Matters.</w:t>
      </w:r>
      <w:r w:rsidR="00B14458" w:rsidRPr="00C674AA">
        <w:rPr>
          <w:rFonts w:ascii="Century Schoolbook" w:hAnsi="Century Schoolbook"/>
          <w:b/>
          <w:bCs/>
          <w:sz w:val="28"/>
          <w:szCs w:val="28"/>
        </w:rPr>
        <w:tab/>
      </w:r>
    </w:p>
    <w:p w14:paraId="3E952A61" w14:textId="7A45BA6F" w:rsidR="00537E8D" w:rsidRPr="00D318F9" w:rsidRDefault="00537E8D" w:rsidP="00D318F9">
      <w:pPr>
        <w:spacing w:line="480" w:lineRule="exact"/>
        <w:jc w:val="both"/>
        <w:rPr>
          <w:rFonts w:ascii="Century Schoolbook" w:hAnsi="Century Schoolbook"/>
          <w:sz w:val="28"/>
          <w:szCs w:val="28"/>
        </w:rPr>
      </w:pPr>
      <w:r w:rsidRPr="00D318F9">
        <w:rPr>
          <w:rFonts w:ascii="Century Schoolbook" w:hAnsi="Century Schoolbook"/>
          <w:sz w:val="28"/>
          <w:szCs w:val="28"/>
        </w:rPr>
        <w:tab/>
        <w:t>In Arizona, a party’s absolute right to a peremptory change of judge in non-criminal matters in the Superior Court is based upon common law and A.R.S. §</w:t>
      </w:r>
      <w:r w:rsidR="00B14458">
        <w:rPr>
          <w:rFonts w:ascii="Century Schoolbook" w:hAnsi="Century Schoolbook"/>
          <w:sz w:val="28"/>
          <w:szCs w:val="28"/>
        </w:rPr>
        <w:t xml:space="preserve"> </w:t>
      </w:r>
      <w:r w:rsidRPr="00D318F9">
        <w:rPr>
          <w:rFonts w:ascii="Century Schoolbook" w:hAnsi="Century Schoolbook"/>
          <w:sz w:val="28"/>
          <w:szCs w:val="28"/>
        </w:rPr>
        <w:t>12-409, not the procedural rules.</w:t>
      </w:r>
      <w:r w:rsidR="0042312F" w:rsidRPr="00D318F9">
        <w:rPr>
          <w:rFonts w:ascii="Century Schoolbook" w:hAnsi="Century Schoolbook"/>
          <w:sz w:val="28"/>
          <w:szCs w:val="28"/>
        </w:rPr>
        <w:t xml:space="preserve">  The procedural rules sought to be abrogated do not create the right, </w:t>
      </w:r>
      <w:r w:rsidR="00B14458">
        <w:rPr>
          <w:rFonts w:ascii="Century Schoolbook" w:hAnsi="Century Schoolbook"/>
          <w:sz w:val="28"/>
          <w:szCs w:val="28"/>
        </w:rPr>
        <w:t>but merely</w:t>
      </w:r>
      <w:r w:rsidR="0042312F" w:rsidRPr="00D318F9">
        <w:rPr>
          <w:rFonts w:ascii="Century Schoolbook" w:hAnsi="Century Schoolbook"/>
          <w:sz w:val="28"/>
          <w:szCs w:val="28"/>
        </w:rPr>
        <w:t xml:space="preserve"> prescribe the procedure for exercising the substantive right.</w:t>
      </w:r>
    </w:p>
    <w:p w14:paraId="54F18990" w14:textId="537D61C6" w:rsidR="0042312F" w:rsidRPr="00D318F9" w:rsidRDefault="00E35548"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A.R.S. §</w:t>
      </w:r>
      <w:r w:rsidR="00B14458">
        <w:rPr>
          <w:rFonts w:ascii="Century Schoolbook" w:hAnsi="Century Schoolbook"/>
          <w:sz w:val="28"/>
          <w:szCs w:val="28"/>
        </w:rPr>
        <w:t xml:space="preserve"> </w:t>
      </w:r>
      <w:r w:rsidRPr="00D318F9">
        <w:rPr>
          <w:rFonts w:ascii="Century Schoolbook" w:hAnsi="Century Schoolbook"/>
          <w:sz w:val="28"/>
          <w:szCs w:val="28"/>
        </w:rPr>
        <w:t xml:space="preserve">12-409(A) </w:t>
      </w:r>
      <w:r w:rsidR="00537E8D" w:rsidRPr="00D318F9">
        <w:rPr>
          <w:rFonts w:ascii="Century Schoolbook" w:hAnsi="Century Schoolbook"/>
          <w:sz w:val="28"/>
          <w:szCs w:val="28"/>
        </w:rPr>
        <w:t>sets forth a party’s substantive right to a peremptory change of judg</w:t>
      </w:r>
      <w:r w:rsidR="0042312F" w:rsidRPr="00D318F9">
        <w:rPr>
          <w:rFonts w:ascii="Century Schoolbook" w:hAnsi="Century Schoolbook"/>
          <w:sz w:val="28"/>
          <w:szCs w:val="28"/>
        </w:rPr>
        <w:t xml:space="preserve">e, as well as procedure to invoke the right, </w:t>
      </w:r>
      <w:r w:rsidR="00537E8D" w:rsidRPr="00D318F9">
        <w:rPr>
          <w:rFonts w:ascii="Century Schoolbook" w:hAnsi="Century Schoolbook"/>
          <w:sz w:val="28"/>
          <w:szCs w:val="28"/>
        </w:rPr>
        <w:t xml:space="preserve">as follows: </w:t>
      </w:r>
    </w:p>
    <w:p w14:paraId="4B658C18" w14:textId="00AA9390" w:rsidR="0042312F" w:rsidRPr="00D318F9" w:rsidRDefault="0042312F" w:rsidP="00D318F9">
      <w:pPr>
        <w:spacing w:line="480" w:lineRule="exact"/>
        <w:ind w:left="720" w:right="720"/>
        <w:jc w:val="both"/>
        <w:rPr>
          <w:rFonts w:ascii="Century Schoolbook" w:hAnsi="Century Schoolbook"/>
          <w:sz w:val="28"/>
          <w:szCs w:val="28"/>
        </w:rPr>
      </w:pPr>
      <w:r w:rsidRPr="00D318F9">
        <w:rPr>
          <w:rFonts w:ascii="Century Schoolbook" w:hAnsi="Century Schoolbook"/>
          <w:sz w:val="28"/>
          <w:szCs w:val="28"/>
        </w:rPr>
        <w:t xml:space="preserve">If </w:t>
      </w:r>
      <w:r w:rsidR="00E35548" w:rsidRPr="00D318F9">
        <w:rPr>
          <w:rFonts w:ascii="Century Schoolbook" w:hAnsi="Century Schoolbook"/>
          <w:sz w:val="28"/>
          <w:szCs w:val="28"/>
        </w:rPr>
        <w:t>either party to a civil action in a superior court files an affidavit alleg</w:t>
      </w:r>
      <w:r w:rsidR="00EF2DFE" w:rsidRPr="00D318F9">
        <w:rPr>
          <w:rFonts w:ascii="Century Schoolbook" w:hAnsi="Century Schoolbook"/>
          <w:sz w:val="28"/>
          <w:szCs w:val="28"/>
        </w:rPr>
        <w:t>ing</w:t>
      </w:r>
      <w:r w:rsidR="00E35548" w:rsidRPr="00D318F9">
        <w:rPr>
          <w:rFonts w:ascii="Century Schoolbook" w:hAnsi="Century Schoolbook"/>
          <w:sz w:val="28"/>
          <w:szCs w:val="28"/>
        </w:rPr>
        <w:t xml:space="preserve"> any of the grounds specified in subsection B, the judge </w:t>
      </w:r>
      <w:r w:rsidR="00E35548" w:rsidRPr="00D318F9">
        <w:rPr>
          <w:rFonts w:ascii="Century Schoolbook" w:hAnsi="Century Schoolbook"/>
          <w:b/>
          <w:bCs/>
          <w:i/>
          <w:iCs/>
          <w:sz w:val="28"/>
          <w:szCs w:val="28"/>
        </w:rPr>
        <w:t>shall at once transfer the action</w:t>
      </w:r>
      <w:r w:rsidR="00E35548" w:rsidRPr="00D318F9">
        <w:rPr>
          <w:rFonts w:ascii="Century Schoolbook" w:hAnsi="Century Schoolbook"/>
          <w:sz w:val="28"/>
          <w:szCs w:val="28"/>
        </w:rPr>
        <w:t xml:space="preserve"> to another division of the court if there is more than one </w:t>
      </w:r>
      <w:proofErr w:type="gramStart"/>
      <w:r w:rsidR="00E35548" w:rsidRPr="00D318F9">
        <w:rPr>
          <w:rFonts w:ascii="Century Schoolbook" w:hAnsi="Century Schoolbook"/>
          <w:sz w:val="28"/>
          <w:szCs w:val="28"/>
        </w:rPr>
        <w:t>division, or</w:t>
      </w:r>
      <w:proofErr w:type="gramEnd"/>
      <w:r w:rsidR="00E35548" w:rsidRPr="00D318F9">
        <w:rPr>
          <w:rFonts w:ascii="Century Schoolbook" w:hAnsi="Century Schoolbook"/>
          <w:sz w:val="28"/>
          <w:szCs w:val="28"/>
        </w:rPr>
        <w:t xml:space="preserve"> shall request a judge of the superior court of another county to preside at the trial of the action.  </w:t>
      </w:r>
    </w:p>
    <w:p w14:paraId="4251333D" w14:textId="7F6B798A" w:rsidR="0042312F" w:rsidRPr="00D318F9" w:rsidRDefault="00E35548" w:rsidP="00D318F9">
      <w:pPr>
        <w:spacing w:line="480" w:lineRule="exact"/>
        <w:ind w:right="-90"/>
        <w:jc w:val="both"/>
        <w:rPr>
          <w:rFonts w:ascii="Century Schoolbook" w:hAnsi="Century Schoolbook"/>
          <w:sz w:val="28"/>
          <w:szCs w:val="28"/>
        </w:rPr>
      </w:pPr>
      <w:r w:rsidRPr="00D318F9">
        <w:rPr>
          <w:rFonts w:ascii="Century Schoolbook" w:hAnsi="Century Schoolbook"/>
          <w:sz w:val="28"/>
          <w:szCs w:val="28"/>
        </w:rPr>
        <w:t xml:space="preserve">A.R.S. §12-409(A) (emphasis added).  </w:t>
      </w:r>
      <w:r w:rsidR="0042312F" w:rsidRPr="00D318F9">
        <w:rPr>
          <w:rFonts w:ascii="Century Schoolbook" w:hAnsi="Century Schoolbook"/>
          <w:sz w:val="28"/>
          <w:szCs w:val="28"/>
        </w:rPr>
        <w:t>While there are multiple grounds that can be asserted in the affidavit, the most common ground asserted before 197</w:t>
      </w:r>
      <w:r w:rsidR="005D0DE8" w:rsidRPr="00D318F9">
        <w:rPr>
          <w:rFonts w:ascii="Century Schoolbook" w:hAnsi="Century Schoolbook"/>
          <w:sz w:val="28"/>
          <w:szCs w:val="28"/>
        </w:rPr>
        <w:t>2</w:t>
      </w:r>
      <w:r w:rsidR="0042312F" w:rsidRPr="00D318F9">
        <w:rPr>
          <w:rFonts w:ascii="Century Schoolbook" w:hAnsi="Century Schoolbook"/>
          <w:sz w:val="28"/>
          <w:szCs w:val="28"/>
        </w:rPr>
        <w:t xml:space="preserve"> is found in </w:t>
      </w:r>
      <w:r w:rsidRPr="00D318F9">
        <w:rPr>
          <w:rFonts w:ascii="Century Schoolbook" w:hAnsi="Century Schoolbook"/>
          <w:sz w:val="28"/>
          <w:szCs w:val="28"/>
        </w:rPr>
        <w:t>A.R.S. §12-409(B)</w:t>
      </w:r>
      <w:r w:rsidR="0042312F" w:rsidRPr="00D318F9">
        <w:rPr>
          <w:rFonts w:ascii="Century Schoolbook" w:hAnsi="Century Schoolbook"/>
          <w:sz w:val="28"/>
          <w:szCs w:val="28"/>
        </w:rPr>
        <w:t>(5)</w:t>
      </w:r>
      <w:r w:rsidRPr="00D318F9">
        <w:rPr>
          <w:rFonts w:ascii="Century Schoolbook" w:hAnsi="Century Schoolbook"/>
          <w:sz w:val="28"/>
          <w:szCs w:val="28"/>
        </w:rPr>
        <w:t xml:space="preserve"> </w:t>
      </w:r>
      <w:r w:rsidR="0042312F" w:rsidRPr="00D318F9">
        <w:rPr>
          <w:rFonts w:ascii="Century Schoolbook" w:hAnsi="Century Schoolbook"/>
          <w:sz w:val="28"/>
          <w:szCs w:val="28"/>
        </w:rPr>
        <w:t>that provides as follows:</w:t>
      </w:r>
    </w:p>
    <w:p w14:paraId="7B27E60C" w14:textId="402775A4" w:rsidR="0042312F" w:rsidRPr="00D318F9" w:rsidRDefault="0042312F" w:rsidP="00D318F9">
      <w:pPr>
        <w:spacing w:line="480" w:lineRule="exact"/>
        <w:ind w:left="720" w:right="720"/>
        <w:jc w:val="both"/>
        <w:rPr>
          <w:rFonts w:ascii="Century Schoolbook" w:hAnsi="Century Schoolbook"/>
          <w:sz w:val="28"/>
          <w:szCs w:val="28"/>
        </w:rPr>
      </w:pPr>
      <w:r w:rsidRPr="00D318F9">
        <w:rPr>
          <w:rFonts w:ascii="Century Schoolbook" w:hAnsi="Century Schoolbook"/>
          <w:sz w:val="28"/>
          <w:szCs w:val="28"/>
        </w:rPr>
        <w:t>[T]</w:t>
      </w:r>
      <w:r w:rsidR="00E35548" w:rsidRPr="00D318F9">
        <w:rPr>
          <w:rFonts w:ascii="Century Schoolbook" w:hAnsi="Century Schoolbook"/>
          <w:sz w:val="28"/>
          <w:szCs w:val="28"/>
        </w:rPr>
        <w:t xml:space="preserve">he party filing the affidavit </w:t>
      </w:r>
      <w:r w:rsidR="00E35548" w:rsidRPr="00D318F9">
        <w:rPr>
          <w:rFonts w:ascii="Century Schoolbook" w:hAnsi="Century Schoolbook"/>
          <w:b/>
          <w:bCs/>
          <w:i/>
          <w:iCs/>
          <w:sz w:val="28"/>
          <w:szCs w:val="28"/>
        </w:rPr>
        <w:t>has cause to believe and does believe</w:t>
      </w:r>
      <w:r w:rsidR="00E35548" w:rsidRPr="00D318F9">
        <w:rPr>
          <w:rFonts w:ascii="Century Schoolbook" w:hAnsi="Century Schoolbook"/>
          <w:sz w:val="28"/>
          <w:szCs w:val="28"/>
        </w:rPr>
        <w:t xml:space="preserve"> that on account of the bias, prejudice, or interest of the judge he cannot obtain a fair and impartial trial.</w:t>
      </w:r>
    </w:p>
    <w:p w14:paraId="039F1E15" w14:textId="001D4E0E" w:rsidR="0042312F" w:rsidRPr="00D318F9" w:rsidRDefault="00E35548" w:rsidP="00D318F9">
      <w:pPr>
        <w:spacing w:line="480" w:lineRule="exact"/>
        <w:jc w:val="both"/>
        <w:rPr>
          <w:rFonts w:ascii="Century Schoolbook" w:hAnsi="Century Schoolbook"/>
          <w:sz w:val="28"/>
          <w:szCs w:val="28"/>
        </w:rPr>
      </w:pPr>
      <w:r w:rsidRPr="00D318F9">
        <w:rPr>
          <w:rFonts w:ascii="Century Schoolbook" w:hAnsi="Century Schoolbook"/>
          <w:sz w:val="28"/>
          <w:szCs w:val="28"/>
        </w:rPr>
        <w:t>A.R.S. §</w:t>
      </w:r>
      <w:r w:rsidR="00B14458">
        <w:rPr>
          <w:rFonts w:ascii="Century Schoolbook" w:hAnsi="Century Schoolbook"/>
          <w:sz w:val="28"/>
          <w:szCs w:val="28"/>
        </w:rPr>
        <w:t xml:space="preserve"> </w:t>
      </w:r>
      <w:r w:rsidRPr="00D318F9">
        <w:rPr>
          <w:rFonts w:ascii="Century Schoolbook" w:hAnsi="Century Schoolbook"/>
          <w:sz w:val="28"/>
          <w:szCs w:val="28"/>
        </w:rPr>
        <w:t>12-409(B)(5) (emphasis added).</w:t>
      </w:r>
      <w:r w:rsidR="0042312F" w:rsidRPr="00D318F9">
        <w:rPr>
          <w:rFonts w:ascii="Century Schoolbook" w:hAnsi="Century Schoolbook"/>
          <w:sz w:val="28"/>
          <w:szCs w:val="28"/>
        </w:rPr>
        <w:t xml:space="preserve"> In order to protect this substantive right, the Legislature has seen fit to forbid any judge or court </w:t>
      </w:r>
      <w:r w:rsidR="0042312F" w:rsidRPr="00D318F9">
        <w:rPr>
          <w:rFonts w:ascii="Century Schoolbook" w:hAnsi="Century Schoolbook"/>
          <w:sz w:val="28"/>
          <w:szCs w:val="28"/>
        </w:rPr>
        <w:lastRenderedPageBreak/>
        <w:t xml:space="preserve">from punishing any one for </w:t>
      </w:r>
      <w:r w:rsidR="00EF2DFE" w:rsidRPr="00D318F9">
        <w:rPr>
          <w:rFonts w:ascii="Century Schoolbook" w:hAnsi="Century Schoolbook"/>
          <w:sz w:val="28"/>
          <w:szCs w:val="28"/>
        </w:rPr>
        <w:t>“</w:t>
      </w:r>
      <w:r w:rsidR="0042312F" w:rsidRPr="00D318F9">
        <w:rPr>
          <w:rFonts w:ascii="Century Schoolbook" w:hAnsi="Century Schoolbook"/>
          <w:sz w:val="28"/>
          <w:szCs w:val="28"/>
        </w:rPr>
        <w:t>making, filing or presenting the affidavit provide</w:t>
      </w:r>
      <w:r w:rsidR="00EF2DFE" w:rsidRPr="00D318F9">
        <w:rPr>
          <w:rFonts w:ascii="Century Schoolbook" w:hAnsi="Century Schoolbook"/>
          <w:sz w:val="28"/>
          <w:szCs w:val="28"/>
        </w:rPr>
        <w:t>d</w:t>
      </w:r>
      <w:r w:rsidR="0042312F" w:rsidRPr="00D318F9">
        <w:rPr>
          <w:rFonts w:ascii="Century Schoolbook" w:hAnsi="Century Schoolbook"/>
          <w:sz w:val="28"/>
          <w:szCs w:val="28"/>
        </w:rPr>
        <w:t xml:space="preserve"> for by section 12-409, or any motion founded thereon.”  A.R.S. §</w:t>
      </w:r>
      <w:r w:rsidR="00B14458">
        <w:rPr>
          <w:rFonts w:ascii="Century Schoolbook" w:hAnsi="Century Schoolbook"/>
          <w:sz w:val="28"/>
          <w:szCs w:val="28"/>
        </w:rPr>
        <w:t xml:space="preserve"> </w:t>
      </w:r>
      <w:r w:rsidR="0042312F" w:rsidRPr="00D318F9">
        <w:rPr>
          <w:rFonts w:ascii="Century Schoolbook" w:hAnsi="Century Schoolbook"/>
          <w:sz w:val="28"/>
          <w:szCs w:val="28"/>
        </w:rPr>
        <w:t>12-410.  It has also placed a limit of “[n]ot more than . . . one change of judge” in any action.”  A.R.S. §</w:t>
      </w:r>
      <w:r w:rsidR="00B14458">
        <w:rPr>
          <w:rFonts w:ascii="Century Schoolbook" w:hAnsi="Century Schoolbook"/>
          <w:sz w:val="28"/>
          <w:szCs w:val="28"/>
        </w:rPr>
        <w:t xml:space="preserve"> </w:t>
      </w:r>
      <w:r w:rsidR="0042312F" w:rsidRPr="00D318F9">
        <w:rPr>
          <w:rFonts w:ascii="Century Schoolbook" w:hAnsi="Century Schoolbook"/>
          <w:sz w:val="28"/>
          <w:szCs w:val="28"/>
        </w:rPr>
        <w:t>12-411(A).</w:t>
      </w:r>
    </w:p>
    <w:p w14:paraId="3C888E6C" w14:textId="01F5311E" w:rsidR="0042312F" w:rsidRPr="00D318F9" w:rsidRDefault="00E35548"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The roots of A.R.S. §</w:t>
      </w:r>
      <w:r w:rsidR="00B14458">
        <w:rPr>
          <w:rFonts w:ascii="Century Schoolbook" w:hAnsi="Century Schoolbook"/>
          <w:sz w:val="28"/>
          <w:szCs w:val="28"/>
        </w:rPr>
        <w:t xml:space="preserve"> </w:t>
      </w:r>
      <w:r w:rsidRPr="00D318F9">
        <w:rPr>
          <w:rFonts w:ascii="Century Schoolbook" w:hAnsi="Century Schoolbook"/>
          <w:sz w:val="28"/>
          <w:szCs w:val="28"/>
        </w:rPr>
        <w:t>12-409 are found in “the common law principle that a judge must withdraw from a case once a party has filed an affidavit asserting the judge’s bias and prejudice”</w:t>
      </w:r>
      <w:r w:rsidR="002A1885" w:rsidRPr="00D318F9">
        <w:rPr>
          <w:rFonts w:ascii="Century Schoolbook" w:hAnsi="Century Schoolbook"/>
          <w:sz w:val="28"/>
          <w:szCs w:val="28"/>
        </w:rPr>
        <w:t xml:space="preserve"> (</w:t>
      </w:r>
      <w:r w:rsidRPr="00D318F9">
        <w:rPr>
          <w:rFonts w:ascii="Century Schoolbook" w:hAnsi="Century Schoolbook"/>
          <w:i/>
          <w:iCs/>
          <w:sz w:val="28"/>
          <w:szCs w:val="28"/>
        </w:rPr>
        <w:t xml:space="preserve">Brush Wellman, Inc. v. Lee, </w:t>
      </w:r>
      <w:r w:rsidRPr="00D318F9">
        <w:rPr>
          <w:rFonts w:ascii="Century Schoolbook" w:hAnsi="Century Schoolbook"/>
          <w:sz w:val="28"/>
          <w:szCs w:val="28"/>
        </w:rPr>
        <w:t>196 Ariz. 344, 347, ¶7 (App. 2000) (citations omitted)</w:t>
      </w:r>
      <w:r w:rsidR="002A1885" w:rsidRPr="00D318F9">
        <w:rPr>
          <w:rFonts w:ascii="Century Schoolbook" w:hAnsi="Century Schoolbook"/>
          <w:sz w:val="28"/>
          <w:szCs w:val="28"/>
        </w:rPr>
        <w:t xml:space="preserve">), and </w:t>
      </w:r>
      <w:r w:rsidRPr="00D318F9">
        <w:rPr>
          <w:rFonts w:ascii="Century Schoolbook" w:hAnsi="Century Schoolbook"/>
          <w:sz w:val="28"/>
          <w:szCs w:val="28"/>
        </w:rPr>
        <w:t xml:space="preserve">“has its origin in the belief that litigants are entitled to a hearing before a fair and impartial court.”  </w:t>
      </w:r>
      <w:r w:rsidRPr="00D318F9">
        <w:rPr>
          <w:rFonts w:ascii="Century Schoolbook" w:hAnsi="Century Schoolbook"/>
          <w:i/>
          <w:iCs/>
          <w:sz w:val="28"/>
          <w:szCs w:val="28"/>
        </w:rPr>
        <w:t xml:space="preserve">Hordyk v. Farley, </w:t>
      </w:r>
      <w:r w:rsidRPr="00D318F9">
        <w:rPr>
          <w:rFonts w:ascii="Century Schoolbook" w:hAnsi="Century Schoolbook"/>
          <w:sz w:val="28"/>
          <w:szCs w:val="28"/>
        </w:rPr>
        <w:t xml:space="preserve">94 Ariz. 189, 191-92 (1963).  </w:t>
      </w:r>
      <w:r w:rsidR="005D0DE8" w:rsidRPr="00D318F9">
        <w:rPr>
          <w:rFonts w:ascii="Century Schoolbook" w:hAnsi="Century Schoolbook"/>
          <w:sz w:val="28"/>
          <w:szCs w:val="28"/>
        </w:rPr>
        <w:t xml:space="preserve">This Court has repeatedly recognized the common law right.  </w:t>
      </w:r>
      <w:r w:rsidR="005D0DE8" w:rsidRPr="00D318F9">
        <w:rPr>
          <w:rFonts w:ascii="Century Schoolbook" w:hAnsi="Century Schoolbook"/>
          <w:i/>
          <w:iCs/>
          <w:sz w:val="28"/>
          <w:szCs w:val="28"/>
        </w:rPr>
        <w:t xml:space="preserve">Hordyk, </w:t>
      </w:r>
      <w:r w:rsidR="005D0DE8" w:rsidRPr="00D318F9">
        <w:rPr>
          <w:rFonts w:ascii="Century Schoolbook" w:hAnsi="Century Schoolbook"/>
          <w:sz w:val="28"/>
          <w:szCs w:val="28"/>
        </w:rPr>
        <w:t xml:space="preserve">94 Ariz. at 191-92; </w:t>
      </w:r>
      <w:r w:rsidR="005D0DE8" w:rsidRPr="00D318F9">
        <w:rPr>
          <w:rFonts w:ascii="Century Schoolbook" w:hAnsi="Century Schoolbook"/>
          <w:i/>
          <w:iCs/>
          <w:sz w:val="28"/>
          <w:szCs w:val="28"/>
        </w:rPr>
        <w:t xml:space="preserve">Conkling v. Crosby, </w:t>
      </w:r>
      <w:r w:rsidR="005D0DE8" w:rsidRPr="00D318F9">
        <w:rPr>
          <w:rFonts w:ascii="Century Schoolbook" w:hAnsi="Century Schoolbook"/>
          <w:sz w:val="28"/>
          <w:szCs w:val="28"/>
        </w:rPr>
        <w:t xml:space="preserve">29 Ariz. 60, 67 &amp; 73 (1925); </w:t>
      </w:r>
      <w:r w:rsidR="005D0DE8" w:rsidRPr="00D318F9">
        <w:rPr>
          <w:rFonts w:ascii="Century Schoolbook" w:hAnsi="Century Schoolbook"/>
          <w:i/>
          <w:iCs/>
          <w:sz w:val="28"/>
          <w:szCs w:val="28"/>
        </w:rPr>
        <w:t xml:space="preserve">Allan v. Allan, </w:t>
      </w:r>
      <w:r w:rsidR="005D0DE8" w:rsidRPr="00D318F9">
        <w:rPr>
          <w:rFonts w:ascii="Century Schoolbook" w:hAnsi="Century Schoolbook"/>
          <w:sz w:val="28"/>
          <w:szCs w:val="28"/>
        </w:rPr>
        <w:t xml:space="preserve">21 Ariz. 70, 74 (1919), </w:t>
      </w:r>
      <w:r w:rsidR="005D0DE8" w:rsidRPr="00C674AA">
        <w:rPr>
          <w:rFonts w:ascii="Century Schoolbook" w:hAnsi="Century Schoolbook"/>
          <w:i/>
          <w:iCs/>
          <w:sz w:val="28"/>
          <w:szCs w:val="28"/>
        </w:rPr>
        <w:t>superseded by statute on other grounds as stated in</w:t>
      </w:r>
      <w:r w:rsidR="005D0DE8" w:rsidRPr="00D318F9">
        <w:rPr>
          <w:rFonts w:ascii="Century Schoolbook" w:hAnsi="Century Schoolbook"/>
          <w:sz w:val="28"/>
          <w:szCs w:val="28"/>
        </w:rPr>
        <w:t xml:space="preserve"> </w:t>
      </w:r>
      <w:r w:rsidR="005D0DE8" w:rsidRPr="00D318F9">
        <w:rPr>
          <w:rFonts w:ascii="Century Schoolbook" w:hAnsi="Century Schoolbook"/>
          <w:i/>
          <w:iCs/>
          <w:sz w:val="28"/>
          <w:szCs w:val="28"/>
        </w:rPr>
        <w:t>Hordyk</w:t>
      </w:r>
      <w:r w:rsidR="005D0DE8" w:rsidRPr="00D318F9">
        <w:rPr>
          <w:rFonts w:ascii="Century Schoolbook" w:hAnsi="Century Schoolbook"/>
          <w:sz w:val="28"/>
          <w:szCs w:val="28"/>
        </w:rPr>
        <w:t xml:space="preserve">, 94 Ariz. 189; </w:t>
      </w:r>
      <w:r w:rsidR="005D0DE8" w:rsidRPr="00D318F9">
        <w:rPr>
          <w:rFonts w:ascii="Century Schoolbook" w:hAnsi="Century Schoolbook"/>
          <w:i/>
          <w:iCs/>
          <w:sz w:val="28"/>
          <w:szCs w:val="28"/>
        </w:rPr>
        <w:t xml:space="preserve">Marsin v. Udall, </w:t>
      </w:r>
      <w:r w:rsidR="005D0DE8" w:rsidRPr="00D318F9">
        <w:rPr>
          <w:rFonts w:ascii="Century Schoolbook" w:hAnsi="Century Schoolbook"/>
          <w:sz w:val="28"/>
          <w:szCs w:val="28"/>
        </w:rPr>
        <w:t xml:space="preserve">78 Ariz. 309, 312 (1955) (criminal case).  </w:t>
      </w:r>
      <w:r w:rsidRPr="00D318F9">
        <w:rPr>
          <w:rFonts w:ascii="Century Schoolbook" w:hAnsi="Century Schoolbook"/>
          <w:sz w:val="28"/>
          <w:szCs w:val="28"/>
        </w:rPr>
        <w:t>While the current version of the statute was enacted in 1955, former version</w:t>
      </w:r>
      <w:r w:rsidR="002A1885" w:rsidRPr="00D318F9">
        <w:rPr>
          <w:rFonts w:ascii="Century Schoolbook" w:hAnsi="Century Schoolbook"/>
          <w:sz w:val="28"/>
          <w:szCs w:val="28"/>
        </w:rPr>
        <w:t>s</w:t>
      </w:r>
      <w:r w:rsidRPr="00D318F9">
        <w:rPr>
          <w:rFonts w:ascii="Century Schoolbook" w:hAnsi="Century Schoolbook"/>
          <w:sz w:val="28"/>
          <w:szCs w:val="28"/>
        </w:rPr>
        <w:t xml:space="preserve"> w</w:t>
      </w:r>
      <w:r w:rsidR="002A1885" w:rsidRPr="00D318F9">
        <w:rPr>
          <w:rFonts w:ascii="Century Schoolbook" w:hAnsi="Century Schoolbook"/>
          <w:sz w:val="28"/>
          <w:szCs w:val="28"/>
        </w:rPr>
        <w:t>ere</w:t>
      </w:r>
      <w:r w:rsidRPr="00D318F9">
        <w:rPr>
          <w:rFonts w:ascii="Century Schoolbook" w:hAnsi="Century Schoolbook"/>
          <w:sz w:val="28"/>
          <w:szCs w:val="28"/>
        </w:rPr>
        <w:t xml:space="preserve"> contained in the territorial codes and later state codes.  </w:t>
      </w:r>
      <w:r w:rsidRPr="00D318F9">
        <w:rPr>
          <w:rFonts w:ascii="Century Schoolbook" w:hAnsi="Century Schoolbook"/>
          <w:i/>
          <w:iCs/>
          <w:sz w:val="28"/>
          <w:szCs w:val="28"/>
        </w:rPr>
        <w:t xml:space="preserve">Brush Wellman, </w:t>
      </w:r>
      <w:r w:rsidRPr="00D318F9">
        <w:rPr>
          <w:rFonts w:ascii="Century Schoolbook" w:hAnsi="Century Schoolbook"/>
          <w:sz w:val="28"/>
          <w:szCs w:val="28"/>
        </w:rPr>
        <w:t xml:space="preserve">347, ¶7.  </w:t>
      </w:r>
      <w:r w:rsidR="00DA6F76" w:rsidRPr="00D318F9">
        <w:rPr>
          <w:rFonts w:ascii="Century Schoolbook" w:hAnsi="Century Schoolbook"/>
          <w:i/>
          <w:iCs/>
          <w:sz w:val="28"/>
          <w:szCs w:val="28"/>
        </w:rPr>
        <w:t xml:space="preserve">See also </w:t>
      </w:r>
      <w:r w:rsidR="00DA6F76" w:rsidRPr="00D318F9">
        <w:rPr>
          <w:rFonts w:ascii="Century Schoolbook" w:hAnsi="Century Schoolbook"/>
          <w:sz w:val="28"/>
          <w:szCs w:val="28"/>
        </w:rPr>
        <w:t>Ariz. Laws, Title 17, Chapter IX, 1374 (Sec. 165) (1901); Civ. Code 1913, §500; Laws 1921, Ch. 107, § 1; Rev Code 1928, §3721; and Code 1939, §21-107.</w:t>
      </w:r>
    </w:p>
    <w:p w14:paraId="22B30419" w14:textId="7C7AA67E" w:rsidR="0001553D" w:rsidRPr="00D318F9" w:rsidRDefault="0001553D" w:rsidP="00D318F9">
      <w:pPr>
        <w:autoSpaceDE w:val="0"/>
        <w:autoSpaceDN w:val="0"/>
        <w:spacing w:line="480" w:lineRule="exact"/>
        <w:ind w:firstLine="720"/>
        <w:jc w:val="both"/>
        <w:rPr>
          <w:rFonts w:ascii="Century Schoolbook" w:hAnsi="Century Schoolbook"/>
          <w:color w:val="000000"/>
          <w:sz w:val="28"/>
          <w:szCs w:val="28"/>
        </w:rPr>
      </w:pPr>
      <w:r w:rsidRPr="00D318F9">
        <w:rPr>
          <w:rFonts w:ascii="Century Schoolbook" w:hAnsi="Century Schoolbook"/>
          <w:sz w:val="28"/>
          <w:szCs w:val="28"/>
        </w:rPr>
        <w:t>While the Petition is correct in arguing that “[e]ffective administration of the courts is essential to earning the public’s trust and confidence in the judiciary,” A.R.S. §</w:t>
      </w:r>
      <w:r w:rsidR="00B14458">
        <w:rPr>
          <w:rFonts w:ascii="Century Schoolbook" w:hAnsi="Century Schoolbook"/>
          <w:sz w:val="28"/>
          <w:szCs w:val="28"/>
        </w:rPr>
        <w:t xml:space="preserve"> </w:t>
      </w:r>
      <w:r w:rsidRPr="00D318F9">
        <w:rPr>
          <w:rFonts w:ascii="Century Schoolbook" w:hAnsi="Century Schoolbook"/>
          <w:sz w:val="28"/>
          <w:szCs w:val="28"/>
        </w:rPr>
        <w:t>12-409 was also motivated by “a similar concern for the preservation in public confidence in the judiciary.”  Disqualification of Judges by Peremptory Challenge, 47 Yale L.J. 1403, 1404 (1938). The rationale was that it is “</w:t>
      </w:r>
      <w:r w:rsidRPr="00D318F9">
        <w:rPr>
          <w:rFonts w:ascii="Century Schoolbook" w:hAnsi="Century Schoolbook"/>
          <w:color w:val="000000"/>
          <w:sz w:val="28"/>
          <w:szCs w:val="28"/>
        </w:rPr>
        <w:t xml:space="preserve">preferable to disqualify a judge when merely challenged, even though specific </w:t>
      </w:r>
      <w:r w:rsidRPr="00D318F9">
        <w:rPr>
          <w:rFonts w:ascii="Century Schoolbook" w:hAnsi="Century Schoolbook"/>
          <w:color w:val="000000"/>
          <w:sz w:val="28"/>
          <w:szCs w:val="28"/>
        </w:rPr>
        <w:lastRenderedPageBreak/>
        <w:t xml:space="preserve">investigation might find him possessed of all the judicial virtues” </w:t>
      </w:r>
      <w:r w:rsidR="002259B6" w:rsidRPr="00D318F9">
        <w:rPr>
          <w:rFonts w:ascii="Century Schoolbook" w:hAnsi="Century Schoolbook"/>
          <w:sz w:val="28"/>
          <w:szCs w:val="28"/>
        </w:rPr>
        <w:t xml:space="preserve"> </w:t>
      </w:r>
      <w:r w:rsidR="00BE4F55" w:rsidRPr="00D318F9">
        <w:rPr>
          <w:rFonts w:ascii="Century Schoolbook" w:hAnsi="Century Schoolbook"/>
          <w:sz w:val="28"/>
          <w:szCs w:val="28"/>
        </w:rPr>
        <w:t>despite</w:t>
      </w:r>
      <w:r w:rsidRPr="00D318F9">
        <w:rPr>
          <w:rFonts w:ascii="Century Schoolbook" w:hAnsi="Century Schoolbook"/>
          <w:sz w:val="28"/>
          <w:szCs w:val="28"/>
        </w:rPr>
        <w:t xml:space="preserve"> </w:t>
      </w:r>
      <w:r w:rsidRPr="00D318F9">
        <w:rPr>
          <w:rFonts w:ascii="Century Schoolbook" w:hAnsi="Century Schoolbook"/>
          <w:color w:val="000000"/>
          <w:sz w:val="28"/>
          <w:szCs w:val="28"/>
        </w:rPr>
        <w:t xml:space="preserve">possible abuses of the procedure.  </w:t>
      </w:r>
      <w:r w:rsidRPr="00D318F9">
        <w:rPr>
          <w:rFonts w:ascii="Century Schoolbook" w:hAnsi="Century Schoolbook"/>
          <w:i/>
          <w:iCs/>
          <w:color w:val="000000"/>
          <w:sz w:val="28"/>
          <w:szCs w:val="28"/>
        </w:rPr>
        <w:t xml:space="preserve">Id.  </w:t>
      </w:r>
    </w:p>
    <w:p w14:paraId="2D292CEE" w14:textId="08522C62" w:rsidR="002A1885" w:rsidRPr="00D318F9" w:rsidRDefault="002A1885"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Arizona courts have recognized that the substantive right secured by A.R.S. §</w:t>
      </w:r>
      <w:r w:rsidR="00B14458">
        <w:rPr>
          <w:rFonts w:ascii="Century Schoolbook" w:hAnsi="Century Schoolbook"/>
          <w:sz w:val="28"/>
          <w:szCs w:val="28"/>
        </w:rPr>
        <w:t xml:space="preserve"> </w:t>
      </w:r>
      <w:r w:rsidRPr="00D318F9">
        <w:rPr>
          <w:rFonts w:ascii="Century Schoolbook" w:hAnsi="Century Schoolbook"/>
          <w:sz w:val="28"/>
          <w:szCs w:val="28"/>
        </w:rPr>
        <w:t>12-409 applies</w:t>
      </w:r>
      <w:r w:rsidR="00EF2DFE" w:rsidRPr="00D318F9">
        <w:rPr>
          <w:rFonts w:ascii="Century Schoolbook" w:hAnsi="Century Schoolbook"/>
          <w:sz w:val="28"/>
          <w:szCs w:val="28"/>
        </w:rPr>
        <w:t xml:space="preserve"> in</w:t>
      </w:r>
      <w:r w:rsidRPr="00D318F9">
        <w:rPr>
          <w:rFonts w:ascii="Century Schoolbook" w:hAnsi="Century Schoolbook"/>
          <w:sz w:val="28"/>
          <w:szCs w:val="28"/>
        </w:rPr>
        <w:t xml:space="preserve"> </w:t>
      </w:r>
      <w:r w:rsidR="00E35548" w:rsidRPr="00D318F9">
        <w:rPr>
          <w:rFonts w:ascii="Century Schoolbook" w:hAnsi="Century Schoolbook"/>
          <w:sz w:val="28"/>
          <w:szCs w:val="28"/>
        </w:rPr>
        <w:t>family law cases (</w:t>
      </w:r>
      <w:r w:rsidR="00E35548" w:rsidRPr="00D318F9">
        <w:rPr>
          <w:rFonts w:ascii="Century Schoolbook" w:hAnsi="Century Schoolbook"/>
          <w:i/>
          <w:iCs/>
          <w:sz w:val="28"/>
          <w:szCs w:val="28"/>
        </w:rPr>
        <w:t xml:space="preserve">Hofstra v. Mahoney, </w:t>
      </w:r>
      <w:r w:rsidR="00E35548" w:rsidRPr="00D318F9">
        <w:rPr>
          <w:rFonts w:ascii="Century Schoolbook" w:hAnsi="Century Schoolbook"/>
          <w:sz w:val="28"/>
          <w:szCs w:val="28"/>
        </w:rPr>
        <w:t xml:space="preserve">108 Ariz. 498 (1972); </w:t>
      </w:r>
      <w:r w:rsidR="00E35548" w:rsidRPr="00D318F9">
        <w:rPr>
          <w:rFonts w:ascii="Century Schoolbook" w:hAnsi="Century Schoolbook"/>
          <w:i/>
          <w:iCs/>
          <w:sz w:val="28"/>
          <w:szCs w:val="28"/>
        </w:rPr>
        <w:t xml:space="preserve">West v. Superior Court, </w:t>
      </w:r>
      <w:r w:rsidR="00E35548" w:rsidRPr="00D318F9">
        <w:rPr>
          <w:rFonts w:ascii="Century Schoolbook" w:hAnsi="Century Schoolbook"/>
          <w:sz w:val="28"/>
          <w:szCs w:val="28"/>
        </w:rPr>
        <w:t>104 Ariz. 1 (1968)), probate cases (</w:t>
      </w:r>
      <w:r w:rsidR="00E35548" w:rsidRPr="00D318F9">
        <w:rPr>
          <w:rFonts w:ascii="Century Schoolbook" w:hAnsi="Century Schoolbook"/>
          <w:i/>
          <w:iCs/>
          <w:sz w:val="28"/>
          <w:szCs w:val="28"/>
        </w:rPr>
        <w:t xml:space="preserve">In re Sears’ Estate, </w:t>
      </w:r>
      <w:r w:rsidR="00E35548" w:rsidRPr="00D318F9">
        <w:rPr>
          <w:rFonts w:ascii="Century Schoolbook" w:hAnsi="Century Schoolbook"/>
          <w:sz w:val="28"/>
          <w:szCs w:val="28"/>
        </w:rPr>
        <w:t>54 Ariz. 52 (1939))</w:t>
      </w:r>
      <w:r w:rsidRPr="00D318F9">
        <w:rPr>
          <w:rFonts w:ascii="Century Schoolbook" w:hAnsi="Century Schoolbook"/>
          <w:sz w:val="28"/>
          <w:szCs w:val="28"/>
        </w:rPr>
        <w:t>, and juvenile cases (</w:t>
      </w:r>
      <w:r w:rsidRPr="00D318F9">
        <w:rPr>
          <w:rFonts w:ascii="Century Schoolbook" w:hAnsi="Century Schoolbook"/>
          <w:i/>
          <w:iCs/>
          <w:sz w:val="28"/>
          <w:szCs w:val="28"/>
        </w:rPr>
        <w:t xml:space="preserve">Anonymous v. Superior Court, </w:t>
      </w:r>
      <w:r w:rsidRPr="00D318F9">
        <w:rPr>
          <w:rFonts w:ascii="Century Schoolbook" w:hAnsi="Century Schoolbook"/>
          <w:sz w:val="28"/>
          <w:szCs w:val="28"/>
        </w:rPr>
        <w:t>14 Ariz.App. 503 (1971)).</w:t>
      </w:r>
      <w:r w:rsidRPr="00D318F9">
        <w:rPr>
          <w:rStyle w:val="FootnoteReference"/>
          <w:rFonts w:ascii="Century Schoolbook" w:hAnsi="Century Schoolbook"/>
          <w:sz w:val="28"/>
          <w:szCs w:val="28"/>
        </w:rPr>
        <w:footnoteReference w:id="2"/>
      </w:r>
    </w:p>
    <w:p w14:paraId="26DD3273" w14:textId="720820FF" w:rsidR="002A1885" w:rsidRPr="00D318F9" w:rsidRDefault="00E35548"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Th</w:t>
      </w:r>
      <w:r w:rsidR="002A1885" w:rsidRPr="00D318F9">
        <w:rPr>
          <w:rFonts w:ascii="Century Schoolbook" w:hAnsi="Century Schoolbook"/>
          <w:sz w:val="28"/>
          <w:szCs w:val="28"/>
        </w:rPr>
        <w:t xml:space="preserve">is </w:t>
      </w:r>
      <w:r w:rsidRPr="00D318F9">
        <w:rPr>
          <w:rFonts w:ascii="Century Schoolbook" w:hAnsi="Century Schoolbook"/>
          <w:sz w:val="28"/>
          <w:szCs w:val="28"/>
        </w:rPr>
        <w:t xml:space="preserve">Court has repeatedly found the right </w:t>
      </w:r>
      <w:r w:rsidR="005D0DE8" w:rsidRPr="00D318F9">
        <w:rPr>
          <w:rFonts w:ascii="Century Schoolbook" w:hAnsi="Century Schoolbook"/>
          <w:sz w:val="28"/>
          <w:szCs w:val="28"/>
        </w:rPr>
        <w:t>codified in</w:t>
      </w:r>
      <w:r w:rsidRPr="00D318F9">
        <w:rPr>
          <w:rFonts w:ascii="Century Schoolbook" w:hAnsi="Century Schoolbook"/>
          <w:sz w:val="28"/>
          <w:szCs w:val="28"/>
        </w:rPr>
        <w:t xml:space="preserve"> A.R.S. §</w:t>
      </w:r>
      <w:r w:rsidR="00B14458">
        <w:rPr>
          <w:rFonts w:ascii="Century Schoolbook" w:hAnsi="Century Schoolbook"/>
          <w:sz w:val="28"/>
          <w:szCs w:val="28"/>
        </w:rPr>
        <w:t xml:space="preserve"> </w:t>
      </w:r>
      <w:r w:rsidRPr="00D318F9">
        <w:rPr>
          <w:rFonts w:ascii="Century Schoolbook" w:hAnsi="Century Schoolbook"/>
          <w:sz w:val="28"/>
          <w:szCs w:val="28"/>
        </w:rPr>
        <w:t xml:space="preserve">12-409 is a substantive right declared by the Legislature.  </w:t>
      </w:r>
      <w:r w:rsidRPr="00D318F9">
        <w:rPr>
          <w:rFonts w:ascii="Century Schoolbook" w:hAnsi="Century Schoolbook"/>
          <w:i/>
          <w:iCs/>
          <w:sz w:val="28"/>
          <w:szCs w:val="28"/>
        </w:rPr>
        <w:t xml:space="preserve">Marsin, </w:t>
      </w:r>
      <w:r w:rsidRPr="00D318F9">
        <w:rPr>
          <w:rFonts w:ascii="Century Schoolbook" w:hAnsi="Century Schoolbook"/>
          <w:sz w:val="28"/>
          <w:szCs w:val="28"/>
        </w:rPr>
        <w:t xml:space="preserve">78 Ariz. </w:t>
      </w:r>
      <w:r w:rsidR="006F785E" w:rsidRPr="00D318F9">
        <w:rPr>
          <w:rFonts w:ascii="Century Schoolbook" w:hAnsi="Century Schoolbook"/>
          <w:sz w:val="28"/>
          <w:szCs w:val="28"/>
        </w:rPr>
        <w:lastRenderedPageBreak/>
        <w:t xml:space="preserve">at </w:t>
      </w:r>
      <w:r w:rsidRPr="00D318F9">
        <w:rPr>
          <w:rFonts w:ascii="Century Schoolbook" w:hAnsi="Century Schoolbook"/>
          <w:sz w:val="28"/>
          <w:szCs w:val="28"/>
        </w:rPr>
        <w:t xml:space="preserve">312; </w:t>
      </w:r>
      <w:r w:rsidRPr="00D318F9">
        <w:rPr>
          <w:rFonts w:ascii="Century Schoolbook" w:hAnsi="Century Schoolbook"/>
          <w:i/>
          <w:iCs/>
          <w:sz w:val="28"/>
          <w:szCs w:val="28"/>
        </w:rPr>
        <w:t>Hordyk</w:t>
      </w:r>
      <w:r w:rsidRPr="00D318F9">
        <w:rPr>
          <w:rFonts w:ascii="Century Schoolbook" w:hAnsi="Century Schoolbook"/>
          <w:sz w:val="28"/>
          <w:szCs w:val="28"/>
        </w:rPr>
        <w:t xml:space="preserve">, 94 Ariz. at 194, n. 2; </w:t>
      </w:r>
      <w:r w:rsidRPr="00D318F9">
        <w:rPr>
          <w:rFonts w:ascii="Century Schoolbook" w:hAnsi="Century Schoolbook"/>
          <w:i/>
          <w:iCs/>
          <w:sz w:val="28"/>
          <w:szCs w:val="28"/>
        </w:rPr>
        <w:t xml:space="preserve">Itule v. Farley, </w:t>
      </w:r>
      <w:r w:rsidRPr="00D318F9">
        <w:rPr>
          <w:rFonts w:ascii="Century Schoolbook" w:hAnsi="Century Schoolbook"/>
          <w:sz w:val="28"/>
          <w:szCs w:val="28"/>
        </w:rPr>
        <w:t xml:space="preserve">94 Ariz. 242, 243 (1963); </w:t>
      </w:r>
      <w:r w:rsidRPr="00D318F9">
        <w:rPr>
          <w:rFonts w:ascii="Century Schoolbook" w:hAnsi="Century Schoolbook"/>
          <w:i/>
          <w:iCs/>
          <w:sz w:val="28"/>
          <w:szCs w:val="28"/>
        </w:rPr>
        <w:t>Daou v. Harris</w:t>
      </w:r>
      <w:r w:rsidRPr="00D318F9">
        <w:rPr>
          <w:rFonts w:ascii="Century Schoolbook" w:hAnsi="Century Schoolbook"/>
          <w:sz w:val="28"/>
          <w:szCs w:val="28"/>
        </w:rPr>
        <w:t xml:space="preserve">, 138 Ariz. 353 (1984).  </w:t>
      </w:r>
      <w:r w:rsidR="002A1885" w:rsidRPr="00D318F9">
        <w:rPr>
          <w:rFonts w:ascii="Century Schoolbook" w:hAnsi="Century Schoolbook"/>
          <w:sz w:val="28"/>
          <w:szCs w:val="28"/>
        </w:rPr>
        <w:t>It has further explained</w:t>
      </w:r>
      <w:r w:rsidRPr="00D318F9">
        <w:rPr>
          <w:rFonts w:ascii="Century Schoolbook" w:hAnsi="Century Schoolbook"/>
          <w:sz w:val="28"/>
          <w:szCs w:val="28"/>
        </w:rPr>
        <w:t xml:space="preserve"> that </w:t>
      </w:r>
      <w:r w:rsidR="002A1885" w:rsidRPr="00D318F9">
        <w:rPr>
          <w:rFonts w:ascii="Century Schoolbook" w:hAnsi="Century Schoolbook"/>
          <w:sz w:val="28"/>
          <w:szCs w:val="28"/>
        </w:rPr>
        <w:t xml:space="preserve">the right to a peremptory change of judge </w:t>
      </w:r>
      <w:r w:rsidRPr="00D318F9">
        <w:rPr>
          <w:rFonts w:ascii="Century Schoolbook" w:hAnsi="Century Schoolbook"/>
          <w:sz w:val="28"/>
          <w:szCs w:val="28"/>
        </w:rPr>
        <w:t>is a “</w:t>
      </w:r>
      <w:r w:rsidRPr="00D318F9">
        <w:rPr>
          <w:rFonts w:ascii="Century Schoolbook" w:hAnsi="Century Schoolbook"/>
          <w:i/>
          <w:iCs/>
          <w:sz w:val="28"/>
          <w:szCs w:val="28"/>
        </w:rPr>
        <w:t>valuable substantive right</w:t>
      </w:r>
      <w:r w:rsidRPr="00D318F9">
        <w:rPr>
          <w:rFonts w:ascii="Century Schoolbook" w:hAnsi="Century Schoolbook"/>
          <w:sz w:val="28"/>
          <w:szCs w:val="28"/>
        </w:rPr>
        <w:t>” (</w:t>
      </w:r>
      <w:r w:rsidRPr="00D318F9">
        <w:rPr>
          <w:rFonts w:ascii="Century Schoolbook" w:hAnsi="Century Schoolbook"/>
          <w:i/>
          <w:iCs/>
          <w:sz w:val="28"/>
          <w:szCs w:val="28"/>
        </w:rPr>
        <w:t xml:space="preserve">Marsin, </w:t>
      </w:r>
      <w:r w:rsidRPr="00D318F9">
        <w:rPr>
          <w:rFonts w:ascii="Century Schoolbook" w:hAnsi="Century Schoolbook"/>
          <w:sz w:val="28"/>
          <w:szCs w:val="28"/>
        </w:rPr>
        <w:t>78 Ariz. at 312 (emphasis added)), and an “</w:t>
      </w:r>
      <w:r w:rsidRPr="00D318F9">
        <w:rPr>
          <w:rFonts w:ascii="Century Schoolbook" w:hAnsi="Century Schoolbook"/>
          <w:i/>
          <w:iCs/>
          <w:sz w:val="28"/>
          <w:szCs w:val="28"/>
        </w:rPr>
        <w:t xml:space="preserve">absolute right.” American Buyers Life Ins. Co. v. Superior Court, </w:t>
      </w:r>
      <w:r w:rsidRPr="00D318F9">
        <w:rPr>
          <w:rFonts w:ascii="Century Schoolbook" w:hAnsi="Century Schoolbook"/>
          <w:sz w:val="28"/>
          <w:szCs w:val="28"/>
        </w:rPr>
        <w:t>84 Ariz. 377, 380 (1958)</w:t>
      </w:r>
      <w:r w:rsidR="002A1885" w:rsidRPr="00D318F9">
        <w:rPr>
          <w:rFonts w:ascii="Century Schoolbook" w:hAnsi="Century Schoolbook"/>
          <w:sz w:val="28"/>
          <w:szCs w:val="28"/>
        </w:rPr>
        <w:t xml:space="preserve"> (emphasis added)</w:t>
      </w:r>
      <w:r w:rsidRPr="00D318F9">
        <w:rPr>
          <w:rFonts w:ascii="Century Schoolbook" w:hAnsi="Century Schoolbook"/>
          <w:sz w:val="28"/>
          <w:szCs w:val="28"/>
        </w:rPr>
        <w:t xml:space="preserve">.  The Court has also interpreted the statute as “mandatory.”  </w:t>
      </w:r>
      <w:r w:rsidRPr="00D318F9">
        <w:rPr>
          <w:rFonts w:ascii="Century Schoolbook" w:hAnsi="Century Schoolbook"/>
          <w:i/>
          <w:iCs/>
          <w:sz w:val="28"/>
          <w:szCs w:val="28"/>
        </w:rPr>
        <w:t xml:space="preserve">In re Sears’ Estate, </w:t>
      </w:r>
      <w:r w:rsidRPr="00D318F9">
        <w:rPr>
          <w:rFonts w:ascii="Century Schoolbook" w:hAnsi="Century Schoolbook"/>
          <w:sz w:val="28"/>
          <w:szCs w:val="28"/>
        </w:rPr>
        <w:t xml:space="preserve">54 Ariz. at 54.  </w:t>
      </w:r>
    </w:p>
    <w:p w14:paraId="5D23D2BC" w14:textId="600E35F3" w:rsidR="00E35548" w:rsidRPr="00D318F9" w:rsidRDefault="00E35548"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While acknowledging that the judiciary has the authority to make rules of practice and procedure, th</w:t>
      </w:r>
      <w:r w:rsidR="002A1885" w:rsidRPr="00D318F9">
        <w:rPr>
          <w:rFonts w:ascii="Century Schoolbook" w:hAnsi="Century Schoolbook"/>
          <w:sz w:val="28"/>
          <w:szCs w:val="28"/>
        </w:rPr>
        <w:t>is</w:t>
      </w:r>
      <w:r w:rsidRPr="00D318F9">
        <w:rPr>
          <w:rFonts w:ascii="Century Schoolbook" w:hAnsi="Century Schoolbook"/>
          <w:sz w:val="28"/>
          <w:szCs w:val="28"/>
        </w:rPr>
        <w:t xml:space="preserve"> Court has </w:t>
      </w:r>
      <w:r w:rsidR="002A1885" w:rsidRPr="00D318F9">
        <w:rPr>
          <w:rFonts w:ascii="Century Schoolbook" w:hAnsi="Century Schoolbook"/>
          <w:sz w:val="28"/>
          <w:szCs w:val="28"/>
        </w:rPr>
        <w:t xml:space="preserve">previously </w:t>
      </w:r>
      <w:r w:rsidRPr="00D318F9">
        <w:rPr>
          <w:rFonts w:ascii="Century Schoolbook" w:hAnsi="Century Schoolbook"/>
          <w:sz w:val="28"/>
          <w:szCs w:val="28"/>
        </w:rPr>
        <w:t xml:space="preserve">acknowledged that its authority “is limited to rules which do not abridge, enlarge or modify substantive rights.”  </w:t>
      </w:r>
      <w:r w:rsidRPr="00D318F9">
        <w:rPr>
          <w:rFonts w:ascii="Century Schoolbook" w:hAnsi="Century Schoolbook"/>
          <w:i/>
          <w:iCs/>
          <w:sz w:val="28"/>
          <w:szCs w:val="28"/>
        </w:rPr>
        <w:t>Hordyk</w:t>
      </w:r>
      <w:r w:rsidRPr="00D318F9">
        <w:rPr>
          <w:rFonts w:ascii="Century Schoolbook" w:hAnsi="Century Schoolbook"/>
          <w:sz w:val="28"/>
          <w:szCs w:val="28"/>
        </w:rPr>
        <w:t>, 94 Ariz. at 194, n. 2.  Specifically, as it relates to A.R.S. §</w:t>
      </w:r>
      <w:r w:rsidR="00C02DE8">
        <w:rPr>
          <w:rFonts w:ascii="Century Schoolbook" w:hAnsi="Century Schoolbook"/>
          <w:sz w:val="28"/>
          <w:szCs w:val="28"/>
        </w:rPr>
        <w:t xml:space="preserve"> </w:t>
      </w:r>
      <w:r w:rsidRPr="00D318F9">
        <w:rPr>
          <w:rFonts w:ascii="Century Schoolbook" w:hAnsi="Century Schoolbook"/>
          <w:sz w:val="28"/>
          <w:szCs w:val="28"/>
        </w:rPr>
        <w:t xml:space="preserve">12-409, the Court has held that “[a] court is limited to passing rules which prescribe procedure for exercising the right. </w:t>
      </w:r>
      <w:r w:rsidRPr="00D318F9">
        <w:rPr>
          <w:rFonts w:ascii="Century Schoolbook" w:hAnsi="Century Schoolbook"/>
          <w:i/>
          <w:iCs/>
          <w:sz w:val="28"/>
          <w:szCs w:val="28"/>
        </w:rPr>
        <w:t>Any rule of court that operates to lessen or eliminate the right is of no legal force</w:t>
      </w:r>
      <w:r w:rsidRPr="00D318F9">
        <w:rPr>
          <w:rFonts w:ascii="Century Schoolbook" w:hAnsi="Century Schoolbook"/>
          <w:sz w:val="28"/>
          <w:szCs w:val="28"/>
        </w:rPr>
        <w:t xml:space="preserve">.”  </w:t>
      </w:r>
      <w:r w:rsidRPr="00D318F9">
        <w:rPr>
          <w:rFonts w:ascii="Century Schoolbook" w:hAnsi="Century Schoolbook"/>
          <w:i/>
          <w:iCs/>
          <w:sz w:val="28"/>
          <w:szCs w:val="28"/>
        </w:rPr>
        <w:t xml:space="preserve">Marsin, </w:t>
      </w:r>
      <w:r w:rsidRPr="00D318F9">
        <w:rPr>
          <w:rFonts w:ascii="Century Schoolbook" w:hAnsi="Century Schoolbook"/>
          <w:sz w:val="28"/>
          <w:szCs w:val="28"/>
        </w:rPr>
        <w:t xml:space="preserve">78 Ariz. at 312 (emphasis added).  </w:t>
      </w:r>
    </w:p>
    <w:p w14:paraId="3ED333AA" w14:textId="583228EB" w:rsidR="00C02DE8" w:rsidRPr="008F20DA" w:rsidRDefault="00E53986" w:rsidP="00D318F9">
      <w:pPr>
        <w:tabs>
          <w:tab w:val="left" w:pos="9360"/>
        </w:tabs>
        <w:spacing w:before="240" w:line="240" w:lineRule="auto"/>
        <w:ind w:left="720" w:hanging="720"/>
        <w:jc w:val="both"/>
        <w:rPr>
          <w:rFonts w:ascii="Century Schoolbook" w:hAnsi="Century Schoolbook"/>
          <w:b/>
          <w:bCs/>
          <w:sz w:val="28"/>
          <w:szCs w:val="28"/>
        </w:rPr>
      </w:pPr>
      <w:r w:rsidRPr="00D318F9">
        <w:rPr>
          <w:rFonts w:ascii="Century Schoolbook" w:hAnsi="Century Schoolbook"/>
          <w:b/>
          <w:bCs/>
          <w:sz w:val="28"/>
          <w:szCs w:val="28"/>
        </w:rPr>
        <w:t>B.</w:t>
      </w:r>
      <w:r w:rsidRPr="00D318F9">
        <w:rPr>
          <w:rFonts w:ascii="Century Schoolbook" w:hAnsi="Century Schoolbook"/>
          <w:b/>
          <w:bCs/>
          <w:sz w:val="28"/>
          <w:szCs w:val="28"/>
        </w:rPr>
        <w:tab/>
      </w:r>
      <w:r w:rsidR="00C02DE8">
        <w:rPr>
          <w:rFonts w:ascii="Century Schoolbook" w:hAnsi="Century Schoolbook"/>
          <w:b/>
          <w:bCs/>
          <w:sz w:val="28"/>
          <w:szCs w:val="28"/>
        </w:rPr>
        <w:t xml:space="preserve">The Suggestion That This Court May Abolish the Right To Change of Judge Emanates From an Understandable Misunderstanding Grounded in the </w:t>
      </w:r>
      <w:r w:rsidR="003E190E">
        <w:rPr>
          <w:rFonts w:ascii="Century Schoolbook" w:hAnsi="Century Schoolbook"/>
          <w:b/>
          <w:bCs/>
          <w:sz w:val="28"/>
          <w:szCs w:val="28"/>
        </w:rPr>
        <w:t xml:space="preserve">Complex </w:t>
      </w:r>
      <w:r w:rsidR="00C02DE8">
        <w:rPr>
          <w:rFonts w:ascii="Century Schoolbook" w:hAnsi="Century Schoolbook"/>
          <w:b/>
          <w:bCs/>
          <w:sz w:val="28"/>
          <w:szCs w:val="28"/>
        </w:rPr>
        <w:t xml:space="preserve">History of the </w:t>
      </w:r>
      <w:r w:rsidR="00C02DE8" w:rsidRPr="00C674AA">
        <w:rPr>
          <w:rFonts w:ascii="Century Schoolbook" w:hAnsi="Century Schoolbook"/>
          <w:b/>
          <w:bCs/>
          <w:sz w:val="28"/>
          <w:szCs w:val="28"/>
        </w:rPr>
        <w:t>Rules Governing Change of Judge.</w:t>
      </w:r>
      <w:r w:rsidR="00C02DE8" w:rsidRPr="00C674AA">
        <w:rPr>
          <w:rFonts w:ascii="Century Schoolbook" w:hAnsi="Century Schoolbook"/>
          <w:b/>
          <w:bCs/>
          <w:sz w:val="28"/>
          <w:szCs w:val="28"/>
        </w:rPr>
        <w:tab/>
      </w:r>
    </w:p>
    <w:p w14:paraId="46DE6C3A" w14:textId="77777777" w:rsidR="00E53986" w:rsidRPr="008F20DA" w:rsidRDefault="00E53986" w:rsidP="00D318F9">
      <w:pPr>
        <w:spacing w:line="240" w:lineRule="auto"/>
        <w:jc w:val="both"/>
        <w:rPr>
          <w:rFonts w:ascii="Century Schoolbook" w:hAnsi="Century Schoolbook"/>
          <w:sz w:val="28"/>
          <w:szCs w:val="28"/>
        </w:rPr>
      </w:pPr>
    </w:p>
    <w:p w14:paraId="495DF945" w14:textId="3C358BE3" w:rsidR="00C02DE8" w:rsidRPr="00D318F9" w:rsidRDefault="00C02DE8" w:rsidP="00D318F9">
      <w:pPr>
        <w:spacing w:line="240" w:lineRule="auto"/>
        <w:ind w:left="1440" w:hanging="720"/>
        <w:jc w:val="both"/>
        <w:rPr>
          <w:rFonts w:ascii="Century Schoolbook" w:hAnsi="Century Schoolbook"/>
          <w:b/>
          <w:bCs/>
          <w:sz w:val="28"/>
          <w:szCs w:val="28"/>
        </w:rPr>
      </w:pPr>
      <w:r w:rsidRPr="00D318F9">
        <w:rPr>
          <w:rFonts w:ascii="Century Schoolbook" w:hAnsi="Century Schoolbook"/>
          <w:b/>
          <w:bCs/>
          <w:sz w:val="28"/>
          <w:szCs w:val="28"/>
        </w:rPr>
        <w:t>1.</w:t>
      </w:r>
      <w:r w:rsidRPr="00D318F9">
        <w:rPr>
          <w:rFonts w:ascii="Century Schoolbook" w:hAnsi="Century Schoolbook"/>
          <w:b/>
          <w:bCs/>
          <w:sz w:val="28"/>
          <w:szCs w:val="28"/>
        </w:rPr>
        <w:tab/>
        <w:t>The Pre-1972 Practice Governing Change of Judge Drew Directly Upon A.R.S. § 12-409, and Was Rounded Out By Case Law Construing and Guiding the Superior Court in its Application of the Statute.</w:t>
      </w:r>
    </w:p>
    <w:p w14:paraId="75FD22BE" w14:textId="6C97578B" w:rsidR="00E53986" w:rsidRDefault="00E35548" w:rsidP="004C0815">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 xml:space="preserve">Before 1972, </w:t>
      </w:r>
      <w:r w:rsidR="00E53986" w:rsidRPr="00D318F9">
        <w:rPr>
          <w:rFonts w:ascii="Century Schoolbook" w:hAnsi="Century Schoolbook"/>
          <w:sz w:val="28"/>
          <w:szCs w:val="28"/>
        </w:rPr>
        <w:t>the procedure for a party to invoke a right to a peremptory change of judge in a non-criminal matter in Superior Court was governed by the limited procedures set forth in Title 12.</w:t>
      </w:r>
      <w:r w:rsidR="00C02DE8">
        <w:rPr>
          <w:rFonts w:ascii="Century Schoolbook" w:hAnsi="Century Schoolbook"/>
          <w:sz w:val="28"/>
          <w:szCs w:val="28"/>
        </w:rPr>
        <w:t xml:space="preserve">  </w:t>
      </w:r>
    </w:p>
    <w:p w14:paraId="512D6DC5" w14:textId="77777777" w:rsidR="00C02DE8" w:rsidRPr="00712A1C" w:rsidRDefault="00C02DE8" w:rsidP="00C02DE8">
      <w:pPr>
        <w:spacing w:line="480" w:lineRule="exact"/>
        <w:ind w:firstLine="720"/>
        <w:jc w:val="both"/>
        <w:rPr>
          <w:rFonts w:ascii="Century Schoolbook" w:hAnsi="Century Schoolbook"/>
          <w:sz w:val="28"/>
          <w:szCs w:val="28"/>
        </w:rPr>
      </w:pPr>
      <w:r w:rsidRPr="00712A1C">
        <w:rPr>
          <w:rFonts w:ascii="Century Schoolbook" w:hAnsi="Century Schoolbook"/>
          <w:sz w:val="28"/>
          <w:szCs w:val="28"/>
        </w:rPr>
        <w:lastRenderedPageBreak/>
        <w:t>To obtain a peremptory change of judge, a party or counsel merely needed to file an affidavit that complied with A.R.S. §</w:t>
      </w:r>
      <w:r>
        <w:rPr>
          <w:rFonts w:ascii="Century Schoolbook" w:hAnsi="Century Schoolbook"/>
          <w:sz w:val="28"/>
          <w:szCs w:val="28"/>
        </w:rPr>
        <w:t xml:space="preserve"> </w:t>
      </w:r>
      <w:r w:rsidRPr="00712A1C">
        <w:rPr>
          <w:rFonts w:ascii="Century Schoolbook" w:hAnsi="Century Schoolbook"/>
          <w:sz w:val="28"/>
          <w:szCs w:val="28"/>
        </w:rPr>
        <w:t xml:space="preserve">12-409.  </w:t>
      </w:r>
      <w:r w:rsidRPr="00712A1C">
        <w:rPr>
          <w:rFonts w:ascii="Century Schoolbook" w:hAnsi="Century Schoolbook"/>
          <w:i/>
          <w:iCs/>
          <w:sz w:val="28"/>
          <w:szCs w:val="28"/>
        </w:rPr>
        <w:t xml:space="preserve">Conkling v. Crosby, </w:t>
      </w:r>
      <w:r w:rsidRPr="00712A1C">
        <w:rPr>
          <w:rFonts w:ascii="Century Schoolbook" w:hAnsi="Century Schoolbook"/>
          <w:sz w:val="28"/>
          <w:szCs w:val="28"/>
        </w:rPr>
        <w:t xml:space="preserve">29 Ariz. 60, 73 (1925); </w:t>
      </w:r>
      <w:r w:rsidRPr="00712A1C">
        <w:rPr>
          <w:rFonts w:ascii="Century Schoolbook" w:hAnsi="Century Schoolbook"/>
          <w:i/>
          <w:iCs/>
          <w:sz w:val="28"/>
          <w:szCs w:val="28"/>
        </w:rPr>
        <w:t xml:space="preserve">King v. Superior Court, </w:t>
      </w:r>
      <w:r w:rsidRPr="00712A1C">
        <w:rPr>
          <w:rFonts w:ascii="Century Schoolbook" w:hAnsi="Century Schoolbook"/>
          <w:sz w:val="28"/>
          <w:szCs w:val="28"/>
        </w:rPr>
        <w:t xml:space="preserve">108 Ariz. 492 (1972); </w:t>
      </w:r>
      <w:r w:rsidRPr="00712A1C">
        <w:rPr>
          <w:rFonts w:ascii="Century Schoolbook" w:hAnsi="Century Schoolbook"/>
          <w:i/>
          <w:iCs/>
          <w:sz w:val="28"/>
          <w:szCs w:val="28"/>
        </w:rPr>
        <w:t xml:space="preserve">Consolidated Carpet Corp. v. Superior Court, </w:t>
      </w:r>
      <w:r w:rsidRPr="00712A1C">
        <w:rPr>
          <w:rFonts w:ascii="Century Schoolbook" w:hAnsi="Century Schoolbook"/>
          <w:sz w:val="28"/>
          <w:szCs w:val="28"/>
        </w:rPr>
        <w:t xml:space="preserve">13 Ariz.App. 429 (1970).  The only language that needed to be included in the affidavit was that of the statute.  </w:t>
      </w:r>
      <w:r w:rsidRPr="00712A1C">
        <w:rPr>
          <w:rFonts w:ascii="Century Schoolbook" w:hAnsi="Century Schoolbook"/>
          <w:i/>
          <w:iCs/>
          <w:sz w:val="28"/>
          <w:szCs w:val="28"/>
        </w:rPr>
        <w:t xml:space="preserve">Stephens v. Stephens, </w:t>
      </w:r>
      <w:r w:rsidRPr="00712A1C">
        <w:rPr>
          <w:rFonts w:ascii="Century Schoolbook" w:hAnsi="Century Schoolbook"/>
          <w:sz w:val="28"/>
          <w:szCs w:val="28"/>
        </w:rPr>
        <w:t>17 Ariz. 306, 309 (1915).  Acceptable language was cursory and did not need to include specific facts supporting the allegations of bias and prejudice as demonstrated by the following affidavit language that was held sufficient by the Court of Appeals:</w:t>
      </w:r>
    </w:p>
    <w:p w14:paraId="56D8F4A8" w14:textId="77777777" w:rsidR="00C02DE8" w:rsidRPr="00712A1C" w:rsidRDefault="00C02DE8" w:rsidP="00C02DE8">
      <w:pPr>
        <w:widowControl w:val="0"/>
        <w:autoSpaceDE w:val="0"/>
        <w:autoSpaceDN w:val="0"/>
        <w:adjustRightInd w:val="0"/>
        <w:spacing w:line="240" w:lineRule="auto"/>
        <w:ind w:left="720" w:right="720"/>
        <w:jc w:val="both"/>
        <w:rPr>
          <w:rFonts w:ascii="Century Schoolbook" w:hAnsi="Century Schoolbook"/>
          <w:color w:val="000000"/>
          <w:sz w:val="28"/>
          <w:szCs w:val="28"/>
        </w:rPr>
      </w:pPr>
    </w:p>
    <w:p w14:paraId="5C2EC5EB" w14:textId="77777777" w:rsidR="00C02DE8" w:rsidRPr="00712A1C" w:rsidRDefault="00C02DE8" w:rsidP="00C02DE8">
      <w:pPr>
        <w:widowControl w:val="0"/>
        <w:autoSpaceDE w:val="0"/>
        <w:autoSpaceDN w:val="0"/>
        <w:adjustRightInd w:val="0"/>
        <w:spacing w:line="240" w:lineRule="auto"/>
        <w:ind w:left="720" w:right="720"/>
        <w:jc w:val="both"/>
        <w:rPr>
          <w:rFonts w:ascii="Century Schoolbook" w:hAnsi="Century Schoolbook"/>
          <w:color w:val="000000"/>
          <w:sz w:val="28"/>
          <w:szCs w:val="28"/>
        </w:rPr>
      </w:pPr>
      <w:r w:rsidRPr="00712A1C">
        <w:rPr>
          <w:rFonts w:ascii="Century Schoolbook" w:hAnsi="Century Schoolbook"/>
          <w:color w:val="000000"/>
          <w:sz w:val="28"/>
          <w:szCs w:val="28"/>
        </w:rPr>
        <w:t>Beverly J. McConnell, being first duly sworn upon her oath, deposes and says:</w:t>
      </w:r>
    </w:p>
    <w:p w14:paraId="096BB000" w14:textId="77777777" w:rsidR="00C02DE8" w:rsidRPr="00712A1C" w:rsidRDefault="00C02DE8" w:rsidP="00C02DE8">
      <w:pPr>
        <w:widowControl w:val="0"/>
        <w:autoSpaceDE w:val="0"/>
        <w:autoSpaceDN w:val="0"/>
        <w:adjustRightInd w:val="0"/>
        <w:spacing w:line="240" w:lineRule="auto"/>
        <w:ind w:left="720" w:right="720"/>
        <w:jc w:val="both"/>
        <w:rPr>
          <w:rFonts w:ascii="Century Schoolbook" w:hAnsi="Century Schoolbook"/>
          <w:color w:val="000000"/>
          <w:sz w:val="28"/>
          <w:szCs w:val="28"/>
        </w:rPr>
      </w:pPr>
    </w:p>
    <w:p w14:paraId="034BAB7F" w14:textId="77777777" w:rsidR="00C02DE8" w:rsidRPr="00712A1C" w:rsidRDefault="00C02DE8" w:rsidP="00C02DE8">
      <w:pPr>
        <w:widowControl w:val="0"/>
        <w:autoSpaceDE w:val="0"/>
        <w:autoSpaceDN w:val="0"/>
        <w:adjustRightInd w:val="0"/>
        <w:spacing w:line="240" w:lineRule="auto"/>
        <w:ind w:left="720" w:right="720"/>
        <w:jc w:val="both"/>
        <w:rPr>
          <w:rFonts w:ascii="Century Schoolbook" w:hAnsi="Century Schoolbook"/>
          <w:color w:val="000000"/>
          <w:sz w:val="28"/>
          <w:szCs w:val="28"/>
        </w:rPr>
      </w:pPr>
      <w:r w:rsidRPr="00712A1C">
        <w:rPr>
          <w:rFonts w:ascii="Century Schoolbook" w:hAnsi="Century Schoolbook"/>
          <w:color w:val="000000"/>
          <w:sz w:val="28"/>
          <w:szCs w:val="28"/>
        </w:rPr>
        <w:t>I am the attorney for the plaintiff in the above entitled action, and as such make this affidavit on their behalf. I have reason to believe and do believe that on account of the bias, prejudice or interest of the Honorable John E. Burke, Judge of the above entitled action, to whom the above action has been assigned, that plaintiff cannot attain a fair and impartial trial on determination herein.</w:t>
      </w:r>
    </w:p>
    <w:p w14:paraId="08FEE328" w14:textId="77777777" w:rsidR="00C02DE8" w:rsidRPr="00712A1C" w:rsidRDefault="00C02DE8" w:rsidP="00C02DE8">
      <w:pPr>
        <w:widowControl w:val="0"/>
        <w:autoSpaceDE w:val="0"/>
        <w:autoSpaceDN w:val="0"/>
        <w:adjustRightInd w:val="0"/>
        <w:spacing w:line="240" w:lineRule="auto"/>
        <w:ind w:right="720"/>
        <w:jc w:val="both"/>
        <w:rPr>
          <w:rFonts w:ascii="Century Schoolbook" w:hAnsi="Century Schoolbook"/>
          <w:color w:val="000000"/>
          <w:sz w:val="28"/>
          <w:szCs w:val="28"/>
        </w:rPr>
      </w:pPr>
      <w:r w:rsidRPr="00712A1C">
        <w:rPr>
          <w:rFonts w:ascii="Century Schoolbook" w:hAnsi="Century Schoolbook"/>
          <w:color w:val="000000"/>
          <w:sz w:val="28"/>
          <w:szCs w:val="28"/>
        </w:rPr>
        <w:t> </w:t>
      </w:r>
    </w:p>
    <w:p w14:paraId="355D3BF8" w14:textId="77777777" w:rsidR="00C02DE8" w:rsidRPr="00712A1C" w:rsidRDefault="00C02DE8" w:rsidP="00C02DE8">
      <w:pPr>
        <w:widowControl w:val="0"/>
        <w:autoSpaceDE w:val="0"/>
        <w:autoSpaceDN w:val="0"/>
        <w:adjustRightInd w:val="0"/>
        <w:spacing w:line="240" w:lineRule="auto"/>
        <w:ind w:left="720" w:right="720"/>
        <w:jc w:val="both"/>
        <w:rPr>
          <w:color w:val="000000"/>
          <w:sz w:val="28"/>
          <w:szCs w:val="28"/>
        </w:rPr>
      </w:pPr>
      <w:r w:rsidRPr="00712A1C">
        <w:rPr>
          <w:rFonts w:ascii="Century Schoolbook" w:hAnsi="Century Schoolbook"/>
          <w:color w:val="000000"/>
          <w:sz w:val="28"/>
          <w:szCs w:val="28"/>
        </w:rPr>
        <w:t>Plaintiff does therefore request that this action be transferred to another division of the above entitled Court.</w:t>
      </w:r>
    </w:p>
    <w:p w14:paraId="54D259AC" w14:textId="77777777" w:rsidR="00C02DE8" w:rsidRPr="00712A1C" w:rsidRDefault="00C02DE8" w:rsidP="00C02DE8">
      <w:pPr>
        <w:spacing w:line="480" w:lineRule="exact"/>
        <w:contextualSpacing/>
        <w:jc w:val="both"/>
        <w:rPr>
          <w:rFonts w:ascii="Century Schoolbook" w:hAnsi="Century Schoolbook"/>
          <w:sz w:val="28"/>
          <w:szCs w:val="28"/>
        </w:rPr>
      </w:pPr>
      <w:r w:rsidRPr="00712A1C">
        <w:rPr>
          <w:rFonts w:ascii="Century Schoolbook" w:hAnsi="Century Schoolbook"/>
          <w:i/>
          <w:iCs/>
          <w:sz w:val="28"/>
          <w:szCs w:val="28"/>
        </w:rPr>
        <w:t xml:space="preserve">Consolidated Carpet Corp. v. Superior Court, </w:t>
      </w:r>
      <w:r w:rsidRPr="00712A1C">
        <w:rPr>
          <w:rFonts w:ascii="Century Schoolbook" w:hAnsi="Century Schoolbook"/>
          <w:sz w:val="28"/>
          <w:szCs w:val="28"/>
        </w:rPr>
        <w:t>13 Ariz.App. at 430.</w:t>
      </w:r>
    </w:p>
    <w:p w14:paraId="24C6FC1B" w14:textId="77777777" w:rsidR="00C02DE8" w:rsidRPr="00712A1C" w:rsidRDefault="00C02DE8" w:rsidP="00C02DE8">
      <w:pPr>
        <w:spacing w:line="480" w:lineRule="exact"/>
        <w:ind w:firstLine="720"/>
        <w:contextualSpacing/>
        <w:jc w:val="both"/>
        <w:rPr>
          <w:rFonts w:ascii="Century Schoolbook" w:hAnsi="Century Schoolbook"/>
          <w:sz w:val="28"/>
          <w:szCs w:val="28"/>
        </w:rPr>
      </w:pPr>
      <w:r w:rsidRPr="00712A1C">
        <w:rPr>
          <w:rFonts w:ascii="Century Schoolbook" w:hAnsi="Century Schoolbook"/>
          <w:sz w:val="28"/>
          <w:szCs w:val="28"/>
        </w:rPr>
        <w:t>Consistent with the clear, mandatory language of A.R.S. §</w:t>
      </w:r>
      <w:r>
        <w:rPr>
          <w:rFonts w:ascii="Century Schoolbook" w:hAnsi="Century Schoolbook"/>
          <w:sz w:val="28"/>
          <w:szCs w:val="28"/>
        </w:rPr>
        <w:t xml:space="preserve"> </w:t>
      </w:r>
      <w:r w:rsidRPr="00712A1C">
        <w:rPr>
          <w:rFonts w:ascii="Century Schoolbook" w:hAnsi="Century Schoolbook"/>
          <w:sz w:val="28"/>
          <w:szCs w:val="28"/>
        </w:rPr>
        <w:t xml:space="preserve">12-409, actions were transferred to another judge.  There were no hearings, and no testing of the veracity of the affidavit.  “Upon a proper affidavit being filed, the judge though he might feel the claims [were] without merit and the affidavit [was] filed to harass the court, ha[d] only one thing he </w:t>
      </w:r>
      <w:r w:rsidRPr="00712A1C">
        <w:rPr>
          <w:rFonts w:ascii="Century Schoolbook" w:hAnsi="Century Schoolbook"/>
          <w:sz w:val="28"/>
          <w:szCs w:val="28"/>
        </w:rPr>
        <w:lastRenderedPageBreak/>
        <w:t xml:space="preserve">[could] do—transfer the case to another judge.”  </w:t>
      </w:r>
      <w:r w:rsidRPr="00712A1C">
        <w:rPr>
          <w:rFonts w:ascii="Century Schoolbook" w:hAnsi="Century Schoolbook"/>
          <w:i/>
          <w:iCs/>
          <w:sz w:val="28"/>
          <w:szCs w:val="28"/>
        </w:rPr>
        <w:t xml:space="preserve">Itule, </w:t>
      </w:r>
      <w:r w:rsidRPr="00712A1C">
        <w:rPr>
          <w:rFonts w:ascii="Century Schoolbook" w:hAnsi="Century Schoolbook"/>
          <w:sz w:val="28"/>
          <w:szCs w:val="28"/>
        </w:rPr>
        <w:t xml:space="preserve">94 Ariz. at 243, citing </w:t>
      </w:r>
      <w:r w:rsidRPr="00712A1C">
        <w:rPr>
          <w:rFonts w:ascii="Century Schoolbook" w:hAnsi="Century Schoolbook"/>
          <w:i/>
          <w:iCs/>
          <w:sz w:val="28"/>
          <w:szCs w:val="28"/>
        </w:rPr>
        <w:t xml:space="preserve">Stephens v. Stephens, </w:t>
      </w:r>
      <w:r w:rsidRPr="00712A1C">
        <w:rPr>
          <w:rFonts w:ascii="Century Schoolbook" w:hAnsi="Century Schoolbook"/>
          <w:sz w:val="28"/>
          <w:szCs w:val="28"/>
        </w:rPr>
        <w:t xml:space="preserve">17 Ariz. 306 (1915).  “The affidavit of bias . . .cannot be questioned, import[ed] verity, [could not] be challenged, and operate[d] to disqualify.”  </w:t>
      </w:r>
      <w:r w:rsidRPr="00712A1C">
        <w:rPr>
          <w:rFonts w:ascii="Century Schoolbook" w:hAnsi="Century Schoolbook"/>
          <w:i/>
          <w:iCs/>
          <w:sz w:val="28"/>
          <w:szCs w:val="28"/>
        </w:rPr>
        <w:t xml:space="preserve">Anonymous, </w:t>
      </w:r>
      <w:r w:rsidRPr="00712A1C">
        <w:rPr>
          <w:rFonts w:ascii="Century Schoolbook" w:hAnsi="Century Schoolbook"/>
          <w:sz w:val="28"/>
          <w:szCs w:val="28"/>
        </w:rPr>
        <w:t>14 Ariz.App. at 503.</w:t>
      </w:r>
    </w:p>
    <w:p w14:paraId="00C26716" w14:textId="5AA7296E" w:rsidR="00C02DE8" w:rsidRPr="00712A1C" w:rsidRDefault="00C02DE8" w:rsidP="00C02DE8">
      <w:pPr>
        <w:spacing w:line="480" w:lineRule="exact"/>
        <w:ind w:firstLine="720"/>
        <w:jc w:val="both"/>
        <w:rPr>
          <w:rFonts w:ascii="Century Schoolbook" w:hAnsi="Century Schoolbook"/>
          <w:sz w:val="28"/>
          <w:szCs w:val="28"/>
        </w:rPr>
      </w:pPr>
      <w:r w:rsidRPr="00712A1C">
        <w:rPr>
          <w:rFonts w:ascii="Century Schoolbook" w:hAnsi="Century Schoolbook"/>
          <w:sz w:val="28"/>
          <w:szCs w:val="28"/>
        </w:rPr>
        <w:t>While A.R.S. §</w:t>
      </w:r>
      <w:r>
        <w:rPr>
          <w:rFonts w:ascii="Century Schoolbook" w:hAnsi="Century Schoolbook"/>
          <w:sz w:val="28"/>
          <w:szCs w:val="28"/>
        </w:rPr>
        <w:t xml:space="preserve"> </w:t>
      </w:r>
      <w:r w:rsidRPr="00712A1C">
        <w:rPr>
          <w:rFonts w:ascii="Century Schoolbook" w:hAnsi="Century Schoolbook"/>
          <w:sz w:val="28"/>
          <w:szCs w:val="28"/>
        </w:rPr>
        <w:t xml:space="preserve">12-409 requires an affidavit, courts generally did not require an affidavit for a party to exercise the right to a peremptory change of judge.  In practice, there was a “wholesome practice” and “tendency . . . except under exceptional circumstances, for judges to recognize informal requests for disqualification.”  </w:t>
      </w:r>
      <w:r w:rsidRPr="00712A1C">
        <w:rPr>
          <w:rFonts w:ascii="Century Schoolbook" w:hAnsi="Century Schoolbook"/>
          <w:i/>
          <w:iCs/>
          <w:sz w:val="28"/>
          <w:szCs w:val="28"/>
        </w:rPr>
        <w:t>American Buyers Life Ins. Co.</w:t>
      </w:r>
      <w:r w:rsidRPr="00712A1C">
        <w:rPr>
          <w:rFonts w:ascii="Century Schoolbook" w:hAnsi="Century Schoolbook"/>
          <w:sz w:val="28"/>
          <w:szCs w:val="28"/>
        </w:rPr>
        <w:t xml:space="preserve">, 84 </w:t>
      </w:r>
      <w:r w:rsidR="00E415EE">
        <w:rPr>
          <w:rFonts w:ascii="Century Schoolbook" w:hAnsi="Century Schoolbook"/>
          <w:sz w:val="28"/>
          <w:szCs w:val="28"/>
        </w:rPr>
        <w:t xml:space="preserve">Ariz. </w:t>
      </w:r>
      <w:r w:rsidRPr="00712A1C">
        <w:rPr>
          <w:rFonts w:ascii="Century Schoolbook" w:hAnsi="Century Schoolbook"/>
          <w:sz w:val="28"/>
          <w:szCs w:val="28"/>
        </w:rPr>
        <w:t xml:space="preserve">at 380-81. </w:t>
      </w:r>
      <w:r w:rsidRPr="00712A1C">
        <w:rPr>
          <w:rFonts w:ascii="Century Schoolbook" w:hAnsi="Century Schoolbook"/>
          <w:i/>
          <w:iCs/>
          <w:sz w:val="28"/>
          <w:szCs w:val="28"/>
        </w:rPr>
        <w:t>See also</w:t>
      </w:r>
      <w:r w:rsidRPr="00712A1C">
        <w:rPr>
          <w:rFonts w:ascii="Century Schoolbook" w:hAnsi="Century Schoolbook"/>
          <w:sz w:val="28"/>
          <w:szCs w:val="28"/>
        </w:rPr>
        <w:t xml:space="preserve"> State Bar Committee Note, 1971 Amendments, Rule 42(f)(1)(A) (noting that “[v]oluntary disqualification upon oral request has been recognized as an exercise of the right to change of judge.”).  Arizona courts had “recognized a peremptory right to a change of judge, even though §12-409 required the filing of an affidavit of bias and prejudice, and had acknowledged that the affidavit had become a fiction in cases in which such peremptory changes were sought.”  </w:t>
      </w:r>
      <w:r w:rsidRPr="00712A1C">
        <w:rPr>
          <w:rFonts w:ascii="Century Schoolbook" w:hAnsi="Century Schoolbook"/>
          <w:i/>
          <w:iCs/>
          <w:sz w:val="28"/>
          <w:szCs w:val="28"/>
        </w:rPr>
        <w:t xml:space="preserve">Brush Wellman, </w:t>
      </w:r>
      <w:r w:rsidRPr="00712A1C">
        <w:rPr>
          <w:rFonts w:ascii="Century Schoolbook" w:hAnsi="Century Schoolbook"/>
          <w:sz w:val="28"/>
          <w:szCs w:val="28"/>
        </w:rPr>
        <w:t xml:space="preserve">347, ¶9 (citations omitted). The pre-1972 approach was seen as “salutary” as it was “not necessary to embarrass the judge by setting forth in detail the facts of bias, prejudice or interests which may disqualify him nor [was] it necessary for the judge, litigant and attorney to involve themselves in an imbroglio which might result in everlasting bitterness on the part of the judge and the lawyer.”  </w:t>
      </w:r>
      <w:r w:rsidRPr="00712A1C">
        <w:rPr>
          <w:rFonts w:ascii="Century Schoolbook" w:hAnsi="Century Schoolbook"/>
          <w:i/>
          <w:iCs/>
          <w:sz w:val="28"/>
          <w:szCs w:val="28"/>
        </w:rPr>
        <w:t xml:space="preserve">Anonymous, </w:t>
      </w:r>
      <w:r w:rsidRPr="00712A1C">
        <w:rPr>
          <w:rFonts w:ascii="Century Schoolbook" w:hAnsi="Century Schoolbook"/>
          <w:sz w:val="28"/>
          <w:szCs w:val="28"/>
        </w:rPr>
        <w:t xml:space="preserve">14 Ariz.App. at 503.  </w:t>
      </w:r>
    </w:p>
    <w:p w14:paraId="3CF97136" w14:textId="64C00FE6" w:rsidR="00C02DE8" w:rsidRPr="00712A1C" w:rsidRDefault="00AB0D5B" w:rsidP="00C02DE8">
      <w:pPr>
        <w:spacing w:line="480" w:lineRule="exact"/>
        <w:ind w:firstLine="720"/>
        <w:jc w:val="both"/>
        <w:rPr>
          <w:rFonts w:ascii="Century Schoolbook" w:hAnsi="Century Schoolbook"/>
          <w:i/>
          <w:iCs/>
          <w:sz w:val="28"/>
          <w:szCs w:val="28"/>
        </w:rPr>
      </w:pPr>
      <w:r>
        <w:rPr>
          <w:rFonts w:ascii="Century Schoolbook" w:hAnsi="Century Schoolbook"/>
          <w:sz w:val="28"/>
          <w:szCs w:val="28"/>
        </w:rPr>
        <w:t>The p</w:t>
      </w:r>
      <w:r w:rsidR="00C02DE8" w:rsidRPr="00712A1C">
        <w:rPr>
          <w:rFonts w:ascii="Century Schoolbook" w:hAnsi="Century Schoolbook"/>
          <w:sz w:val="28"/>
          <w:szCs w:val="28"/>
        </w:rPr>
        <w:t xml:space="preserve">rocedure </w:t>
      </w:r>
      <w:r>
        <w:rPr>
          <w:rFonts w:ascii="Century Schoolbook" w:hAnsi="Century Schoolbook"/>
          <w:sz w:val="28"/>
          <w:szCs w:val="28"/>
        </w:rPr>
        <w:t xml:space="preserve">for change of judge </w:t>
      </w:r>
      <w:r w:rsidR="00C02DE8" w:rsidRPr="00712A1C">
        <w:rPr>
          <w:rFonts w:ascii="Century Schoolbook" w:hAnsi="Century Schoolbook"/>
          <w:sz w:val="28"/>
          <w:szCs w:val="28"/>
        </w:rPr>
        <w:t xml:space="preserve">was governed by </w:t>
      </w:r>
      <w:r>
        <w:rPr>
          <w:rFonts w:ascii="Century Schoolbook" w:hAnsi="Century Schoolbook"/>
          <w:sz w:val="28"/>
          <w:szCs w:val="28"/>
        </w:rPr>
        <w:t xml:space="preserve">the language of </w:t>
      </w:r>
      <w:r w:rsidR="00C02DE8" w:rsidRPr="00712A1C">
        <w:rPr>
          <w:rFonts w:ascii="Century Schoolbook" w:hAnsi="Century Schoolbook"/>
          <w:sz w:val="28"/>
          <w:szCs w:val="28"/>
        </w:rPr>
        <w:t>A.R.S. §§</w:t>
      </w:r>
      <w:r w:rsidR="00C02DE8">
        <w:rPr>
          <w:rFonts w:ascii="Century Schoolbook" w:hAnsi="Century Schoolbook"/>
          <w:sz w:val="28"/>
          <w:szCs w:val="28"/>
        </w:rPr>
        <w:t xml:space="preserve"> </w:t>
      </w:r>
      <w:r w:rsidR="00C02DE8" w:rsidRPr="00712A1C">
        <w:rPr>
          <w:rFonts w:ascii="Century Schoolbook" w:hAnsi="Century Schoolbook"/>
          <w:sz w:val="28"/>
          <w:szCs w:val="28"/>
        </w:rPr>
        <w:t>12-409-411 and interpretative caselaw.  Judicial interpretation of A.R.S. §</w:t>
      </w:r>
      <w:r w:rsidR="00C02DE8">
        <w:rPr>
          <w:rFonts w:ascii="Century Schoolbook" w:hAnsi="Century Schoolbook"/>
          <w:sz w:val="28"/>
          <w:szCs w:val="28"/>
        </w:rPr>
        <w:t xml:space="preserve"> </w:t>
      </w:r>
      <w:r w:rsidR="00C02DE8" w:rsidRPr="00712A1C">
        <w:rPr>
          <w:rFonts w:ascii="Century Schoolbook" w:hAnsi="Century Schoolbook"/>
          <w:sz w:val="28"/>
          <w:szCs w:val="28"/>
        </w:rPr>
        <w:t xml:space="preserve">12-411 recognized the right as one change of judge per side, </w:t>
      </w:r>
      <w:r w:rsidR="00C02DE8" w:rsidRPr="00712A1C">
        <w:rPr>
          <w:rFonts w:ascii="Century Schoolbook" w:hAnsi="Century Schoolbook"/>
          <w:sz w:val="28"/>
          <w:szCs w:val="28"/>
        </w:rPr>
        <w:lastRenderedPageBreak/>
        <w:t xml:space="preserve">rather than per case.  </w:t>
      </w:r>
      <w:r w:rsidR="00C02DE8" w:rsidRPr="00712A1C">
        <w:rPr>
          <w:rFonts w:ascii="Century Schoolbook" w:hAnsi="Century Schoolbook"/>
          <w:i/>
          <w:iCs/>
          <w:sz w:val="28"/>
          <w:szCs w:val="28"/>
        </w:rPr>
        <w:t xml:space="preserve">Brush Wellman, </w:t>
      </w:r>
      <w:r w:rsidR="00C02DE8" w:rsidRPr="00712A1C">
        <w:rPr>
          <w:rFonts w:ascii="Century Schoolbook" w:hAnsi="Century Schoolbook"/>
          <w:sz w:val="28"/>
          <w:szCs w:val="28"/>
        </w:rPr>
        <w:t>348, ¶13 (citations omi</w:t>
      </w:r>
      <w:r w:rsidR="00C02DE8" w:rsidRPr="00560AE7">
        <w:rPr>
          <w:rFonts w:ascii="Century Schoolbook" w:hAnsi="Century Schoolbook"/>
          <w:sz w:val="28"/>
          <w:szCs w:val="28"/>
        </w:rPr>
        <w:t>tted).  Affidavits could be filed before the final trial on the merits commenced (</w:t>
      </w:r>
      <w:r w:rsidR="00C02DE8" w:rsidRPr="00560AE7">
        <w:rPr>
          <w:rFonts w:ascii="Century Schoolbook" w:hAnsi="Century Schoolbook"/>
          <w:i/>
          <w:iCs/>
          <w:sz w:val="28"/>
          <w:szCs w:val="28"/>
        </w:rPr>
        <w:t xml:space="preserve">see Allan v. Allan, </w:t>
      </w:r>
      <w:r w:rsidR="00C02DE8" w:rsidRPr="00560AE7">
        <w:rPr>
          <w:rFonts w:ascii="Century Schoolbook" w:hAnsi="Century Schoolbook"/>
          <w:sz w:val="28"/>
          <w:szCs w:val="28"/>
        </w:rPr>
        <w:t>21 Ariz. 70, 75 (1919)), and had to honor requests filed on the day set for hearing (</w:t>
      </w:r>
      <w:r w:rsidR="00C02DE8" w:rsidRPr="00560AE7">
        <w:rPr>
          <w:rFonts w:ascii="Century Schoolbook" w:hAnsi="Century Schoolbook"/>
          <w:i/>
          <w:iCs/>
          <w:sz w:val="28"/>
          <w:szCs w:val="28"/>
        </w:rPr>
        <w:t xml:space="preserve">see, e.g., Huck v. Haralambie, </w:t>
      </w:r>
      <w:r w:rsidR="00C02DE8" w:rsidRPr="00560AE7">
        <w:rPr>
          <w:rFonts w:ascii="Century Schoolbook" w:hAnsi="Century Schoolbook"/>
          <w:sz w:val="28"/>
          <w:szCs w:val="28"/>
        </w:rPr>
        <w:t xml:space="preserve">122 Ariz. 63, 64-65 (1979)).  </w:t>
      </w:r>
      <w:r w:rsidR="00560AE7" w:rsidRPr="00C674AA">
        <w:rPr>
          <w:rFonts w:ascii="Century Schoolbook" w:hAnsi="Century Schoolbook"/>
          <w:sz w:val="28"/>
          <w:szCs w:val="28"/>
        </w:rPr>
        <w:t xml:space="preserve">Also, the Superior Court could not enforce a local rule requiring the affidavit to be filed five days before trial. </w:t>
      </w:r>
      <w:proofErr w:type="spellStart"/>
      <w:r w:rsidR="00560AE7" w:rsidRPr="00C674AA">
        <w:rPr>
          <w:rFonts w:ascii="Century Schoolbook" w:hAnsi="Century Schoolbook"/>
          <w:i/>
          <w:iCs/>
          <w:sz w:val="28"/>
          <w:szCs w:val="28"/>
        </w:rPr>
        <w:t>Hordyk</w:t>
      </w:r>
      <w:proofErr w:type="spellEnd"/>
      <w:r w:rsidR="00560AE7" w:rsidRPr="00C674AA">
        <w:rPr>
          <w:rFonts w:ascii="Century Schoolbook" w:hAnsi="Century Schoolbook"/>
          <w:i/>
          <w:iCs/>
          <w:sz w:val="28"/>
          <w:szCs w:val="28"/>
        </w:rPr>
        <w:t xml:space="preserve"> v. Farley, </w:t>
      </w:r>
      <w:r w:rsidR="00560AE7" w:rsidRPr="00C674AA">
        <w:rPr>
          <w:rFonts w:ascii="Century Schoolbook" w:hAnsi="Century Schoolbook"/>
          <w:sz w:val="28"/>
          <w:szCs w:val="28"/>
        </w:rPr>
        <w:t xml:space="preserve">94 Ariz. 189, 194 (1963). </w:t>
      </w:r>
      <w:r w:rsidR="00C02DE8" w:rsidRPr="00560AE7">
        <w:rPr>
          <w:rFonts w:ascii="Century Schoolbook" w:hAnsi="Century Schoolbook"/>
          <w:sz w:val="28"/>
          <w:szCs w:val="28"/>
        </w:rPr>
        <w:t>However, Arizona courts found</w:t>
      </w:r>
      <w:r w:rsidR="00C02DE8" w:rsidRPr="00712A1C">
        <w:rPr>
          <w:rFonts w:ascii="Century Schoolbook" w:hAnsi="Century Schoolbook"/>
          <w:sz w:val="28"/>
          <w:szCs w:val="28"/>
        </w:rPr>
        <w:t xml:space="preserve"> that a party could waive the right by not timely filing an affidavit (</w:t>
      </w:r>
      <w:r w:rsidR="00C02DE8" w:rsidRPr="00712A1C">
        <w:rPr>
          <w:rFonts w:ascii="Century Schoolbook" w:hAnsi="Century Schoolbook"/>
          <w:i/>
          <w:iCs/>
          <w:sz w:val="28"/>
          <w:szCs w:val="28"/>
        </w:rPr>
        <w:t xml:space="preserve">see, e.g., Del Castillo v. Wells, </w:t>
      </w:r>
      <w:r w:rsidR="00C02DE8" w:rsidRPr="00712A1C">
        <w:rPr>
          <w:rFonts w:ascii="Century Schoolbook" w:hAnsi="Century Schoolbook"/>
          <w:sz w:val="28"/>
          <w:szCs w:val="28"/>
        </w:rPr>
        <w:t xml:space="preserve">22 Ariz.App. 41, 43 (1974)), and generally found a waiver “when evidence [was] taken . . . if the evidence [was] to be used in the final determination of the case on its merits.”  </w:t>
      </w:r>
      <w:r w:rsidR="00C02DE8" w:rsidRPr="00712A1C">
        <w:rPr>
          <w:rFonts w:ascii="Century Schoolbook" w:hAnsi="Century Schoolbook"/>
          <w:i/>
          <w:iCs/>
          <w:sz w:val="28"/>
          <w:szCs w:val="28"/>
        </w:rPr>
        <w:t xml:space="preserve">Id., </w:t>
      </w:r>
      <w:r w:rsidR="00C02DE8" w:rsidRPr="00712A1C">
        <w:rPr>
          <w:rFonts w:ascii="Century Schoolbook" w:hAnsi="Century Schoolbook"/>
          <w:sz w:val="28"/>
          <w:szCs w:val="28"/>
        </w:rPr>
        <w:t xml:space="preserve">at 43 quoting </w:t>
      </w:r>
      <w:r w:rsidR="00C02DE8" w:rsidRPr="00712A1C">
        <w:rPr>
          <w:rFonts w:ascii="Century Schoolbook" w:hAnsi="Century Schoolbook"/>
          <w:i/>
          <w:iCs/>
          <w:sz w:val="28"/>
          <w:szCs w:val="28"/>
        </w:rPr>
        <w:t xml:space="preserve">Marsin, </w:t>
      </w:r>
      <w:r w:rsidR="00C02DE8" w:rsidRPr="00712A1C">
        <w:rPr>
          <w:rFonts w:ascii="Century Schoolbook" w:hAnsi="Century Schoolbook"/>
          <w:sz w:val="28"/>
          <w:szCs w:val="28"/>
        </w:rPr>
        <w:t xml:space="preserve">78 Ariz. at 313 (quotation marks omitted).  It was further explained that the hearing had to be a contested hearing involving an issue of law or fact. </w:t>
      </w:r>
      <w:r w:rsidR="00C02DE8" w:rsidRPr="00712A1C">
        <w:rPr>
          <w:rFonts w:ascii="Century Schoolbook" w:hAnsi="Century Schoolbook"/>
          <w:i/>
          <w:iCs/>
          <w:sz w:val="28"/>
          <w:szCs w:val="28"/>
        </w:rPr>
        <w:t xml:space="preserve">Itasca State Bank v. Superior Court, </w:t>
      </w:r>
      <w:r w:rsidR="00C02DE8" w:rsidRPr="00712A1C">
        <w:rPr>
          <w:rFonts w:ascii="Century Schoolbook" w:hAnsi="Century Schoolbook"/>
          <w:sz w:val="28"/>
          <w:szCs w:val="28"/>
        </w:rPr>
        <w:t xml:space="preserve">8 Ariz.App. 279, 281 (1968).  The intent of the waiver provisions was to avoid judge-shopping.  </w:t>
      </w:r>
      <w:r w:rsidR="00C02DE8" w:rsidRPr="00712A1C">
        <w:rPr>
          <w:rFonts w:ascii="Century Schoolbook" w:hAnsi="Century Schoolbook"/>
          <w:i/>
          <w:iCs/>
          <w:sz w:val="28"/>
          <w:szCs w:val="28"/>
        </w:rPr>
        <w:t>Id.</w:t>
      </w:r>
    </w:p>
    <w:p w14:paraId="1608D9C7" w14:textId="065AA599" w:rsidR="00C02DE8" w:rsidRDefault="00C02DE8" w:rsidP="00F748D3">
      <w:pPr>
        <w:spacing w:line="480" w:lineRule="exact"/>
        <w:ind w:firstLine="720"/>
        <w:jc w:val="both"/>
        <w:rPr>
          <w:rFonts w:ascii="Century Schoolbook" w:hAnsi="Century Schoolbook"/>
          <w:sz w:val="28"/>
          <w:szCs w:val="28"/>
        </w:rPr>
      </w:pPr>
      <w:r w:rsidRPr="00712A1C">
        <w:rPr>
          <w:rFonts w:ascii="Century Schoolbook" w:hAnsi="Century Schoolbook"/>
          <w:sz w:val="28"/>
          <w:szCs w:val="28"/>
        </w:rPr>
        <w:t>While affidavits under A.R.S. §</w:t>
      </w:r>
      <w:r>
        <w:rPr>
          <w:rFonts w:ascii="Century Schoolbook" w:hAnsi="Century Schoolbook"/>
          <w:sz w:val="28"/>
          <w:szCs w:val="28"/>
        </w:rPr>
        <w:t xml:space="preserve"> </w:t>
      </w:r>
      <w:r w:rsidRPr="00712A1C">
        <w:rPr>
          <w:rFonts w:ascii="Century Schoolbook" w:hAnsi="Century Schoolbook"/>
          <w:sz w:val="28"/>
          <w:szCs w:val="28"/>
        </w:rPr>
        <w:t xml:space="preserve">12-409 could be used to invoke a peremptory change of judge, they could also use it </w:t>
      </w:r>
      <w:r w:rsidR="008F20DA">
        <w:rPr>
          <w:rFonts w:ascii="Century Schoolbook" w:hAnsi="Century Schoolbook"/>
          <w:sz w:val="28"/>
          <w:szCs w:val="28"/>
        </w:rPr>
        <w:t>as affidavits are now used under Ariz. R. Civ. P. 42.2 for</w:t>
      </w:r>
      <w:r w:rsidRPr="00712A1C">
        <w:rPr>
          <w:rFonts w:ascii="Century Schoolbook" w:hAnsi="Century Schoolbook"/>
          <w:sz w:val="28"/>
          <w:szCs w:val="28"/>
        </w:rPr>
        <w:t xml:space="preserve"> “true challenges for cause” (</w:t>
      </w:r>
      <w:r w:rsidRPr="00712A1C">
        <w:rPr>
          <w:rFonts w:ascii="Century Schoolbook" w:hAnsi="Century Schoolbook"/>
          <w:i/>
          <w:iCs/>
          <w:sz w:val="28"/>
          <w:szCs w:val="28"/>
        </w:rPr>
        <w:t xml:space="preserve">Taliaferro v. Taliaferro, </w:t>
      </w:r>
      <w:r w:rsidRPr="00712A1C">
        <w:rPr>
          <w:rFonts w:ascii="Century Schoolbook" w:hAnsi="Century Schoolbook"/>
          <w:sz w:val="28"/>
          <w:szCs w:val="28"/>
        </w:rPr>
        <w:t xml:space="preserve">186 Ariz. 221, 222 (1996) (quotation omitted)) wherein a party would have to prove grounds for actual disqualification (State Bar Committee Note, 1971 Amendments, Rule 42(f)(1)(D)), and when a party had already used a peremptory challenge.  </w:t>
      </w:r>
      <w:r w:rsidRPr="00712A1C">
        <w:rPr>
          <w:rFonts w:ascii="Century Schoolbook" w:hAnsi="Century Schoolbook"/>
          <w:i/>
          <w:iCs/>
          <w:sz w:val="28"/>
          <w:szCs w:val="28"/>
        </w:rPr>
        <w:t xml:space="preserve">Del Castillo v. Wells, </w:t>
      </w:r>
      <w:r w:rsidRPr="00712A1C">
        <w:rPr>
          <w:rFonts w:ascii="Century Schoolbook" w:hAnsi="Century Schoolbook"/>
          <w:sz w:val="28"/>
          <w:szCs w:val="28"/>
        </w:rPr>
        <w:t xml:space="preserve">22 Ariz.App. at 45, n. 1; </w:t>
      </w:r>
      <w:r w:rsidRPr="00712A1C">
        <w:rPr>
          <w:rFonts w:ascii="Century Schoolbook" w:hAnsi="Century Schoolbook"/>
          <w:i/>
          <w:iCs/>
          <w:sz w:val="28"/>
          <w:szCs w:val="28"/>
        </w:rPr>
        <w:t xml:space="preserve">Hickox. v. Superior Court, </w:t>
      </w:r>
      <w:r w:rsidRPr="00712A1C">
        <w:rPr>
          <w:rFonts w:ascii="Century Schoolbook" w:hAnsi="Century Schoolbook"/>
          <w:sz w:val="28"/>
          <w:szCs w:val="28"/>
        </w:rPr>
        <w:t>19 Ariz.App. 195 (1973).</w:t>
      </w:r>
    </w:p>
    <w:p w14:paraId="56C64465" w14:textId="77777777" w:rsidR="008F20DA" w:rsidRDefault="008F20DA" w:rsidP="00F748D3">
      <w:pPr>
        <w:spacing w:line="480" w:lineRule="exact"/>
        <w:ind w:firstLine="720"/>
        <w:jc w:val="both"/>
        <w:rPr>
          <w:rFonts w:ascii="Century Schoolbook" w:hAnsi="Century Schoolbook"/>
          <w:sz w:val="28"/>
          <w:szCs w:val="28"/>
        </w:rPr>
      </w:pPr>
    </w:p>
    <w:p w14:paraId="48A34FB4" w14:textId="77777777" w:rsidR="00C02DE8" w:rsidRDefault="00C02DE8" w:rsidP="00D318F9">
      <w:pPr>
        <w:spacing w:line="240" w:lineRule="auto"/>
        <w:jc w:val="both"/>
        <w:rPr>
          <w:rFonts w:ascii="Century Schoolbook" w:hAnsi="Century Schoolbook"/>
          <w:b/>
          <w:bCs/>
          <w:sz w:val="28"/>
          <w:szCs w:val="28"/>
        </w:rPr>
      </w:pPr>
    </w:p>
    <w:p w14:paraId="26801F1B" w14:textId="3D93B9E3" w:rsidR="00C02DE8" w:rsidRPr="00456C3F" w:rsidRDefault="00C02DE8" w:rsidP="00D318F9">
      <w:pPr>
        <w:spacing w:line="240" w:lineRule="auto"/>
        <w:ind w:left="1440" w:hanging="720"/>
        <w:jc w:val="both"/>
        <w:rPr>
          <w:rFonts w:ascii="Century Schoolbook" w:hAnsi="Century Schoolbook"/>
          <w:b/>
          <w:bCs/>
          <w:sz w:val="28"/>
          <w:szCs w:val="28"/>
        </w:rPr>
      </w:pPr>
      <w:r>
        <w:rPr>
          <w:rFonts w:ascii="Century Schoolbook" w:hAnsi="Century Schoolbook"/>
          <w:b/>
          <w:bCs/>
          <w:sz w:val="28"/>
          <w:szCs w:val="28"/>
        </w:rPr>
        <w:lastRenderedPageBreak/>
        <w:t>2</w:t>
      </w:r>
      <w:r w:rsidRPr="00456C3F">
        <w:rPr>
          <w:rFonts w:ascii="Century Schoolbook" w:hAnsi="Century Schoolbook"/>
          <w:b/>
          <w:bCs/>
          <w:sz w:val="28"/>
          <w:szCs w:val="28"/>
        </w:rPr>
        <w:t>.</w:t>
      </w:r>
      <w:r w:rsidRPr="00456C3F">
        <w:rPr>
          <w:rFonts w:ascii="Century Schoolbook" w:hAnsi="Century Schoolbook"/>
          <w:b/>
          <w:bCs/>
          <w:sz w:val="28"/>
          <w:szCs w:val="28"/>
        </w:rPr>
        <w:tab/>
        <w:t>The Amendments to Civil Rule 42 in 1972 Merely Modified the Procedures to Enforce the Right Under A.R.S. §</w:t>
      </w:r>
      <w:r w:rsidR="0034646D">
        <w:rPr>
          <w:rFonts w:ascii="Century Schoolbook" w:hAnsi="Century Schoolbook"/>
          <w:b/>
          <w:bCs/>
          <w:sz w:val="28"/>
          <w:szCs w:val="28"/>
        </w:rPr>
        <w:t xml:space="preserve"> </w:t>
      </w:r>
      <w:r w:rsidRPr="00456C3F">
        <w:rPr>
          <w:rFonts w:ascii="Century Schoolbook" w:hAnsi="Century Schoolbook"/>
          <w:b/>
          <w:bCs/>
          <w:sz w:val="28"/>
          <w:szCs w:val="28"/>
        </w:rPr>
        <w:t xml:space="preserve">12-409.  </w:t>
      </w:r>
    </w:p>
    <w:p w14:paraId="1C3616E4" w14:textId="77777777" w:rsidR="00C02DE8" w:rsidRPr="00456C3F" w:rsidRDefault="00C02DE8" w:rsidP="00C02DE8">
      <w:pPr>
        <w:spacing w:line="480" w:lineRule="exact"/>
        <w:ind w:firstLine="720"/>
        <w:jc w:val="both"/>
        <w:rPr>
          <w:rFonts w:ascii="Century Schoolbook" w:hAnsi="Century Schoolbook"/>
          <w:sz w:val="28"/>
          <w:szCs w:val="28"/>
        </w:rPr>
      </w:pPr>
      <w:r w:rsidRPr="00456C3F">
        <w:rPr>
          <w:rFonts w:ascii="Century Schoolbook" w:hAnsi="Century Schoolbook"/>
          <w:sz w:val="28"/>
          <w:szCs w:val="28"/>
        </w:rPr>
        <w:t>The inclusion of procedural provisions relating to the substantive right of A.R.S. §</w:t>
      </w:r>
      <w:r>
        <w:rPr>
          <w:rFonts w:ascii="Century Schoolbook" w:hAnsi="Century Schoolbook"/>
          <w:sz w:val="28"/>
          <w:szCs w:val="28"/>
        </w:rPr>
        <w:t xml:space="preserve"> </w:t>
      </w:r>
      <w:r w:rsidRPr="00456C3F">
        <w:rPr>
          <w:rFonts w:ascii="Century Schoolbook" w:hAnsi="Century Schoolbook"/>
          <w:sz w:val="28"/>
          <w:szCs w:val="28"/>
        </w:rPr>
        <w:t xml:space="preserve">12-409 in the Rules of Civil Procedure was first made in December 1971, with an effective date of March 1, 1972.  </w:t>
      </w:r>
      <w:r w:rsidRPr="00456C3F">
        <w:rPr>
          <w:rFonts w:ascii="Century Schoolbook" w:hAnsi="Century Schoolbook"/>
          <w:i/>
          <w:iCs/>
          <w:sz w:val="28"/>
          <w:szCs w:val="28"/>
        </w:rPr>
        <w:t xml:space="preserve">See </w:t>
      </w:r>
      <w:r w:rsidRPr="00456C3F">
        <w:rPr>
          <w:rFonts w:ascii="Century Schoolbook" w:hAnsi="Century Schoolbook"/>
          <w:sz w:val="28"/>
          <w:szCs w:val="28"/>
        </w:rPr>
        <w:t xml:space="preserve">Civil Rule 42 (2016); State Bar Committee Note to 1971 Amendment, Rule 42(f).  The change-of-judge amendments to Civil Rule 42 (renumbered as Rules 42.1 and 42.2 in 2017) did not create the substantive right to a peremptory change of judge; rather, they merely modified the procedure. </w:t>
      </w:r>
    </w:p>
    <w:p w14:paraId="0D82B14B" w14:textId="0AF756C5" w:rsidR="00510797" w:rsidRDefault="00C02DE8" w:rsidP="00C674AA">
      <w:pPr>
        <w:spacing w:line="480" w:lineRule="exact"/>
        <w:ind w:firstLine="720"/>
        <w:jc w:val="both"/>
        <w:rPr>
          <w:rFonts w:ascii="Century Schoolbook" w:hAnsi="Century Schoolbook"/>
          <w:b/>
          <w:bCs/>
          <w:color w:val="000000"/>
          <w:sz w:val="28"/>
          <w:szCs w:val="28"/>
        </w:rPr>
      </w:pPr>
      <w:r w:rsidRPr="00456C3F">
        <w:rPr>
          <w:rFonts w:ascii="Century Schoolbook" w:hAnsi="Century Schoolbook"/>
          <w:sz w:val="28"/>
          <w:szCs w:val="28"/>
        </w:rPr>
        <w:t>Arizona courts have held that the adoption of Rule 42(f) did “not create a separate and distinct remedy from §</w:t>
      </w:r>
      <w:r>
        <w:rPr>
          <w:rFonts w:ascii="Century Schoolbook" w:hAnsi="Century Schoolbook"/>
          <w:sz w:val="28"/>
          <w:szCs w:val="28"/>
        </w:rPr>
        <w:t xml:space="preserve"> </w:t>
      </w:r>
      <w:r w:rsidRPr="00456C3F">
        <w:rPr>
          <w:rFonts w:ascii="Century Schoolbook" w:hAnsi="Century Schoolbook"/>
          <w:sz w:val="28"/>
          <w:szCs w:val="28"/>
        </w:rPr>
        <w:t xml:space="preserve">12-409; it simply modifie[d] the procedure to be followed.”  </w:t>
      </w:r>
      <w:r w:rsidRPr="00456C3F">
        <w:rPr>
          <w:rFonts w:ascii="Century Schoolbook" w:hAnsi="Century Schoolbook"/>
          <w:i/>
          <w:iCs/>
          <w:sz w:val="28"/>
          <w:szCs w:val="28"/>
        </w:rPr>
        <w:t xml:space="preserve">Lewis v. Kelliher, </w:t>
      </w:r>
      <w:r w:rsidRPr="00456C3F">
        <w:rPr>
          <w:rFonts w:ascii="Century Schoolbook" w:hAnsi="Century Schoolbook"/>
          <w:sz w:val="28"/>
          <w:szCs w:val="28"/>
        </w:rPr>
        <w:t xml:space="preserve">171 Ariz. 228, 229 (App. 1992) (citations and quotation marks omitted).  </w:t>
      </w:r>
      <w:r w:rsidRPr="00456C3F">
        <w:rPr>
          <w:rFonts w:ascii="Century Schoolbook" w:hAnsi="Century Schoolbook"/>
          <w:i/>
          <w:iCs/>
          <w:sz w:val="28"/>
          <w:szCs w:val="28"/>
        </w:rPr>
        <w:t xml:space="preserve">See also Del Castillo, </w:t>
      </w:r>
      <w:r w:rsidRPr="00456C3F">
        <w:rPr>
          <w:rFonts w:ascii="Century Schoolbook" w:hAnsi="Century Schoolbook"/>
          <w:sz w:val="28"/>
          <w:szCs w:val="28"/>
        </w:rPr>
        <w:t xml:space="preserve">22 Ariz.App. at 44 (“We cannot hold that the Supreme Court, after promulgating </w:t>
      </w:r>
      <w:r w:rsidRPr="00560AE7">
        <w:rPr>
          <w:rFonts w:ascii="Century Schoolbook" w:hAnsi="Century Schoolbook"/>
          <w:sz w:val="28"/>
          <w:szCs w:val="28"/>
        </w:rPr>
        <w:t>Rule 42(f), intended § 12-409 to coexist as a separate and distinct remedy.  It would be both cumbersome and confusing to have two methods to effectuate a change of judge.”)</w:t>
      </w:r>
      <w:r w:rsidR="00560AE7" w:rsidRPr="00C674AA">
        <w:rPr>
          <w:rFonts w:ascii="Century Schoolbook" w:hAnsi="Century Schoolbook"/>
          <w:sz w:val="28"/>
          <w:szCs w:val="28"/>
        </w:rPr>
        <w:t xml:space="preserve">; </w:t>
      </w:r>
      <w:r w:rsidRPr="00560AE7">
        <w:rPr>
          <w:rFonts w:ascii="Century Schoolbook" w:hAnsi="Century Schoolbook"/>
          <w:i/>
          <w:iCs/>
          <w:sz w:val="28"/>
          <w:szCs w:val="28"/>
        </w:rPr>
        <w:t>B</w:t>
      </w:r>
      <w:r w:rsidR="00C674AA">
        <w:rPr>
          <w:rFonts w:ascii="Century Schoolbook" w:hAnsi="Century Schoolbook"/>
          <w:i/>
          <w:iCs/>
          <w:sz w:val="28"/>
          <w:szCs w:val="28"/>
        </w:rPr>
        <w:t>r</w:t>
      </w:r>
      <w:r w:rsidRPr="00560AE7">
        <w:rPr>
          <w:rFonts w:ascii="Century Schoolbook" w:hAnsi="Century Schoolbook"/>
          <w:i/>
          <w:iCs/>
          <w:sz w:val="28"/>
          <w:szCs w:val="28"/>
        </w:rPr>
        <w:t xml:space="preserve">ush Wellman, </w:t>
      </w:r>
      <w:r w:rsidRPr="00560AE7">
        <w:rPr>
          <w:rFonts w:ascii="Century Schoolbook" w:hAnsi="Century Schoolbook"/>
          <w:sz w:val="28"/>
          <w:szCs w:val="28"/>
        </w:rPr>
        <w:t>348, ¶13.</w:t>
      </w:r>
      <w:r w:rsidRPr="00456C3F">
        <w:rPr>
          <w:rFonts w:ascii="Century Schoolbook" w:hAnsi="Century Schoolbook"/>
          <w:sz w:val="28"/>
          <w:szCs w:val="28"/>
        </w:rPr>
        <w:t xml:space="preserve"> In other words, “Rule 42(f) merely codified these [prior] holdings under [A.R.S. §</w:t>
      </w:r>
      <w:r>
        <w:rPr>
          <w:rFonts w:ascii="Century Schoolbook" w:hAnsi="Century Schoolbook"/>
          <w:sz w:val="28"/>
          <w:szCs w:val="28"/>
        </w:rPr>
        <w:t xml:space="preserve"> </w:t>
      </w:r>
      <w:r w:rsidRPr="00456C3F">
        <w:rPr>
          <w:rFonts w:ascii="Century Schoolbook" w:hAnsi="Century Schoolbook"/>
          <w:sz w:val="28"/>
          <w:szCs w:val="28"/>
        </w:rPr>
        <w:t xml:space="preserve">12-409], eliminating the fiction of bias and prejudice and making the change automatic on request, without the necessity of any affidavit.”  </w:t>
      </w:r>
      <w:r w:rsidRPr="00456C3F">
        <w:rPr>
          <w:rFonts w:ascii="Century Schoolbook" w:hAnsi="Century Schoolbook"/>
          <w:i/>
          <w:iCs/>
          <w:sz w:val="28"/>
          <w:szCs w:val="28"/>
        </w:rPr>
        <w:t xml:space="preserve">Hofstra, </w:t>
      </w:r>
      <w:r w:rsidRPr="00456C3F">
        <w:rPr>
          <w:rFonts w:ascii="Century Schoolbook" w:hAnsi="Century Schoolbook"/>
          <w:sz w:val="28"/>
          <w:szCs w:val="28"/>
        </w:rPr>
        <w:t xml:space="preserve">108 Ariz. at 499.  Furthermore, “[t]he old affidavit of bias and prejudice was really the same thing [as the Notice of Change of Judge].”  </w:t>
      </w:r>
      <w:r w:rsidRPr="00456C3F">
        <w:rPr>
          <w:rFonts w:ascii="Century Schoolbook" w:hAnsi="Century Schoolbook"/>
          <w:i/>
          <w:iCs/>
          <w:sz w:val="28"/>
          <w:szCs w:val="28"/>
        </w:rPr>
        <w:t xml:space="preserve">King, </w:t>
      </w:r>
      <w:r w:rsidRPr="00456C3F">
        <w:rPr>
          <w:rFonts w:ascii="Century Schoolbook" w:hAnsi="Century Schoolbook"/>
          <w:sz w:val="28"/>
          <w:szCs w:val="28"/>
        </w:rPr>
        <w:t xml:space="preserve">108 Ariz. at 494.  </w:t>
      </w:r>
      <w:r w:rsidRPr="00456C3F">
        <w:rPr>
          <w:rFonts w:ascii="Century Schoolbook" w:hAnsi="Century Schoolbook"/>
          <w:i/>
          <w:iCs/>
          <w:sz w:val="28"/>
          <w:szCs w:val="28"/>
        </w:rPr>
        <w:t xml:space="preserve">See also </w:t>
      </w:r>
      <w:r w:rsidRPr="00456C3F">
        <w:rPr>
          <w:rFonts w:ascii="Century Schoolbook" w:hAnsi="Century Schoolbook"/>
          <w:sz w:val="28"/>
          <w:szCs w:val="28"/>
        </w:rPr>
        <w:t>47 Yale L.J. 1403, 1406-08 (</w:t>
      </w:r>
      <w:r w:rsidRPr="00456C3F">
        <w:rPr>
          <w:rFonts w:ascii="Century Schoolbook" w:hAnsi="Century Schoolbook"/>
          <w:color w:val="000000"/>
          <w:sz w:val="28"/>
          <w:szCs w:val="28"/>
        </w:rPr>
        <w:t xml:space="preserve">“there is little basis for differentiating between an affidavit without proof and a peremptory challenge. In either one, the operative factor is </w:t>
      </w:r>
      <w:r w:rsidRPr="00456C3F">
        <w:rPr>
          <w:rFonts w:ascii="Century Schoolbook" w:hAnsi="Century Schoolbook"/>
          <w:color w:val="000000"/>
          <w:sz w:val="28"/>
          <w:szCs w:val="28"/>
        </w:rPr>
        <w:lastRenderedPageBreak/>
        <w:t xml:space="preserve">the demand for removal, not the actual disqualifying </w:t>
      </w:r>
      <w:proofErr w:type="gramStart"/>
      <w:r w:rsidRPr="00456C3F">
        <w:rPr>
          <w:rFonts w:ascii="Century Schoolbook" w:hAnsi="Century Schoolbook"/>
          <w:color w:val="000000"/>
          <w:sz w:val="28"/>
          <w:szCs w:val="28"/>
        </w:rPr>
        <w:t>circumstances[</w:t>
      </w:r>
      <w:proofErr w:type="gramEnd"/>
      <w:r w:rsidRPr="00456C3F">
        <w:rPr>
          <w:rFonts w:ascii="Century Schoolbook" w:hAnsi="Century Schoolbook"/>
          <w:color w:val="000000"/>
          <w:sz w:val="28"/>
          <w:szCs w:val="28"/>
        </w:rPr>
        <w:t>,]” “[t]he only effective restraint is to limit the time of filing and the number of challenges][,]” and “courts might well approve a shift to peremptory challenge as a comparatively minor simplification of the process.”).</w:t>
      </w:r>
    </w:p>
    <w:p w14:paraId="72BF2AE0" w14:textId="6652B1FA" w:rsidR="00C02DE8" w:rsidRPr="00D318F9" w:rsidRDefault="00C02DE8">
      <w:pPr>
        <w:spacing w:before="240" w:line="240" w:lineRule="auto"/>
        <w:ind w:left="1440" w:hanging="720"/>
        <w:jc w:val="both"/>
        <w:rPr>
          <w:rFonts w:ascii="Century Schoolbook" w:hAnsi="Century Schoolbook"/>
          <w:b/>
          <w:bCs/>
          <w:color w:val="000000"/>
          <w:sz w:val="28"/>
          <w:szCs w:val="28"/>
        </w:rPr>
      </w:pPr>
      <w:r w:rsidRPr="00D318F9">
        <w:rPr>
          <w:rFonts w:ascii="Century Schoolbook" w:hAnsi="Century Schoolbook"/>
          <w:b/>
          <w:bCs/>
          <w:color w:val="000000"/>
          <w:sz w:val="28"/>
          <w:szCs w:val="28"/>
        </w:rPr>
        <w:t>3.</w:t>
      </w:r>
      <w:r w:rsidRPr="00D318F9">
        <w:rPr>
          <w:rFonts w:ascii="Century Schoolbook" w:hAnsi="Century Schoolbook"/>
          <w:b/>
          <w:bCs/>
          <w:color w:val="000000"/>
          <w:sz w:val="28"/>
          <w:szCs w:val="28"/>
        </w:rPr>
        <w:tab/>
        <w:t>The Present Confusion About the Court’s Ability to Eliminate the Right to Change of Judge Comes From Misunderstanding the Complex Architecture of the Rules Governing Change of Judge.</w:t>
      </w:r>
    </w:p>
    <w:p w14:paraId="1102A2FF" w14:textId="77D6D71C" w:rsidR="003E190E" w:rsidRDefault="00C02DE8" w:rsidP="003E190E">
      <w:pPr>
        <w:spacing w:line="480" w:lineRule="exact"/>
        <w:ind w:firstLine="720"/>
        <w:jc w:val="both"/>
        <w:rPr>
          <w:rFonts w:ascii="Century Schoolbook" w:hAnsi="Century Schoolbook"/>
          <w:sz w:val="28"/>
          <w:szCs w:val="28"/>
        </w:rPr>
      </w:pPr>
      <w:r>
        <w:rPr>
          <w:rFonts w:ascii="Century Schoolbook" w:hAnsi="Century Schoolbook"/>
          <w:sz w:val="28"/>
          <w:szCs w:val="28"/>
        </w:rPr>
        <w:t>When this Court created rules governing change of judge in 1972, it did so carefully and clearly keeping in the forefront of its collective mind its own teaching that procedural rules cannot modify or abrogate substantive rights conferred by statute.</w:t>
      </w:r>
      <w:r w:rsidR="003E190E">
        <w:rPr>
          <w:rFonts w:ascii="Century Schoolbook" w:hAnsi="Century Schoolbook"/>
          <w:sz w:val="28"/>
          <w:szCs w:val="28"/>
        </w:rPr>
        <w:t xml:space="preserve">  </w:t>
      </w:r>
      <w:r w:rsidR="003E190E" w:rsidRPr="00456C3F">
        <w:rPr>
          <w:rFonts w:ascii="Century Schoolbook" w:hAnsi="Century Schoolbook"/>
          <w:i/>
          <w:iCs/>
          <w:sz w:val="28"/>
          <w:szCs w:val="28"/>
        </w:rPr>
        <w:t xml:space="preserve">Marsin, </w:t>
      </w:r>
      <w:r w:rsidR="003E190E" w:rsidRPr="00456C3F">
        <w:rPr>
          <w:rFonts w:ascii="Century Schoolbook" w:hAnsi="Century Schoolbook"/>
          <w:sz w:val="28"/>
          <w:szCs w:val="28"/>
        </w:rPr>
        <w:t xml:space="preserve">78 Ariz. at 312 </w:t>
      </w:r>
      <w:r w:rsidR="003E190E">
        <w:rPr>
          <w:rFonts w:ascii="Century Schoolbook" w:hAnsi="Century Schoolbook"/>
          <w:sz w:val="28"/>
          <w:szCs w:val="28"/>
        </w:rPr>
        <w:t>(analyzing</w:t>
      </w:r>
      <w:r w:rsidR="003E190E" w:rsidRPr="00456C3F">
        <w:rPr>
          <w:rFonts w:ascii="Century Schoolbook" w:hAnsi="Century Schoolbook"/>
          <w:sz w:val="28"/>
          <w:szCs w:val="28"/>
        </w:rPr>
        <w:t xml:space="preserve"> A.R.S. §</w:t>
      </w:r>
      <w:r w:rsidR="003E190E">
        <w:rPr>
          <w:rFonts w:ascii="Century Schoolbook" w:hAnsi="Century Schoolbook"/>
          <w:sz w:val="28"/>
          <w:szCs w:val="28"/>
        </w:rPr>
        <w:t xml:space="preserve"> </w:t>
      </w:r>
      <w:r w:rsidR="003E190E" w:rsidRPr="00456C3F">
        <w:rPr>
          <w:rFonts w:ascii="Century Schoolbook" w:hAnsi="Century Schoolbook"/>
          <w:sz w:val="28"/>
          <w:szCs w:val="28"/>
        </w:rPr>
        <w:t>12-409</w:t>
      </w:r>
      <w:r w:rsidR="003E190E">
        <w:rPr>
          <w:rFonts w:ascii="Century Schoolbook" w:hAnsi="Century Schoolbook"/>
          <w:sz w:val="28"/>
          <w:szCs w:val="28"/>
        </w:rPr>
        <w:t xml:space="preserve"> and</w:t>
      </w:r>
      <w:r w:rsidR="003E190E" w:rsidRPr="00456C3F">
        <w:rPr>
          <w:rFonts w:ascii="Century Schoolbook" w:hAnsi="Century Schoolbook"/>
          <w:sz w:val="28"/>
          <w:szCs w:val="28"/>
        </w:rPr>
        <w:t xml:space="preserve"> </w:t>
      </w:r>
      <w:r w:rsidR="003E190E">
        <w:rPr>
          <w:rFonts w:ascii="Century Schoolbook" w:hAnsi="Century Schoolbook"/>
          <w:sz w:val="28"/>
          <w:szCs w:val="28"/>
        </w:rPr>
        <w:t>holding</w:t>
      </w:r>
      <w:r w:rsidR="003E190E" w:rsidRPr="00456C3F">
        <w:rPr>
          <w:rFonts w:ascii="Century Schoolbook" w:hAnsi="Century Schoolbook"/>
          <w:sz w:val="28"/>
          <w:szCs w:val="28"/>
        </w:rPr>
        <w:t xml:space="preserve"> that “[a] court is limited to passing rules which prescribe procedure for exercising the right. </w:t>
      </w:r>
      <w:r w:rsidR="003E190E" w:rsidRPr="00456C3F">
        <w:rPr>
          <w:rFonts w:ascii="Century Schoolbook" w:hAnsi="Century Schoolbook"/>
          <w:i/>
          <w:iCs/>
          <w:sz w:val="28"/>
          <w:szCs w:val="28"/>
        </w:rPr>
        <w:t>Any rule of court that operates to lessen or eliminate the right is of no legal force</w:t>
      </w:r>
      <w:r w:rsidR="003E190E" w:rsidRPr="00456C3F">
        <w:rPr>
          <w:rFonts w:ascii="Century Schoolbook" w:hAnsi="Century Schoolbook"/>
          <w:sz w:val="28"/>
          <w:szCs w:val="28"/>
        </w:rPr>
        <w:t>.”</w:t>
      </w:r>
      <w:r w:rsidR="003E190E">
        <w:rPr>
          <w:rFonts w:ascii="Century Schoolbook" w:hAnsi="Century Schoolbook"/>
          <w:sz w:val="28"/>
          <w:szCs w:val="28"/>
        </w:rPr>
        <w:t>)</w:t>
      </w:r>
      <w:r w:rsidR="003E190E" w:rsidRPr="00456C3F">
        <w:rPr>
          <w:rFonts w:ascii="Century Schoolbook" w:hAnsi="Century Schoolbook"/>
          <w:sz w:val="28"/>
          <w:szCs w:val="28"/>
        </w:rPr>
        <w:t xml:space="preserve"> (emphasis added).  </w:t>
      </w:r>
      <w:r w:rsidR="003E190E">
        <w:rPr>
          <w:rFonts w:ascii="Century Schoolbook" w:hAnsi="Century Schoolbook"/>
          <w:sz w:val="28"/>
          <w:szCs w:val="28"/>
        </w:rPr>
        <w:t xml:space="preserve">Mindful that in fashioning rules it needed to honor the litigant’s right, unreviewable by judges, to change of judge, the Court broke the right into two components.  Creating Ariz. R. Civ. P. 42.1, this Court assured litigants that they could strike a judge unreviewably, and fully consistent with the statute.  </w:t>
      </w:r>
    </w:p>
    <w:p w14:paraId="40CB10D6" w14:textId="41FF7985" w:rsidR="003E190E" w:rsidRDefault="003E190E" w:rsidP="003E190E">
      <w:pPr>
        <w:spacing w:line="480" w:lineRule="exact"/>
        <w:ind w:firstLine="720"/>
        <w:jc w:val="both"/>
        <w:rPr>
          <w:rFonts w:ascii="Century Schoolbook" w:hAnsi="Century Schoolbook"/>
          <w:sz w:val="28"/>
          <w:szCs w:val="28"/>
        </w:rPr>
      </w:pPr>
      <w:r>
        <w:rPr>
          <w:rFonts w:ascii="Century Schoolbook" w:hAnsi="Century Schoolbook"/>
          <w:sz w:val="28"/>
          <w:szCs w:val="28"/>
        </w:rPr>
        <w:t xml:space="preserve">Then comes the confusing part.  Having fashioned a procedure governing and assuring litigants of their substantive legal right to one change of judge, this Court then fashioned a companion procedure for the removal of a judge for circumstances other than the exercise of the substantive right to remove a judge once without judicial review or oversight.  Confusingly, that separate procedure, housed in </w:t>
      </w:r>
      <w:r w:rsidR="0034646D">
        <w:rPr>
          <w:rFonts w:ascii="Century Schoolbook" w:hAnsi="Century Schoolbook"/>
          <w:sz w:val="28"/>
          <w:szCs w:val="28"/>
        </w:rPr>
        <w:t xml:space="preserve">the civil rules </w:t>
      </w:r>
      <w:r w:rsidR="0034646D">
        <w:rPr>
          <w:rFonts w:ascii="Century Schoolbook" w:hAnsi="Century Schoolbook"/>
          <w:sz w:val="28"/>
          <w:szCs w:val="28"/>
        </w:rPr>
        <w:lastRenderedPageBreak/>
        <w:t xml:space="preserve">in </w:t>
      </w:r>
      <w:r>
        <w:rPr>
          <w:rFonts w:ascii="Century Schoolbook" w:hAnsi="Century Schoolbook"/>
          <w:sz w:val="28"/>
          <w:szCs w:val="28"/>
        </w:rPr>
        <w:t xml:space="preserve">Ariz. R. Civ. P. 42.2, requires the invocation of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9, but allows the denial of requests for change of judge</w:t>
      </w:r>
      <w:r w:rsidR="0034646D">
        <w:rPr>
          <w:rFonts w:ascii="Century Schoolbook" w:hAnsi="Century Schoolbook"/>
          <w:sz w:val="28"/>
          <w:szCs w:val="28"/>
        </w:rPr>
        <w:t>, which is inconsistent with the statute</w:t>
      </w:r>
      <w:r>
        <w:rPr>
          <w:rFonts w:ascii="Century Schoolbook" w:hAnsi="Century Schoolbook"/>
          <w:sz w:val="28"/>
          <w:szCs w:val="28"/>
        </w:rPr>
        <w:t xml:space="preserve">.  Because Ariz. R. Civ. P. 42.1 guarantees litigants the substantive right in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 xml:space="preserve">9, there is nothing wrong – and much right – with having a procedure in Ariz. R. Civ. P. 42.2 to move for the removal of a judge for stated grounds that must be shown, and giving the Superior Court a chance to deny that motion.  </w:t>
      </w:r>
    </w:p>
    <w:p w14:paraId="39E39C97" w14:textId="6A986134" w:rsidR="003E190E" w:rsidRDefault="003E190E" w:rsidP="003E190E">
      <w:pPr>
        <w:spacing w:line="480" w:lineRule="exact"/>
        <w:ind w:firstLine="720"/>
        <w:jc w:val="both"/>
        <w:rPr>
          <w:rFonts w:ascii="Century Schoolbook" w:hAnsi="Century Schoolbook"/>
          <w:sz w:val="28"/>
          <w:szCs w:val="28"/>
        </w:rPr>
      </w:pPr>
      <w:r>
        <w:rPr>
          <w:rFonts w:ascii="Century Schoolbook" w:hAnsi="Century Schoolbook"/>
          <w:sz w:val="28"/>
          <w:szCs w:val="28"/>
        </w:rPr>
        <w:t xml:space="preserve">But the reference in Ariz. R. Civ. P 42.2 to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 xml:space="preserve">9 has seemingly engendered the mistaken belief that </w:t>
      </w:r>
      <w:r w:rsidR="0034646D">
        <w:rPr>
          <w:rFonts w:ascii="Century Schoolbook" w:hAnsi="Century Schoolbook"/>
          <w:sz w:val="28"/>
          <w:szCs w:val="28"/>
        </w:rPr>
        <w:t xml:space="preserve">Ariz. R. Civ. P. 42.2 gives effect to the rights conferred in the statute, and that </w:t>
      </w:r>
      <w:r>
        <w:rPr>
          <w:rFonts w:ascii="Century Schoolbook" w:hAnsi="Century Schoolbook"/>
          <w:sz w:val="28"/>
          <w:szCs w:val="28"/>
        </w:rPr>
        <w:t xml:space="preserve">the judiciary </w:t>
      </w:r>
      <w:r w:rsidR="0034646D">
        <w:rPr>
          <w:rFonts w:ascii="Century Schoolbook" w:hAnsi="Century Schoolbook"/>
          <w:sz w:val="28"/>
          <w:szCs w:val="28"/>
        </w:rPr>
        <w:t xml:space="preserve">is allowed to restrict </w:t>
      </w:r>
      <w:r w:rsidR="00F748D3">
        <w:rPr>
          <w:rFonts w:ascii="Century Schoolbook" w:hAnsi="Century Schoolbook"/>
          <w:sz w:val="28"/>
          <w:szCs w:val="28"/>
        </w:rPr>
        <w:t xml:space="preserve">a litigant’s </w:t>
      </w:r>
      <w:r>
        <w:rPr>
          <w:rFonts w:ascii="Century Schoolbook" w:hAnsi="Century Schoolbook"/>
          <w:sz w:val="28"/>
          <w:szCs w:val="28"/>
        </w:rPr>
        <w:t xml:space="preserve">exercise of the substantive right in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 xml:space="preserve">9.  </w:t>
      </w:r>
      <w:r w:rsidR="0034646D">
        <w:rPr>
          <w:rFonts w:ascii="Century Schoolbook" w:hAnsi="Century Schoolbook"/>
          <w:sz w:val="28"/>
          <w:szCs w:val="28"/>
        </w:rPr>
        <w:t>Yet a</w:t>
      </w:r>
      <w:r>
        <w:rPr>
          <w:rFonts w:ascii="Century Schoolbook" w:hAnsi="Century Schoolbook"/>
          <w:sz w:val="28"/>
          <w:szCs w:val="28"/>
        </w:rPr>
        <w:t>s this Court has previously explained, it may not</w:t>
      </w:r>
      <w:r w:rsidR="0034646D">
        <w:rPr>
          <w:rFonts w:ascii="Century Schoolbook" w:hAnsi="Century Schoolbook"/>
          <w:sz w:val="28"/>
          <w:szCs w:val="28"/>
        </w:rPr>
        <w:t xml:space="preserve"> do so</w:t>
      </w:r>
      <w:r>
        <w:rPr>
          <w:rFonts w:ascii="Century Schoolbook" w:hAnsi="Century Schoolbook"/>
          <w:sz w:val="28"/>
          <w:szCs w:val="28"/>
        </w:rPr>
        <w:t xml:space="preserve">.  </w:t>
      </w:r>
      <w:r w:rsidRPr="00456C3F">
        <w:rPr>
          <w:rFonts w:ascii="Century Schoolbook" w:hAnsi="Century Schoolbook"/>
          <w:i/>
          <w:iCs/>
          <w:sz w:val="28"/>
          <w:szCs w:val="28"/>
        </w:rPr>
        <w:t xml:space="preserve">Marsin, </w:t>
      </w:r>
      <w:r w:rsidRPr="00456C3F">
        <w:rPr>
          <w:rFonts w:ascii="Century Schoolbook" w:hAnsi="Century Schoolbook"/>
          <w:sz w:val="28"/>
          <w:szCs w:val="28"/>
        </w:rPr>
        <w:t xml:space="preserve">78 Ariz. at 312 </w:t>
      </w:r>
      <w:r>
        <w:rPr>
          <w:rFonts w:ascii="Century Schoolbook" w:hAnsi="Century Schoolbook"/>
          <w:sz w:val="28"/>
          <w:szCs w:val="28"/>
        </w:rPr>
        <w:t>(</w:t>
      </w:r>
      <w:r w:rsidRPr="00F748D3">
        <w:rPr>
          <w:rFonts w:ascii="Century Schoolbook" w:hAnsi="Century Schoolbook"/>
          <w:sz w:val="28"/>
          <w:szCs w:val="28"/>
        </w:rPr>
        <w:t>“</w:t>
      </w:r>
      <w:r w:rsidRPr="00D318F9">
        <w:rPr>
          <w:rFonts w:ascii="Century Schoolbook" w:hAnsi="Century Schoolbook"/>
          <w:sz w:val="28"/>
          <w:szCs w:val="28"/>
        </w:rPr>
        <w:t>Any rule of court that operates to lessen or eliminate the right is of no legal force</w:t>
      </w:r>
      <w:r w:rsidRPr="00F748D3">
        <w:rPr>
          <w:rFonts w:ascii="Century Schoolbook" w:hAnsi="Century Schoolbook"/>
          <w:sz w:val="28"/>
          <w:szCs w:val="28"/>
        </w:rPr>
        <w:t>.”</w:t>
      </w:r>
      <w:r w:rsidRPr="00510797">
        <w:rPr>
          <w:rFonts w:ascii="Century Schoolbook" w:hAnsi="Century Schoolbook"/>
          <w:sz w:val="28"/>
          <w:szCs w:val="28"/>
        </w:rPr>
        <w:t>)</w:t>
      </w:r>
      <w:r w:rsidR="00F748D3">
        <w:rPr>
          <w:rFonts w:ascii="Century Schoolbook" w:hAnsi="Century Schoolbook"/>
          <w:sz w:val="28"/>
          <w:szCs w:val="28"/>
        </w:rPr>
        <w:t>.  Because Ariz. R. Civ. P. 42.2 gatekeeps a litigant’s strike, reserving to the Superior Court the right to deny a motion to remove a judge, it is not an expression by rule of the substantive right in the statute</w:t>
      </w:r>
      <w:r w:rsidR="0034646D">
        <w:rPr>
          <w:rFonts w:ascii="Century Schoolbook" w:hAnsi="Century Schoolbook"/>
          <w:sz w:val="28"/>
          <w:szCs w:val="28"/>
        </w:rPr>
        <w:t>.  Instead, it is Ariz. R. Civ. P. 42.1 – which doesn’t mention the statute – which actually gives effect to the substantive right in the statute.</w:t>
      </w:r>
    </w:p>
    <w:p w14:paraId="5161E067" w14:textId="3B0A580C" w:rsidR="00F748D3" w:rsidRDefault="00F748D3" w:rsidP="003E190E">
      <w:pPr>
        <w:spacing w:line="480" w:lineRule="exact"/>
        <w:ind w:firstLine="720"/>
        <w:jc w:val="both"/>
        <w:rPr>
          <w:rFonts w:ascii="Century Schoolbook" w:hAnsi="Century Schoolbook"/>
          <w:sz w:val="28"/>
          <w:szCs w:val="28"/>
        </w:rPr>
      </w:pPr>
      <w:r>
        <w:rPr>
          <w:rFonts w:ascii="Century Schoolbook" w:hAnsi="Century Schoolbook"/>
          <w:sz w:val="28"/>
          <w:szCs w:val="28"/>
        </w:rPr>
        <w:t xml:space="preserve">It is also likely that the </w:t>
      </w:r>
      <w:r w:rsidR="0034646D">
        <w:rPr>
          <w:rFonts w:ascii="Century Schoolbook" w:hAnsi="Century Schoolbook"/>
          <w:sz w:val="28"/>
          <w:szCs w:val="28"/>
        </w:rPr>
        <w:t xml:space="preserve">very </w:t>
      </w:r>
      <w:r>
        <w:rPr>
          <w:rFonts w:ascii="Century Schoolbook" w:hAnsi="Century Schoolbook"/>
          <w:sz w:val="28"/>
          <w:szCs w:val="28"/>
        </w:rPr>
        <w:t xml:space="preserve">lack of reference in Ariz. R. Civ. P. 42.1 to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 xml:space="preserve">9 has engendered a parallel and mistaken belief that </w:t>
      </w:r>
      <w:r w:rsidR="0034646D">
        <w:rPr>
          <w:rFonts w:ascii="Century Schoolbook" w:hAnsi="Century Schoolbook"/>
          <w:sz w:val="28"/>
          <w:szCs w:val="28"/>
        </w:rPr>
        <w:t xml:space="preserve">Ariz. R. Civ. P. 42.1 </w:t>
      </w:r>
      <w:r>
        <w:rPr>
          <w:rFonts w:ascii="Century Schoolbook" w:hAnsi="Century Schoolbook"/>
          <w:sz w:val="28"/>
          <w:szCs w:val="28"/>
        </w:rPr>
        <w:t xml:space="preserve">sets forth a mere judge-created right that judges are free to undo.  </w:t>
      </w:r>
      <w:r w:rsidR="0034646D">
        <w:rPr>
          <w:rFonts w:ascii="Century Schoolbook" w:hAnsi="Century Schoolbook"/>
          <w:sz w:val="28"/>
          <w:szCs w:val="28"/>
        </w:rPr>
        <w:t>Again, this is wrong.  Ariz. R. Civ. P. 42.1 effectuates the right in</w:t>
      </w:r>
      <w:r>
        <w:rPr>
          <w:rFonts w:ascii="Century Schoolbook" w:hAnsi="Century Schoolbook"/>
          <w:sz w:val="28"/>
          <w:szCs w:val="28"/>
        </w:rPr>
        <w:t xml:space="preserve"> th</w:t>
      </w:r>
      <w:r w:rsidR="0034646D">
        <w:rPr>
          <w:rFonts w:ascii="Century Schoolbook" w:hAnsi="Century Schoolbook"/>
          <w:sz w:val="28"/>
          <w:szCs w:val="28"/>
        </w:rPr>
        <w:t>e statute.  And this</w:t>
      </w:r>
      <w:r>
        <w:rPr>
          <w:rFonts w:ascii="Century Schoolbook" w:hAnsi="Century Schoolbook"/>
          <w:sz w:val="28"/>
          <w:szCs w:val="28"/>
        </w:rPr>
        <w:t xml:space="preserve"> Court has previously explained that judges are not free to abridge or undo the substantive right in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w:t>
      </w:r>
      <w:r>
        <w:rPr>
          <w:rFonts w:ascii="Century Schoolbook" w:hAnsi="Century Schoolbook"/>
          <w:sz w:val="28"/>
          <w:szCs w:val="28"/>
        </w:rPr>
        <w:t xml:space="preserve">9.  </w:t>
      </w:r>
      <w:r w:rsidRPr="00D318F9">
        <w:rPr>
          <w:rFonts w:ascii="Century Schoolbook" w:hAnsi="Century Schoolbook"/>
          <w:i/>
          <w:iCs/>
          <w:sz w:val="28"/>
          <w:szCs w:val="28"/>
        </w:rPr>
        <w:t>See Marsin, supra.</w:t>
      </w:r>
    </w:p>
    <w:p w14:paraId="67CA962F" w14:textId="59E56CC0" w:rsidR="00E622C0" w:rsidRPr="00D318F9" w:rsidRDefault="00F748D3" w:rsidP="00C674AA">
      <w:pPr>
        <w:spacing w:line="360" w:lineRule="auto"/>
        <w:ind w:firstLine="720"/>
        <w:jc w:val="both"/>
        <w:rPr>
          <w:rFonts w:ascii="Century Schoolbook" w:hAnsi="Century Schoolbook"/>
          <w:sz w:val="28"/>
          <w:szCs w:val="28"/>
        </w:rPr>
      </w:pPr>
      <w:r>
        <w:rPr>
          <w:rFonts w:ascii="Century Schoolbook" w:hAnsi="Century Schoolbook"/>
          <w:sz w:val="28"/>
          <w:szCs w:val="28"/>
        </w:rPr>
        <w:lastRenderedPageBreak/>
        <w:t xml:space="preserve">In sum, a half-century ago, this Court bifurcated the substantive right to change of judge that has existed since Territorial days.  It housed that right in Ariz. R. Civ. P. 42.1, </w:t>
      </w:r>
      <w:r w:rsidR="00D845ED">
        <w:rPr>
          <w:rFonts w:ascii="Century Schoolbook" w:hAnsi="Century Schoolbook"/>
          <w:sz w:val="28"/>
          <w:szCs w:val="28"/>
        </w:rPr>
        <w:t xml:space="preserve">confusingly </w:t>
      </w:r>
      <w:r>
        <w:rPr>
          <w:rFonts w:ascii="Century Schoolbook" w:hAnsi="Century Schoolbook"/>
          <w:sz w:val="28"/>
          <w:szCs w:val="28"/>
        </w:rPr>
        <w:t>without referencing the statute codifying the right</w:t>
      </w:r>
      <w:r w:rsidR="00D845ED">
        <w:rPr>
          <w:rFonts w:ascii="Century Schoolbook" w:hAnsi="Century Schoolbook"/>
          <w:sz w:val="28"/>
          <w:szCs w:val="28"/>
        </w:rPr>
        <w:t xml:space="preserve"> in that rule</w:t>
      </w:r>
      <w:r>
        <w:rPr>
          <w:rFonts w:ascii="Century Schoolbook" w:hAnsi="Century Schoolbook"/>
          <w:sz w:val="28"/>
          <w:szCs w:val="28"/>
        </w:rPr>
        <w:t>.  It housed a parallel and complementary procedure going beyond that statute in Ariz. R. Civ. P. 42.2, while referencing the statute in the latter but not the former rule.  This has created for some the misleading appearance that this Court is free to abolish Ariz. R. Civ. P. 42.1, and its juvenile court and family court analogs, and with them, a litigant’s right to change of judge.  This is the gravamen of the Petition, and of comment supporting it.  Yet as this Court’s teachings show, that premise is mistaken.</w:t>
      </w:r>
    </w:p>
    <w:p w14:paraId="7DA9C39C" w14:textId="50D26565" w:rsidR="0004757A" w:rsidRPr="00D318F9" w:rsidRDefault="00510797">
      <w:pPr>
        <w:spacing w:line="240" w:lineRule="auto"/>
        <w:ind w:left="720" w:hanging="720"/>
        <w:jc w:val="both"/>
        <w:rPr>
          <w:rFonts w:ascii="Century Schoolbook" w:hAnsi="Century Schoolbook"/>
          <w:b/>
          <w:bCs/>
          <w:sz w:val="28"/>
          <w:szCs w:val="28"/>
        </w:rPr>
      </w:pPr>
      <w:r>
        <w:rPr>
          <w:rFonts w:ascii="Century Schoolbook" w:hAnsi="Century Schoolbook"/>
          <w:b/>
          <w:bCs/>
          <w:sz w:val="28"/>
          <w:szCs w:val="28"/>
        </w:rPr>
        <w:t>C</w:t>
      </w:r>
      <w:r w:rsidR="0004757A" w:rsidRPr="00D318F9">
        <w:rPr>
          <w:rFonts w:ascii="Century Schoolbook" w:hAnsi="Century Schoolbook"/>
          <w:b/>
          <w:bCs/>
          <w:sz w:val="28"/>
          <w:szCs w:val="28"/>
        </w:rPr>
        <w:t>.</w:t>
      </w:r>
      <w:r w:rsidR="0004757A" w:rsidRPr="00D318F9">
        <w:rPr>
          <w:rFonts w:ascii="Century Schoolbook" w:hAnsi="Century Schoolbook"/>
          <w:b/>
          <w:bCs/>
          <w:sz w:val="28"/>
          <w:szCs w:val="28"/>
        </w:rPr>
        <w:tab/>
        <w:t xml:space="preserve">The Court Should Not Abrogate the Current Civil, Family, and Juvenile Rules that Regulate the Procedure </w:t>
      </w:r>
      <w:r>
        <w:rPr>
          <w:rFonts w:ascii="Century Schoolbook" w:hAnsi="Century Schoolbook"/>
          <w:b/>
          <w:bCs/>
          <w:sz w:val="28"/>
          <w:szCs w:val="28"/>
        </w:rPr>
        <w:t>R</w:t>
      </w:r>
      <w:r w:rsidR="0004757A" w:rsidRPr="00D318F9">
        <w:rPr>
          <w:rFonts w:ascii="Century Schoolbook" w:hAnsi="Century Schoolbook"/>
          <w:b/>
          <w:bCs/>
          <w:sz w:val="28"/>
          <w:szCs w:val="28"/>
        </w:rPr>
        <w:t>egarding a Party’s Substantive Right to a Peremptory Change of Judge.</w:t>
      </w:r>
    </w:p>
    <w:p w14:paraId="27B4A7D9" w14:textId="5D1EADED" w:rsidR="0004757A" w:rsidRPr="00D318F9" w:rsidRDefault="00297B30"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If the Court were to abrogate the rules which have been the subject of nearly four decades of fine</w:t>
      </w:r>
      <w:r w:rsidR="00AB0D5B">
        <w:rPr>
          <w:rFonts w:ascii="Century Schoolbook" w:hAnsi="Century Schoolbook"/>
          <w:sz w:val="28"/>
          <w:szCs w:val="28"/>
        </w:rPr>
        <w:t>-</w:t>
      </w:r>
      <w:r w:rsidRPr="00D318F9">
        <w:rPr>
          <w:rFonts w:ascii="Century Schoolbook" w:hAnsi="Century Schoolbook"/>
          <w:sz w:val="28"/>
          <w:szCs w:val="28"/>
        </w:rPr>
        <w:t>tuning to address abuses as well as evolving pretrial management of case filings, A.R.S. §</w:t>
      </w:r>
      <w:r w:rsidR="00F748D3">
        <w:rPr>
          <w:rFonts w:ascii="Century Schoolbook" w:hAnsi="Century Schoolbook"/>
          <w:sz w:val="28"/>
          <w:szCs w:val="28"/>
        </w:rPr>
        <w:t xml:space="preserve"> </w:t>
      </w:r>
      <w:r w:rsidRPr="00D318F9">
        <w:rPr>
          <w:rFonts w:ascii="Century Schoolbook" w:hAnsi="Century Schoolbook"/>
          <w:sz w:val="28"/>
          <w:szCs w:val="28"/>
        </w:rPr>
        <w:t xml:space="preserve">12-409 would still exist. </w:t>
      </w:r>
      <w:r w:rsidR="00AB0D5B">
        <w:rPr>
          <w:rFonts w:ascii="Century Schoolbook" w:hAnsi="Century Schoolbook"/>
          <w:sz w:val="28"/>
          <w:szCs w:val="28"/>
        </w:rPr>
        <w:t xml:space="preserve"> </w:t>
      </w:r>
      <w:r w:rsidRPr="00D318F9">
        <w:rPr>
          <w:rFonts w:ascii="Century Schoolbook" w:hAnsi="Century Schoolbook"/>
          <w:sz w:val="28"/>
          <w:szCs w:val="28"/>
        </w:rPr>
        <w:t xml:space="preserve">A party in a non-criminal matter in Superior Court could still assert the right.  The Superior Court would have no </w:t>
      </w:r>
      <w:r w:rsidR="0004757A" w:rsidRPr="00D318F9">
        <w:rPr>
          <w:rFonts w:ascii="Century Schoolbook" w:hAnsi="Century Schoolbook"/>
          <w:sz w:val="28"/>
          <w:szCs w:val="28"/>
        </w:rPr>
        <w:t xml:space="preserve">court-made </w:t>
      </w:r>
      <w:r w:rsidRPr="00D318F9">
        <w:rPr>
          <w:rFonts w:ascii="Century Schoolbook" w:hAnsi="Century Schoolbook"/>
          <w:sz w:val="28"/>
          <w:szCs w:val="28"/>
        </w:rPr>
        <w:t xml:space="preserve">procedural </w:t>
      </w:r>
      <w:r w:rsidR="0004757A" w:rsidRPr="00D318F9">
        <w:rPr>
          <w:rFonts w:ascii="Century Schoolbook" w:hAnsi="Century Schoolbook"/>
          <w:sz w:val="28"/>
          <w:szCs w:val="28"/>
        </w:rPr>
        <w:t xml:space="preserve">rules </w:t>
      </w:r>
      <w:r w:rsidRPr="00D318F9">
        <w:rPr>
          <w:rFonts w:ascii="Century Schoolbook" w:hAnsi="Century Schoolbook"/>
          <w:sz w:val="28"/>
          <w:szCs w:val="28"/>
        </w:rPr>
        <w:t xml:space="preserve">in place, and as a result, the Superior Court would have to apply the procedural rules in </w:t>
      </w:r>
      <w:r w:rsidR="0004757A" w:rsidRPr="00D318F9">
        <w:rPr>
          <w:rFonts w:ascii="Century Schoolbook" w:hAnsi="Century Schoolbook"/>
          <w:sz w:val="28"/>
          <w:szCs w:val="28"/>
        </w:rPr>
        <w:t>A.R.S. §</w:t>
      </w:r>
      <w:r w:rsidR="00510797">
        <w:rPr>
          <w:rFonts w:ascii="Century Schoolbook" w:hAnsi="Century Schoolbook"/>
          <w:sz w:val="28"/>
          <w:szCs w:val="28"/>
        </w:rPr>
        <w:t xml:space="preserve"> </w:t>
      </w:r>
      <w:r w:rsidR="0004757A" w:rsidRPr="00D318F9">
        <w:rPr>
          <w:rFonts w:ascii="Century Schoolbook" w:hAnsi="Century Schoolbook"/>
          <w:sz w:val="28"/>
          <w:szCs w:val="28"/>
        </w:rPr>
        <w:t>12-409</w:t>
      </w:r>
      <w:r w:rsidR="00E8500D" w:rsidRPr="00D318F9">
        <w:rPr>
          <w:rFonts w:ascii="Century Schoolbook" w:hAnsi="Century Schoolbook"/>
          <w:sz w:val="28"/>
          <w:szCs w:val="28"/>
        </w:rPr>
        <w:t xml:space="preserve">, and the appellate courts’ interpretations of </w:t>
      </w:r>
      <w:r w:rsidR="006F785E" w:rsidRPr="00D318F9">
        <w:rPr>
          <w:rFonts w:ascii="Century Schoolbook" w:hAnsi="Century Schoolbook"/>
          <w:sz w:val="28"/>
          <w:szCs w:val="28"/>
        </w:rPr>
        <w:t>that statute</w:t>
      </w:r>
      <w:r w:rsidR="00E8500D" w:rsidRPr="00D318F9">
        <w:rPr>
          <w:rFonts w:ascii="Century Schoolbook" w:hAnsi="Century Schoolbook"/>
          <w:sz w:val="28"/>
          <w:szCs w:val="28"/>
        </w:rPr>
        <w:t>.</w:t>
      </w:r>
      <w:r w:rsidR="0004757A" w:rsidRPr="00D318F9">
        <w:rPr>
          <w:rFonts w:ascii="Century Schoolbook" w:hAnsi="Century Schoolbook"/>
          <w:i/>
          <w:iCs/>
          <w:sz w:val="28"/>
          <w:szCs w:val="28"/>
        </w:rPr>
        <w:t xml:space="preserve">  See, e.g.</w:t>
      </w:r>
      <w:r w:rsidR="00E8500D" w:rsidRPr="00D318F9">
        <w:rPr>
          <w:rFonts w:ascii="Century Schoolbook" w:hAnsi="Century Schoolbook"/>
          <w:i/>
          <w:iCs/>
          <w:sz w:val="28"/>
          <w:szCs w:val="28"/>
        </w:rPr>
        <w:t>,</w:t>
      </w:r>
      <w:r w:rsidR="0004757A" w:rsidRPr="00D318F9">
        <w:rPr>
          <w:rFonts w:ascii="Century Schoolbook" w:hAnsi="Century Schoolbook"/>
          <w:i/>
          <w:iCs/>
          <w:sz w:val="28"/>
          <w:szCs w:val="28"/>
        </w:rPr>
        <w:t xml:space="preserve"> Seisinger v. Siebel, </w:t>
      </w:r>
      <w:r w:rsidR="0004757A" w:rsidRPr="00D318F9">
        <w:rPr>
          <w:rFonts w:ascii="Century Schoolbook" w:hAnsi="Century Schoolbook"/>
          <w:sz w:val="28"/>
          <w:szCs w:val="28"/>
        </w:rPr>
        <w:t xml:space="preserve">220 Ariz. 85, 88-89, ¶ 8 (2009) (holding that the Legislature and the Supreme Court both have rulemaking power and the courts “recognize reasonable and workable statutory enactments that supplement rather than conflict </w:t>
      </w:r>
      <w:r w:rsidR="0004757A" w:rsidRPr="00D318F9">
        <w:rPr>
          <w:rFonts w:ascii="Century Schoolbook" w:hAnsi="Century Schoolbook"/>
          <w:sz w:val="28"/>
          <w:szCs w:val="28"/>
        </w:rPr>
        <w:lastRenderedPageBreak/>
        <w:t xml:space="preserve">with the rules [this Court] has promulgated” (quotation marks and citation omitted); </w:t>
      </w:r>
      <w:r w:rsidR="0004757A" w:rsidRPr="00D318F9">
        <w:rPr>
          <w:rFonts w:ascii="Century Schoolbook" w:hAnsi="Century Schoolbook"/>
          <w:i/>
          <w:iCs/>
          <w:sz w:val="28"/>
          <w:szCs w:val="28"/>
        </w:rPr>
        <w:t xml:space="preserve">Duff v. Lee, </w:t>
      </w:r>
      <w:r w:rsidR="0004757A" w:rsidRPr="00D318F9">
        <w:rPr>
          <w:rFonts w:ascii="Century Schoolbook" w:hAnsi="Century Schoolbook"/>
          <w:sz w:val="28"/>
          <w:szCs w:val="28"/>
        </w:rPr>
        <w:t xml:space="preserve">250 Ariz. 135, ¶12 (2020).  </w:t>
      </w:r>
    </w:p>
    <w:p w14:paraId="5338CC7A" w14:textId="7D033EF3" w:rsidR="00F25275" w:rsidRPr="00D318F9" w:rsidRDefault="0004757A"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The resulting situation would be worse for the Superior Court than</w:t>
      </w:r>
      <w:r w:rsidR="002A404B" w:rsidRPr="00D318F9">
        <w:rPr>
          <w:rFonts w:ascii="Century Schoolbook" w:hAnsi="Century Schoolbook"/>
          <w:sz w:val="28"/>
          <w:szCs w:val="28"/>
        </w:rPr>
        <w:t xml:space="preserve"> with</w:t>
      </w:r>
      <w:r w:rsidRPr="00D318F9">
        <w:rPr>
          <w:rFonts w:ascii="Century Schoolbook" w:hAnsi="Century Schoolbook"/>
          <w:sz w:val="28"/>
          <w:szCs w:val="28"/>
        </w:rPr>
        <w:t xml:space="preserve"> the current rules.  Administratively, a party could file an affidavit of bias and prejudice potentially as </w:t>
      </w:r>
      <w:r w:rsidR="002A404B" w:rsidRPr="00D318F9">
        <w:rPr>
          <w:rFonts w:ascii="Century Schoolbook" w:hAnsi="Century Schoolbook"/>
          <w:sz w:val="28"/>
          <w:szCs w:val="28"/>
        </w:rPr>
        <w:t>late</w:t>
      </w:r>
      <w:r w:rsidRPr="00D318F9">
        <w:rPr>
          <w:rFonts w:ascii="Century Schoolbook" w:hAnsi="Century Schoolbook"/>
          <w:sz w:val="28"/>
          <w:szCs w:val="28"/>
        </w:rPr>
        <w:t xml:space="preserve"> as the </w:t>
      </w:r>
      <w:r w:rsidR="006F785E" w:rsidRPr="00D318F9">
        <w:rPr>
          <w:rFonts w:ascii="Century Schoolbook" w:hAnsi="Century Schoolbook"/>
          <w:sz w:val="28"/>
          <w:szCs w:val="28"/>
        </w:rPr>
        <w:t xml:space="preserve">morning of </w:t>
      </w:r>
      <w:r w:rsidRPr="00D318F9">
        <w:rPr>
          <w:rFonts w:ascii="Century Schoolbook" w:hAnsi="Century Schoolbook"/>
          <w:sz w:val="28"/>
          <w:szCs w:val="28"/>
        </w:rPr>
        <w:t>trial</w:t>
      </w:r>
      <w:r w:rsidR="006F785E" w:rsidRPr="00D318F9">
        <w:rPr>
          <w:rFonts w:ascii="Century Schoolbook" w:hAnsi="Century Schoolbook"/>
          <w:sz w:val="28"/>
          <w:szCs w:val="28"/>
        </w:rPr>
        <w:t xml:space="preserve"> if there had not been a prior contested, evidentiary hearing</w:t>
      </w:r>
      <w:r w:rsidRPr="00D318F9">
        <w:rPr>
          <w:rFonts w:ascii="Century Schoolbook" w:hAnsi="Century Schoolbook"/>
          <w:sz w:val="28"/>
          <w:szCs w:val="28"/>
        </w:rPr>
        <w:t xml:space="preserve">.  </w:t>
      </w:r>
      <w:r w:rsidR="008D4586">
        <w:rPr>
          <w:rFonts w:ascii="Century Schoolbook" w:hAnsi="Century Schoolbook"/>
          <w:i/>
          <w:iCs/>
          <w:sz w:val="28"/>
          <w:szCs w:val="28"/>
        </w:rPr>
        <w:t>S</w:t>
      </w:r>
      <w:r w:rsidR="008D4586" w:rsidRPr="00712A1C">
        <w:rPr>
          <w:rFonts w:ascii="Century Schoolbook" w:hAnsi="Century Schoolbook"/>
          <w:i/>
          <w:iCs/>
          <w:sz w:val="28"/>
          <w:szCs w:val="28"/>
        </w:rPr>
        <w:t xml:space="preserve">ee, e.g., Huck v. </w:t>
      </w:r>
      <w:proofErr w:type="spellStart"/>
      <w:r w:rsidR="008D4586" w:rsidRPr="00712A1C">
        <w:rPr>
          <w:rFonts w:ascii="Century Schoolbook" w:hAnsi="Century Schoolbook"/>
          <w:i/>
          <w:iCs/>
          <w:sz w:val="28"/>
          <w:szCs w:val="28"/>
        </w:rPr>
        <w:t>Haralambie</w:t>
      </w:r>
      <w:proofErr w:type="spellEnd"/>
      <w:r w:rsidR="008D4586" w:rsidRPr="00712A1C">
        <w:rPr>
          <w:rFonts w:ascii="Century Schoolbook" w:hAnsi="Century Schoolbook"/>
          <w:i/>
          <w:iCs/>
          <w:sz w:val="28"/>
          <w:szCs w:val="28"/>
        </w:rPr>
        <w:t xml:space="preserve">, </w:t>
      </w:r>
      <w:r w:rsidR="008D4586" w:rsidRPr="00712A1C">
        <w:rPr>
          <w:rFonts w:ascii="Century Schoolbook" w:hAnsi="Century Schoolbook"/>
          <w:sz w:val="28"/>
          <w:szCs w:val="28"/>
        </w:rPr>
        <w:t>122 Ariz. 63, 64-65 (1979)</w:t>
      </w:r>
      <w:r w:rsidR="008D4586">
        <w:rPr>
          <w:rFonts w:ascii="Century Schoolbook" w:hAnsi="Century Schoolbook"/>
          <w:sz w:val="28"/>
          <w:szCs w:val="28"/>
        </w:rPr>
        <w:t xml:space="preserve">.  </w:t>
      </w:r>
      <w:r w:rsidRPr="00D318F9">
        <w:rPr>
          <w:rFonts w:ascii="Century Schoolbook" w:hAnsi="Century Schoolbook"/>
          <w:sz w:val="28"/>
          <w:szCs w:val="28"/>
        </w:rPr>
        <w:t>It would even more “seriously threaten judges’ ability to meet case processing time frames, and to effectively control their calendars” (Petition, p. 4) than</w:t>
      </w:r>
      <w:r w:rsidR="002A404B" w:rsidRPr="00D318F9">
        <w:rPr>
          <w:rFonts w:ascii="Century Schoolbook" w:hAnsi="Century Schoolbook"/>
          <w:sz w:val="28"/>
          <w:szCs w:val="28"/>
        </w:rPr>
        <w:t xml:space="preserve"> it does with</w:t>
      </w:r>
      <w:r w:rsidRPr="00D318F9">
        <w:rPr>
          <w:rFonts w:ascii="Century Schoolbook" w:hAnsi="Century Schoolbook"/>
          <w:sz w:val="28"/>
          <w:szCs w:val="28"/>
        </w:rPr>
        <w:t xml:space="preserve"> the procedures in the current rules which generally set much earlier deadlines and </w:t>
      </w:r>
      <w:r w:rsidR="006F785E" w:rsidRPr="00D318F9">
        <w:rPr>
          <w:rFonts w:ascii="Century Schoolbook" w:hAnsi="Century Schoolbook"/>
          <w:sz w:val="28"/>
          <w:szCs w:val="28"/>
        </w:rPr>
        <w:t xml:space="preserve">provisions for </w:t>
      </w:r>
      <w:r w:rsidRPr="00D318F9">
        <w:rPr>
          <w:rFonts w:ascii="Century Schoolbook" w:hAnsi="Century Schoolbook"/>
          <w:sz w:val="28"/>
          <w:szCs w:val="28"/>
        </w:rPr>
        <w:t xml:space="preserve">waivers.  </w:t>
      </w:r>
      <w:r w:rsidRPr="00D318F9">
        <w:rPr>
          <w:rFonts w:ascii="Century Schoolbook" w:hAnsi="Century Schoolbook"/>
          <w:i/>
          <w:iCs/>
          <w:sz w:val="28"/>
          <w:szCs w:val="28"/>
        </w:rPr>
        <w:t>See, e.g.,</w:t>
      </w:r>
      <w:r w:rsidRPr="00D318F9">
        <w:rPr>
          <w:rFonts w:ascii="Century Schoolbook" w:hAnsi="Century Schoolbook"/>
          <w:sz w:val="28"/>
          <w:szCs w:val="28"/>
        </w:rPr>
        <w:t xml:space="preserve"> Civil Rule 42.1(c)-(d).  It will also create more, not less, delay, and increase the costs of litigation.  </w:t>
      </w:r>
      <w:r w:rsidR="006F785E" w:rsidRPr="00D318F9">
        <w:rPr>
          <w:rFonts w:ascii="Century Schoolbook" w:hAnsi="Century Schoolbook"/>
          <w:sz w:val="28"/>
          <w:szCs w:val="28"/>
        </w:rPr>
        <w:t>In addition</w:t>
      </w:r>
      <w:r w:rsidR="00F25275" w:rsidRPr="00D318F9">
        <w:rPr>
          <w:rFonts w:ascii="Century Schoolbook" w:hAnsi="Century Schoolbook"/>
          <w:sz w:val="28"/>
          <w:szCs w:val="28"/>
        </w:rPr>
        <w:t xml:space="preserve">, when the Legislature has spoken and has affirmed the common law right to a peremptory change of judge based upon a party’s belief that a judge cannot be fair and impartial, all considerations of judicial efficiency should be secondary.  </w:t>
      </w:r>
      <w:r w:rsidR="00F25275" w:rsidRPr="00D318F9">
        <w:rPr>
          <w:rFonts w:ascii="Century Schoolbook" w:hAnsi="Century Schoolbook"/>
          <w:i/>
          <w:iCs/>
          <w:sz w:val="28"/>
          <w:szCs w:val="28"/>
        </w:rPr>
        <w:t xml:space="preserve">State v. Waters, </w:t>
      </w:r>
      <w:r w:rsidR="00F25275" w:rsidRPr="00D318F9">
        <w:rPr>
          <w:rFonts w:ascii="Century Schoolbook" w:hAnsi="Century Schoolbook"/>
          <w:sz w:val="28"/>
          <w:szCs w:val="28"/>
        </w:rPr>
        <w:t xml:space="preserve">971 P.2d 538, 541 (Wash. App. 1999) </w:t>
      </w:r>
      <w:r w:rsidR="00E8500D" w:rsidRPr="00D318F9">
        <w:rPr>
          <w:rFonts w:ascii="Century Schoolbook" w:hAnsi="Century Schoolbook"/>
          <w:sz w:val="28"/>
          <w:szCs w:val="28"/>
        </w:rPr>
        <w:t>(</w:t>
      </w:r>
      <w:r w:rsidR="00F25275" w:rsidRPr="00D318F9">
        <w:rPr>
          <w:rFonts w:ascii="Century Schoolbook" w:hAnsi="Century Schoolbook"/>
          <w:sz w:val="28"/>
          <w:szCs w:val="28"/>
        </w:rPr>
        <w:t xml:space="preserve">citing </w:t>
      </w:r>
      <w:r w:rsidR="00F25275" w:rsidRPr="00D318F9">
        <w:rPr>
          <w:rFonts w:ascii="Century Schoolbook" w:hAnsi="Century Schoolbook"/>
          <w:i/>
          <w:iCs/>
          <w:sz w:val="28"/>
          <w:szCs w:val="28"/>
        </w:rPr>
        <w:t xml:space="preserve">Marine Power &amp; Equip Co. v. Department of Transp., </w:t>
      </w:r>
      <w:r w:rsidR="00F25275" w:rsidRPr="00D318F9">
        <w:rPr>
          <w:rFonts w:ascii="Century Schoolbook" w:hAnsi="Century Schoolbook"/>
          <w:sz w:val="28"/>
          <w:szCs w:val="28"/>
        </w:rPr>
        <w:t>687 P.2d 202 (Wash. 1984)</w:t>
      </w:r>
      <w:r w:rsidR="00E8500D" w:rsidRPr="00D318F9">
        <w:rPr>
          <w:rFonts w:ascii="Century Schoolbook" w:hAnsi="Century Schoolbook"/>
          <w:sz w:val="28"/>
          <w:szCs w:val="28"/>
        </w:rPr>
        <w:t>)</w:t>
      </w:r>
      <w:r w:rsidR="00F25275" w:rsidRPr="00D318F9">
        <w:rPr>
          <w:rFonts w:ascii="Century Schoolbook" w:hAnsi="Century Schoolbook"/>
          <w:sz w:val="28"/>
          <w:szCs w:val="28"/>
        </w:rPr>
        <w:t>.</w:t>
      </w:r>
    </w:p>
    <w:p w14:paraId="59CFA5D5" w14:textId="0092F907" w:rsidR="0004757A" w:rsidRPr="00D318F9" w:rsidRDefault="0004757A"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 xml:space="preserve">Furthermore, </w:t>
      </w:r>
      <w:r w:rsidR="0021273D" w:rsidRPr="00D318F9">
        <w:rPr>
          <w:rFonts w:ascii="Century Schoolbook" w:hAnsi="Century Schoolbook"/>
          <w:sz w:val="28"/>
          <w:szCs w:val="28"/>
        </w:rPr>
        <w:t>a reversion to the statutory process would not increase public trust and confidence in the judiciary</w:t>
      </w:r>
      <w:r w:rsidR="00510797">
        <w:rPr>
          <w:rFonts w:ascii="Century Schoolbook" w:hAnsi="Century Schoolbook"/>
          <w:sz w:val="28"/>
          <w:szCs w:val="28"/>
        </w:rPr>
        <w:t xml:space="preserve"> – it would do just the reverse</w:t>
      </w:r>
      <w:r w:rsidR="00B421F2" w:rsidRPr="00D318F9">
        <w:rPr>
          <w:rFonts w:ascii="Century Schoolbook" w:hAnsi="Century Schoolbook"/>
          <w:sz w:val="28"/>
          <w:szCs w:val="28"/>
        </w:rPr>
        <w:t>.</w:t>
      </w:r>
      <w:r w:rsidR="0021273D" w:rsidRPr="00D318F9">
        <w:rPr>
          <w:rFonts w:ascii="Century Schoolbook" w:hAnsi="Century Schoolbook"/>
          <w:sz w:val="28"/>
          <w:szCs w:val="28"/>
        </w:rPr>
        <w:t xml:space="preserve"> </w:t>
      </w:r>
      <w:r w:rsidR="00B421F2" w:rsidRPr="00D318F9">
        <w:rPr>
          <w:rFonts w:ascii="Century Schoolbook" w:hAnsi="Century Schoolbook"/>
          <w:sz w:val="28"/>
          <w:szCs w:val="28"/>
        </w:rPr>
        <w:t>R</w:t>
      </w:r>
      <w:r w:rsidR="0021273D" w:rsidRPr="00D318F9">
        <w:rPr>
          <w:rFonts w:ascii="Century Schoolbook" w:hAnsi="Century Schoolbook"/>
          <w:sz w:val="28"/>
          <w:szCs w:val="28"/>
        </w:rPr>
        <w:t>ather than a Notice of Change of Judge,</w:t>
      </w:r>
      <w:r w:rsidR="002F5A2C" w:rsidRPr="00D318F9">
        <w:rPr>
          <w:rStyle w:val="FootnoteReference"/>
          <w:rFonts w:ascii="Century Schoolbook" w:hAnsi="Century Schoolbook"/>
          <w:sz w:val="28"/>
          <w:szCs w:val="28"/>
        </w:rPr>
        <w:t xml:space="preserve"> </w:t>
      </w:r>
      <w:r w:rsidR="0021273D" w:rsidRPr="00D318F9">
        <w:rPr>
          <w:rFonts w:ascii="Century Schoolbook" w:hAnsi="Century Schoolbook"/>
          <w:sz w:val="28"/>
          <w:szCs w:val="28"/>
        </w:rPr>
        <w:t>files would again contain sworn, yet untested, allegations that a party or counsel believes a judge is biased and prejudiced.</w:t>
      </w:r>
      <w:r w:rsidR="002F5A2C" w:rsidRPr="00D318F9">
        <w:rPr>
          <w:rStyle w:val="FootnoteReference"/>
          <w:rFonts w:ascii="Century Schoolbook" w:hAnsi="Century Schoolbook"/>
          <w:sz w:val="28"/>
          <w:szCs w:val="28"/>
        </w:rPr>
        <w:footnoteReference w:id="3"/>
      </w:r>
      <w:r w:rsidR="00F748D3">
        <w:rPr>
          <w:rFonts w:ascii="Century Schoolbook" w:hAnsi="Century Schoolbook"/>
          <w:sz w:val="28"/>
          <w:szCs w:val="28"/>
        </w:rPr>
        <w:t xml:space="preserve">  The Commenters believe that a return </w:t>
      </w:r>
      <w:r w:rsidR="00F748D3">
        <w:rPr>
          <w:rFonts w:ascii="Century Schoolbook" w:hAnsi="Century Schoolbook"/>
          <w:sz w:val="28"/>
          <w:szCs w:val="28"/>
        </w:rPr>
        <w:lastRenderedPageBreak/>
        <w:t>to that practice would increase friction between the bench and the bar, and for no good reason.  This Court’s wise institution in 1972 of a frictionless procedure akin to the roughly contemporaneous innovation of no-fault divorce made the practice smoother and more congenial.  Litigants were no longer called upon to incant accusations to obtain their automatic strike, which c</w:t>
      </w:r>
      <w:r w:rsidR="00AB0D5B">
        <w:rPr>
          <w:rFonts w:ascii="Century Schoolbook" w:hAnsi="Century Schoolbook"/>
          <w:sz w:val="28"/>
          <w:szCs w:val="28"/>
        </w:rPr>
        <w:t>ould</w:t>
      </w:r>
      <w:r w:rsidR="00F748D3">
        <w:rPr>
          <w:rFonts w:ascii="Century Schoolbook" w:hAnsi="Century Schoolbook"/>
          <w:sz w:val="28"/>
          <w:szCs w:val="28"/>
        </w:rPr>
        <w:t xml:space="preserve"> only aid cooperation among the bench and bar.  And judges in the current moment who dislike the current practice are not apt to prefer the reinstitution of a far more accusatory ancestor of it.</w:t>
      </w:r>
    </w:p>
    <w:p w14:paraId="25045EAF" w14:textId="6E472D81" w:rsidR="0021273D" w:rsidRPr="00D318F9" w:rsidRDefault="0021273D" w:rsidP="00D318F9">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The Petition also raises concerns that the current procedures allow parties to contravene the will of voters and the merit selection process (Petition, p. 4),</w:t>
      </w:r>
      <w:r w:rsidR="002F5A2C" w:rsidRPr="00D318F9">
        <w:rPr>
          <w:rStyle w:val="FootnoteReference"/>
          <w:rFonts w:ascii="Century Schoolbook" w:hAnsi="Century Schoolbook"/>
          <w:sz w:val="28"/>
          <w:szCs w:val="28"/>
        </w:rPr>
        <w:footnoteReference w:id="4"/>
      </w:r>
      <w:r w:rsidRPr="00D318F9">
        <w:rPr>
          <w:rFonts w:ascii="Century Schoolbook" w:hAnsi="Century Schoolbook"/>
          <w:sz w:val="28"/>
          <w:szCs w:val="28"/>
        </w:rPr>
        <w:t xml:space="preserve"> that “they can operate to hide the truth when a judge </w:t>
      </w:r>
      <w:r w:rsidRPr="00D318F9">
        <w:rPr>
          <w:rFonts w:ascii="Century Schoolbook" w:hAnsi="Century Schoolbook"/>
          <w:sz w:val="28"/>
          <w:szCs w:val="28"/>
        </w:rPr>
        <w:lastRenderedPageBreak/>
        <w:t>needs to be removed for cause or needs to address deficiencies” (</w:t>
      </w:r>
      <w:r w:rsidRPr="00D318F9">
        <w:rPr>
          <w:rFonts w:ascii="Century Schoolbook" w:hAnsi="Century Schoolbook"/>
          <w:i/>
          <w:iCs/>
          <w:sz w:val="28"/>
          <w:szCs w:val="28"/>
        </w:rPr>
        <w:t>id.),</w:t>
      </w:r>
      <w:r w:rsidR="00AF3DD3" w:rsidRPr="00D318F9">
        <w:rPr>
          <w:rStyle w:val="FootnoteReference"/>
          <w:rFonts w:ascii="Century Schoolbook" w:hAnsi="Century Schoolbook"/>
          <w:i/>
          <w:iCs/>
          <w:sz w:val="28"/>
          <w:szCs w:val="28"/>
        </w:rPr>
        <w:footnoteReference w:id="5"/>
      </w:r>
      <w:r w:rsidRPr="00D318F9">
        <w:rPr>
          <w:rFonts w:ascii="Century Schoolbook" w:hAnsi="Century Schoolbook"/>
          <w:i/>
          <w:iCs/>
          <w:sz w:val="28"/>
          <w:szCs w:val="28"/>
        </w:rPr>
        <w:t xml:space="preserve"> </w:t>
      </w:r>
      <w:r w:rsidRPr="00D318F9">
        <w:rPr>
          <w:rFonts w:ascii="Century Schoolbook" w:hAnsi="Century Schoolbook"/>
          <w:sz w:val="28"/>
          <w:szCs w:val="28"/>
        </w:rPr>
        <w:t xml:space="preserve">and that the pandemic-related suspension of the rules has occurred “without any apparent effect upon the justice afforded to litigants.”  </w:t>
      </w:r>
      <w:r w:rsidRPr="00D318F9">
        <w:rPr>
          <w:rFonts w:ascii="Century Schoolbook" w:hAnsi="Century Schoolbook"/>
          <w:i/>
          <w:iCs/>
          <w:sz w:val="28"/>
          <w:szCs w:val="28"/>
        </w:rPr>
        <w:t xml:space="preserve">Id.  </w:t>
      </w:r>
      <w:r w:rsidRPr="00D318F9">
        <w:rPr>
          <w:rFonts w:ascii="Century Schoolbook" w:hAnsi="Century Schoolbook"/>
          <w:sz w:val="28"/>
          <w:szCs w:val="28"/>
        </w:rPr>
        <w:t>In light of our state’s common law history and statutory provisions regarding the substantive right to a peremptory change of judge, the people through the Legislature have spoken, and the statute should be applied with reasonable procedural rules. If the Legislature finds it appropriate to abrogate A.R.S. §</w:t>
      </w:r>
      <w:r w:rsidR="00F748D3">
        <w:rPr>
          <w:rFonts w:ascii="Century Schoolbook" w:hAnsi="Century Schoolbook"/>
          <w:sz w:val="28"/>
          <w:szCs w:val="28"/>
        </w:rPr>
        <w:t xml:space="preserve"> </w:t>
      </w:r>
      <w:r w:rsidRPr="00D318F9">
        <w:rPr>
          <w:rFonts w:ascii="Century Schoolbook" w:hAnsi="Century Schoolbook"/>
          <w:sz w:val="28"/>
          <w:szCs w:val="28"/>
        </w:rPr>
        <w:t>12-409 in light of the Petition’s concerns, it may do so; however, until it do</w:t>
      </w:r>
      <w:r w:rsidR="00B421F2" w:rsidRPr="00D318F9">
        <w:rPr>
          <w:rFonts w:ascii="Century Schoolbook" w:hAnsi="Century Schoolbook"/>
          <w:sz w:val="28"/>
          <w:szCs w:val="28"/>
        </w:rPr>
        <w:t>es</w:t>
      </w:r>
      <w:r w:rsidRPr="00D318F9">
        <w:rPr>
          <w:rFonts w:ascii="Century Schoolbook" w:hAnsi="Century Schoolbook"/>
          <w:sz w:val="28"/>
          <w:szCs w:val="28"/>
        </w:rPr>
        <w:t xml:space="preserve"> so, the courts cannot “</w:t>
      </w:r>
      <w:r w:rsidRPr="00D318F9">
        <w:rPr>
          <w:rFonts w:ascii="Century Schoolbook" w:hAnsi="Century Schoolbook"/>
          <w:i/>
          <w:iCs/>
          <w:sz w:val="28"/>
          <w:szCs w:val="28"/>
        </w:rPr>
        <w:t>lessen or eliminate the right</w:t>
      </w:r>
      <w:r w:rsidRPr="00D318F9">
        <w:rPr>
          <w:rFonts w:ascii="Century Schoolbook" w:hAnsi="Century Schoolbook"/>
          <w:sz w:val="28"/>
          <w:szCs w:val="28"/>
        </w:rPr>
        <w:t xml:space="preserve">.”  </w:t>
      </w:r>
      <w:r w:rsidRPr="00D318F9">
        <w:rPr>
          <w:rFonts w:ascii="Century Schoolbook" w:hAnsi="Century Schoolbook"/>
          <w:i/>
          <w:iCs/>
          <w:sz w:val="28"/>
          <w:szCs w:val="28"/>
        </w:rPr>
        <w:t xml:space="preserve">Marsin, </w:t>
      </w:r>
      <w:r w:rsidRPr="00D318F9">
        <w:rPr>
          <w:rFonts w:ascii="Century Schoolbook" w:hAnsi="Century Schoolbook"/>
          <w:sz w:val="28"/>
          <w:szCs w:val="28"/>
        </w:rPr>
        <w:t>78 Ariz. at 312 (emphasis added). </w:t>
      </w:r>
    </w:p>
    <w:p w14:paraId="5FDBAA3B" w14:textId="4B24559F" w:rsidR="0091301D" w:rsidRDefault="0091301D" w:rsidP="004C0815">
      <w:pPr>
        <w:spacing w:line="480" w:lineRule="exact"/>
        <w:ind w:firstLine="720"/>
        <w:jc w:val="both"/>
        <w:rPr>
          <w:rFonts w:ascii="Century Schoolbook" w:hAnsi="Century Schoolbook"/>
          <w:sz w:val="28"/>
          <w:szCs w:val="28"/>
        </w:rPr>
      </w:pPr>
      <w:r w:rsidRPr="00D318F9">
        <w:rPr>
          <w:rFonts w:ascii="Century Schoolbook" w:hAnsi="Century Schoolbook"/>
          <w:sz w:val="28"/>
          <w:szCs w:val="28"/>
        </w:rPr>
        <w:t>While, if presented with the issue in a given case, the Arizona Supreme Court could reverse its long-established lines of cases interpreting A.R.S. §</w:t>
      </w:r>
      <w:r w:rsidR="00510797">
        <w:rPr>
          <w:rFonts w:ascii="Century Schoolbook" w:hAnsi="Century Schoolbook"/>
          <w:sz w:val="28"/>
          <w:szCs w:val="28"/>
        </w:rPr>
        <w:t xml:space="preserve"> </w:t>
      </w:r>
      <w:r w:rsidRPr="00D318F9">
        <w:rPr>
          <w:rFonts w:ascii="Century Schoolbook" w:hAnsi="Century Schoolbook"/>
          <w:sz w:val="28"/>
          <w:szCs w:val="28"/>
        </w:rPr>
        <w:t>12-409 as a substantive right and hold that the statute provides only a procedural right to the underly</w:t>
      </w:r>
      <w:r w:rsidR="00BE4F55" w:rsidRPr="00D318F9">
        <w:rPr>
          <w:rFonts w:ascii="Century Schoolbook" w:hAnsi="Century Schoolbook"/>
          <w:sz w:val="28"/>
          <w:szCs w:val="28"/>
        </w:rPr>
        <w:t>ing</w:t>
      </w:r>
      <w:r w:rsidRPr="00D318F9">
        <w:rPr>
          <w:rFonts w:ascii="Century Schoolbook" w:hAnsi="Century Schoolbook"/>
          <w:sz w:val="28"/>
          <w:szCs w:val="28"/>
        </w:rPr>
        <w:t xml:space="preserve"> substantive right of a litigant to a fair and impartial trial (</w:t>
      </w:r>
      <w:r w:rsidRPr="00D318F9">
        <w:rPr>
          <w:rFonts w:ascii="Century Schoolbook" w:hAnsi="Century Schoolbook"/>
          <w:i/>
          <w:iCs/>
          <w:sz w:val="28"/>
          <w:szCs w:val="28"/>
        </w:rPr>
        <w:t xml:space="preserve">see, e.g., Quality Automotive  Center, LLC, v. Arrieta, </w:t>
      </w:r>
      <w:r w:rsidRPr="00D318F9">
        <w:rPr>
          <w:rFonts w:ascii="Century Schoolbook" w:hAnsi="Century Schoolbook"/>
          <w:sz w:val="28"/>
          <w:szCs w:val="28"/>
        </w:rPr>
        <w:t xml:space="preserve">309 P.3d 80, 87 (N.M. 2013)), the </w:t>
      </w:r>
      <w:r w:rsidR="006F785E" w:rsidRPr="00D318F9">
        <w:rPr>
          <w:rFonts w:ascii="Century Schoolbook" w:hAnsi="Century Schoolbook"/>
          <w:sz w:val="28"/>
          <w:szCs w:val="28"/>
        </w:rPr>
        <w:t xml:space="preserve">current proposal for the </w:t>
      </w:r>
      <w:r w:rsidRPr="00D318F9">
        <w:rPr>
          <w:rFonts w:ascii="Century Schoolbook" w:hAnsi="Century Schoolbook"/>
          <w:sz w:val="28"/>
          <w:szCs w:val="28"/>
        </w:rPr>
        <w:t xml:space="preserve">abrogation of the existing procedural rules does not solve the problem.  The Petition does not propose alternative procedural rights as was done in </w:t>
      </w:r>
      <w:r w:rsidRPr="00D318F9">
        <w:rPr>
          <w:rFonts w:ascii="Century Schoolbook" w:hAnsi="Century Schoolbook"/>
          <w:i/>
          <w:iCs/>
          <w:sz w:val="28"/>
          <w:szCs w:val="28"/>
        </w:rPr>
        <w:t>Quality Automotive Center</w:t>
      </w:r>
      <w:r w:rsidRPr="00D318F9">
        <w:rPr>
          <w:rFonts w:ascii="Century Schoolbook" w:hAnsi="Century Schoolbook"/>
          <w:sz w:val="28"/>
          <w:szCs w:val="28"/>
        </w:rPr>
        <w:t>.  As a result,</w:t>
      </w:r>
      <w:r w:rsidR="006F785E" w:rsidRPr="00D318F9">
        <w:rPr>
          <w:rFonts w:ascii="Century Schoolbook" w:hAnsi="Century Schoolbook"/>
          <w:sz w:val="28"/>
          <w:szCs w:val="28"/>
        </w:rPr>
        <w:t xml:space="preserve"> if the Court grants the Petition, </w:t>
      </w:r>
      <w:r w:rsidRPr="00D318F9">
        <w:rPr>
          <w:rFonts w:ascii="Century Schoolbook" w:hAnsi="Century Schoolbook"/>
          <w:sz w:val="28"/>
          <w:szCs w:val="28"/>
        </w:rPr>
        <w:t xml:space="preserve">the only remaining procedure </w:t>
      </w:r>
      <w:r w:rsidR="006F785E" w:rsidRPr="00D318F9">
        <w:rPr>
          <w:rFonts w:ascii="Century Schoolbook" w:hAnsi="Century Schoolbook"/>
          <w:sz w:val="28"/>
          <w:szCs w:val="28"/>
        </w:rPr>
        <w:t xml:space="preserve">regarding </w:t>
      </w:r>
      <w:r w:rsidR="006F785E" w:rsidRPr="00D318F9">
        <w:rPr>
          <w:rFonts w:ascii="Century Schoolbook" w:hAnsi="Century Schoolbook"/>
          <w:sz w:val="28"/>
          <w:szCs w:val="28"/>
        </w:rPr>
        <w:lastRenderedPageBreak/>
        <w:t xml:space="preserve">the continuing right </w:t>
      </w:r>
      <w:r w:rsidRPr="00D318F9">
        <w:rPr>
          <w:rFonts w:ascii="Century Schoolbook" w:hAnsi="Century Schoolbook"/>
          <w:sz w:val="28"/>
          <w:szCs w:val="28"/>
        </w:rPr>
        <w:t>is contained in the statute—the affidavit of bias under A.R.S. §</w:t>
      </w:r>
      <w:r w:rsidR="00510797">
        <w:rPr>
          <w:rFonts w:ascii="Century Schoolbook" w:hAnsi="Century Schoolbook"/>
          <w:sz w:val="28"/>
          <w:szCs w:val="28"/>
        </w:rPr>
        <w:t xml:space="preserve"> </w:t>
      </w:r>
      <w:r w:rsidRPr="00D318F9">
        <w:rPr>
          <w:rFonts w:ascii="Century Schoolbook" w:hAnsi="Century Schoolbook"/>
          <w:sz w:val="28"/>
          <w:szCs w:val="28"/>
        </w:rPr>
        <w:t>12-409.</w:t>
      </w:r>
    </w:p>
    <w:p w14:paraId="4BF58B9A" w14:textId="32E133DB" w:rsidR="00D845ED" w:rsidRDefault="00D845ED" w:rsidP="004C0815">
      <w:pPr>
        <w:spacing w:line="480" w:lineRule="exact"/>
        <w:ind w:firstLine="720"/>
        <w:jc w:val="both"/>
        <w:rPr>
          <w:rFonts w:ascii="Century Schoolbook" w:hAnsi="Century Schoolbook"/>
          <w:sz w:val="28"/>
          <w:szCs w:val="28"/>
        </w:rPr>
      </w:pPr>
      <w:r>
        <w:rPr>
          <w:rFonts w:ascii="Century Schoolbook" w:hAnsi="Century Schoolbook"/>
          <w:sz w:val="28"/>
          <w:szCs w:val="28"/>
        </w:rPr>
        <w:t xml:space="preserve">The Petition, if granted, would also create confusion because it neither takes account of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12-409</w:t>
      </w:r>
      <w:r>
        <w:rPr>
          <w:rFonts w:ascii="Century Schoolbook" w:hAnsi="Century Schoolbook"/>
          <w:sz w:val="28"/>
          <w:szCs w:val="28"/>
        </w:rPr>
        <w:t xml:space="preserve">, nor does it anticipate or account for the disruption to Ariz. R. Civ. P. 42.2 that would occur in the absence of Ariz. R. Civ. P. 42.1.  Rule 42.2 would still be in place, and within it, references to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12-409.</w:t>
      </w:r>
      <w:r>
        <w:rPr>
          <w:rFonts w:ascii="Century Schoolbook" w:hAnsi="Century Schoolbook"/>
          <w:sz w:val="28"/>
          <w:szCs w:val="28"/>
        </w:rPr>
        <w:t xml:space="preserve">  Yet as explained above, litigants would still be able to file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12-409</w:t>
      </w:r>
      <w:r>
        <w:rPr>
          <w:rFonts w:ascii="Century Schoolbook" w:hAnsi="Century Schoolbook"/>
          <w:sz w:val="28"/>
          <w:szCs w:val="28"/>
        </w:rPr>
        <w:t xml:space="preserve"> affidavits to secure changes of judge.  It would at minimum sow substantial confusion to have a procedural rule on the books in Ariz. R. Civ. P. 42.2, which would require citing that same statute but ignoring its command, while litigants remained free to </w:t>
      </w:r>
      <w:r w:rsidR="0055781F">
        <w:rPr>
          <w:rFonts w:ascii="Century Schoolbook" w:hAnsi="Century Schoolbook"/>
          <w:sz w:val="28"/>
          <w:szCs w:val="28"/>
        </w:rPr>
        <w:t xml:space="preserve">invoke that </w:t>
      </w:r>
      <w:r>
        <w:rPr>
          <w:rFonts w:ascii="Century Schoolbook" w:hAnsi="Century Schoolbook"/>
          <w:sz w:val="28"/>
          <w:szCs w:val="28"/>
        </w:rPr>
        <w:t xml:space="preserve">statute </w:t>
      </w:r>
      <w:r w:rsidR="0055781F">
        <w:rPr>
          <w:rFonts w:ascii="Century Schoolbook" w:hAnsi="Century Schoolbook"/>
          <w:sz w:val="28"/>
          <w:szCs w:val="28"/>
        </w:rPr>
        <w:t xml:space="preserve">to exercise the right it confers </w:t>
      </w:r>
      <w:r>
        <w:rPr>
          <w:rFonts w:ascii="Century Schoolbook" w:hAnsi="Century Schoolbook"/>
          <w:sz w:val="28"/>
          <w:szCs w:val="28"/>
        </w:rPr>
        <w:t xml:space="preserve">outside the vehicle of </w:t>
      </w:r>
      <w:r w:rsidR="0055781F">
        <w:rPr>
          <w:rFonts w:ascii="Century Schoolbook" w:hAnsi="Century Schoolbook"/>
          <w:sz w:val="28"/>
          <w:szCs w:val="28"/>
        </w:rPr>
        <w:t xml:space="preserve">Rule 42.2 </w:t>
      </w:r>
      <w:r>
        <w:rPr>
          <w:rFonts w:ascii="Century Schoolbook" w:hAnsi="Century Schoolbook"/>
          <w:sz w:val="28"/>
          <w:szCs w:val="28"/>
        </w:rPr>
        <w:t>motions the Superior Court could deny.</w:t>
      </w:r>
    </w:p>
    <w:p w14:paraId="64C455CB" w14:textId="0E86F89E" w:rsidR="00D845ED" w:rsidRPr="00D318F9" w:rsidRDefault="00D845ED" w:rsidP="00D318F9">
      <w:pPr>
        <w:spacing w:line="480" w:lineRule="exact"/>
        <w:ind w:firstLine="720"/>
        <w:jc w:val="both"/>
        <w:rPr>
          <w:rFonts w:ascii="Century Schoolbook" w:hAnsi="Century Schoolbook"/>
          <w:sz w:val="28"/>
          <w:szCs w:val="28"/>
        </w:rPr>
      </w:pPr>
      <w:r>
        <w:rPr>
          <w:rFonts w:ascii="Century Schoolbook" w:hAnsi="Century Schoolbook"/>
          <w:sz w:val="28"/>
          <w:szCs w:val="28"/>
        </w:rPr>
        <w:t xml:space="preserve">Finally, the Petition’s proposed elimination of the right to change of judge would also conflict with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w:t>
      </w:r>
      <w:r>
        <w:rPr>
          <w:rFonts w:ascii="Century Schoolbook" w:hAnsi="Century Schoolbook"/>
          <w:sz w:val="28"/>
          <w:szCs w:val="28"/>
        </w:rPr>
        <w:t xml:space="preserve">11, through which the Legislature conferred a right on litigants to stipulate to a different judge or county in which to proceed, in the event a party invoked their substantive right to change judge under </w:t>
      </w:r>
      <w:r w:rsidRPr="00456C3F">
        <w:rPr>
          <w:rFonts w:ascii="Century Schoolbook" w:hAnsi="Century Schoolbook"/>
          <w:sz w:val="28"/>
          <w:szCs w:val="28"/>
        </w:rPr>
        <w:t>A.R.S. §</w:t>
      </w:r>
      <w:r>
        <w:rPr>
          <w:rFonts w:ascii="Century Schoolbook" w:hAnsi="Century Schoolbook"/>
          <w:sz w:val="28"/>
          <w:szCs w:val="28"/>
        </w:rPr>
        <w:t xml:space="preserve"> </w:t>
      </w:r>
      <w:r w:rsidRPr="00456C3F">
        <w:rPr>
          <w:rFonts w:ascii="Century Schoolbook" w:hAnsi="Century Schoolbook"/>
          <w:sz w:val="28"/>
          <w:szCs w:val="28"/>
        </w:rPr>
        <w:t>12-4</w:t>
      </w:r>
      <w:r>
        <w:rPr>
          <w:rFonts w:ascii="Century Schoolbook" w:hAnsi="Century Schoolbook"/>
          <w:sz w:val="28"/>
          <w:szCs w:val="28"/>
        </w:rPr>
        <w:t>09.  The Legislature’s design is litigant choice, and it forecloses rules that are designed to defeat the choices thus permitted to Arizona litigants.  Whether wise or not in the view of some, those rights are enshrined in the positive law of Arizona, until repealed by the representatives of the people.</w:t>
      </w:r>
    </w:p>
    <w:p w14:paraId="176C4A9C" w14:textId="77777777" w:rsidR="009954C5" w:rsidRDefault="009954C5" w:rsidP="00D318F9">
      <w:pPr>
        <w:autoSpaceDE w:val="0"/>
        <w:autoSpaceDN w:val="0"/>
        <w:spacing w:line="480" w:lineRule="exact"/>
        <w:jc w:val="both"/>
        <w:rPr>
          <w:rFonts w:ascii="Century Schoolbook" w:hAnsi="Century Schoolbook"/>
          <w:color w:val="000000"/>
          <w:sz w:val="28"/>
          <w:szCs w:val="28"/>
        </w:rPr>
      </w:pPr>
    </w:p>
    <w:p w14:paraId="7F1935DE" w14:textId="5FCB5AEE" w:rsidR="0021273D" w:rsidRPr="00D318F9" w:rsidRDefault="0021273D" w:rsidP="00D318F9">
      <w:pPr>
        <w:autoSpaceDE w:val="0"/>
        <w:autoSpaceDN w:val="0"/>
        <w:spacing w:line="480" w:lineRule="exact"/>
        <w:jc w:val="both"/>
        <w:rPr>
          <w:rFonts w:ascii="Century Schoolbook" w:hAnsi="Century Schoolbook"/>
          <w:color w:val="000000"/>
          <w:sz w:val="28"/>
          <w:szCs w:val="28"/>
        </w:rPr>
      </w:pPr>
      <w:r w:rsidRPr="00D318F9">
        <w:rPr>
          <w:rFonts w:ascii="Century Schoolbook" w:hAnsi="Century Schoolbook"/>
          <w:color w:val="000000"/>
          <w:sz w:val="28"/>
          <w:szCs w:val="28"/>
        </w:rPr>
        <w:lastRenderedPageBreak/>
        <w:tab/>
        <w:t xml:space="preserve">For the foregoing reasons, the Court should deny the Petition insofar as it seeks abrogation of </w:t>
      </w:r>
      <w:r w:rsidR="008D4586">
        <w:rPr>
          <w:rFonts w:ascii="Century Schoolbook" w:hAnsi="Century Schoolbook"/>
          <w:color w:val="000000"/>
          <w:sz w:val="28"/>
          <w:szCs w:val="28"/>
        </w:rPr>
        <w:t xml:space="preserve">Ariz. R. Civ. P. </w:t>
      </w:r>
      <w:r w:rsidRPr="00D318F9">
        <w:rPr>
          <w:rFonts w:ascii="Century Schoolbook" w:hAnsi="Century Schoolbook"/>
          <w:color w:val="000000"/>
          <w:sz w:val="28"/>
          <w:szCs w:val="28"/>
        </w:rPr>
        <w:t xml:space="preserve"> 42.1, </w:t>
      </w:r>
      <w:r w:rsidR="0001553D" w:rsidRPr="00D318F9">
        <w:rPr>
          <w:rFonts w:ascii="Century Schoolbook" w:hAnsi="Century Schoolbook"/>
          <w:color w:val="000000"/>
          <w:sz w:val="28"/>
          <w:szCs w:val="28"/>
        </w:rPr>
        <w:t>Family Rule 6, and Juvenile Rule 2(B).</w:t>
      </w:r>
    </w:p>
    <w:p w14:paraId="4922A369" w14:textId="77777777" w:rsidR="0021273D" w:rsidRPr="00D318F9" w:rsidRDefault="0021273D" w:rsidP="00E35548">
      <w:pPr>
        <w:autoSpaceDE w:val="0"/>
        <w:autoSpaceDN w:val="0"/>
        <w:spacing w:line="360" w:lineRule="auto"/>
        <w:jc w:val="both"/>
        <w:rPr>
          <w:rFonts w:ascii="Century Schoolbook" w:hAnsi="Century Schoolbook"/>
          <w:color w:val="000000"/>
          <w:sz w:val="28"/>
          <w:szCs w:val="28"/>
        </w:rPr>
      </w:pPr>
    </w:p>
    <w:p w14:paraId="2D3C4661" w14:textId="5C3B08BE" w:rsidR="00290DD5" w:rsidRPr="00D318F9" w:rsidRDefault="00E35548" w:rsidP="00D318F9">
      <w:pPr>
        <w:autoSpaceDE w:val="0"/>
        <w:autoSpaceDN w:val="0"/>
        <w:spacing w:line="360" w:lineRule="auto"/>
        <w:jc w:val="both"/>
      </w:pPr>
      <w:r w:rsidRPr="00D318F9">
        <w:rPr>
          <w:rFonts w:ascii="Century Schoolbook" w:hAnsi="Century Schoolbook"/>
          <w:color w:val="000000"/>
          <w:sz w:val="28"/>
          <w:szCs w:val="28"/>
        </w:rPr>
        <w:tab/>
      </w:r>
      <w:r w:rsidR="00B741C5" w:rsidRPr="00D318F9">
        <w:rPr>
          <w:sz w:val="28"/>
          <w:szCs w:val="28"/>
        </w:rPr>
        <w:tab/>
      </w:r>
      <w:r w:rsidR="00907F7B" w:rsidRPr="00D318F9">
        <w:rPr>
          <w:sz w:val="28"/>
          <w:szCs w:val="28"/>
        </w:rPr>
        <w:t>RESPECTFULLY SUBMITTED</w:t>
      </w:r>
      <w:r w:rsidR="00B741C5" w:rsidRPr="00D318F9">
        <w:rPr>
          <w:sz w:val="28"/>
          <w:szCs w:val="28"/>
        </w:rPr>
        <w:t xml:space="preserve"> </w:t>
      </w:r>
      <w:r w:rsidR="00213A14" w:rsidRPr="00D318F9">
        <w:rPr>
          <w:sz w:val="28"/>
          <w:szCs w:val="28"/>
        </w:rPr>
        <w:t xml:space="preserve">this </w:t>
      </w:r>
      <w:r w:rsidR="009954C5">
        <w:rPr>
          <w:sz w:val="28"/>
          <w:szCs w:val="28"/>
        </w:rPr>
        <w:t>20th</w:t>
      </w:r>
      <w:r w:rsidR="00B340AE" w:rsidRPr="00D318F9">
        <w:rPr>
          <w:sz w:val="28"/>
          <w:szCs w:val="28"/>
        </w:rPr>
        <w:t xml:space="preserve"> </w:t>
      </w:r>
      <w:r w:rsidR="00213A14" w:rsidRPr="00D318F9">
        <w:rPr>
          <w:sz w:val="28"/>
          <w:szCs w:val="28"/>
        </w:rPr>
        <w:t xml:space="preserve">day of </w:t>
      </w:r>
      <w:proofErr w:type="gramStart"/>
      <w:r w:rsidR="009124E2" w:rsidRPr="00D318F9">
        <w:rPr>
          <w:sz w:val="28"/>
          <w:szCs w:val="28"/>
        </w:rPr>
        <w:t>April,</w:t>
      </w:r>
      <w:proofErr w:type="gramEnd"/>
      <w:r w:rsidR="009124E2" w:rsidRPr="00D318F9">
        <w:rPr>
          <w:sz w:val="28"/>
          <w:szCs w:val="28"/>
        </w:rPr>
        <w:t xml:space="preserve"> </w:t>
      </w:r>
      <w:r w:rsidR="004C6BC2" w:rsidRPr="00D318F9">
        <w:rPr>
          <w:sz w:val="28"/>
          <w:szCs w:val="28"/>
        </w:rPr>
        <w:t>20</w:t>
      </w:r>
      <w:r w:rsidR="00BA0669" w:rsidRPr="00D318F9">
        <w:rPr>
          <w:sz w:val="28"/>
          <w:szCs w:val="28"/>
        </w:rPr>
        <w:t>2</w:t>
      </w:r>
      <w:r w:rsidR="00362ED6" w:rsidRPr="00D318F9">
        <w:rPr>
          <w:sz w:val="28"/>
          <w:szCs w:val="28"/>
        </w:rPr>
        <w:t>1</w:t>
      </w:r>
      <w:r w:rsidR="004C6BC2" w:rsidRPr="00D318F9">
        <w:rPr>
          <w:sz w:val="28"/>
          <w:szCs w:val="28"/>
        </w:rPr>
        <w:t>.</w:t>
      </w:r>
    </w:p>
    <w:p w14:paraId="3F884289" w14:textId="77777777" w:rsidR="00115179" w:rsidRPr="00D318F9" w:rsidRDefault="00115179" w:rsidP="00115179">
      <w:pPr>
        <w:pStyle w:val="ListParagraph"/>
        <w:spacing w:line="236" w:lineRule="exact"/>
        <w:ind w:left="0"/>
        <w:jc w:val="both"/>
        <w:rPr>
          <w:sz w:val="28"/>
          <w:szCs w:val="28"/>
        </w:rPr>
      </w:pPr>
    </w:p>
    <w:p w14:paraId="696D6A98" w14:textId="47B058AF" w:rsidR="00115179" w:rsidRPr="00D318F9" w:rsidRDefault="00115179" w:rsidP="00641961">
      <w:pPr>
        <w:pStyle w:val="ListParagraph"/>
        <w:spacing w:line="240" w:lineRule="auto"/>
        <w:ind w:left="3960"/>
        <w:jc w:val="both"/>
        <w:rPr>
          <w:sz w:val="28"/>
          <w:szCs w:val="28"/>
        </w:rPr>
      </w:pPr>
      <w:r w:rsidRPr="00D318F9">
        <w:rPr>
          <w:sz w:val="28"/>
          <w:szCs w:val="28"/>
        </w:rPr>
        <w:t>By</w:t>
      </w:r>
      <w:r w:rsidR="006C43D4" w:rsidRPr="00D318F9">
        <w:rPr>
          <w:sz w:val="28"/>
          <w:szCs w:val="28"/>
        </w:rPr>
        <w:t xml:space="preserve"> </w:t>
      </w:r>
      <w:r w:rsidR="009124E2" w:rsidRPr="00D318F9">
        <w:rPr>
          <w:i/>
          <w:iCs/>
          <w:sz w:val="28"/>
          <w:szCs w:val="28"/>
          <w:u w:val="single"/>
        </w:rPr>
        <w:t>/s</w:t>
      </w:r>
      <w:r w:rsidR="006C43D4" w:rsidRPr="00D318F9">
        <w:rPr>
          <w:i/>
          <w:iCs/>
          <w:sz w:val="28"/>
          <w:szCs w:val="28"/>
          <w:u w:val="single"/>
        </w:rPr>
        <w:t>/</w:t>
      </w:r>
      <w:r w:rsidR="009124E2" w:rsidRPr="00D318F9">
        <w:rPr>
          <w:i/>
          <w:iCs/>
          <w:sz w:val="28"/>
          <w:szCs w:val="28"/>
          <w:u w:val="single"/>
        </w:rPr>
        <w:t>Greg Sakall</w:t>
      </w:r>
    </w:p>
    <w:p w14:paraId="259F277B" w14:textId="25E08602" w:rsidR="00515C65" w:rsidRPr="00D318F9" w:rsidRDefault="00115179" w:rsidP="00641961">
      <w:pPr>
        <w:pStyle w:val="ListParagraph"/>
        <w:spacing w:line="240" w:lineRule="auto"/>
        <w:ind w:left="0"/>
        <w:jc w:val="both"/>
        <w:rPr>
          <w:rStyle w:val="Style1"/>
          <w:sz w:val="28"/>
          <w:szCs w:val="28"/>
        </w:rPr>
      </w:pP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sidR="009124E2" w:rsidRPr="00D318F9">
        <w:rPr>
          <w:sz w:val="28"/>
          <w:szCs w:val="28"/>
        </w:rPr>
        <w:t>Hon. Greg Sakall</w:t>
      </w:r>
    </w:p>
    <w:p w14:paraId="3A148E33" w14:textId="04919489" w:rsidR="00A924BD" w:rsidRPr="00D318F9" w:rsidRDefault="00BE6F0F" w:rsidP="00641961">
      <w:pPr>
        <w:pStyle w:val="ListParagraph"/>
        <w:spacing w:line="240" w:lineRule="auto"/>
        <w:ind w:left="0"/>
        <w:jc w:val="both"/>
        <w:rPr>
          <w:i/>
          <w:sz w:val="28"/>
          <w:szCs w:val="28"/>
        </w:rPr>
      </w:pP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p>
    <w:p w14:paraId="3A97E45B" w14:textId="26BD9DAD" w:rsidR="008D4586" w:rsidRPr="00D318F9" w:rsidRDefault="008D4586" w:rsidP="008D4586">
      <w:pPr>
        <w:pStyle w:val="ListParagraph"/>
        <w:spacing w:line="240" w:lineRule="auto"/>
        <w:ind w:left="3960"/>
        <w:jc w:val="both"/>
        <w:rPr>
          <w:sz w:val="28"/>
          <w:szCs w:val="28"/>
        </w:rPr>
      </w:pPr>
      <w:r w:rsidRPr="00D318F9">
        <w:rPr>
          <w:sz w:val="28"/>
          <w:szCs w:val="28"/>
        </w:rPr>
        <w:t xml:space="preserve">By </w:t>
      </w:r>
      <w:r w:rsidRPr="00D318F9">
        <w:rPr>
          <w:i/>
          <w:iCs/>
          <w:sz w:val="28"/>
          <w:szCs w:val="28"/>
          <w:u w:val="single"/>
        </w:rPr>
        <w:t>/s/</w:t>
      </w:r>
      <w:r>
        <w:rPr>
          <w:i/>
          <w:iCs/>
          <w:sz w:val="28"/>
          <w:szCs w:val="28"/>
          <w:u w:val="single"/>
        </w:rPr>
        <w:t>Andrew Jacobs</w:t>
      </w:r>
    </w:p>
    <w:p w14:paraId="702042BC" w14:textId="5FFC0BCB" w:rsidR="008D4586" w:rsidRPr="00D318F9" w:rsidRDefault="008D4586" w:rsidP="008D4586">
      <w:pPr>
        <w:pStyle w:val="ListParagraph"/>
        <w:spacing w:line="240" w:lineRule="auto"/>
        <w:ind w:left="0"/>
        <w:jc w:val="both"/>
        <w:rPr>
          <w:rStyle w:val="Style1"/>
          <w:sz w:val="28"/>
          <w:szCs w:val="28"/>
        </w:rPr>
      </w:pP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Pr>
          <w:sz w:val="28"/>
          <w:szCs w:val="28"/>
        </w:rPr>
        <w:t>Andrew Jacobs</w:t>
      </w:r>
    </w:p>
    <w:p w14:paraId="20AD11AC" w14:textId="77777777" w:rsidR="008D4586" w:rsidRPr="00D318F9" w:rsidRDefault="008D4586" w:rsidP="008D4586">
      <w:pPr>
        <w:pStyle w:val="ListParagraph"/>
        <w:spacing w:line="240" w:lineRule="auto"/>
        <w:ind w:left="0"/>
        <w:jc w:val="both"/>
        <w:rPr>
          <w:i/>
          <w:sz w:val="28"/>
          <w:szCs w:val="28"/>
        </w:rPr>
      </w:pP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p>
    <w:p w14:paraId="2A8BB233" w14:textId="100DE4E1" w:rsidR="008D4586" w:rsidRPr="00D318F9" w:rsidRDefault="008D4586" w:rsidP="008D4586">
      <w:pPr>
        <w:pStyle w:val="ListParagraph"/>
        <w:spacing w:line="240" w:lineRule="auto"/>
        <w:ind w:left="3960"/>
        <w:jc w:val="both"/>
        <w:rPr>
          <w:sz w:val="28"/>
          <w:szCs w:val="28"/>
        </w:rPr>
      </w:pPr>
      <w:r w:rsidRPr="00D318F9">
        <w:rPr>
          <w:sz w:val="28"/>
          <w:szCs w:val="28"/>
        </w:rPr>
        <w:t xml:space="preserve">By </w:t>
      </w:r>
      <w:r w:rsidRPr="00D318F9">
        <w:rPr>
          <w:i/>
          <w:iCs/>
          <w:sz w:val="28"/>
          <w:szCs w:val="28"/>
          <w:u w:val="single"/>
        </w:rPr>
        <w:t>/s/</w:t>
      </w:r>
      <w:r>
        <w:rPr>
          <w:i/>
          <w:iCs/>
          <w:sz w:val="28"/>
          <w:szCs w:val="28"/>
          <w:u w:val="single"/>
        </w:rPr>
        <w:t>Kenneth Lee</w:t>
      </w:r>
    </w:p>
    <w:p w14:paraId="4C4029A4" w14:textId="635D5FE5" w:rsidR="008D4586" w:rsidRPr="00D318F9" w:rsidRDefault="008D4586" w:rsidP="008D4586">
      <w:pPr>
        <w:pStyle w:val="ListParagraph"/>
        <w:spacing w:line="240" w:lineRule="auto"/>
        <w:ind w:left="0"/>
        <w:jc w:val="both"/>
        <w:rPr>
          <w:rStyle w:val="Style1"/>
          <w:sz w:val="28"/>
          <w:szCs w:val="28"/>
        </w:rPr>
      </w:pP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t xml:space="preserve">Hon. </w:t>
      </w:r>
      <w:r>
        <w:rPr>
          <w:sz w:val="28"/>
          <w:szCs w:val="28"/>
        </w:rPr>
        <w:t>Kenneth L</w:t>
      </w:r>
      <w:r w:rsidR="0055781F">
        <w:rPr>
          <w:sz w:val="28"/>
          <w:szCs w:val="28"/>
        </w:rPr>
        <w:t>e</w:t>
      </w:r>
      <w:r>
        <w:rPr>
          <w:sz w:val="28"/>
          <w:szCs w:val="28"/>
        </w:rPr>
        <w:t>e</w:t>
      </w:r>
    </w:p>
    <w:p w14:paraId="548A4D9F" w14:textId="77777777" w:rsidR="008D4586" w:rsidRPr="00D318F9" w:rsidRDefault="008D4586" w:rsidP="008D4586">
      <w:pPr>
        <w:pStyle w:val="ListParagraph"/>
        <w:spacing w:line="240" w:lineRule="auto"/>
        <w:ind w:left="0"/>
        <w:jc w:val="both"/>
        <w:rPr>
          <w:i/>
          <w:sz w:val="28"/>
          <w:szCs w:val="28"/>
        </w:rPr>
      </w:pP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p>
    <w:p w14:paraId="58D0ACD2" w14:textId="3AE79D8A" w:rsidR="008D4586" w:rsidRPr="00D318F9" w:rsidRDefault="008D4586" w:rsidP="008D4586">
      <w:pPr>
        <w:pStyle w:val="ListParagraph"/>
        <w:spacing w:line="240" w:lineRule="auto"/>
        <w:ind w:left="3960"/>
        <w:jc w:val="both"/>
        <w:rPr>
          <w:sz w:val="28"/>
          <w:szCs w:val="28"/>
        </w:rPr>
      </w:pPr>
      <w:r w:rsidRPr="00D318F9">
        <w:rPr>
          <w:sz w:val="28"/>
          <w:szCs w:val="28"/>
        </w:rPr>
        <w:t xml:space="preserve">By </w:t>
      </w:r>
      <w:r w:rsidRPr="00D318F9">
        <w:rPr>
          <w:i/>
          <w:iCs/>
          <w:sz w:val="28"/>
          <w:szCs w:val="28"/>
          <w:u w:val="single"/>
        </w:rPr>
        <w:t>/s/</w:t>
      </w:r>
      <w:r>
        <w:rPr>
          <w:i/>
          <w:iCs/>
          <w:sz w:val="28"/>
          <w:szCs w:val="28"/>
          <w:u w:val="single"/>
        </w:rPr>
        <w:t>Richard Gordon</w:t>
      </w:r>
    </w:p>
    <w:p w14:paraId="5882C8E2" w14:textId="13938D52" w:rsidR="008D4586" w:rsidRPr="00D318F9" w:rsidRDefault="008D4586" w:rsidP="008D4586">
      <w:pPr>
        <w:pStyle w:val="ListParagraph"/>
        <w:spacing w:line="240" w:lineRule="auto"/>
        <w:ind w:left="0"/>
        <w:jc w:val="both"/>
        <w:rPr>
          <w:rStyle w:val="Style1"/>
          <w:sz w:val="28"/>
          <w:szCs w:val="28"/>
        </w:rPr>
      </w:pP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r>
      <w:r w:rsidRPr="00D318F9">
        <w:rPr>
          <w:sz w:val="28"/>
          <w:szCs w:val="28"/>
        </w:rPr>
        <w:tab/>
        <w:t xml:space="preserve">Hon. </w:t>
      </w:r>
      <w:r>
        <w:rPr>
          <w:sz w:val="28"/>
          <w:szCs w:val="28"/>
        </w:rPr>
        <w:t>Richard Gordon</w:t>
      </w:r>
    </w:p>
    <w:p w14:paraId="2C6162B7" w14:textId="77777777" w:rsidR="008D4586" w:rsidRPr="00D318F9" w:rsidRDefault="008D4586" w:rsidP="008D4586">
      <w:pPr>
        <w:pStyle w:val="ListParagraph"/>
        <w:spacing w:line="240" w:lineRule="auto"/>
        <w:ind w:left="0"/>
        <w:jc w:val="both"/>
        <w:rPr>
          <w:i/>
          <w:sz w:val="28"/>
          <w:szCs w:val="28"/>
        </w:rPr>
      </w:pP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r w:rsidRPr="00D318F9">
        <w:rPr>
          <w:rStyle w:val="Style1"/>
          <w:sz w:val="28"/>
          <w:szCs w:val="28"/>
        </w:rPr>
        <w:tab/>
      </w:r>
    </w:p>
    <w:p w14:paraId="36CC99B7" w14:textId="6136E601" w:rsidR="00A924BD" w:rsidRDefault="00A924BD" w:rsidP="00641961">
      <w:pPr>
        <w:pStyle w:val="ListParagraph"/>
        <w:spacing w:line="240" w:lineRule="auto"/>
        <w:ind w:left="0"/>
        <w:jc w:val="both"/>
        <w:rPr>
          <w:i/>
          <w:sz w:val="26"/>
          <w:szCs w:val="26"/>
        </w:rPr>
      </w:pPr>
    </w:p>
    <w:sectPr w:rsidR="00A924BD" w:rsidSect="004A42AB">
      <w:headerReference w:type="default" r:id="rId12"/>
      <w:footerReference w:type="default" r:id="rId13"/>
      <w:headerReference w:type="first" r:id="rId14"/>
      <w:type w:val="continuous"/>
      <w:pgSz w:w="12240" w:h="15840" w:code="1"/>
      <w:pgMar w:top="1915" w:right="720" w:bottom="1440" w:left="216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C877" w14:textId="77777777" w:rsidR="00F4521D" w:rsidRDefault="00F4521D">
      <w:r>
        <w:separator/>
      </w:r>
    </w:p>
  </w:endnote>
  <w:endnote w:type="continuationSeparator" w:id="0">
    <w:p w14:paraId="04D826A5" w14:textId="77777777" w:rsidR="00F4521D" w:rsidRDefault="00F4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58131"/>
      <w:docPartObj>
        <w:docPartGallery w:val="Page Numbers (Bottom of Page)"/>
        <w:docPartUnique/>
      </w:docPartObj>
    </w:sdtPr>
    <w:sdtEndPr>
      <w:rPr>
        <w:rFonts w:ascii="Century Schoolbook" w:hAnsi="Century Schoolbook"/>
        <w:noProof/>
        <w:sz w:val="28"/>
        <w:szCs w:val="28"/>
      </w:rPr>
    </w:sdtEndPr>
    <w:sdtContent>
      <w:p w14:paraId="7BB61C18" w14:textId="5D757A3E" w:rsidR="0034646D" w:rsidRPr="004A42AB" w:rsidRDefault="0034646D">
        <w:pPr>
          <w:pStyle w:val="Footer"/>
          <w:jc w:val="center"/>
          <w:rPr>
            <w:rFonts w:ascii="Century Schoolbook" w:hAnsi="Century Schoolbook"/>
            <w:sz w:val="28"/>
            <w:szCs w:val="28"/>
          </w:rPr>
        </w:pPr>
        <w:r w:rsidRPr="004A42AB">
          <w:rPr>
            <w:rFonts w:ascii="Century Schoolbook" w:hAnsi="Century Schoolbook"/>
            <w:sz w:val="28"/>
            <w:szCs w:val="28"/>
          </w:rPr>
          <w:fldChar w:fldCharType="begin"/>
        </w:r>
        <w:r w:rsidRPr="004A42AB">
          <w:rPr>
            <w:rFonts w:ascii="Century Schoolbook" w:hAnsi="Century Schoolbook"/>
            <w:sz w:val="28"/>
            <w:szCs w:val="28"/>
          </w:rPr>
          <w:instrText xml:space="preserve"> PAGE   \* MERGEFORMAT </w:instrText>
        </w:r>
        <w:r w:rsidRPr="004A42AB">
          <w:rPr>
            <w:rFonts w:ascii="Century Schoolbook" w:hAnsi="Century Schoolbook"/>
            <w:sz w:val="28"/>
            <w:szCs w:val="28"/>
          </w:rPr>
          <w:fldChar w:fldCharType="separate"/>
        </w:r>
        <w:r w:rsidRPr="004A42AB">
          <w:rPr>
            <w:rFonts w:ascii="Century Schoolbook" w:hAnsi="Century Schoolbook"/>
            <w:noProof/>
            <w:sz w:val="28"/>
            <w:szCs w:val="28"/>
          </w:rPr>
          <w:t>2</w:t>
        </w:r>
        <w:r w:rsidRPr="004A42AB">
          <w:rPr>
            <w:rFonts w:ascii="Century Schoolbook" w:hAnsi="Century Schoolbook"/>
            <w:noProof/>
            <w:sz w:val="28"/>
            <w:szCs w:val="28"/>
          </w:rPr>
          <w:fldChar w:fldCharType="end"/>
        </w:r>
      </w:p>
    </w:sdtContent>
  </w:sdt>
  <w:p w14:paraId="2B839EC7" w14:textId="77777777" w:rsidR="0034646D" w:rsidRDefault="00346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305A9" w14:textId="77777777" w:rsidR="00F4521D" w:rsidRDefault="00F4521D">
      <w:pPr>
        <w:rPr>
          <w:noProof/>
        </w:rPr>
      </w:pPr>
      <w:r>
        <w:rPr>
          <w:noProof/>
        </w:rPr>
        <w:separator/>
      </w:r>
    </w:p>
  </w:footnote>
  <w:footnote w:type="continuationSeparator" w:id="0">
    <w:p w14:paraId="32F10D41" w14:textId="77777777" w:rsidR="00F4521D" w:rsidRDefault="00F4521D">
      <w:r>
        <w:continuationSeparator/>
      </w:r>
    </w:p>
  </w:footnote>
  <w:footnote w:id="1">
    <w:p w14:paraId="6046BAE0" w14:textId="55DE72B6" w:rsidR="0034646D" w:rsidRPr="00D318F9" w:rsidRDefault="0034646D" w:rsidP="00240B55">
      <w:pPr>
        <w:pStyle w:val="FootnoteText"/>
        <w:jc w:val="both"/>
        <w:rPr>
          <w:sz w:val="28"/>
          <w:szCs w:val="28"/>
        </w:rPr>
      </w:pPr>
      <w:r w:rsidRPr="00D318F9">
        <w:rPr>
          <w:rStyle w:val="FootnoteReference"/>
          <w:sz w:val="28"/>
          <w:szCs w:val="28"/>
        </w:rPr>
        <w:footnoteRef/>
      </w:r>
      <w:r w:rsidRPr="00D318F9">
        <w:rPr>
          <w:sz w:val="28"/>
          <w:szCs w:val="28"/>
        </w:rPr>
        <w:t xml:space="preserve"> </w:t>
      </w:r>
      <w:r w:rsidRPr="00D318F9">
        <w:rPr>
          <w:sz w:val="28"/>
          <w:szCs w:val="28"/>
        </w:rPr>
        <w:tab/>
      </w:r>
      <w:r w:rsidRPr="00D318F9">
        <w:rPr>
          <w:rFonts w:ascii="Century Schoolbook" w:hAnsi="Century Schoolbook"/>
          <w:sz w:val="28"/>
          <w:szCs w:val="28"/>
        </w:rPr>
        <w:t xml:space="preserve">The court is listed for identification purposes only. The opinions expressed in this </w:t>
      </w:r>
      <w:r>
        <w:rPr>
          <w:rFonts w:ascii="Century Schoolbook" w:hAnsi="Century Schoolbook"/>
          <w:sz w:val="28"/>
          <w:szCs w:val="28"/>
        </w:rPr>
        <w:t>Comment</w:t>
      </w:r>
      <w:r w:rsidRPr="00D318F9">
        <w:rPr>
          <w:rFonts w:ascii="Century Schoolbook" w:hAnsi="Century Schoolbook"/>
          <w:sz w:val="28"/>
          <w:szCs w:val="28"/>
        </w:rPr>
        <w:t xml:space="preserve"> are those of </w:t>
      </w:r>
      <w:r>
        <w:rPr>
          <w:rFonts w:ascii="Century Schoolbook" w:hAnsi="Century Schoolbook"/>
          <w:sz w:val="28"/>
          <w:szCs w:val="28"/>
        </w:rPr>
        <w:t xml:space="preserve">the individual </w:t>
      </w:r>
      <w:r w:rsidRPr="00D318F9">
        <w:rPr>
          <w:rFonts w:ascii="Century Schoolbook" w:hAnsi="Century Schoolbook"/>
          <w:sz w:val="28"/>
          <w:szCs w:val="28"/>
        </w:rPr>
        <w:t xml:space="preserve">undersigned </w:t>
      </w:r>
      <w:r>
        <w:rPr>
          <w:rFonts w:ascii="Century Schoolbook" w:hAnsi="Century Schoolbook"/>
          <w:sz w:val="28"/>
          <w:szCs w:val="28"/>
        </w:rPr>
        <w:t xml:space="preserve">judges and attorneys </w:t>
      </w:r>
      <w:r w:rsidRPr="00D318F9">
        <w:rPr>
          <w:rFonts w:ascii="Century Schoolbook" w:hAnsi="Century Schoolbook"/>
          <w:sz w:val="28"/>
          <w:szCs w:val="28"/>
        </w:rPr>
        <w:t>and do not necessarily reflect the views of the court</w:t>
      </w:r>
      <w:r>
        <w:rPr>
          <w:rFonts w:ascii="Century Schoolbook" w:hAnsi="Century Schoolbook"/>
          <w:sz w:val="28"/>
          <w:szCs w:val="28"/>
        </w:rPr>
        <w:t xml:space="preserve"> or their law offices</w:t>
      </w:r>
      <w:r w:rsidRPr="00D318F9">
        <w:rPr>
          <w:rFonts w:ascii="Century Schoolbook" w:hAnsi="Century Schoolbook"/>
          <w:sz w:val="28"/>
          <w:szCs w:val="28"/>
        </w:rPr>
        <w:t>.</w:t>
      </w:r>
    </w:p>
  </w:footnote>
  <w:footnote w:id="2">
    <w:p w14:paraId="78043228" w14:textId="199C8CE4" w:rsidR="0034646D" w:rsidRPr="00D318F9" w:rsidRDefault="0034646D" w:rsidP="005D0DE8">
      <w:pPr>
        <w:spacing w:line="240" w:lineRule="auto"/>
        <w:jc w:val="both"/>
        <w:rPr>
          <w:rFonts w:ascii="Century Schoolbook" w:hAnsi="Century Schoolbook"/>
          <w:i/>
          <w:iCs/>
          <w:sz w:val="28"/>
          <w:szCs w:val="28"/>
        </w:rPr>
      </w:pPr>
      <w:r w:rsidRPr="00D318F9">
        <w:rPr>
          <w:rStyle w:val="FootnoteReference"/>
          <w:sz w:val="28"/>
          <w:szCs w:val="28"/>
        </w:rPr>
        <w:footnoteRef/>
      </w:r>
      <w:r w:rsidRPr="00D318F9">
        <w:rPr>
          <w:sz w:val="28"/>
          <w:szCs w:val="28"/>
        </w:rPr>
        <w:t xml:space="preserve"> </w:t>
      </w:r>
      <w:r w:rsidRPr="00D318F9">
        <w:rPr>
          <w:sz w:val="28"/>
          <w:szCs w:val="28"/>
        </w:rPr>
        <w:tab/>
      </w:r>
      <w:r w:rsidRPr="00D318F9">
        <w:rPr>
          <w:rFonts w:ascii="Century Schoolbook" w:hAnsi="Century Schoolbook"/>
          <w:sz w:val="28"/>
          <w:szCs w:val="28"/>
        </w:rPr>
        <w:t>Early in our statehood, criminal codes contained provisions similar, but not identical, to A.R.S. §</w:t>
      </w:r>
      <w:r>
        <w:rPr>
          <w:rFonts w:ascii="Century Schoolbook" w:hAnsi="Century Schoolbook"/>
          <w:sz w:val="28"/>
          <w:szCs w:val="28"/>
        </w:rPr>
        <w:t xml:space="preserve"> </w:t>
      </w:r>
      <w:r w:rsidRPr="00D318F9">
        <w:rPr>
          <w:rFonts w:ascii="Century Schoolbook" w:hAnsi="Century Schoolbook"/>
          <w:sz w:val="28"/>
          <w:szCs w:val="28"/>
        </w:rPr>
        <w:t xml:space="preserve">12-409.  </w:t>
      </w:r>
      <w:r w:rsidRPr="00D318F9">
        <w:rPr>
          <w:rFonts w:ascii="Century Schoolbook" w:hAnsi="Century Schoolbook"/>
          <w:i/>
          <w:iCs/>
          <w:sz w:val="28"/>
          <w:szCs w:val="28"/>
        </w:rPr>
        <w:t xml:space="preserve">See, e.g., </w:t>
      </w:r>
      <w:r w:rsidRPr="00D318F9">
        <w:rPr>
          <w:rFonts w:ascii="Century Schoolbook" w:hAnsi="Century Schoolbook"/>
          <w:sz w:val="28"/>
          <w:szCs w:val="28"/>
        </w:rPr>
        <w:t xml:space="preserve">Section 999, Penal Code of 1913 (requiring a defendant to file an affidavit “supported by the affidavits of three resident electors of the county that he cannot have a fair and impartial trial because of the bias and prejudice of the superior judge of the county wherein such case is pending); </w:t>
      </w:r>
      <w:r w:rsidRPr="00D318F9">
        <w:rPr>
          <w:rFonts w:ascii="Century Schoolbook" w:hAnsi="Century Schoolbook"/>
          <w:i/>
          <w:iCs/>
          <w:sz w:val="28"/>
          <w:szCs w:val="28"/>
        </w:rPr>
        <w:t xml:space="preserve">Sam v. State, </w:t>
      </w:r>
      <w:r w:rsidRPr="00D318F9">
        <w:rPr>
          <w:rFonts w:ascii="Century Schoolbook" w:hAnsi="Century Schoolbook"/>
          <w:sz w:val="28"/>
          <w:szCs w:val="28"/>
        </w:rPr>
        <w:t xml:space="preserve">33 Ariz. 383, 402-03 (1928); Rev. Code 1928 §5022, Code 1939, §44-1202 (when made by the state, affidavit had to be submitted by the county attorney, and when by defendant, it had to be accompanied by counsel’s certificate that the affidavit was made in good faith).  More recently, the right to a peremptory change of judge in criminal cases has been described as “a procedural right created by the supreme court.”  </w:t>
      </w:r>
      <w:r w:rsidRPr="00D318F9">
        <w:rPr>
          <w:rFonts w:ascii="Century Schoolbook" w:hAnsi="Century Schoolbook"/>
          <w:i/>
          <w:iCs/>
          <w:sz w:val="28"/>
          <w:szCs w:val="28"/>
        </w:rPr>
        <w:t xml:space="preserve">Bergeron ex. rel. Perez v. O’Neil, </w:t>
      </w:r>
      <w:r w:rsidRPr="00D318F9">
        <w:rPr>
          <w:rFonts w:ascii="Century Schoolbook" w:hAnsi="Century Schoolbook"/>
          <w:sz w:val="28"/>
          <w:szCs w:val="28"/>
        </w:rPr>
        <w:t xml:space="preserve">205 Ariz. 640, 650, ¶ 31 (App. 2003).  As such, courts have treated the procedural right “as a matter of grace under the rules of criminal procedure.”  </w:t>
      </w:r>
      <w:r w:rsidRPr="00D318F9">
        <w:rPr>
          <w:rFonts w:ascii="Century Schoolbook" w:hAnsi="Century Schoolbook"/>
          <w:i/>
          <w:iCs/>
          <w:sz w:val="28"/>
          <w:szCs w:val="28"/>
        </w:rPr>
        <w:t xml:space="preserve">Higuera v. Lee, </w:t>
      </w:r>
      <w:r w:rsidRPr="00D318F9">
        <w:rPr>
          <w:rFonts w:ascii="Century Schoolbook" w:hAnsi="Century Schoolbook"/>
          <w:sz w:val="28"/>
          <w:szCs w:val="28"/>
        </w:rPr>
        <w:t xml:space="preserve">241 Ariz. 76, 82 (App. 2016).  </w:t>
      </w:r>
      <w:r w:rsidRPr="00D318F9">
        <w:rPr>
          <w:rFonts w:ascii="Century Schoolbook" w:hAnsi="Century Schoolbook"/>
          <w:i/>
          <w:iCs/>
          <w:sz w:val="28"/>
          <w:szCs w:val="28"/>
        </w:rPr>
        <w:t xml:space="preserve">But see </w:t>
      </w:r>
      <w:r w:rsidRPr="00D318F9">
        <w:rPr>
          <w:rFonts w:ascii="Century Schoolbook" w:hAnsi="Century Schoolbook"/>
          <w:sz w:val="28"/>
          <w:szCs w:val="28"/>
        </w:rPr>
        <w:t xml:space="preserve">discussion </w:t>
      </w:r>
      <w:r w:rsidRPr="00D318F9">
        <w:rPr>
          <w:rFonts w:ascii="Century Schoolbook" w:hAnsi="Century Schoolbook"/>
          <w:i/>
          <w:iCs/>
          <w:sz w:val="28"/>
          <w:szCs w:val="28"/>
        </w:rPr>
        <w:t xml:space="preserve">supra </w:t>
      </w:r>
      <w:r w:rsidRPr="00D318F9">
        <w:rPr>
          <w:rFonts w:ascii="Century Schoolbook" w:hAnsi="Century Schoolbook"/>
          <w:sz w:val="28"/>
          <w:szCs w:val="28"/>
        </w:rPr>
        <w:t>regarding the common law nature of the right; A.R.S. §</w:t>
      </w:r>
      <w:r>
        <w:rPr>
          <w:rFonts w:ascii="Century Schoolbook" w:hAnsi="Century Schoolbook"/>
          <w:sz w:val="28"/>
          <w:szCs w:val="28"/>
        </w:rPr>
        <w:t xml:space="preserve"> </w:t>
      </w:r>
      <w:r w:rsidRPr="00D318F9">
        <w:rPr>
          <w:rFonts w:ascii="Century Schoolbook" w:hAnsi="Century Schoolbook"/>
          <w:sz w:val="28"/>
          <w:szCs w:val="28"/>
        </w:rPr>
        <w:t xml:space="preserve">1-201; </w:t>
      </w:r>
      <w:r w:rsidRPr="00D318F9">
        <w:rPr>
          <w:rFonts w:ascii="Century Schoolbook" w:hAnsi="Century Schoolbook"/>
          <w:i/>
          <w:iCs/>
          <w:sz w:val="28"/>
          <w:szCs w:val="28"/>
        </w:rPr>
        <w:t xml:space="preserve">Ross v. Bumstead, </w:t>
      </w:r>
      <w:r w:rsidRPr="00D318F9">
        <w:rPr>
          <w:rFonts w:ascii="Century Schoolbook" w:hAnsi="Century Schoolbook"/>
          <w:sz w:val="28"/>
          <w:szCs w:val="28"/>
        </w:rPr>
        <w:t xml:space="preserve">65 Ariz. 61, 64 (1946) (noting Arizona court will follow an established common law until changed by statute).  As a result, the Supreme Court has continued to study and, when appropriate, modify Rule 10.2, Arizona Rules of Criminal Procedure. </w:t>
      </w:r>
    </w:p>
    <w:p w14:paraId="65E37930" w14:textId="3F19458C" w:rsidR="0034646D" w:rsidRDefault="0034646D" w:rsidP="002A1885">
      <w:pPr>
        <w:spacing w:line="360" w:lineRule="auto"/>
        <w:jc w:val="both"/>
        <w:rPr>
          <w:rFonts w:ascii="Century Schoolbook" w:hAnsi="Century Schoolbook"/>
          <w:sz w:val="26"/>
          <w:szCs w:val="26"/>
        </w:rPr>
      </w:pPr>
    </w:p>
    <w:p w14:paraId="5BB00DAC" w14:textId="62AD139B" w:rsidR="0034646D" w:rsidRDefault="0034646D">
      <w:pPr>
        <w:pStyle w:val="FootnoteText"/>
      </w:pPr>
    </w:p>
  </w:footnote>
  <w:footnote w:id="3">
    <w:p w14:paraId="109D4312" w14:textId="77777777" w:rsidR="0034646D" w:rsidRPr="00D318F9" w:rsidRDefault="0034646D" w:rsidP="002F5A2C">
      <w:pPr>
        <w:pStyle w:val="FootnoteText"/>
        <w:jc w:val="both"/>
        <w:rPr>
          <w:rFonts w:ascii="Century Schoolbook" w:hAnsi="Century Schoolbook"/>
          <w:sz w:val="28"/>
          <w:szCs w:val="28"/>
        </w:rPr>
      </w:pPr>
      <w:r w:rsidRPr="00D318F9">
        <w:rPr>
          <w:rStyle w:val="FootnoteReference"/>
          <w:sz w:val="28"/>
          <w:szCs w:val="28"/>
        </w:rPr>
        <w:footnoteRef/>
      </w:r>
      <w:r w:rsidRPr="00D318F9">
        <w:rPr>
          <w:sz w:val="28"/>
          <w:szCs w:val="28"/>
        </w:rPr>
        <w:t xml:space="preserve"> </w:t>
      </w:r>
      <w:r w:rsidRPr="00D318F9">
        <w:rPr>
          <w:sz w:val="28"/>
          <w:szCs w:val="28"/>
        </w:rPr>
        <w:tab/>
      </w:r>
      <w:r w:rsidRPr="00D318F9">
        <w:rPr>
          <w:rFonts w:ascii="Century Schoolbook" w:hAnsi="Century Schoolbook"/>
          <w:i/>
          <w:iCs/>
          <w:sz w:val="28"/>
          <w:szCs w:val="28"/>
        </w:rPr>
        <w:t xml:space="preserve">See, e.g., State v. Holmes, </w:t>
      </w:r>
      <w:r w:rsidRPr="00D318F9">
        <w:rPr>
          <w:rFonts w:ascii="Century Schoolbook" w:hAnsi="Century Schoolbook"/>
          <w:sz w:val="28"/>
          <w:szCs w:val="28"/>
        </w:rPr>
        <w:t>315 N.W.2d 706-716-17 (Wis. 1982) (“The legislative purpose in adopting [the statute regarding peremptory challenges] was to remedy the ills caused by the affidavit of prejudice statute.  Because the Wisconsin affidavit of prejudice statutes required no substantiation of or determination of the allegation of prejudice, many thought the procedure unjustly impugned the integrity of judge to whom the affidavits were addressed and that the unchallenged and undetermined charges of judicial prejudice spread on the court records gave the public a distorted picture of judicial impartiality.”).</w:t>
      </w:r>
    </w:p>
  </w:footnote>
  <w:footnote w:id="4">
    <w:p w14:paraId="70120DBF" w14:textId="185EDA81" w:rsidR="0034646D" w:rsidRPr="00D318F9" w:rsidRDefault="0034646D" w:rsidP="002F5A2C">
      <w:pPr>
        <w:pStyle w:val="FootnoteText"/>
        <w:jc w:val="both"/>
        <w:rPr>
          <w:rFonts w:ascii="Century Schoolbook" w:hAnsi="Century Schoolbook"/>
          <w:sz w:val="28"/>
          <w:szCs w:val="28"/>
        </w:rPr>
      </w:pPr>
      <w:r w:rsidRPr="00D318F9">
        <w:rPr>
          <w:rStyle w:val="FootnoteReference"/>
          <w:sz w:val="28"/>
          <w:szCs w:val="28"/>
        </w:rPr>
        <w:footnoteRef/>
      </w:r>
      <w:r w:rsidRPr="00D318F9">
        <w:rPr>
          <w:sz w:val="28"/>
          <w:szCs w:val="28"/>
        </w:rPr>
        <w:t xml:space="preserve"> </w:t>
      </w:r>
      <w:r w:rsidRPr="00D318F9">
        <w:rPr>
          <w:sz w:val="28"/>
          <w:szCs w:val="28"/>
        </w:rPr>
        <w:tab/>
      </w:r>
      <w:r w:rsidRPr="00D318F9">
        <w:rPr>
          <w:rFonts w:ascii="Century Schoolbook" w:hAnsi="Century Schoolbook"/>
          <w:i/>
          <w:iCs/>
          <w:sz w:val="28"/>
          <w:szCs w:val="28"/>
        </w:rPr>
        <w:t xml:space="preserve">But see State ex. rel. Oliver v. Crookham, </w:t>
      </w:r>
      <w:r w:rsidRPr="00D318F9">
        <w:rPr>
          <w:rFonts w:ascii="Century Schoolbook" w:hAnsi="Century Schoolbook"/>
          <w:sz w:val="28"/>
          <w:szCs w:val="28"/>
        </w:rPr>
        <w:t xml:space="preserve">731 P.2d 1018, 1021 (Or. 1987) (holding procedures for disqualifying judge for bias or prejudice do not infringe upon voters’ right to elect judges under state constitution; “The public has no right to have a particular judge preside over a particular case, especially when the judge is believed to be prejudiced or biased against a party.”); </w:t>
      </w:r>
      <w:r w:rsidRPr="00D318F9">
        <w:rPr>
          <w:rFonts w:ascii="Century Schoolbook" w:hAnsi="Century Schoolbook"/>
          <w:i/>
          <w:iCs/>
          <w:sz w:val="28"/>
          <w:szCs w:val="28"/>
        </w:rPr>
        <w:t xml:space="preserve">Johnson v. Superior Court, </w:t>
      </w:r>
      <w:r w:rsidRPr="00D318F9">
        <w:rPr>
          <w:rFonts w:ascii="Century Schoolbook" w:hAnsi="Century Schoolbook"/>
          <w:sz w:val="28"/>
          <w:szCs w:val="28"/>
        </w:rPr>
        <w:t>329 P.2d 5, 7-8 (Cal. 1958) (upholding against constitutional challenge California peremptory change of judge statute based upon arguments including that the statute was an unconstitutional delegation of legislative and judicial powers to litigants).</w:t>
      </w:r>
    </w:p>
  </w:footnote>
  <w:footnote w:id="5">
    <w:p w14:paraId="2C56AE04" w14:textId="0ADBD7BC" w:rsidR="0034646D" w:rsidRPr="00AF3DD3" w:rsidRDefault="0034646D" w:rsidP="00AF3DD3">
      <w:pPr>
        <w:pStyle w:val="FootnoteText"/>
        <w:jc w:val="both"/>
        <w:rPr>
          <w:rFonts w:ascii="Century Schoolbook" w:hAnsi="Century Schoolbook"/>
          <w:sz w:val="22"/>
          <w:szCs w:val="22"/>
        </w:rPr>
      </w:pPr>
      <w:r w:rsidRPr="00D318F9">
        <w:rPr>
          <w:rStyle w:val="FootnoteReference"/>
          <w:sz w:val="28"/>
          <w:szCs w:val="28"/>
        </w:rPr>
        <w:footnoteRef/>
      </w:r>
      <w:r w:rsidRPr="00D318F9">
        <w:rPr>
          <w:sz w:val="28"/>
          <w:szCs w:val="28"/>
        </w:rPr>
        <w:t xml:space="preserve"> </w:t>
      </w:r>
      <w:r w:rsidRPr="00D318F9">
        <w:rPr>
          <w:sz w:val="28"/>
          <w:szCs w:val="28"/>
        </w:rPr>
        <w:tab/>
      </w:r>
      <w:r w:rsidRPr="00D318F9">
        <w:rPr>
          <w:rFonts w:ascii="Century Schoolbook" w:hAnsi="Century Schoolbook"/>
          <w:i/>
          <w:iCs/>
          <w:sz w:val="28"/>
          <w:szCs w:val="28"/>
        </w:rPr>
        <w:t xml:space="preserve">But see In re Marriage of O’Brien, </w:t>
      </w:r>
      <w:r w:rsidRPr="00D318F9">
        <w:rPr>
          <w:rFonts w:ascii="Century Schoolbook" w:hAnsi="Century Schoolbook"/>
          <w:sz w:val="28"/>
          <w:szCs w:val="28"/>
        </w:rPr>
        <w:t>958 N.E.2d 647, 659, ¶ 43, n. 8 (Ill. 2011) (“</w:t>
      </w:r>
      <w:r w:rsidRPr="00D318F9">
        <w:rPr>
          <w:rFonts w:ascii="Century Schoolbook" w:hAnsi="Century Schoolbook"/>
          <w:color w:val="3D3D3D"/>
          <w:sz w:val="28"/>
          <w:szCs w:val="28"/>
          <w:shd w:val="clear" w:color="auto" w:fill="FFFFFF"/>
        </w:rPr>
        <w:t>The Code of Judicial Conduct is aspirational and represents this court's attempt to provide for recusal provisions for the benefit of preserving the integrity of the courts on a general scale. The substitution statute represents the General Assembly's attempt to prevent bias in individual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50D0" w14:textId="74FC3363" w:rsidR="0034646D" w:rsidRPr="004C2142" w:rsidRDefault="0034646D" w:rsidP="004C2142">
    <w:pPr>
      <w:pStyle w:val="Header"/>
      <w:tabs>
        <w:tab w:val="clear" w:pos="4320"/>
      </w:tabs>
      <w:spacing w:line="240" w:lineRule="auto"/>
      <w:rPr>
        <w:i/>
      </w:rPr>
    </w:pPr>
    <w:r>
      <w:rPr>
        <w:noProof/>
      </w:rPr>
      <mc:AlternateContent>
        <mc:Choice Requires="wps">
          <w:drawing>
            <wp:anchor distT="0" distB="0" distL="114300" distR="114300" simplePos="0" relativeHeight="25165926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34646D" w:rsidRPr="00FD2A80" w:rsidRDefault="0034646D"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34646D" w:rsidRPr="00FD2A80" w:rsidRDefault="0034646D"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34646D" w:rsidRPr="00374AC1" w:rsidRDefault="0034646D" w:rsidP="00F85E94">
                          <w:pPr>
                            <w:jc w:val="right"/>
                            <w:rPr>
                              <w:sz w:val="24"/>
                              <w:szCs w:val="24"/>
                            </w:rPr>
                          </w:pPr>
                          <w:r w:rsidRPr="00374AC1">
                            <w:rPr>
                              <w:sz w:val="24"/>
                              <w:szCs w:val="24"/>
                            </w:rPr>
                            <w:t>1</w:t>
                          </w:r>
                        </w:p>
                        <w:p w14:paraId="029E7C3F" w14:textId="77777777" w:rsidR="0034646D" w:rsidRPr="00374AC1" w:rsidRDefault="0034646D" w:rsidP="00F85E94">
                          <w:pPr>
                            <w:jc w:val="right"/>
                            <w:rPr>
                              <w:sz w:val="24"/>
                              <w:szCs w:val="24"/>
                            </w:rPr>
                          </w:pPr>
                          <w:r w:rsidRPr="00374AC1">
                            <w:rPr>
                              <w:sz w:val="24"/>
                              <w:szCs w:val="24"/>
                            </w:rPr>
                            <w:t>2</w:t>
                          </w:r>
                        </w:p>
                        <w:p w14:paraId="15113486" w14:textId="77777777" w:rsidR="0034646D" w:rsidRPr="00374AC1" w:rsidRDefault="0034646D" w:rsidP="00F85E94">
                          <w:pPr>
                            <w:jc w:val="right"/>
                            <w:rPr>
                              <w:sz w:val="24"/>
                              <w:szCs w:val="24"/>
                            </w:rPr>
                          </w:pPr>
                          <w:r w:rsidRPr="00374AC1">
                            <w:rPr>
                              <w:sz w:val="24"/>
                              <w:szCs w:val="24"/>
                            </w:rPr>
                            <w:t>3</w:t>
                          </w:r>
                        </w:p>
                        <w:p w14:paraId="5018BA48" w14:textId="77777777" w:rsidR="0034646D" w:rsidRPr="00374AC1" w:rsidRDefault="0034646D" w:rsidP="00F85E94">
                          <w:pPr>
                            <w:jc w:val="right"/>
                            <w:rPr>
                              <w:sz w:val="24"/>
                              <w:szCs w:val="24"/>
                            </w:rPr>
                          </w:pPr>
                          <w:r w:rsidRPr="00374AC1">
                            <w:rPr>
                              <w:sz w:val="24"/>
                              <w:szCs w:val="24"/>
                            </w:rPr>
                            <w:t>4</w:t>
                          </w:r>
                        </w:p>
                        <w:p w14:paraId="5FAF3AD4" w14:textId="77777777" w:rsidR="0034646D" w:rsidRPr="00374AC1" w:rsidRDefault="0034646D" w:rsidP="00F85E94">
                          <w:pPr>
                            <w:jc w:val="right"/>
                            <w:rPr>
                              <w:sz w:val="24"/>
                              <w:szCs w:val="24"/>
                            </w:rPr>
                          </w:pPr>
                          <w:r w:rsidRPr="00374AC1">
                            <w:rPr>
                              <w:sz w:val="24"/>
                              <w:szCs w:val="24"/>
                            </w:rPr>
                            <w:t>5</w:t>
                          </w:r>
                        </w:p>
                        <w:p w14:paraId="6070B0EE" w14:textId="77777777" w:rsidR="0034646D" w:rsidRPr="00374AC1" w:rsidRDefault="0034646D" w:rsidP="00F85E94">
                          <w:pPr>
                            <w:jc w:val="right"/>
                            <w:rPr>
                              <w:sz w:val="24"/>
                              <w:szCs w:val="24"/>
                            </w:rPr>
                          </w:pPr>
                          <w:r w:rsidRPr="00374AC1">
                            <w:rPr>
                              <w:sz w:val="24"/>
                              <w:szCs w:val="24"/>
                            </w:rPr>
                            <w:t>6</w:t>
                          </w:r>
                        </w:p>
                        <w:p w14:paraId="5E407319" w14:textId="77777777" w:rsidR="0034646D" w:rsidRPr="00374AC1" w:rsidRDefault="0034646D" w:rsidP="00F85E94">
                          <w:pPr>
                            <w:jc w:val="right"/>
                            <w:rPr>
                              <w:sz w:val="24"/>
                              <w:szCs w:val="24"/>
                            </w:rPr>
                          </w:pPr>
                          <w:r w:rsidRPr="00374AC1">
                            <w:rPr>
                              <w:sz w:val="24"/>
                              <w:szCs w:val="24"/>
                            </w:rPr>
                            <w:t>7</w:t>
                          </w:r>
                        </w:p>
                        <w:p w14:paraId="698C81B6" w14:textId="77777777" w:rsidR="0034646D" w:rsidRDefault="0034646D" w:rsidP="00F85E94">
                          <w:pPr>
                            <w:jc w:val="right"/>
                            <w:rPr>
                              <w:sz w:val="24"/>
                              <w:szCs w:val="24"/>
                            </w:rPr>
                          </w:pPr>
                          <w:r w:rsidRPr="00374AC1">
                            <w:rPr>
                              <w:sz w:val="24"/>
                              <w:szCs w:val="24"/>
                            </w:rPr>
                            <w:t>8</w:t>
                          </w:r>
                        </w:p>
                        <w:p w14:paraId="4E591814" w14:textId="77777777" w:rsidR="0034646D" w:rsidRPr="00374AC1" w:rsidRDefault="0034646D" w:rsidP="00F85E94">
                          <w:pPr>
                            <w:jc w:val="right"/>
                            <w:rPr>
                              <w:sz w:val="24"/>
                              <w:szCs w:val="24"/>
                            </w:rPr>
                          </w:pPr>
                          <w:r>
                            <w:rPr>
                              <w:sz w:val="24"/>
                              <w:szCs w:val="24"/>
                            </w:rPr>
                            <w:t>9</w:t>
                          </w:r>
                        </w:p>
                        <w:p w14:paraId="4AFDA5DC" w14:textId="77777777" w:rsidR="0034646D" w:rsidRPr="00374AC1" w:rsidRDefault="0034646D" w:rsidP="00F85E94">
                          <w:pPr>
                            <w:jc w:val="right"/>
                            <w:rPr>
                              <w:sz w:val="24"/>
                              <w:szCs w:val="24"/>
                            </w:rPr>
                          </w:pPr>
                          <w:r w:rsidRPr="00374AC1">
                            <w:rPr>
                              <w:sz w:val="24"/>
                              <w:szCs w:val="24"/>
                            </w:rPr>
                            <w:t>10</w:t>
                          </w:r>
                        </w:p>
                        <w:p w14:paraId="7FD0C6A7" w14:textId="77777777" w:rsidR="0034646D" w:rsidRPr="00374AC1" w:rsidRDefault="0034646D" w:rsidP="00F85E94">
                          <w:pPr>
                            <w:jc w:val="right"/>
                            <w:rPr>
                              <w:sz w:val="24"/>
                              <w:szCs w:val="24"/>
                            </w:rPr>
                          </w:pPr>
                          <w:r w:rsidRPr="00374AC1">
                            <w:rPr>
                              <w:sz w:val="24"/>
                              <w:szCs w:val="24"/>
                            </w:rPr>
                            <w:t>11</w:t>
                          </w:r>
                        </w:p>
                        <w:p w14:paraId="0761FDCA" w14:textId="77777777" w:rsidR="0034646D" w:rsidRPr="00374AC1" w:rsidRDefault="0034646D" w:rsidP="00F85E94">
                          <w:pPr>
                            <w:jc w:val="right"/>
                            <w:rPr>
                              <w:sz w:val="24"/>
                              <w:szCs w:val="24"/>
                            </w:rPr>
                          </w:pPr>
                          <w:r w:rsidRPr="00374AC1">
                            <w:rPr>
                              <w:sz w:val="24"/>
                              <w:szCs w:val="24"/>
                            </w:rPr>
                            <w:t>12</w:t>
                          </w:r>
                        </w:p>
                        <w:p w14:paraId="5551F171" w14:textId="77777777" w:rsidR="0034646D" w:rsidRPr="00374AC1" w:rsidRDefault="0034646D" w:rsidP="00F85E94">
                          <w:pPr>
                            <w:jc w:val="right"/>
                            <w:rPr>
                              <w:sz w:val="24"/>
                              <w:szCs w:val="24"/>
                            </w:rPr>
                          </w:pPr>
                          <w:r w:rsidRPr="00374AC1">
                            <w:rPr>
                              <w:sz w:val="24"/>
                              <w:szCs w:val="24"/>
                            </w:rPr>
                            <w:t>13</w:t>
                          </w:r>
                        </w:p>
                        <w:p w14:paraId="43A86BB2" w14:textId="77777777" w:rsidR="0034646D" w:rsidRPr="00374AC1" w:rsidRDefault="0034646D" w:rsidP="00F85E94">
                          <w:pPr>
                            <w:jc w:val="right"/>
                            <w:rPr>
                              <w:sz w:val="24"/>
                              <w:szCs w:val="24"/>
                            </w:rPr>
                          </w:pPr>
                          <w:r w:rsidRPr="00374AC1">
                            <w:rPr>
                              <w:sz w:val="24"/>
                              <w:szCs w:val="24"/>
                            </w:rPr>
                            <w:t>14</w:t>
                          </w:r>
                        </w:p>
                        <w:p w14:paraId="2F3857DE" w14:textId="77777777" w:rsidR="0034646D" w:rsidRPr="00374AC1" w:rsidRDefault="0034646D" w:rsidP="00F85E94">
                          <w:pPr>
                            <w:jc w:val="right"/>
                            <w:rPr>
                              <w:sz w:val="24"/>
                              <w:szCs w:val="24"/>
                            </w:rPr>
                          </w:pPr>
                          <w:r w:rsidRPr="00374AC1">
                            <w:rPr>
                              <w:sz w:val="24"/>
                              <w:szCs w:val="24"/>
                            </w:rPr>
                            <w:t>15</w:t>
                          </w:r>
                        </w:p>
                        <w:p w14:paraId="1F8FAF13" w14:textId="77777777" w:rsidR="0034646D" w:rsidRPr="00374AC1" w:rsidRDefault="0034646D" w:rsidP="00F85E94">
                          <w:pPr>
                            <w:jc w:val="right"/>
                            <w:rPr>
                              <w:sz w:val="24"/>
                              <w:szCs w:val="24"/>
                            </w:rPr>
                          </w:pPr>
                          <w:r w:rsidRPr="00374AC1">
                            <w:rPr>
                              <w:sz w:val="24"/>
                              <w:szCs w:val="24"/>
                            </w:rPr>
                            <w:t>16</w:t>
                          </w:r>
                        </w:p>
                        <w:p w14:paraId="663C340E" w14:textId="77777777" w:rsidR="0034646D" w:rsidRPr="00374AC1" w:rsidRDefault="0034646D" w:rsidP="00F85E94">
                          <w:pPr>
                            <w:jc w:val="right"/>
                            <w:rPr>
                              <w:sz w:val="24"/>
                              <w:szCs w:val="24"/>
                            </w:rPr>
                          </w:pPr>
                          <w:r w:rsidRPr="00374AC1">
                            <w:rPr>
                              <w:sz w:val="24"/>
                              <w:szCs w:val="24"/>
                            </w:rPr>
                            <w:t>17</w:t>
                          </w:r>
                        </w:p>
                        <w:p w14:paraId="2EA5FA38" w14:textId="77777777" w:rsidR="0034646D" w:rsidRPr="00374AC1" w:rsidRDefault="0034646D" w:rsidP="00F85E94">
                          <w:pPr>
                            <w:jc w:val="right"/>
                            <w:rPr>
                              <w:sz w:val="24"/>
                              <w:szCs w:val="24"/>
                            </w:rPr>
                          </w:pPr>
                          <w:r w:rsidRPr="00374AC1">
                            <w:rPr>
                              <w:sz w:val="24"/>
                              <w:szCs w:val="24"/>
                            </w:rPr>
                            <w:t>18</w:t>
                          </w:r>
                        </w:p>
                        <w:p w14:paraId="307CF6DC" w14:textId="77777777" w:rsidR="0034646D" w:rsidRPr="00374AC1" w:rsidRDefault="0034646D" w:rsidP="00F85E94">
                          <w:pPr>
                            <w:jc w:val="right"/>
                            <w:rPr>
                              <w:sz w:val="24"/>
                              <w:szCs w:val="24"/>
                            </w:rPr>
                          </w:pPr>
                          <w:r w:rsidRPr="00374AC1">
                            <w:rPr>
                              <w:sz w:val="24"/>
                              <w:szCs w:val="24"/>
                            </w:rPr>
                            <w:t>19</w:t>
                          </w:r>
                        </w:p>
                        <w:p w14:paraId="45171875" w14:textId="77777777" w:rsidR="0034646D" w:rsidRPr="00374AC1" w:rsidRDefault="0034646D" w:rsidP="00F85E94">
                          <w:pPr>
                            <w:jc w:val="right"/>
                            <w:rPr>
                              <w:sz w:val="24"/>
                              <w:szCs w:val="24"/>
                            </w:rPr>
                          </w:pPr>
                          <w:r w:rsidRPr="00374AC1">
                            <w:rPr>
                              <w:sz w:val="24"/>
                              <w:szCs w:val="24"/>
                            </w:rPr>
                            <w:t>20</w:t>
                          </w:r>
                        </w:p>
                        <w:p w14:paraId="221225BC" w14:textId="77777777" w:rsidR="0034646D" w:rsidRPr="00374AC1" w:rsidRDefault="0034646D" w:rsidP="00F85E94">
                          <w:pPr>
                            <w:jc w:val="right"/>
                            <w:rPr>
                              <w:sz w:val="24"/>
                              <w:szCs w:val="24"/>
                            </w:rPr>
                          </w:pPr>
                          <w:r w:rsidRPr="00374AC1">
                            <w:rPr>
                              <w:sz w:val="24"/>
                              <w:szCs w:val="24"/>
                            </w:rPr>
                            <w:t>21</w:t>
                          </w:r>
                        </w:p>
                        <w:p w14:paraId="2D3E5FFC" w14:textId="77777777" w:rsidR="0034646D" w:rsidRPr="00374AC1" w:rsidRDefault="0034646D" w:rsidP="00F85E94">
                          <w:pPr>
                            <w:jc w:val="right"/>
                            <w:rPr>
                              <w:sz w:val="24"/>
                              <w:szCs w:val="24"/>
                            </w:rPr>
                          </w:pPr>
                          <w:r w:rsidRPr="00374AC1">
                            <w:rPr>
                              <w:sz w:val="24"/>
                              <w:szCs w:val="24"/>
                            </w:rPr>
                            <w:t>22</w:t>
                          </w:r>
                        </w:p>
                        <w:p w14:paraId="4CF51359" w14:textId="77777777" w:rsidR="0034646D" w:rsidRPr="00374AC1" w:rsidRDefault="0034646D" w:rsidP="00F85E94">
                          <w:pPr>
                            <w:jc w:val="right"/>
                            <w:rPr>
                              <w:sz w:val="24"/>
                              <w:szCs w:val="24"/>
                            </w:rPr>
                          </w:pPr>
                          <w:r w:rsidRPr="00374AC1">
                            <w:rPr>
                              <w:sz w:val="24"/>
                              <w:szCs w:val="24"/>
                            </w:rPr>
                            <w:t>23</w:t>
                          </w:r>
                        </w:p>
                        <w:p w14:paraId="70F41E23" w14:textId="77777777" w:rsidR="0034646D" w:rsidRPr="00374AC1" w:rsidRDefault="0034646D" w:rsidP="00F85E94">
                          <w:pPr>
                            <w:jc w:val="right"/>
                            <w:rPr>
                              <w:sz w:val="24"/>
                              <w:szCs w:val="24"/>
                            </w:rPr>
                          </w:pPr>
                          <w:r w:rsidRPr="00374AC1">
                            <w:rPr>
                              <w:sz w:val="24"/>
                              <w:szCs w:val="24"/>
                            </w:rPr>
                            <w:t>24</w:t>
                          </w:r>
                        </w:p>
                        <w:p w14:paraId="603518A1" w14:textId="77777777" w:rsidR="0034646D" w:rsidRPr="00374AC1" w:rsidRDefault="0034646D" w:rsidP="00F85E94">
                          <w:pPr>
                            <w:jc w:val="right"/>
                            <w:rPr>
                              <w:sz w:val="24"/>
                              <w:szCs w:val="24"/>
                            </w:rPr>
                          </w:pPr>
                          <w:r w:rsidRPr="00374AC1">
                            <w:rPr>
                              <w:sz w:val="24"/>
                              <w:szCs w:val="24"/>
                            </w:rPr>
                            <w:t>25</w:t>
                          </w:r>
                        </w:p>
                        <w:p w14:paraId="6FFEB253" w14:textId="77777777" w:rsidR="0034646D" w:rsidRPr="00374AC1" w:rsidRDefault="0034646D" w:rsidP="00F85E94">
                          <w:pPr>
                            <w:jc w:val="right"/>
                            <w:rPr>
                              <w:sz w:val="24"/>
                              <w:szCs w:val="24"/>
                            </w:rPr>
                          </w:pPr>
                          <w:r w:rsidRPr="00374AC1">
                            <w:rPr>
                              <w:sz w:val="24"/>
                              <w:szCs w:val="24"/>
                            </w:rPr>
                            <w:t>26</w:t>
                          </w:r>
                        </w:p>
                        <w:p w14:paraId="190C1231" w14:textId="77777777" w:rsidR="0034646D" w:rsidRDefault="0034646D"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34646D" w:rsidRPr="00374AC1" w:rsidRDefault="0034646D" w:rsidP="00F85E94">
                    <w:pPr>
                      <w:jc w:val="right"/>
                      <w:rPr>
                        <w:sz w:val="24"/>
                        <w:szCs w:val="24"/>
                      </w:rPr>
                    </w:pPr>
                    <w:r w:rsidRPr="00374AC1">
                      <w:rPr>
                        <w:sz w:val="24"/>
                        <w:szCs w:val="24"/>
                      </w:rPr>
                      <w:t>1</w:t>
                    </w:r>
                  </w:p>
                  <w:p w14:paraId="029E7C3F" w14:textId="77777777" w:rsidR="0034646D" w:rsidRPr="00374AC1" w:rsidRDefault="0034646D" w:rsidP="00F85E94">
                    <w:pPr>
                      <w:jc w:val="right"/>
                      <w:rPr>
                        <w:sz w:val="24"/>
                        <w:szCs w:val="24"/>
                      </w:rPr>
                    </w:pPr>
                    <w:r w:rsidRPr="00374AC1">
                      <w:rPr>
                        <w:sz w:val="24"/>
                        <w:szCs w:val="24"/>
                      </w:rPr>
                      <w:t>2</w:t>
                    </w:r>
                  </w:p>
                  <w:p w14:paraId="15113486" w14:textId="77777777" w:rsidR="0034646D" w:rsidRPr="00374AC1" w:rsidRDefault="0034646D" w:rsidP="00F85E94">
                    <w:pPr>
                      <w:jc w:val="right"/>
                      <w:rPr>
                        <w:sz w:val="24"/>
                        <w:szCs w:val="24"/>
                      </w:rPr>
                    </w:pPr>
                    <w:r w:rsidRPr="00374AC1">
                      <w:rPr>
                        <w:sz w:val="24"/>
                        <w:szCs w:val="24"/>
                      </w:rPr>
                      <w:t>3</w:t>
                    </w:r>
                  </w:p>
                  <w:p w14:paraId="5018BA48" w14:textId="77777777" w:rsidR="0034646D" w:rsidRPr="00374AC1" w:rsidRDefault="0034646D" w:rsidP="00F85E94">
                    <w:pPr>
                      <w:jc w:val="right"/>
                      <w:rPr>
                        <w:sz w:val="24"/>
                        <w:szCs w:val="24"/>
                      </w:rPr>
                    </w:pPr>
                    <w:r w:rsidRPr="00374AC1">
                      <w:rPr>
                        <w:sz w:val="24"/>
                        <w:szCs w:val="24"/>
                      </w:rPr>
                      <w:t>4</w:t>
                    </w:r>
                  </w:p>
                  <w:p w14:paraId="5FAF3AD4" w14:textId="77777777" w:rsidR="0034646D" w:rsidRPr="00374AC1" w:rsidRDefault="0034646D" w:rsidP="00F85E94">
                    <w:pPr>
                      <w:jc w:val="right"/>
                      <w:rPr>
                        <w:sz w:val="24"/>
                        <w:szCs w:val="24"/>
                      </w:rPr>
                    </w:pPr>
                    <w:r w:rsidRPr="00374AC1">
                      <w:rPr>
                        <w:sz w:val="24"/>
                        <w:szCs w:val="24"/>
                      </w:rPr>
                      <w:t>5</w:t>
                    </w:r>
                  </w:p>
                  <w:p w14:paraId="6070B0EE" w14:textId="77777777" w:rsidR="0034646D" w:rsidRPr="00374AC1" w:rsidRDefault="0034646D" w:rsidP="00F85E94">
                    <w:pPr>
                      <w:jc w:val="right"/>
                      <w:rPr>
                        <w:sz w:val="24"/>
                        <w:szCs w:val="24"/>
                      </w:rPr>
                    </w:pPr>
                    <w:r w:rsidRPr="00374AC1">
                      <w:rPr>
                        <w:sz w:val="24"/>
                        <w:szCs w:val="24"/>
                      </w:rPr>
                      <w:t>6</w:t>
                    </w:r>
                  </w:p>
                  <w:p w14:paraId="5E407319" w14:textId="77777777" w:rsidR="0034646D" w:rsidRPr="00374AC1" w:rsidRDefault="0034646D" w:rsidP="00F85E94">
                    <w:pPr>
                      <w:jc w:val="right"/>
                      <w:rPr>
                        <w:sz w:val="24"/>
                        <w:szCs w:val="24"/>
                      </w:rPr>
                    </w:pPr>
                    <w:r w:rsidRPr="00374AC1">
                      <w:rPr>
                        <w:sz w:val="24"/>
                        <w:szCs w:val="24"/>
                      </w:rPr>
                      <w:t>7</w:t>
                    </w:r>
                  </w:p>
                  <w:p w14:paraId="698C81B6" w14:textId="77777777" w:rsidR="0034646D" w:rsidRDefault="0034646D" w:rsidP="00F85E94">
                    <w:pPr>
                      <w:jc w:val="right"/>
                      <w:rPr>
                        <w:sz w:val="24"/>
                        <w:szCs w:val="24"/>
                      </w:rPr>
                    </w:pPr>
                    <w:r w:rsidRPr="00374AC1">
                      <w:rPr>
                        <w:sz w:val="24"/>
                        <w:szCs w:val="24"/>
                      </w:rPr>
                      <w:t>8</w:t>
                    </w:r>
                  </w:p>
                  <w:p w14:paraId="4E591814" w14:textId="77777777" w:rsidR="0034646D" w:rsidRPr="00374AC1" w:rsidRDefault="0034646D" w:rsidP="00F85E94">
                    <w:pPr>
                      <w:jc w:val="right"/>
                      <w:rPr>
                        <w:sz w:val="24"/>
                        <w:szCs w:val="24"/>
                      </w:rPr>
                    </w:pPr>
                    <w:r>
                      <w:rPr>
                        <w:sz w:val="24"/>
                        <w:szCs w:val="24"/>
                      </w:rPr>
                      <w:t>9</w:t>
                    </w:r>
                  </w:p>
                  <w:p w14:paraId="4AFDA5DC" w14:textId="77777777" w:rsidR="0034646D" w:rsidRPr="00374AC1" w:rsidRDefault="0034646D" w:rsidP="00F85E94">
                    <w:pPr>
                      <w:jc w:val="right"/>
                      <w:rPr>
                        <w:sz w:val="24"/>
                        <w:szCs w:val="24"/>
                      </w:rPr>
                    </w:pPr>
                    <w:r w:rsidRPr="00374AC1">
                      <w:rPr>
                        <w:sz w:val="24"/>
                        <w:szCs w:val="24"/>
                      </w:rPr>
                      <w:t>10</w:t>
                    </w:r>
                  </w:p>
                  <w:p w14:paraId="7FD0C6A7" w14:textId="77777777" w:rsidR="0034646D" w:rsidRPr="00374AC1" w:rsidRDefault="0034646D" w:rsidP="00F85E94">
                    <w:pPr>
                      <w:jc w:val="right"/>
                      <w:rPr>
                        <w:sz w:val="24"/>
                        <w:szCs w:val="24"/>
                      </w:rPr>
                    </w:pPr>
                    <w:r w:rsidRPr="00374AC1">
                      <w:rPr>
                        <w:sz w:val="24"/>
                        <w:szCs w:val="24"/>
                      </w:rPr>
                      <w:t>11</w:t>
                    </w:r>
                  </w:p>
                  <w:p w14:paraId="0761FDCA" w14:textId="77777777" w:rsidR="0034646D" w:rsidRPr="00374AC1" w:rsidRDefault="0034646D" w:rsidP="00F85E94">
                    <w:pPr>
                      <w:jc w:val="right"/>
                      <w:rPr>
                        <w:sz w:val="24"/>
                        <w:szCs w:val="24"/>
                      </w:rPr>
                    </w:pPr>
                    <w:r w:rsidRPr="00374AC1">
                      <w:rPr>
                        <w:sz w:val="24"/>
                        <w:szCs w:val="24"/>
                      </w:rPr>
                      <w:t>12</w:t>
                    </w:r>
                  </w:p>
                  <w:p w14:paraId="5551F171" w14:textId="77777777" w:rsidR="0034646D" w:rsidRPr="00374AC1" w:rsidRDefault="0034646D" w:rsidP="00F85E94">
                    <w:pPr>
                      <w:jc w:val="right"/>
                      <w:rPr>
                        <w:sz w:val="24"/>
                        <w:szCs w:val="24"/>
                      </w:rPr>
                    </w:pPr>
                    <w:r w:rsidRPr="00374AC1">
                      <w:rPr>
                        <w:sz w:val="24"/>
                        <w:szCs w:val="24"/>
                      </w:rPr>
                      <w:t>13</w:t>
                    </w:r>
                  </w:p>
                  <w:p w14:paraId="43A86BB2" w14:textId="77777777" w:rsidR="0034646D" w:rsidRPr="00374AC1" w:rsidRDefault="0034646D" w:rsidP="00F85E94">
                    <w:pPr>
                      <w:jc w:val="right"/>
                      <w:rPr>
                        <w:sz w:val="24"/>
                        <w:szCs w:val="24"/>
                      </w:rPr>
                    </w:pPr>
                    <w:r w:rsidRPr="00374AC1">
                      <w:rPr>
                        <w:sz w:val="24"/>
                        <w:szCs w:val="24"/>
                      </w:rPr>
                      <w:t>14</w:t>
                    </w:r>
                  </w:p>
                  <w:p w14:paraId="2F3857DE" w14:textId="77777777" w:rsidR="0034646D" w:rsidRPr="00374AC1" w:rsidRDefault="0034646D" w:rsidP="00F85E94">
                    <w:pPr>
                      <w:jc w:val="right"/>
                      <w:rPr>
                        <w:sz w:val="24"/>
                        <w:szCs w:val="24"/>
                      </w:rPr>
                    </w:pPr>
                    <w:r w:rsidRPr="00374AC1">
                      <w:rPr>
                        <w:sz w:val="24"/>
                        <w:szCs w:val="24"/>
                      </w:rPr>
                      <w:t>15</w:t>
                    </w:r>
                  </w:p>
                  <w:p w14:paraId="1F8FAF13" w14:textId="77777777" w:rsidR="0034646D" w:rsidRPr="00374AC1" w:rsidRDefault="0034646D" w:rsidP="00F85E94">
                    <w:pPr>
                      <w:jc w:val="right"/>
                      <w:rPr>
                        <w:sz w:val="24"/>
                        <w:szCs w:val="24"/>
                      </w:rPr>
                    </w:pPr>
                    <w:r w:rsidRPr="00374AC1">
                      <w:rPr>
                        <w:sz w:val="24"/>
                        <w:szCs w:val="24"/>
                      </w:rPr>
                      <w:t>16</w:t>
                    </w:r>
                  </w:p>
                  <w:p w14:paraId="663C340E" w14:textId="77777777" w:rsidR="0034646D" w:rsidRPr="00374AC1" w:rsidRDefault="0034646D" w:rsidP="00F85E94">
                    <w:pPr>
                      <w:jc w:val="right"/>
                      <w:rPr>
                        <w:sz w:val="24"/>
                        <w:szCs w:val="24"/>
                      </w:rPr>
                    </w:pPr>
                    <w:r w:rsidRPr="00374AC1">
                      <w:rPr>
                        <w:sz w:val="24"/>
                        <w:szCs w:val="24"/>
                      </w:rPr>
                      <w:t>17</w:t>
                    </w:r>
                  </w:p>
                  <w:p w14:paraId="2EA5FA38" w14:textId="77777777" w:rsidR="0034646D" w:rsidRPr="00374AC1" w:rsidRDefault="0034646D" w:rsidP="00F85E94">
                    <w:pPr>
                      <w:jc w:val="right"/>
                      <w:rPr>
                        <w:sz w:val="24"/>
                        <w:szCs w:val="24"/>
                      </w:rPr>
                    </w:pPr>
                    <w:r w:rsidRPr="00374AC1">
                      <w:rPr>
                        <w:sz w:val="24"/>
                        <w:szCs w:val="24"/>
                      </w:rPr>
                      <w:t>18</w:t>
                    </w:r>
                  </w:p>
                  <w:p w14:paraId="307CF6DC" w14:textId="77777777" w:rsidR="0034646D" w:rsidRPr="00374AC1" w:rsidRDefault="0034646D" w:rsidP="00F85E94">
                    <w:pPr>
                      <w:jc w:val="right"/>
                      <w:rPr>
                        <w:sz w:val="24"/>
                        <w:szCs w:val="24"/>
                      </w:rPr>
                    </w:pPr>
                    <w:r w:rsidRPr="00374AC1">
                      <w:rPr>
                        <w:sz w:val="24"/>
                        <w:szCs w:val="24"/>
                      </w:rPr>
                      <w:t>19</w:t>
                    </w:r>
                  </w:p>
                  <w:p w14:paraId="45171875" w14:textId="77777777" w:rsidR="0034646D" w:rsidRPr="00374AC1" w:rsidRDefault="0034646D" w:rsidP="00F85E94">
                    <w:pPr>
                      <w:jc w:val="right"/>
                      <w:rPr>
                        <w:sz w:val="24"/>
                        <w:szCs w:val="24"/>
                      </w:rPr>
                    </w:pPr>
                    <w:r w:rsidRPr="00374AC1">
                      <w:rPr>
                        <w:sz w:val="24"/>
                        <w:szCs w:val="24"/>
                      </w:rPr>
                      <w:t>20</w:t>
                    </w:r>
                  </w:p>
                  <w:p w14:paraId="221225BC" w14:textId="77777777" w:rsidR="0034646D" w:rsidRPr="00374AC1" w:rsidRDefault="0034646D" w:rsidP="00F85E94">
                    <w:pPr>
                      <w:jc w:val="right"/>
                      <w:rPr>
                        <w:sz w:val="24"/>
                        <w:szCs w:val="24"/>
                      </w:rPr>
                    </w:pPr>
                    <w:r w:rsidRPr="00374AC1">
                      <w:rPr>
                        <w:sz w:val="24"/>
                        <w:szCs w:val="24"/>
                      </w:rPr>
                      <w:t>21</w:t>
                    </w:r>
                  </w:p>
                  <w:p w14:paraId="2D3E5FFC" w14:textId="77777777" w:rsidR="0034646D" w:rsidRPr="00374AC1" w:rsidRDefault="0034646D" w:rsidP="00F85E94">
                    <w:pPr>
                      <w:jc w:val="right"/>
                      <w:rPr>
                        <w:sz w:val="24"/>
                        <w:szCs w:val="24"/>
                      </w:rPr>
                    </w:pPr>
                    <w:r w:rsidRPr="00374AC1">
                      <w:rPr>
                        <w:sz w:val="24"/>
                        <w:szCs w:val="24"/>
                      </w:rPr>
                      <w:t>22</w:t>
                    </w:r>
                  </w:p>
                  <w:p w14:paraId="4CF51359" w14:textId="77777777" w:rsidR="0034646D" w:rsidRPr="00374AC1" w:rsidRDefault="0034646D" w:rsidP="00F85E94">
                    <w:pPr>
                      <w:jc w:val="right"/>
                      <w:rPr>
                        <w:sz w:val="24"/>
                        <w:szCs w:val="24"/>
                      </w:rPr>
                    </w:pPr>
                    <w:r w:rsidRPr="00374AC1">
                      <w:rPr>
                        <w:sz w:val="24"/>
                        <w:szCs w:val="24"/>
                      </w:rPr>
                      <w:t>23</w:t>
                    </w:r>
                  </w:p>
                  <w:p w14:paraId="70F41E23" w14:textId="77777777" w:rsidR="0034646D" w:rsidRPr="00374AC1" w:rsidRDefault="0034646D" w:rsidP="00F85E94">
                    <w:pPr>
                      <w:jc w:val="right"/>
                      <w:rPr>
                        <w:sz w:val="24"/>
                        <w:szCs w:val="24"/>
                      </w:rPr>
                    </w:pPr>
                    <w:r w:rsidRPr="00374AC1">
                      <w:rPr>
                        <w:sz w:val="24"/>
                        <w:szCs w:val="24"/>
                      </w:rPr>
                      <w:t>24</w:t>
                    </w:r>
                  </w:p>
                  <w:p w14:paraId="603518A1" w14:textId="77777777" w:rsidR="0034646D" w:rsidRPr="00374AC1" w:rsidRDefault="0034646D" w:rsidP="00F85E94">
                    <w:pPr>
                      <w:jc w:val="right"/>
                      <w:rPr>
                        <w:sz w:val="24"/>
                        <w:szCs w:val="24"/>
                      </w:rPr>
                    </w:pPr>
                    <w:r w:rsidRPr="00374AC1">
                      <w:rPr>
                        <w:sz w:val="24"/>
                        <w:szCs w:val="24"/>
                      </w:rPr>
                      <w:t>25</w:t>
                    </w:r>
                  </w:p>
                  <w:p w14:paraId="6FFEB253" w14:textId="77777777" w:rsidR="0034646D" w:rsidRPr="00374AC1" w:rsidRDefault="0034646D" w:rsidP="00F85E94">
                    <w:pPr>
                      <w:jc w:val="right"/>
                      <w:rPr>
                        <w:sz w:val="24"/>
                        <w:szCs w:val="24"/>
                      </w:rPr>
                    </w:pPr>
                    <w:r w:rsidRPr="00374AC1">
                      <w:rPr>
                        <w:sz w:val="24"/>
                        <w:szCs w:val="24"/>
                      </w:rPr>
                      <w:t>26</w:t>
                    </w:r>
                  </w:p>
                  <w:p w14:paraId="190C1231" w14:textId="77777777" w:rsidR="0034646D" w:rsidRDefault="0034646D"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5168"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D9567" w14:textId="77777777" w:rsidR="004A42AB" w:rsidRPr="004C2142" w:rsidRDefault="004A42AB" w:rsidP="004A42AB">
    <w:pPr>
      <w:pStyle w:val="Header"/>
      <w:tabs>
        <w:tab w:val="clear" w:pos="4320"/>
      </w:tabs>
      <w:spacing w:line="240" w:lineRule="auto"/>
      <w:rPr>
        <w:i/>
      </w:rPr>
    </w:pPr>
    <w:r>
      <w:rPr>
        <w:noProof/>
      </w:rPr>
      <mc:AlternateContent>
        <mc:Choice Requires="wps">
          <w:drawing>
            <wp:anchor distT="0" distB="0" distL="114300" distR="114300" simplePos="0" relativeHeight="251664384" behindDoc="0" locked="0" layoutInCell="1" allowOverlap="1" wp14:anchorId="66D9587F" wp14:editId="3B24F64D">
              <wp:simplePos x="0" y="0"/>
              <wp:positionH relativeFrom="column">
                <wp:posOffset>-1163320</wp:posOffset>
              </wp:positionH>
              <wp:positionV relativeFrom="paragraph">
                <wp:posOffset>3593796</wp:posOffset>
              </wp:positionV>
              <wp:extent cx="971550" cy="2048786"/>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245A6" w14:textId="77777777" w:rsidR="004A42AB" w:rsidRPr="00FD2A80" w:rsidRDefault="004A42AB" w:rsidP="004A42AB">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9587F" id="_x0000_t202" coordsize="21600,21600" o:spt="202" path="m,l,21600r21600,l21600,xe">
              <v:stroke joinstyle="miter"/>
              <v:path gradientshapeok="t" o:connecttype="rect"/>
            </v:shapetype>
            <v:shape id="_x0000_s1028" type="#_x0000_t202" style="position:absolute;margin-left:-91.6pt;margin-top:283pt;width:76.5pt;height:16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" filled="f" stroked="f">
              <v:textbox style="layout-flow:vertical;mso-layout-flow-alt:bottom-to-top">
                <w:txbxContent>
                  <w:p w14:paraId="2CC245A6" w14:textId="77777777" w:rsidR="004A42AB" w:rsidRPr="00FD2A80" w:rsidRDefault="004A42AB" w:rsidP="004A42AB">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409AC9C" wp14:editId="522F9ED5">
              <wp:simplePos x="0" y="0"/>
              <wp:positionH relativeFrom="margin">
                <wp:posOffset>-640080</wp:posOffset>
              </wp:positionH>
              <wp:positionV relativeFrom="margin">
                <wp:posOffset>0</wp:posOffset>
              </wp:positionV>
              <wp:extent cx="457200" cy="7927975"/>
              <wp:effectExtent l="0" t="0" r="1905"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1EC69" w14:textId="77777777" w:rsidR="004A42AB" w:rsidRPr="00374AC1" w:rsidRDefault="004A42AB" w:rsidP="004A42AB">
                          <w:pPr>
                            <w:jc w:val="right"/>
                            <w:rPr>
                              <w:sz w:val="24"/>
                              <w:szCs w:val="24"/>
                            </w:rPr>
                          </w:pPr>
                          <w:r w:rsidRPr="00374AC1">
                            <w:rPr>
                              <w:sz w:val="24"/>
                              <w:szCs w:val="24"/>
                            </w:rPr>
                            <w:t>1</w:t>
                          </w:r>
                        </w:p>
                        <w:p w14:paraId="59873FB3" w14:textId="77777777" w:rsidR="004A42AB" w:rsidRPr="00374AC1" w:rsidRDefault="004A42AB" w:rsidP="004A42AB">
                          <w:pPr>
                            <w:jc w:val="right"/>
                            <w:rPr>
                              <w:sz w:val="24"/>
                              <w:szCs w:val="24"/>
                            </w:rPr>
                          </w:pPr>
                          <w:r w:rsidRPr="00374AC1">
                            <w:rPr>
                              <w:sz w:val="24"/>
                              <w:szCs w:val="24"/>
                            </w:rPr>
                            <w:t>2</w:t>
                          </w:r>
                        </w:p>
                        <w:p w14:paraId="34A3A1C6" w14:textId="77777777" w:rsidR="004A42AB" w:rsidRPr="00374AC1" w:rsidRDefault="004A42AB" w:rsidP="004A42AB">
                          <w:pPr>
                            <w:jc w:val="right"/>
                            <w:rPr>
                              <w:sz w:val="24"/>
                              <w:szCs w:val="24"/>
                            </w:rPr>
                          </w:pPr>
                          <w:r w:rsidRPr="00374AC1">
                            <w:rPr>
                              <w:sz w:val="24"/>
                              <w:szCs w:val="24"/>
                            </w:rPr>
                            <w:t>3</w:t>
                          </w:r>
                        </w:p>
                        <w:p w14:paraId="04820A6A" w14:textId="77777777" w:rsidR="004A42AB" w:rsidRPr="00374AC1" w:rsidRDefault="004A42AB" w:rsidP="004A42AB">
                          <w:pPr>
                            <w:jc w:val="right"/>
                            <w:rPr>
                              <w:sz w:val="24"/>
                              <w:szCs w:val="24"/>
                            </w:rPr>
                          </w:pPr>
                          <w:r w:rsidRPr="00374AC1">
                            <w:rPr>
                              <w:sz w:val="24"/>
                              <w:szCs w:val="24"/>
                            </w:rPr>
                            <w:t>4</w:t>
                          </w:r>
                        </w:p>
                        <w:p w14:paraId="0BD6440D" w14:textId="77777777" w:rsidR="004A42AB" w:rsidRPr="00374AC1" w:rsidRDefault="004A42AB" w:rsidP="004A42AB">
                          <w:pPr>
                            <w:jc w:val="right"/>
                            <w:rPr>
                              <w:sz w:val="24"/>
                              <w:szCs w:val="24"/>
                            </w:rPr>
                          </w:pPr>
                          <w:r w:rsidRPr="00374AC1">
                            <w:rPr>
                              <w:sz w:val="24"/>
                              <w:szCs w:val="24"/>
                            </w:rPr>
                            <w:t>5</w:t>
                          </w:r>
                        </w:p>
                        <w:p w14:paraId="35FD5B66" w14:textId="77777777" w:rsidR="004A42AB" w:rsidRPr="00374AC1" w:rsidRDefault="004A42AB" w:rsidP="004A42AB">
                          <w:pPr>
                            <w:jc w:val="right"/>
                            <w:rPr>
                              <w:sz w:val="24"/>
                              <w:szCs w:val="24"/>
                            </w:rPr>
                          </w:pPr>
                          <w:r w:rsidRPr="00374AC1">
                            <w:rPr>
                              <w:sz w:val="24"/>
                              <w:szCs w:val="24"/>
                            </w:rPr>
                            <w:t>6</w:t>
                          </w:r>
                        </w:p>
                        <w:p w14:paraId="53A82621" w14:textId="77777777" w:rsidR="004A42AB" w:rsidRPr="00374AC1" w:rsidRDefault="004A42AB" w:rsidP="004A42AB">
                          <w:pPr>
                            <w:jc w:val="right"/>
                            <w:rPr>
                              <w:sz w:val="24"/>
                              <w:szCs w:val="24"/>
                            </w:rPr>
                          </w:pPr>
                          <w:r w:rsidRPr="00374AC1">
                            <w:rPr>
                              <w:sz w:val="24"/>
                              <w:szCs w:val="24"/>
                            </w:rPr>
                            <w:t>7</w:t>
                          </w:r>
                        </w:p>
                        <w:p w14:paraId="74CBA42A" w14:textId="77777777" w:rsidR="004A42AB" w:rsidRDefault="004A42AB" w:rsidP="004A42AB">
                          <w:pPr>
                            <w:jc w:val="right"/>
                            <w:rPr>
                              <w:sz w:val="24"/>
                              <w:szCs w:val="24"/>
                            </w:rPr>
                          </w:pPr>
                          <w:r w:rsidRPr="00374AC1">
                            <w:rPr>
                              <w:sz w:val="24"/>
                              <w:szCs w:val="24"/>
                            </w:rPr>
                            <w:t>8</w:t>
                          </w:r>
                        </w:p>
                        <w:p w14:paraId="4365D9D7" w14:textId="77777777" w:rsidR="004A42AB" w:rsidRPr="00374AC1" w:rsidRDefault="004A42AB" w:rsidP="004A42AB">
                          <w:pPr>
                            <w:jc w:val="right"/>
                            <w:rPr>
                              <w:sz w:val="24"/>
                              <w:szCs w:val="24"/>
                            </w:rPr>
                          </w:pPr>
                          <w:r>
                            <w:rPr>
                              <w:sz w:val="24"/>
                              <w:szCs w:val="24"/>
                            </w:rPr>
                            <w:t>9</w:t>
                          </w:r>
                        </w:p>
                        <w:p w14:paraId="3562ED3D" w14:textId="77777777" w:rsidR="004A42AB" w:rsidRPr="00374AC1" w:rsidRDefault="004A42AB" w:rsidP="004A42AB">
                          <w:pPr>
                            <w:jc w:val="right"/>
                            <w:rPr>
                              <w:sz w:val="24"/>
                              <w:szCs w:val="24"/>
                            </w:rPr>
                          </w:pPr>
                          <w:r w:rsidRPr="00374AC1">
                            <w:rPr>
                              <w:sz w:val="24"/>
                              <w:szCs w:val="24"/>
                            </w:rPr>
                            <w:t>10</w:t>
                          </w:r>
                        </w:p>
                        <w:p w14:paraId="2F3418B9" w14:textId="77777777" w:rsidR="004A42AB" w:rsidRPr="00374AC1" w:rsidRDefault="004A42AB" w:rsidP="004A42AB">
                          <w:pPr>
                            <w:jc w:val="right"/>
                            <w:rPr>
                              <w:sz w:val="24"/>
                              <w:szCs w:val="24"/>
                            </w:rPr>
                          </w:pPr>
                          <w:r w:rsidRPr="00374AC1">
                            <w:rPr>
                              <w:sz w:val="24"/>
                              <w:szCs w:val="24"/>
                            </w:rPr>
                            <w:t>11</w:t>
                          </w:r>
                        </w:p>
                        <w:p w14:paraId="7CA549B2" w14:textId="77777777" w:rsidR="004A42AB" w:rsidRPr="00374AC1" w:rsidRDefault="004A42AB" w:rsidP="004A42AB">
                          <w:pPr>
                            <w:jc w:val="right"/>
                            <w:rPr>
                              <w:sz w:val="24"/>
                              <w:szCs w:val="24"/>
                            </w:rPr>
                          </w:pPr>
                          <w:r w:rsidRPr="00374AC1">
                            <w:rPr>
                              <w:sz w:val="24"/>
                              <w:szCs w:val="24"/>
                            </w:rPr>
                            <w:t>12</w:t>
                          </w:r>
                        </w:p>
                        <w:p w14:paraId="6C091F5B" w14:textId="77777777" w:rsidR="004A42AB" w:rsidRPr="00374AC1" w:rsidRDefault="004A42AB" w:rsidP="004A42AB">
                          <w:pPr>
                            <w:jc w:val="right"/>
                            <w:rPr>
                              <w:sz w:val="24"/>
                              <w:szCs w:val="24"/>
                            </w:rPr>
                          </w:pPr>
                          <w:r w:rsidRPr="00374AC1">
                            <w:rPr>
                              <w:sz w:val="24"/>
                              <w:szCs w:val="24"/>
                            </w:rPr>
                            <w:t>13</w:t>
                          </w:r>
                        </w:p>
                        <w:p w14:paraId="3504E344" w14:textId="77777777" w:rsidR="004A42AB" w:rsidRPr="00374AC1" w:rsidRDefault="004A42AB" w:rsidP="004A42AB">
                          <w:pPr>
                            <w:jc w:val="right"/>
                            <w:rPr>
                              <w:sz w:val="24"/>
                              <w:szCs w:val="24"/>
                            </w:rPr>
                          </w:pPr>
                          <w:r w:rsidRPr="00374AC1">
                            <w:rPr>
                              <w:sz w:val="24"/>
                              <w:szCs w:val="24"/>
                            </w:rPr>
                            <w:t>14</w:t>
                          </w:r>
                        </w:p>
                        <w:p w14:paraId="178F6F43" w14:textId="77777777" w:rsidR="004A42AB" w:rsidRPr="00374AC1" w:rsidRDefault="004A42AB" w:rsidP="004A42AB">
                          <w:pPr>
                            <w:jc w:val="right"/>
                            <w:rPr>
                              <w:sz w:val="24"/>
                              <w:szCs w:val="24"/>
                            </w:rPr>
                          </w:pPr>
                          <w:r w:rsidRPr="00374AC1">
                            <w:rPr>
                              <w:sz w:val="24"/>
                              <w:szCs w:val="24"/>
                            </w:rPr>
                            <w:t>15</w:t>
                          </w:r>
                        </w:p>
                        <w:p w14:paraId="74AC22B8" w14:textId="77777777" w:rsidR="004A42AB" w:rsidRPr="00374AC1" w:rsidRDefault="004A42AB" w:rsidP="004A42AB">
                          <w:pPr>
                            <w:jc w:val="right"/>
                            <w:rPr>
                              <w:sz w:val="24"/>
                              <w:szCs w:val="24"/>
                            </w:rPr>
                          </w:pPr>
                          <w:r w:rsidRPr="00374AC1">
                            <w:rPr>
                              <w:sz w:val="24"/>
                              <w:szCs w:val="24"/>
                            </w:rPr>
                            <w:t>16</w:t>
                          </w:r>
                        </w:p>
                        <w:p w14:paraId="0ABCF4B1" w14:textId="77777777" w:rsidR="004A42AB" w:rsidRPr="00374AC1" w:rsidRDefault="004A42AB" w:rsidP="004A42AB">
                          <w:pPr>
                            <w:jc w:val="right"/>
                            <w:rPr>
                              <w:sz w:val="24"/>
                              <w:szCs w:val="24"/>
                            </w:rPr>
                          </w:pPr>
                          <w:r w:rsidRPr="00374AC1">
                            <w:rPr>
                              <w:sz w:val="24"/>
                              <w:szCs w:val="24"/>
                            </w:rPr>
                            <w:t>17</w:t>
                          </w:r>
                        </w:p>
                        <w:p w14:paraId="0E03E9EB" w14:textId="77777777" w:rsidR="004A42AB" w:rsidRPr="00374AC1" w:rsidRDefault="004A42AB" w:rsidP="004A42AB">
                          <w:pPr>
                            <w:jc w:val="right"/>
                            <w:rPr>
                              <w:sz w:val="24"/>
                              <w:szCs w:val="24"/>
                            </w:rPr>
                          </w:pPr>
                          <w:r w:rsidRPr="00374AC1">
                            <w:rPr>
                              <w:sz w:val="24"/>
                              <w:szCs w:val="24"/>
                            </w:rPr>
                            <w:t>18</w:t>
                          </w:r>
                        </w:p>
                        <w:p w14:paraId="47319804" w14:textId="77777777" w:rsidR="004A42AB" w:rsidRPr="00374AC1" w:rsidRDefault="004A42AB" w:rsidP="004A42AB">
                          <w:pPr>
                            <w:jc w:val="right"/>
                            <w:rPr>
                              <w:sz w:val="24"/>
                              <w:szCs w:val="24"/>
                            </w:rPr>
                          </w:pPr>
                          <w:r w:rsidRPr="00374AC1">
                            <w:rPr>
                              <w:sz w:val="24"/>
                              <w:szCs w:val="24"/>
                            </w:rPr>
                            <w:t>19</w:t>
                          </w:r>
                        </w:p>
                        <w:p w14:paraId="54A19B68" w14:textId="77777777" w:rsidR="004A42AB" w:rsidRPr="00374AC1" w:rsidRDefault="004A42AB" w:rsidP="004A42AB">
                          <w:pPr>
                            <w:jc w:val="right"/>
                            <w:rPr>
                              <w:sz w:val="24"/>
                              <w:szCs w:val="24"/>
                            </w:rPr>
                          </w:pPr>
                          <w:r w:rsidRPr="00374AC1">
                            <w:rPr>
                              <w:sz w:val="24"/>
                              <w:szCs w:val="24"/>
                            </w:rPr>
                            <w:t>20</w:t>
                          </w:r>
                        </w:p>
                        <w:p w14:paraId="56D3C955" w14:textId="77777777" w:rsidR="004A42AB" w:rsidRPr="00374AC1" w:rsidRDefault="004A42AB" w:rsidP="004A42AB">
                          <w:pPr>
                            <w:jc w:val="right"/>
                            <w:rPr>
                              <w:sz w:val="24"/>
                              <w:szCs w:val="24"/>
                            </w:rPr>
                          </w:pPr>
                          <w:r w:rsidRPr="00374AC1">
                            <w:rPr>
                              <w:sz w:val="24"/>
                              <w:szCs w:val="24"/>
                            </w:rPr>
                            <w:t>21</w:t>
                          </w:r>
                        </w:p>
                        <w:p w14:paraId="15DFB8F1" w14:textId="77777777" w:rsidR="004A42AB" w:rsidRPr="00374AC1" w:rsidRDefault="004A42AB" w:rsidP="004A42AB">
                          <w:pPr>
                            <w:jc w:val="right"/>
                            <w:rPr>
                              <w:sz w:val="24"/>
                              <w:szCs w:val="24"/>
                            </w:rPr>
                          </w:pPr>
                          <w:r w:rsidRPr="00374AC1">
                            <w:rPr>
                              <w:sz w:val="24"/>
                              <w:szCs w:val="24"/>
                            </w:rPr>
                            <w:t>22</w:t>
                          </w:r>
                        </w:p>
                        <w:p w14:paraId="42C6C114" w14:textId="77777777" w:rsidR="004A42AB" w:rsidRPr="00374AC1" w:rsidRDefault="004A42AB" w:rsidP="004A42AB">
                          <w:pPr>
                            <w:jc w:val="right"/>
                            <w:rPr>
                              <w:sz w:val="24"/>
                              <w:szCs w:val="24"/>
                            </w:rPr>
                          </w:pPr>
                          <w:r w:rsidRPr="00374AC1">
                            <w:rPr>
                              <w:sz w:val="24"/>
                              <w:szCs w:val="24"/>
                            </w:rPr>
                            <w:t>23</w:t>
                          </w:r>
                        </w:p>
                        <w:p w14:paraId="5DE9F9B3" w14:textId="77777777" w:rsidR="004A42AB" w:rsidRPr="00374AC1" w:rsidRDefault="004A42AB" w:rsidP="004A42AB">
                          <w:pPr>
                            <w:jc w:val="right"/>
                            <w:rPr>
                              <w:sz w:val="24"/>
                              <w:szCs w:val="24"/>
                            </w:rPr>
                          </w:pPr>
                          <w:r w:rsidRPr="00374AC1">
                            <w:rPr>
                              <w:sz w:val="24"/>
                              <w:szCs w:val="24"/>
                            </w:rPr>
                            <w:t>24</w:t>
                          </w:r>
                        </w:p>
                        <w:p w14:paraId="741D3545" w14:textId="77777777" w:rsidR="004A42AB" w:rsidRPr="00374AC1" w:rsidRDefault="004A42AB" w:rsidP="004A42AB">
                          <w:pPr>
                            <w:jc w:val="right"/>
                            <w:rPr>
                              <w:sz w:val="24"/>
                              <w:szCs w:val="24"/>
                            </w:rPr>
                          </w:pPr>
                          <w:r w:rsidRPr="00374AC1">
                            <w:rPr>
                              <w:sz w:val="24"/>
                              <w:szCs w:val="24"/>
                            </w:rPr>
                            <w:t>25</w:t>
                          </w:r>
                        </w:p>
                        <w:p w14:paraId="1F9191D4" w14:textId="77777777" w:rsidR="004A42AB" w:rsidRPr="00374AC1" w:rsidRDefault="004A42AB" w:rsidP="004A42AB">
                          <w:pPr>
                            <w:jc w:val="right"/>
                            <w:rPr>
                              <w:sz w:val="24"/>
                              <w:szCs w:val="24"/>
                            </w:rPr>
                          </w:pPr>
                          <w:r w:rsidRPr="00374AC1">
                            <w:rPr>
                              <w:sz w:val="24"/>
                              <w:szCs w:val="24"/>
                            </w:rPr>
                            <w:t>26</w:t>
                          </w:r>
                        </w:p>
                        <w:p w14:paraId="2E942BF0" w14:textId="77777777" w:rsidR="004A42AB" w:rsidRDefault="004A42AB" w:rsidP="004A42AB">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409AC9C" id="_x0000_s1029" type="#_x0000_t202" style="position:absolute;margin-left:-50.4pt;margin-top:0;width:36pt;height:62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" stroked="f">
              <v:textbox inset="0,0,0,0">
                <w:txbxContent>
                  <w:p w14:paraId="1C71EC69" w14:textId="77777777" w:rsidR="004A42AB" w:rsidRPr="00374AC1" w:rsidRDefault="004A42AB" w:rsidP="004A42AB">
                    <w:pPr>
                      <w:jc w:val="right"/>
                      <w:rPr>
                        <w:sz w:val="24"/>
                        <w:szCs w:val="24"/>
                      </w:rPr>
                    </w:pPr>
                    <w:r w:rsidRPr="00374AC1">
                      <w:rPr>
                        <w:sz w:val="24"/>
                        <w:szCs w:val="24"/>
                      </w:rPr>
                      <w:t>1</w:t>
                    </w:r>
                  </w:p>
                  <w:p w14:paraId="59873FB3" w14:textId="77777777" w:rsidR="004A42AB" w:rsidRPr="00374AC1" w:rsidRDefault="004A42AB" w:rsidP="004A42AB">
                    <w:pPr>
                      <w:jc w:val="right"/>
                      <w:rPr>
                        <w:sz w:val="24"/>
                        <w:szCs w:val="24"/>
                      </w:rPr>
                    </w:pPr>
                    <w:r w:rsidRPr="00374AC1">
                      <w:rPr>
                        <w:sz w:val="24"/>
                        <w:szCs w:val="24"/>
                      </w:rPr>
                      <w:t>2</w:t>
                    </w:r>
                  </w:p>
                  <w:p w14:paraId="34A3A1C6" w14:textId="77777777" w:rsidR="004A42AB" w:rsidRPr="00374AC1" w:rsidRDefault="004A42AB" w:rsidP="004A42AB">
                    <w:pPr>
                      <w:jc w:val="right"/>
                      <w:rPr>
                        <w:sz w:val="24"/>
                        <w:szCs w:val="24"/>
                      </w:rPr>
                    </w:pPr>
                    <w:r w:rsidRPr="00374AC1">
                      <w:rPr>
                        <w:sz w:val="24"/>
                        <w:szCs w:val="24"/>
                      </w:rPr>
                      <w:t>3</w:t>
                    </w:r>
                  </w:p>
                  <w:p w14:paraId="04820A6A" w14:textId="77777777" w:rsidR="004A42AB" w:rsidRPr="00374AC1" w:rsidRDefault="004A42AB" w:rsidP="004A42AB">
                    <w:pPr>
                      <w:jc w:val="right"/>
                      <w:rPr>
                        <w:sz w:val="24"/>
                        <w:szCs w:val="24"/>
                      </w:rPr>
                    </w:pPr>
                    <w:r w:rsidRPr="00374AC1">
                      <w:rPr>
                        <w:sz w:val="24"/>
                        <w:szCs w:val="24"/>
                      </w:rPr>
                      <w:t>4</w:t>
                    </w:r>
                  </w:p>
                  <w:p w14:paraId="0BD6440D" w14:textId="77777777" w:rsidR="004A42AB" w:rsidRPr="00374AC1" w:rsidRDefault="004A42AB" w:rsidP="004A42AB">
                    <w:pPr>
                      <w:jc w:val="right"/>
                      <w:rPr>
                        <w:sz w:val="24"/>
                        <w:szCs w:val="24"/>
                      </w:rPr>
                    </w:pPr>
                    <w:r w:rsidRPr="00374AC1">
                      <w:rPr>
                        <w:sz w:val="24"/>
                        <w:szCs w:val="24"/>
                      </w:rPr>
                      <w:t>5</w:t>
                    </w:r>
                  </w:p>
                  <w:p w14:paraId="35FD5B66" w14:textId="77777777" w:rsidR="004A42AB" w:rsidRPr="00374AC1" w:rsidRDefault="004A42AB" w:rsidP="004A42AB">
                    <w:pPr>
                      <w:jc w:val="right"/>
                      <w:rPr>
                        <w:sz w:val="24"/>
                        <w:szCs w:val="24"/>
                      </w:rPr>
                    </w:pPr>
                    <w:r w:rsidRPr="00374AC1">
                      <w:rPr>
                        <w:sz w:val="24"/>
                        <w:szCs w:val="24"/>
                      </w:rPr>
                      <w:t>6</w:t>
                    </w:r>
                  </w:p>
                  <w:p w14:paraId="53A82621" w14:textId="77777777" w:rsidR="004A42AB" w:rsidRPr="00374AC1" w:rsidRDefault="004A42AB" w:rsidP="004A42AB">
                    <w:pPr>
                      <w:jc w:val="right"/>
                      <w:rPr>
                        <w:sz w:val="24"/>
                        <w:szCs w:val="24"/>
                      </w:rPr>
                    </w:pPr>
                    <w:r w:rsidRPr="00374AC1">
                      <w:rPr>
                        <w:sz w:val="24"/>
                        <w:szCs w:val="24"/>
                      </w:rPr>
                      <w:t>7</w:t>
                    </w:r>
                  </w:p>
                  <w:p w14:paraId="74CBA42A" w14:textId="77777777" w:rsidR="004A42AB" w:rsidRDefault="004A42AB" w:rsidP="004A42AB">
                    <w:pPr>
                      <w:jc w:val="right"/>
                      <w:rPr>
                        <w:sz w:val="24"/>
                        <w:szCs w:val="24"/>
                      </w:rPr>
                    </w:pPr>
                    <w:r w:rsidRPr="00374AC1">
                      <w:rPr>
                        <w:sz w:val="24"/>
                        <w:szCs w:val="24"/>
                      </w:rPr>
                      <w:t>8</w:t>
                    </w:r>
                  </w:p>
                  <w:p w14:paraId="4365D9D7" w14:textId="77777777" w:rsidR="004A42AB" w:rsidRPr="00374AC1" w:rsidRDefault="004A42AB" w:rsidP="004A42AB">
                    <w:pPr>
                      <w:jc w:val="right"/>
                      <w:rPr>
                        <w:sz w:val="24"/>
                        <w:szCs w:val="24"/>
                      </w:rPr>
                    </w:pPr>
                    <w:r>
                      <w:rPr>
                        <w:sz w:val="24"/>
                        <w:szCs w:val="24"/>
                      </w:rPr>
                      <w:t>9</w:t>
                    </w:r>
                  </w:p>
                  <w:p w14:paraId="3562ED3D" w14:textId="77777777" w:rsidR="004A42AB" w:rsidRPr="00374AC1" w:rsidRDefault="004A42AB" w:rsidP="004A42AB">
                    <w:pPr>
                      <w:jc w:val="right"/>
                      <w:rPr>
                        <w:sz w:val="24"/>
                        <w:szCs w:val="24"/>
                      </w:rPr>
                    </w:pPr>
                    <w:r w:rsidRPr="00374AC1">
                      <w:rPr>
                        <w:sz w:val="24"/>
                        <w:szCs w:val="24"/>
                      </w:rPr>
                      <w:t>10</w:t>
                    </w:r>
                  </w:p>
                  <w:p w14:paraId="2F3418B9" w14:textId="77777777" w:rsidR="004A42AB" w:rsidRPr="00374AC1" w:rsidRDefault="004A42AB" w:rsidP="004A42AB">
                    <w:pPr>
                      <w:jc w:val="right"/>
                      <w:rPr>
                        <w:sz w:val="24"/>
                        <w:szCs w:val="24"/>
                      </w:rPr>
                    </w:pPr>
                    <w:r w:rsidRPr="00374AC1">
                      <w:rPr>
                        <w:sz w:val="24"/>
                        <w:szCs w:val="24"/>
                      </w:rPr>
                      <w:t>11</w:t>
                    </w:r>
                  </w:p>
                  <w:p w14:paraId="7CA549B2" w14:textId="77777777" w:rsidR="004A42AB" w:rsidRPr="00374AC1" w:rsidRDefault="004A42AB" w:rsidP="004A42AB">
                    <w:pPr>
                      <w:jc w:val="right"/>
                      <w:rPr>
                        <w:sz w:val="24"/>
                        <w:szCs w:val="24"/>
                      </w:rPr>
                    </w:pPr>
                    <w:r w:rsidRPr="00374AC1">
                      <w:rPr>
                        <w:sz w:val="24"/>
                        <w:szCs w:val="24"/>
                      </w:rPr>
                      <w:t>12</w:t>
                    </w:r>
                  </w:p>
                  <w:p w14:paraId="6C091F5B" w14:textId="77777777" w:rsidR="004A42AB" w:rsidRPr="00374AC1" w:rsidRDefault="004A42AB" w:rsidP="004A42AB">
                    <w:pPr>
                      <w:jc w:val="right"/>
                      <w:rPr>
                        <w:sz w:val="24"/>
                        <w:szCs w:val="24"/>
                      </w:rPr>
                    </w:pPr>
                    <w:r w:rsidRPr="00374AC1">
                      <w:rPr>
                        <w:sz w:val="24"/>
                        <w:szCs w:val="24"/>
                      </w:rPr>
                      <w:t>13</w:t>
                    </w:r>
                  </w:p>
                  <w:p w14:paraId="3504E344" w14:textId="77777777" w:rsidR="004A42AB" w:rsidRPr="00374AC1" w:rsidRDefault="004A42AB" w:rsidP="004A42AB">
                    <w:pPr>
                      <w:jc w:val="right"/>
                      <w:rPr>
                        <w:sz w:val="24"/>
                        <w:szCs w:val="24"/>
                      </w:rPr>
                    </w:pPr>
                    <w:r w:rsidRPr="00374AC1">
                      <w:rPr>
                        <w:sz w:val="24"/>
                        <w:szCs w:val="24"/>
                      </w:rPr>
                      <w:t>14</w:t>
                    </w:r>
                  </w:p>
                  <w:p w14:paraId="178F6F43" w14:textId="77777777" w:rsidR="004A42AB" w:rsidRPr="00374AC1" w:rsidRDefault="004A42AB" w:rsidP="004A42AB">
                    <w:pPr>
                      <w:jc w:val="right"/>
                      <w:rPr>
                        <w:sz w:val="24"/>
                        <w:szCs w:val="24"/>
                      </w:rPr>
                    </w:pPr>
                    <w:r w:rsidRPr="00374AC1">
                      <w:rPr>
                        <w:sz w:val="24"/>
                        <w:szCs w:val="24"/>
                      </w:rPr>
                      <w:t>15</w:t>
                    </w:r>
                  </w:p>
                  <w:p w14:paraId="74AC22B8" w14:textId="77777777" w:rsidR="004A42AB" w:rsidRPr="00374AC1" w:rsidRDefault="004A42AB" w:rsidP="004A42AB">
                    <w:pPr>
                      <w:jc w:val="right"/>
                      <w:rPr>
                        <w:sz w:val="24"/>
                        <w:szCs w:val="24"/>
                      </w:rPr>
                    </w:pPr>
                    <w:r w:rsidRPr="00374AC1">
                      <w:rPr>
                        <w:sz w:val="24"/>
                        <w:szCs w:val="24"/>
                      </w:rPr>
                      <w:t>16</w:t>
                    </w:r>
                  </w:p>
                  <w:p w14:paraId="0ABCF4B1" w14:textId="77777777" w:rsidR="004A42AB" w:rsidRPr="00374AC1" w:rsidRDefault="004A42AB" w:rsidP="004A42AB">
                    <w:pPr>
                      <w:jc w:val="right"/>
                      <w:rPr>
                        <w:sz w:val="24"/>
                        <w:szCs w:val="24"/>
                      </w:rPr>
                    </w:pPr>
                    <w:r w:rsidRPr="00374AC1">
                      <w:rPr>
                        <w:sz w:val="24"/>
                        <w:szCs w:val="24"/>
                      </w:rPr>
                      <w:t>17</w:t>
                    </w:r>
                  </w:p>
                  <w:p w14:paraId="0E03E9EB" w14:textId="77777777" w:rsidR="004A42AB" w:rsidRPr="00374AC1" w:rsidRDefault="004A42AB" w:rsidP="004A42AB">
                    <w:pPr>
                      <w:jc w:val="right"/>
                      <w:rPr>
                        <w:sz w:val="24"/>
                        <w:szCs w:val="24"/>
                      </w:rPr>
                    </w:pPr>
                    <w:r w:rsidRPr="00374AC1">
                      <w:rPr>
                        <w:sz w:val="24"/>
                        <w:szCs w:val="24"/>
                      </w:rPr>
                      <w:t>18</w:t>
                    </w:r>
                  </w:p>
                  <w:p w14:paraId="47319804" w14:textId="77777777" w:rsidR="004A42AB" w:rsidRPr="00374AC1" w:rsidRDefault="004A42AB" w:rsidP="004A42AB">
                    <w:pPr>
                      <w:jc w:val="right"/>
                      <w:rPr>
                        <w:sz w:val="24"/>
                        <w:szCs w:val="24"/>
                      </w:rPr>
                    </w:pPr>
                    <w:r w:rsidRPr="00374AC1">
                      <w:rPr>
                        <w:sz w:val="24"/>
                        <w:szCs w:val="24"/>
                      </w:rPr>
                      <w:t>19</w:t>
                    </w:r>
                  </w:p>
                  <w:p w14:paraId="54A19B68" w14:textId="77777777" w:rsidR="004A42AB" w:rsidRPr="00374AC1" w:rsidRDefault="004A42AB" w:rsidP="004A42AB">
                    <w:pPr>
                      <w:jc w:val="right"/>
                      <w:rPr>
                        <w:sz w:val="24"/>
                        <w:szCs w:val="24"/>
                      </w:rPr>
                    </w:pPr>
                    <w:r w:rsidRPr="00374AC1">
                      <w:rPr>
                        <w:sz w:val="24"/>
                        <w:szCs w:val="24"/>
                      </w:rPr>
                      <w:t>20</w:t>
                    </w:r>
                  </w:p>
                  <w:p w14:paraId="56D3C955" w14:textId="77777777" w:rsidR="004A42AB" w:rsidRPr="00374AC1" w:rsidRDefault="004A42AB" w:rsidP="004A42AB">
                    <w:pPr>
                      <w:jc w:val="right"/>
                      <w:rPr>
                        <w:sz w:val="24"/>
                        <w:szCs w:val="24"/>
                      </w:rPr>
                    </w:pPr>
                    <w:r w:rsidRPr="00374AC1">
                      <w:rPr>
                        <w:sz w:val="24"/>
                        <w:szCs w:val="24"/>
                      </w:rPr>
                      <w:t>21</w:t>
                    </w:r>
                  </w:p>
                  <w:p w14:paraId="15DFB8F1" w14:textId="77777777" w:rsidR="004A42AB" w:rsidRPr="00374AC1" w:rsidRDefault="004A42AB" w:rsidP="004A42AB">
                    <w:pPr>
                      <w:jc w:val="right"/>
                      <w:rPr>
                        <w:sz w:val="24"/>
                        <w:szCs w:val="24"/>
                      </w:rPr>
                    </w:pPr>
                    <w:r w:rsidRPr="00374AC1">
                      <w:rPr>
                        <w:sz w:val="24"/>
                        <w:szCs w:val="24"/>
                      </w:rPr>
                      <w:t>22</w:t>
                    </w:r>
                  </w:p>
                  <w:p w14:paraId="42C6C114" w14:textId="77777777" w:rsidR="004A42AB" w:rsidRPr="00374AC1" w:rsidRDefault="004A42AB" w:rsidP="004A42AB">
                    <w:pPr>
                      <w:jc w:val="right"/>
                      <w:rPr>
                        <w:sz w:val="24"/>
                        <w:szCs w:val="24"/>
                      </w:rPr>
                    </w:pPr>
                    <w:r w:rsidRPr="00374AC1">
                      <w:rPr>
                        <w:sz w:val="24"/>
                        <w:szCs w:val="24"/>
                      </w:rPr>
                      <w:t>23</w:t>
                    </w:r>
                  </w:p>
                  <w:p w14:paraId="5DE9F9B3" w14:textId="77777777" w:rsidR="004A42AB" w:rsidRPr="00374AC1" w:rsidRDefault="004A42AB" w:rsidP="004A42AB">
                    <w:pPr>
                      <w:jc w:val="right"/>
                      <w:rPr>
                        <w:sz w:val="24"/>
                        <w:szCs w:val="24"/>
                      </w:rPr>
                    </w:pPr>
                    <w:r w:rsidRPr="00374AC1">
                      <w:rPr>
                        <w:sz w:val="24"/>
                        <w:szCs w:val="24"/>
                      </w:rPr>
                      <w:t>24</w:t>
                    </w:r>
                  </w:p>
                  <w:p w14:paraId="741D3545" w14:textId="77777777" w:rsidR="004A42AB" w:rsidRPr="00374AC1" w:rsidRDefault="004A42AB" w:rsidP="004A42AB">
                    <w:pPr>
                      <w:jc w:val="right"/>
                      <w:rPr>
                        <w:sz w:val="24"/>
                        <w:szCs w:val="24"/>
                      </w:rPr>
                    </w:pPr>
                    <w:r w:rsidRPr="00374AC1">
                      <w:rPr>
                        <w:sz w:val="24"/>
                        <w:szCs w:val="24"/>
                      </w:rPr>
                      <w:t>25</w:t>
                    </w:r>
                  </w:p>
                  <w:p w14:paraId="1F9191D4" w14:textId="77777777" w:rsidR="004A42AB" w:rsidRPr="00374AC1" w:rsidRDefault="004A42AB" w:rsidP="004A42AB">
                    <w:pPr>
                      <w:jc w:val="right"/>
                      <w:rPr>
                        <w:sz w:val="24"/>
                        <w:szCs w:val="24"/>
                      </w:rPr>
                    </w:pPr>
                    <w:r w:rsidRPr="00374AC1">
                      <w:rPr>
                        <w:sz w:val="24"/>
                        <w:szCs w:val="24"/>
                      </w:rPr>
                      <w:t>26</w:t>
                    </w:r>
                  </w:p>
                  <w:p w14:paraId="2E942BF0" w14:textId="77777777" w:rsidR="004A42AB" w:rsidRDefault="004A42AB" w:rsidP="004A42AB">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07ED3A22" wp14:editId="32DBDB48">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98D03B3" id="LeftBorder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DUjSR5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14:anchorId="37782416" wp14:editId="170D2C0C">
              <wp:simplePos x="0" y="0"/>
              <wp:positionH relativeFrom="margin">
                <wp:posOffset>-45720</wp:posOffset>
              </wp:positionH>
              <wp:positionV relativeFrom="page">
                <wp:posOffset>0</wp:posOffset>
              </wp:positionV>
              <wp:extent cx="0" cy="10058400"/>
              <wp:effectExtent l="11430" t="9525" r="7620" b="952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3BC882D" id="LeftBorder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ABrfFjFAQAAbwMAAA4AAAAAAAAAAAAAAAAA&#10;LgIAAGRycy9lMm9Eb2MueG1sUEsBAi0AFAAGAAgAAAAhAM0P5h7aAAAABwEAAA8AAAAAAAAAAAAA&#10;AAAAHwQAAGRycy9kb3ducmV2LnhtbFBLBQYAAAAABAAEAPMAAAAmBQAAAAA=&#10;">
              <w10:wrap anchorx="margin" anchory="page"/>
            </v:line>
          </w:pict>
        </mc:Fallback>
      </mc:AlternateContent>
    </w:r>
    <w:r>
      <w:tab/>
    </w:r>
  </w:p>
  <w:p w14:paraId="226EE33A" w14:textId="77777777" w:rsidR="004A42AB" w:rsidRPr="004A42AB" w:rsidRDefault="004A42AB" w:rsidP="004A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5144F"/>
    <w:multiLevelType w:val="hybridMultilevel"/>
    <w:tmpl w:val="D1E86C02"/>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14"/>
  </w:num>
  <w:num w:numId="4">
    <w:abstractNumId w:val="3"/>
  </w:num>
  <w:num w:numId="5">
    <w:abstractNumId w:val="2"/>
  </w:num>
  <w:num w:numId="6">
    <w:abstractNumId w:val="7"/>
  </w:num>
  <w:num w:numId="7">
    <w:abstractNumId w:val="12"/>
  </w:num>
  <w:num w:numId="8">
    <w:abstractNumId w:val="26"/>
  </w:num>
  <w:num w:numId="9">
    <w:abstractNumId w:val="20"/>
  </w:num>
  <w:num w:numId="10">
    <w:abstractNumId w:val="17"/>
  </w:num>
  <w:num w:numId="11">
    <w:abstractNumId w:val="23"/>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4"/>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553D"/>
    <w:rsid w:val="000170CA"/>
    <w:rsid w:val="000179EF"/>
    <w:rsid w:val="00017F96"/>
    <w:rsid w:val="00021026"/>
    <w:rsid w:val="00021A4D"/>
    <w:rsid w:val="00022A34"/>
    <w:rsid w:val="00022F79"/>
    <w:rsid w:val="00023735"/>
    <w:rsid w:val="000243AE"/>
    <w:rsid w:val="000335F7"/>
    <w:rsid w:val="000366AE"/>
    <w:rsid w:val="00044D39"/>
    <w:rsid w:val="00046BB7"/>
    <w:rsid w:val="0004757A"/>
    <w:rsid w:val="000574D4"/>
    <w:rsid w:val="00060B12"/>
    <w:rsid w:val="000614DC"/>
    <w:rsid w:val="00062617"/>
    <w:rsid w:val="00066DAD"/>
    <w:rsid w:val="000707F3"/>
    <w:rsid w:val="000735D9"/>
    <w:rsid w:val="0007383A"/>
    <w:rsid w:val="00076EDA"/>
    <w:rsid w:val="00084ACF"/>
    <w:rsid w:val="000869FA"/>
    <w:rsid w:val="000918BE"/>
    <w:rsid w:val="000929EA"/>
    <w:rsid w:val="0009472A"/>
    <w:rsid w:val="00094ABB"/>
    <w:rsid w:val="000A0399"/>
    <w:rsid w:val="000A3AE4"/>
    <w:rsid w:val="000A43D9"/>
    <w:rsid w:val="000A4AC9"/>
    <w:rsid w:val="000A4BAD"/>
    <w:rsid w:val="000A61EE"/>
    <w:rsid w:val="000A78E5"/>
    <w:rsid w:val="000A7F2A"/>
    <w:rsid w:val="000B3480"/>
    <w:rsid w:val="000B55D6"/>
    <w:rsid w:val="000B6017"/>
    <w:rsid w:val="000C6FF8"/>
    <w:rsid w:val="000C7893"/>
    <w:rsid w:val="000C79EB"/>
    <w:rsid w:val="000D0B7B"/>
    <w:rsid w:val="000D1C77"/>
    <w:rsid w:val="000D3341"/>
    <w:rsid w:val="000D502E"/>
    <w:rsid w:val="000D7507"/>
    <w:rsid w:val="000E43C5"/>
    <w:rsid w:val="000E441F"/>
    <w:rsid w:val="000E5CBD"/>
    <w:rsid w:val="000F7E23"/>
    <w:rsid w:val="001012E6"/>
    <w:rsid w:val="0010238C"/>
    <w:rsid w:val="00103ABF"/>
    <w:rsid w:val="00106455"/>
    <w:rsid w:val="00107E4F"/>
    <w:rsid w:val="001113D9"/>
    <w:rsid w:val="001120B0"/>
    <w:rsid w:val="00115179"/>
    <w:rsid w:val="00115C05"/>
    <w:rsid w:val="001229D4"/>
    <w:rsid w:val="00125D8C"/>
    <w:rsid w:val="00130991"/>
    <w:rsid w:val="00134886"/>
    <w:rsid w:val="00134969"/>
    <w:rsid w:val="0013704F"/>
    <w:rsid w:val="00141156"/>
    <w:rsid w:val="001422D9"/>
    <w:rsid w:val="00143375"/>
    <w:rsid w:val="001435EF"/>
    <w:rsid w:val="001463FB"/>
    <w:rsid w:val="00157A81"/>
    <w:rsid w:val="00157E57"/>
    <w:rsid w:val="00163B32"/>
    <w:rsid w:val="001676A0"/>
    <w:rsid w:val="00176584"/>
    <w:rsid w:val="00176CFC"/>
    <w:rsid w:val="00183ECA"/>
    <w:rsid w:val="001840CE"/>
    <w:rsid w:val="0018586A"/>
    <w:rsid w:val="00193261"/>
    <w:rsid w:val="00195FC9"/>
    <w:rsid w:val="001A0505"/>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33CF"/>
    <w:rsid w:val="001E5475"/>
    <w:rsid w:val="001E7261"/>
    <w:rsid w:val="001F2146"/>
    <w:rsid w:val="001F3038"/>
    <w:rsid w:val="001F399A"/>
    <w:rsid w:val="001F3EF0"/>
    <w:rsid w:val="0020263A"/>
    <w:rsid w:val="00204E81"/>
    <w:rsid w:val="0021273D"/>
    <w:rsid w:val="00213A14"/>
    <w:rsid w:val="00215770"/>
    <w:rsid w:val="00216A64"/>
    <w:rsid w:val="00222A5D"/>
    <w:rsid w:val="002230BA"/>
    <w:rsid w:val="002259B6"/>
    <w:rsid w:val="00227DF4"/>
    <w:rsid w:val="00230F0F"/>
    <w:rsid w:val="00234EB0"/>
    <w:rsid w:val="002354F2"/>
    <w:rsid w:val="00236264"/>
    <w:rsid w:val="00236448"/>
    <w:rsid w:val="002364F6"/>
    <w:rsid w:val="00236899"/>
    <w:rsid w:val="00240B55"/>
    <w:rsid w:val="00242845"/>
    <w:rsid w:val="00245BBD"/>
    <w:rsid w:val="00247B4D"/>
    <w:rsid w:val="002504D2"/>
    <w:rsid w:val="002505C0"/>
    <w:rsid w:val="00255DED"/>
    <w:rsid w:val="00255FD1"/>
    <w:rsid w:val="002602FE"/>
    <w:rsid w:val="00260A23"/>
    <w:rsid w:val="00262D03"/>
    <w:rsid w:val="00270A9B"/>
    <w:rsid w:val="00272BD5"/>
    <w:rsid w:val="00274719"/>
    <w:rsid w:val="00276B53"/>
    <w:rsid w:val="00280B9F"/>
    <w:rsid w:val="002829DB"/>
    <w:rsid w:val="00290DD5"/>
    <w:rsid w:val="002953CA"/>
    <w:rsid w:val="00297B30"/>
    <w:rsid w:val="002A1885"/>
    <w:rsid w:val="002A1F55"/>
    <w:rsid w:val="002A404B"/>
    <w:rsid w:val="002A6221"/>
    <w:rsid w:val="002B3716"/>
    <w:rsid w:val="002B6337"/>
    <w:rsid w:val="002B76B8"/>
    <w:rsid w:val="002C5194"/>
    <w:rsid w:val="002D1E12"/>
    <w:rsid w:val="002D1EFA"/>
    <w:rsid w:val="002E2DEC"/>
    <w:rsid w:val="002E3F99"/>
    <w:rsid w:val="002E6296"/>
    <w:rsid w:val="002F37D0"/>
    <w:rsid w:val="002F5A2C"/>
    <w:rsid w:val="002F7123"/>
    <w:rsid w:val="002F744A"/>
    <w:rsid w:val="00305FB0"/>
    <w:rsid w:val="00313664"/>
    <w:rsid w:val="0031571F"/>
    <w:rsid w:val="00315B7A"/>
    <w:rsid w:val="00321173"/>
    <w:rsid w:val="00322695"/>
    <w:rsid w:val="00322B10"/>
    <w:rsid w:val="00322C46"/>
    <w:rsid w:val="00322FB4"/>
    <w:rsid w:val="00332552"/>
    <w:rsid w:val="00333217"/>
    <w:rsid w:val="00345389"/>
    <w:rsid w:val="0034646D"/>
    <w:rsid w:val="003504D2"/>
    <w:rsid w:val="003519D6"/>
    <w:rsid w:val="00362971"/>
    <w:rsid w:val="00362ED6"/>
    <w:rsid w:val="003634DF"/>
    <w:rsid w:val="00365FBA"/>
    <w:rsid w:val="00374AC1"/>
    <w:rsid w:val="00381546"/>
    <w:rsid w:val="00383BB9"/>
    <w:rsid w:val="0038492C"/>
    <w:rsid w:val="0038578B"/>
    <w:rsid w:val="00387C5D"/>
    <w:rsid w:val="00390353"/>
    <w:rsid w:val="0039061B"/>
    <w:rsid w:val="00390B0A"/>
    <w:rsid w:val="003925D8"/>
    <w:rsid w:val="003938D0"/>
    <w:rsid w:val="003A0D74"/>
    <w:rsid w:val="003A538C"/>
    <w:rsid w:val="003B07E8"/>
    <w:rsid w:val="003B0C7E"/>
    <w:rsid w:val="003B17E1"/>
    <w:rsid w:val="003B32D5"/>
    <w:rsid w:val="003B64F8"/>
    <w:rsid w:val="003C3551"/>
    <w:rsid w:val="003C4800"/>
    <w:rsid w:val="003D13AB"/>
    <w:rsid w:val="003D3F49"/>
    <w:rsid w:val="003D4288"/>
    <w:rsid w:val="003D4939"/>
    <w:rsid w:val="003E027F"/>
    <w:rsid w:val="003E190E"/>
    <w:rsid w:val="003E25EE"/>
    <w:rsid w:val="003E73CE"/>
    <w:rsid w:val="003F00DB"/>
    <w:rsid w:val="003F0C2A"/>
    <w:rsid w:val="003F1DF7"/>
    <w:rsid w:val="00402ACD"/>
    <w:rsid w:val="00406E81"/>
    <w:rsid w:val="00412270"/>
    <w:rsid w:val="0041554B"/>
    <w:rsid w:val="004206A7"/>
    <w:rsid w:val="0042312F"/>
    <w:rsid w:val="00424B1D"/>
    <w:rsid w:val="00434148"/>
    <w:rsid w:val="00434A84"/>
    <w:rsid w:val="00435B20"/>
    <w:rsid w:val="00442860"/>
    <w:rsid w:val="004453DE"/>
    <w:rsid w:val="004459A2"/>
    <w:rsid w:val="0044610D"/>
    <w:rsid w:val="00447ED9"/>
    <w:rsid w:val="00451237"/>
    <w:rsid w:val="00452E75"/>
    <w:rsid w:val="00457005"/>
    <w:rsid w:val="004574BB"/>
    <w:rsid w:val="00461A2F"/>
    <w:rsid w:val="004628F9"/>
    <w:rsid w:val="00466F0E"/>
    <w:rsid w:val="00471FA6"/>
    <w:rsid w:val="004812D2"/>
    <w:rsid w:val="004813BA"/>
    <w:rsid w:val="00481DA1"/>
    <w:rsid w:val="0049624E"/>
    <w:rsid w:val="004A1385"/>
    <w:rsid w:val="004A3FA4"/>
    <w:rsid w:val="004A42AB"/>
    <w:rsid w:val="004A5B83"/>
    <w:rsid w:val="004A5F07"/>
    <w:rsid w:val="004A6503"/>
    <w:rsid w:val="004B44DB"/>
    <w:rsid w:val="004B52D7"/>
    <w:rsid w:val="004C0815"/>
    <w:rsid w:val="004C0BB6"/>
    <w:rsid w:val="004C2142"/>
    <w:rsid w:val="004C332A"/>
    <w:rsid w:val="004C633C"/>
    <w:rsid w:val="004C6BC2"/>
    <w:rsid w:val="004D2716"/>
    <w:rsid w:val="004D5ADB"/>
    <w:rsid w:val="004E03A9"/>
    <w:rsid w:val="004E03DC"/>
    <w:rsid w:val="004E07B1"/>
    <w:rsid w:val="004E585A"/>
    <w:rsid w:val="004E6C80"/>
    <w:rsid w:val="004F293B"/>
    <w:rsid w:val="004F399D"/>
    <w:rsid w:val="004F6D7E"/>
    <w:rsid w:val="0050086F"/>
    <w:rsid w:val="00510797"/>
    <w:rsid w:val="005108E1"/>
    <w:rsid w:val="005114FC"/>
    <w:rsid w:val="005137D6"/>
    <w:rsid w:val="005152EC"/>
    <w:rsid w:val="005153E5"/>
    <w:rsid w:val="00515C65"/>
    <w:rsid w:val="00520485"/>
    <w:rsid w:val="00524EBB"/>
    <w:rsid w:val="005263EE"/>
    <w:rsid w:val="005265DA"/>
    <w:rsid w:val="005355A6"/>
    <w:rsid w:val="00537E8D"/>
    <w:rsid w:val="00540D1F"/>
    <w:rsid w:val="00541E1D"/>
    <w:rsid w:val="00541FD7"/>
    <w:rsid w:val="0054366D"/>
    <w:rsid w:val="00543E0B"/>
    <w:rsid w:val="00545ACB"/>
    <w:rsid w:val="005505BB"/>
    <w:rsid w:val="005508DE"/>
    <w:rsid w:val="00552BB4"/>
    <w:rsid w:val="00552E16"/>
    <w:rsid w:val="00554CC7"/>
    <w:rsid w:val="0055781F"/>
    <w:rsid w:val="00560AE7"/>
    <w:rsid w:val="00563393"/>
    <w:rsid w:val="00563B50"/>
    <w:rsid w:val="0056588B"/>
    <w:rsid w:val="00565E2F"/>
    <w:rsid w:val="00571A3B"/>
    <w:rsid w:val="00572C7D"/>
    <w:rsid w:val="00586581"/>
    <w:rsid w:val="00586AEC"/>
    <w:rsid w:val="00590128"/>
    <w:rsid w:val="00591468"/>
    <w:rsid w:val="00592430"/>
    <w:rsid w:val="005A3089"/>
    <w:rsid w:val="005A4075"/>
    <w:rsid w:val="005A57F0"/>
    <w:rsid w:val="005C07DD"/>
    <w:rsid w:val="005C4E11"/>
    <w:rsid w:val="005D0DE8"/>
    <w:rsid w:val="005D0EC8"/>
    <w:rsid w:val="005D251F"/>
    <w:rsid w:val="005D5AC3"/>
    <w:rsid w:val="005E1399"/>
    <w:rsid w:val="005E26F0"/>
    <w:rsid w:val="005E35F5"/>
    <w:rsid w:val="005E62EE"/>
    <w:rsid w:val="005E6415"/>
    <w:rsid w:val="005F0BE8"/>
    <w:rsid w:val="00603AC7"/>
    <w:rsid w:val="00604FF3"/>
    <w:rsid w:val="006078EC"/>
    <w:rsid w:val="00607F35"/>
    <w:rsid w:val="00611862"/>
    <w:rsid w:val="006123C1"/>
    <w:rsid w:val="00631C89"/>
    <w:rsid w:val="0063512D"/>
    <w:rsid w:val="0063553B"/>
    <w:rsid w:val="00637476"/>
    <w:rsid w:val="0064021A"/>
    <w:rsid w:val="00641961"/>
    <w:rsid w:val="006419AB"/>
    <w:rsid w:val="00643E90"/>
    <w:rsid w:val="0064441C"/>
    <w:rsid w:val="00650E80"/>
    <w:rsid w:val="00650FA0"/>
    <w:rsid w:val="00651741"/>
    <w:rsid w:val="0065428D"/>
    <w:rsid w:val="00654391"/>
    <w:rsid w:val="00655E0D"/>
    <w:rsid w:val="006575C7"/>
    <w:rsid w:val="00662B7F"/>
    <w:rsid w:val="00663CBB"/>
    <w:rsid w:val="00664E21"/>
    <w:rsid w:val="00665EC0"/>
    <w:rsid w:val="006739F3"/>
    <w:rsid w:val="00675290"/>
    <w:rsid w:val="0067760C"/>
    <w:rsid w:val="00682966"/>
    <w:rsid w:val="0068404C"/>
    <w:rsid w:val="006869DC"/>
    <w:rsid w:val="00691AF6"/>
    <w:rsid w:val="006A015E"/>
    <w:rsid w:val="006A3D24"/>
    <w:rsid w:val="006A55B4"/>
    <w:rsid w:val="006B077D"/>
    <w:rsid w:val="006B0F5B"/>
    <w:rsid w:val="006B3E72"/>
    <w:rsid w:val="006B5D52"/>
    <w:rsid w:val="006B6C6C"/>
    <w:rsid w:val="006C2845"/>
    <w:rsid w:val="006C43D4"/>
    <w:rsid w:val="006C5F12"/>
    <w:rsid w:val="006C6364"/>
    <w:rsid w:val="006D03E5"/>
    <w:rsid w:val="006D299D"/>
    <w:rsid w:val="006D3192"/>
    <w:rsid w:val="006D436F"/>
    <w:rsid w:val="006D559F"/>
    <w:rsid w:val="006E1441"/>
    <w:rsid w:val="006E4AAF"/>
    <w:rsid w:val="006F28A0"/>
    <w:rsid w:val="006F785E"/>
    <w:rsid w:val="00701B81"/>
    <w:rsid w:val="0070298A"/>
    <w:rsid w:val="007066DD"/>
    <w:rsid w:val="00710477"/>
    <w:rsid w:val="00712B2B"/>
    <w:rsid w:val="007163F3"/>
    <w:rsid w:val="007213AF"/>
    <w:rsid w:val="00721E46"/>
    <w:rsid w:val="00721FE4"/>
    <w:rsid w:val="00724B6E"/>
    <w:rsid w:val="00724EAE"/>
    <w:rsid w:val="00741B85"/>
    <w:rsid w:val="007424B8"/>
    <w:rsid w:val="00742EA8"/>
    <w:rsid w:val="00743B40"/>
    <w:rsid w:val="007440D1"/>
    <w:rsid w:val="0074507E"/>
    <w:rsid w:val="00750C65"/>
    <w:rsid w:val="00751DB7"/>
    <w:rsid w:val="0075288E"/>
    <w:rsid w:val="007554B1"/>
    <w:rsid w:val="00757AC6"/>
    <w:rsid w:val="007730CC"/>
    <w:rsid w:val="007755B8"/>
    <w:rsid w:val="007756D3"/>
    <w:rsid w:val="0077745B"/>
    <w:rsid w:val="00783876"/>
    <w:rsid w:val="00783EAE"/>
    <w:rsid w:val="00786CCE"/>
    <w:rsid w:val="00787081"/>
    <w:rsid w:val="007919E3"/>
    <w:rsid w:val="007A18E2"/>
    <w:rsid w:val="007A54A8"/>
    <w:rsid w:val="007B0302"/>
    <w:rsid w:val="007B0A3E"/>
    <w:rsid w:val="007B4AB7"/>
    <w:rsid w:val="007B5715"/>
    <w:rsid w:val="007B7603"/>
    <w:rsid w:val="007C1D50"/>
    <w:rsid w:val="007C4651"/>
    <w:rsid w:val="007C61A4"/>
    <w:rsid w:val="007C7BC5"/>
    <w:rsid w:val="007D2A63"/>
    <w:rsid w:val="007E3AF7"/>
    <w:rsid w:val="007E6280"/>
    <w:rsid w:val="007F0680"/>
    <w:rsid w:val="007F5BA1"/>
    <w:rsid w:val="007F5D22"/>
    <w:rsid w:val="007F77D0"/>
    <w:rsid w:val="00800A55"/>
    <w:rsid w:val="0080511F"/>
    <w:rsid w:val="00805699"/>
    <w:rsid w:val="00805F50"/>
    <w:rsid w:val="008063EE"/>
    <w:rsid w:val="00810731"/>
    <w:rsid w:val="0081141A"/>
    <w:rsid w:val="00816ACA"/>
    <w:rsid w:val="008172BB"/>
    <w:rsid w:val="00817421"/>
    <w:rsid w:val="00820B0C"/>
    <w:rsid w:val="0082756E"/>
    <w:rsid w:val="008314BB"/>
    <w:rsid w:val="00832F1F"/>
    <w:rsid w:val="00833D58"/>
    <w:rsid w:val="008402F9"/>
    <w:rsid w:val="00840548"/>
    <w:rsid w:val="008478EB"/>
    <w:rsid w:val="00851B2C"/>
    <w:rsid w:val="00853395"/>
    <w:rsid w:val="008558BD"/>
    <w:rsid w:val="00855FCE"/>
    <w:rsid w:val="00860862"/>
    <w:rsid w:val="00862F2A"/>
    <w:rsid w:val="00874FA0"/>
    <w:rsid w:val="008752EC"/>
    <w:rsid w:val="008763BB"/>
    <w:rsid w:val="00883DAF"/>
    <w:rsid w:val="00883FEA"/>
    <w:rsid w:val="0088607C"/>
    <w:rsid w:val="00887DE4"/>
    <w:rsid w:val="00892462"/>
    <w:rsid w:val="00893369"/>
    <w:rsid w:val="008A0D4A"/>
    <w:rsid w:val="008A3442"/>
    <w:rsid w:val="008A421A"/>
    <w:rsid w:val="008B0127"/>
    <w:rsid w:val="008B4739"/>
    <w:rsid w:val="008B7824"/>
    <w:rsid w:val="008C3C0C"/>
    <w:rsid w:val="008C414B"/>
    <w:rsid w:val="008C4946"/>
    <w:rsid w:val="008C5E8B"/>
    <w:rsid w:val="008C7C9C"/>
    <w:rsid w:val="008D20F1"/>
    <w:rsid w:val="008D269B"/>
    <w:rsid w:val="008D4586"/>
    <w:rsid w:val="008D612B"/>
    <w:rsid w:val="008E18E4"/>
    <w:rsid w:val="008E1E64"/>
    <w:rsid w:val="008E45D5"/>
    <w:rsid w:val="008E4ED1"/>
    <w:rsid w:val="008E59B6"/>
    <w:rsid w:val="008F1605"/>
    <w:rsid w:val="008F1843"/>
    <w:rsid w:val="008F20DA"/>
    <w:rsid w:val="008F3780"/>
    <w:rsid w:val="00901038"/>
    <w:rsid w:val="009018B1"/>
    <w:rsid w:val="00902572"/>
    <w:rsid w:val="00907F7B"/>
    <w:rsid w:val="009123AE"/>
    <w:rsid w:val="009124E2"/>
    <w:rsid w:val="0091301D"/>
    <w:rsid w:val="00914D20"/>
    <w:rsid w:val="00915384"/>
    <w:rsid w:val="009251AE"/>
    <w:rsid w:val="00933DD1"/>
    <w:rsid w:val="00935DC9"/>
    <w:rsid w:val="00940E97"/>
    <w:rsid w:val="0094122A"/>
    <w:rsid w:val="00947A56"/>
    <w:rsid w:val="00950D11"/>
    <w:rsid w:val="00951947"/>
    <w:rsid w:val="00954AEA"/>
    <w:rsid w:val="009552A9"/>
    <w:rsid w:val="00962E9E"/>
    <w:rsid w:val="00965C61"/>
    <w:rsid w:val="00970FF2"/>
    <w:rsid w:val="00973F78"/>
    <w:rsid w:val="00975B3E"/>
    <w:rsid w:val="00977335"/>
    <w:rsid w:val="009803C9"/>
    <w:rsid w:val="0098167D"/>
    <w:rsid w:val="0098439A"/>
    <w:rsid w:val="009867D3"/>
    <w:rsid w:val="00990D79"/>
    <w:rsid w:val="00993A0F"/>
    <w:rsid w:val="009954C5"/>
    <w:rsid w:val="0099667A"/>
    <w:rsid w:val="009A6454"/>
    <w:rsid w:val="009A6AFA"/>
    <w:rsid w:val="009B598E"/>
    <w:rsid w:val="009C4235"/>
    <w:rsid w:val="009C44E3"/>
    <w:rsid w:val="009C465B"/>
    <w:rsid w:val="009C5286"/>
    <w:rsid w:val="009C5E58"/>
    <w:rsid w:val="009C68DD"/>
    <w:rsid w:val="009D167F"/>
    <w:rsid w:val="009D6453"/>
    <w:rsid w:val="009D6CAB"/>
    <w:rsid w:val="009D7CB8"/>
    <w:rsid w:val="009E2DA0"/>
    <w:rsid w:val="009F0F92"/>
    <w:rsid w:val="009F1052"/>
    <w:rsid w:val="00A04109"/>
    <w:rsid w:val="00A04C82"/>
    <w:rsid w:val="00A07BF3"/>
    <w:rsid w:val="00A07E67"/>
    <w:rsid w:val="00A12A5F"/>
    <w:rsid w:val="00A12C37"/>
    <w:rsid w:val="00A13068"/>
    <w:rsid w:val="00A20800"/>
    <w:rsid w:val="00A22EBC"/>
    <w:rsid w:val="00A237A2"/>
    <w:rsid w:val="00A25232"/>
    <w:rsid w:val="00A259B4"/>
    <w:rsid w:val="00A25CCC"/>
    <w:rsid w:val="00A30528"/>
    <w:rsid w:val="00A31191"/>
    <w:rsid w:val="00A3128D"/>
    <w:rsid w:val="00A35B93"/>
    <w:rsid w:val="00A41A64"/>
    <w:rsid w:val="00A4266A"/>
    <w:rsid w:val="00A51997"/>
    <w:rsid w:val="00A529B6"/>
    <w:rsid w:val="00A5354F"/>
    <w:rsid w:val="00A537C3"/>
    <w:rsid w:val="00A542A7"/>
    <w:rsid w:val="00A652BC"/>
    <w:rsid w:val="00A712E8"/>
    <w:rsid w:val="00A71EA4"/>
    <w:rsid w:val="00A81F6A"/>
    <w:rsid w:val="00A84534"/>
    <w:rsid w:val="00A85EB5"/>
    <w:rsid w:val="00A86674"/>
    <w:rsid w:val="00A9091F"/>
    <w:rsid w:val="00A924BD"/>
    <w:rsid w:val="00A94E97"/>
    <w:rsid w:val="00AA03B8"/>
    <w:rsid w:val="00AA4CBC"/>
    <w:rsid w:val="00AA67B5"/>
    <w:rsid w:val="00AA7E5B"/>
    <w:rsid w:val="00AB0D5B"/>
    <w:rsid w:val="00AB7B9D"/>
    <w:rsid w:val="00AC2E14"/>
    <w:rsid w:val="00AD269F"/>
    <w:rsid w:val="00AD2ED6"/>
    <w:rsid w:val="00AD344A"/>
    <w:rsid w:val="00AD64E8"/>
    <w:rsid w:val="00AD68B7"/>
    <w:rsid w:val="00AD6B9D"/>
    <w:rsid w:val="00AE2C75"/>
    <w:rsid w:val="00AE3198"/>
    <w:rsid w:val="00AE3682"/>
    <w:rsid w:val="00AF3311"/>
    <w:rsid w:val="00AF3DD3"/>
    <w:rsid w:val="00AF7D1E"/>
    <w:rsid w:val="00B0035C"/>
    <w:rsid w:val="00B00879"/>
    <w:rsid w:val="00B01ABD"/>
    <w:rsid w:val="00B03D5E"/>
    <w:rsid w:val="00B14458"/>
    <w:rsid w:val="00B1569B"/>
    <w:rsid w:val="00B17A03"/>
    <w:rsid w:val="00B22A83"/>
    <w:rsid w:val="00B23E09"/>
    <w:rsid w:val="00B24C40"/>
    <w:rsid w:val="00B268CD"/>
    <w:rsid w:val="00B2772A"/>
    <w:rsid w:val="00B30BF9"/>
    <w:rsid w:val="00B32629"/>
    <w:rsid w:val="00B335FA"/>
    <w:rsid w:val="00B340AE"/>
    <w:rsid w:val="00B36F28"/>
    <w:rsid w:val="00B421F2"/>
    <w:rsid w:val="00B42480"/>
    <w:rsid w:val="00B4361F"/>
    <w:rsid w:val="00B4632F"/>
    <w:rsid w:val="00B52B62"/>
    <w:rsid w:val="00B6074F"/>
    <w:rsid w:val="00B645F7"/>
    <w:rsid w:val="00B64B42"/>
    <w:rsid w:val="00B667DC"/>
    <w:rsid w:val="00B70DFB"/>
    <w:rsid w:val="00B73BA9"/>
    <w:rsid w:val="00B741C5"/>
    <w:rsid w:val="00B80971"/>
    <w:rsid w:val="00B82B29"/>
    <w:rsid w:val="00B83C44"/>
    <w:rsid w:val="00B9444E"/>
    <w:rsid w:val="00B9454F"/>
    <w:rsid w:val="00B947EB"/>
    <w:rsid w:val="00B94E02"/>
    <w:rsid w:val="00B967FB"/>
    <w:rsid w:val="00BA0669"/>
    <w:rsid w:val="00BA0D21"/>
    <w:rsid w:val="00BA1BA7"/>
    <w:rsid w:val="00BA2E06"/>
    <w:rsid w:val="00BA3DCB"/>
    <w:rsid w:val="00BA79C9"/>
    <w:rsid w:val="00BB3041"/>
    <w:rsid w:val="00BB3261"/>
    <w:rsid w:val="00BB6281"/>
    <w:rsid w:val="00BC58DB"/>
    <w:rsid w:val="00BD2C69"/>
    <w:rsid w:val="00BD3159"/>
    <w:rsid w:val="00BD5C56"/>
    <w:rsid w:val="00BD68F0"/>
    <w:rsid w:val="00BE19EF"/>
    <w:rsid w:val="00BE30BE"/>
    <w:rsid w:val="00BE36B4"/>
    <w:rsid w:val="00BE4228"/>
    <w:rsid w:val="00BE4F55"/>
    <w:rsid w:val="00BE6F0F"/>
    <w:rsid w:val="00BF17B7"/>
    <w:rsid w:val="00BF26D0"/>
    <w:rsid w:val="00BF3F21"/>
    <w:rsid w:val="00BF4BD5"/>
    <w:rsid w:val="00C01C11"/>
    <w:rsid w:val="00C02DE8"/>
    <w:rsid w:val="00C07A37"/>
    <w:rsid w:val="00C111C6"/>
    <w:rsid w:val="00C11361"/>
    <w:rsid w:val="00C12ABD"/>
    <w:rsid w:val="00C2614C"/>
    <w:rsid w:val="00C34187"/>
    <w:rsid w:val="00C35473"/>
    <w:rsid w:val="00C4066F"/>
    <w:rsid w:val="00C44844"/>
    <w:rsid w:val="00C46F30"/>
    <w:rsid w:val="00C51401"/>
    <w:rsid w:val="00C5527F"/>
    <w:rsid w:val="00C57B14"/>
    <w:rsid w:val="00C64377"/>
    <w:rsid w:val="00C653E0"/>
    <w:rsid w:val="00C67079"/>
    <w:rsid w:val="00C674AA"/>
    <w:rsid w:val="00C678EB"/>
    <w:rsid w:val="00C70AA2"/>
    <w:rsid w:val="00C746DD"/>
    <w:rsid w:val="00C75654"/>
    <w:rsid w:val="00C80E17"/>
    <w:rsid w:val="00C82432"/>
    <w:rsid w:val="00C82B3C"/>
    <w:rsid w:val="00C82FC2"/>
    <w:rsid w:val="00C83134"/>
    <w:rsid w:val="00C86E12"/>
    <w:rsid w:val="00C87089"/>
    <w:rsid w:val="00C9234D"/>
    <w:rsid w:val="00C9295B"/>
    <w:rsid w:val="00CA5EB2"/>
    <w:rsid w:val="00CB0183"/>
    <w:rsid w:val="00CB127A"/>
    <w:rsid w:val="00CB32A3"/>
    <w:rsid w:val="00CB56D3"/>
    <w:rsid w:val="00CB64C3"/>
    <w:rsid w:val="00CB7073"/>
    <w:rsid w:val="00CC058E"/>
    <w:rsid w:val="00CC4FDB"/>
    <w:rsid w:val="00CC7C95"/>
    <w:rsid w:val="00CC7E24"/>
    <w:rsid w:val="00CD088D"/>
    <w:rsid w:val="00CD3828"/>
    <w:rsid w:val="00CE11CA"/>
    <w:rsid w:val="00CE5D07"/>
    <w:rsid w:val="00CF32E8"/>
    <w:rsid w:val="00CF398A"/>
    <w:rsid w:val="00CF5D46"/>
    <w:rsid w:val="00CF60D3"/>
    <w:rsid w:val="00CF6CCC"/>
    <w:rsid w:val="00CF723B"/>
    <w:rsid w:val="00CF7BE6"/>
    <w:rsid w:val="00D07FE6"/>
    <w:rsid w:val="00D12E4B"/>
    <w:rsid w:val="00D142B3"/>
    <w:rsid w:val="00D25C19"/>
    <w:rsid w:val="00D27FBE"/>
    <w:rsid w:val="00D3166F"/>
    <w:rsid w:val="00D318F9"/>
    <w:rsid w:val="00D31B48"/>
    <w:rsid w:val="00D32F46"/>
    <w:rsid w:val="00D42DF2"/>
    <w:rsid w:val="00D433EB"/>
    <w:rsid w:val="00D46C7C"/>
    <w:rsid w:val="00D472C6"/>
    <w:rsid w:val="00D47723"/>
    <w:rsid w:val="00D51D12"/>
    <w:rsid w:val="00D57093"/>
    <w:rsid w:val="00D66C4A"/>
    <w:rsid w:val="00D72AEE"/>
    <w:rsid w:val="00D72D42"/>
    <w:rsid w:val="00D73BAF"/>
    <w:rsid w:val="00D7643A"/>
    <w:rsid w:val="00D767E0"/>
    <w:rsid w:val="00D82B3B"/>
    <w:rsid w:val="00D82C94"/>
    <w:rsid w:val="00D82E49"/>
    <w:rsid w:val="00D8368D"/>
    <w:rsid w:val="00D845ED"/>
    <w:rsid w:val="00D925D3"/>
    <w:rsid w:val="00D9352B"/>
    <w:rsid w:val="00D97C57"/>
    <w:rsid w:val="00DA0E34"/>
    <w:rsid w:val="00DA4BDE"/>
    <w:rsid w:val="00DA615F"/>
    <w:rsid w:val="00DA67AB"/>
    <w:rsid w:val="00DA6F76"/>
    <w:rsid w:val="00DB0FDE"/>
    <w:rsid w:val="00DB3EB9"/>
    <w:rsid w:val="00DC29C1"/>
    <w:rsid w:val="00DC70BA"/>
    <w:rsid w:val="00DD20A2"/>
    <w:rsid w:val="00DD428E"/>
    <w:rsid w:val="00DE0A63"/>
    <w:rsid w:val="00DF37AA"/>
    <w:rsid w:val="00DF55EA"/>
    <w:rsid w:val="00E0488C"/>
    <w:rsid w:val="00E13788"/>
    <w:rsid w:val="00E150D4"/>
    <w:rsid w:val="00E245D2"/>
    <w:rsid w:val="00E265FC"/>
    <w:rsid w:val="00E27D14"/>
    <w:rsid w:val="00E34856"/>
    <w:rsid w:val="00E34C90"/>
    <w:rsid w:val="00E35548"/>
    <w:rsid w:val="00E415EE"/>
    <w:rsid w:val="00E42C55"/>
    <w:rsid w:val="00E43629"/>
    <w:rsid w:val="00E476D1"/>
    <w:rsid w:val="00E53986"/>
    <w:rsid w:val="00E571C1"/>
    <w:rsid w:val="00E619F9"/>
    <w:rsid w:val="00E622C0"/>
    <w:rsid w:val="00E62C51"/>
    <w:rsid w:val="00E657C3"/>
    <w:rsid w:val="00E73A5E"/>
    <w:rsid w:val="00E7453A"/>
    <w:rsid w:val="00E81AF6"/>
    <w:rsid w:val="00E81F16"/>
    <w:rsid w:val="00E8500D"/>
    <w:rsid w:val="00E8651E"/>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1848"/>
    <w:rsid w:val="00EC3BED"/>
    <w:rsid w:val="00EC47ED"/>
    <w:rsid w:val="00EC5672"/>
    <w:rsid w:val="00EC6C93"/>
    <w:rsid w:val="00ED0F6B"/>
    <w:rsid w:val="00ED4274"/>
    <w:rsid w:val="00EE3391"/>
    <w:rsid w:val="00EE3941"/>
    <w:rsid w:val="00EE3F8B"/>
    <w:rsid w:val="00EE4828"/>
    <w:rsid w:val="00EE5DE6"/>
    <w:rsid w:val="00EF2DFE"/>
    <w:rsid w:val="00EF5174"/>
    <w:rsid w:val="00EF6322"/>
    <w:rsid w:val="00F01CE8"/>
    <w:rsid w:val="00F0217F"/>
    <w:rsid w:val="00F026AC"/>
    <w:rsid w:val="00F02AA6"/>
    <w:rsid w:val="00F13971"/>
    <w:rsid w:val="00F15E27"/>
    <w:rsid w:val="00F15F84"/>
    <w:rsid w:val="00F17691"/>
    <w:rsid w:val="00F20BC6"/>
    <w:rsid w:val="00F21C51"/>
    <w:rsid w:val="00F22753"/>
    <w:rsid w:val="00F25182"/>
    <w:rsid w:val="00F25275"/>
    <w:rsid w:val="00F27006"/>
    <w:rsid w:val="00F341F7"/>
    <w:rsid w:val="00F35BF9"/>
    <w:rsid w:val="00F3792E"/>
    <w:rsid w:val="00F4403A"/>
    <w:rsid w:val="00F4521D"/>
    <w:rsid w:val="00F45C99"/>
    <w:rsid w:val="00F4742D"/>
    <w:rsid w:val="00F5584F"/>
    <w:rsid w:val="00F57633"/>
    <w:rsid w:val="00F611A1"/>
    <w:rsid w:val="00F67D6F"/>
    <w:rsid w:val="00F70326"/>
    <w:rsid w:val="00F70935"/>
    <w:rsid w:val="00F720C6"/>
    <w:rsid w:val="00F748D3"/>
    <w:rsid w:val="00F758A1"/>
    <w:rsid w:val="00F83F51"/>
    <w:rsid w:val="00F85E94"/>
    <w:rsid w:val="00F87367"/>
    <w:rsid w:val="00F939B6"/>
    <w:rsid w:val="00F950CB"/>
    <w:rsid w:val="00F97B88"/>
    <w:rsid w:val="00FA3B65"/>
    <w:rsid w:val="00FB20F8"/>
    <w:rsid w:val="00FB2712"/>
    <w:rsid w:val="00FB4F7B"/>
    <w:rsid w:val="00FB5414"/>
    <w:rsid w:val="00FB6A2F"/>
    <w:rsid w:val="00FB70E7"/>
    <w:rsid w:val="00FC0C49"/>
    <w:rsid w:val="00FC2B7E"/>
    <w:rsid w:val="00FC3649"/>
    <w:rsid w:val="00FD0488"/>
    <w:rsid w:val="00FD16C3"/>
    <w:rsid w:val="00FD2400"/>
    <w:rsid w:val="00FD2A80"/>
    <w:rsid w:val="00FD33F1"/>
    <w:rsid w:val="00FD3F49"/>
    <w:rsid w:val="00FD5D21"/>
    <w:rsid w:val="00FD78E9"/>
    <w:rsid w:val="00FE7F3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3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 w:type="character" w:styleId="UnresolvedMention">
    <w:name w:val="Unresolved Mention"/>
    <w:basedOn w:val="DefaultParagraphFont"/>
    <w:uiPriority w:val="99"/>
    <w:semiHidden/>
    <w:unhideWhenUsed/>
    <w:rsid w:val="009124E2"/>
    <w:rPr>
      <w:color w:val="605E5C"/>
      <w:shd w:val="clear" w:color="auto" w:fill="E1DFDD"/>
    </w:rPr>
  </w:style>
  <w:style w:type="character" w:styleId="CommentReference">
    <w:name w:val="annotation reference"/>
    <w:basedOn w:val="DefaultParagraphFont"/>
    <w:semiHidden/>
    <w:unhideWhenUsed/>
    <w:rsid w:val="00B421F2"/>
    <w:rPr>
      <w:sz w:val="16"/>
      <w:szCs w:val="16"/>
    </w:rPr>
  </w:style>
  <w:style w:type="paragraph" w:styleId="CommentText">
    <w:name w:val="annotation text"/>
    <w:basedOn w:val="Normal"/>
    <w:link w:val="CommentTextChar"/>
    <w:semiHidden/>
    <w:unhideWhenUsed/>
    <w:rsid w:val="00B421F2"/>
    <w:pPr>
      <w:spacing w:line="240" w:lineRule="auto"/>
    </w:pPr>
    <w:rPr>
      <w:sz w:val="20"/>
    </w:rPr>
  </w:style>
  <w:style w:type="character" w:customStyle="1" w:styleId="CommentTextChar">
    <w:name w:val="Comment Text Char"/>
    <w:basedOn w:val="DefaultParagraphFont"/>
    <w:link w:val="CommentText"/>
    <w:semiHidden/>
    <w:rsid w:val="00B421F2"/>
  </w:style>
  <w:style w:type="paragraph" w:styleId="CommentSubject">
    <w:name w:val="annotation subject"/>
    <w:basedOn w:val="CommentText"/>
    <w:next w:val="CommentText"/>
    <w:link w:val="CommentSubjectChar"/>
    <w:semiHidden/>
    <w:unhideWhenUsed/>
    <w:rsid w:val="00B421F2"/>
    <w:rPr>
      <w:b/>
      <w:bCs/>
    </w:rPr>
  </w:style>
  <w:style w:type="character" w:customStyle="1" w:styleId="CommentSubjectChar">
    <w:name w:val="Comment Subject Char"/>
    <w:basedOn w:val="CommentTextChar"/>
    <w:link w:val="CommentSubject"/>
    <w:semiHidden/>
    <w:rsid w:val="00B42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21053">
      <w:bodyDiv w:val="1"/>
      <w:marLeft w:val="0"/>
      <w:marRight w:val="0"/>
      <w:marTop w:val="0"/>
      <w:marBottom w:val="0"/>
      <w:divBdr>
        <w:top w:val="none" w:sz="0" w:space="0" w:color="auto"/>
        <w:left w:val="none" w:sz="0" w:space="0" w:color="auto"/>
        <w:bottom w:val="none" w:sz="0" w:space="0" w:color="auto"/>
        <w:right w:val="none" w:sz="0" w:space="0" w:color="auto"/>
      </w:divBdr>
    </w:div>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 w:id="2112890188">
      <w:bodyDiv w:val="1"/>
      <w:marLeft w:val="0"/>
      <w:marRight w:val="0"/>
      <w:marTop w:val="0"/>
      <w:marBottom w:val="0"/>
      <w:divBdr>
        <w:top w:val="none" w:sz="0" w:space="0" w:color="auto"/>
        <w:left w:val="none" w:sz="0" w:space="0" w:color="auto"/>
        <w:bottom w:val="none" w:sz="0" w:space="0" w:color="auto"/>
        <w:right w:val="none" w:sz="0" w:space="0" w:color="auto"/>
      </w:divBdr>
      <w:divsChild>
        <w:div w:id="1785266585">
          <w:marLeft w:val="0"/>
          <w:marRight w:val="0"/>
          <w:marTop w:val="0"/>
          <w:marBottom w:val="0"/>
          <w:divBdr>
            <w:top w:val="none" w:sz="0" w:space="0" w:color="auto"/>
            <w:left w:val="none" w:sz="0" w:space="0" w:color="auto"/>
            <w:bottom w:val="none" w:sz="0" w:space="0" w:color="auto"/>
            <w:right w:val="none" w:sz="0" w:space="0" w:color="auto"/>
          </w:divBdr>
          <w:divsChild>
            <w:div w:id="1724136268">
              <w:marLeft w:val="0"/>
              <w:marRight w:val="0"/>
              <w:marTop w:val="0"/>
              <w:marBottom w:val="0"/>
              <w:divBdr>
                <w:top w:val="none" w:sz="0" w:space="0" w:color="auto"/>
                <w:left w:val="none" w:sz="0" w:space="0" w:color="auto"/>
                <w:bottom w:val="none" w:sz="0" w:space="0" w:color="auto"/>
                <w:right w:val="none" w:sz="0" w:space="0" w:color="auto"/>
              </w:divBdr>
              <w:divsChild>
                <w:div w:id="17246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8590">
          <w:marLeft w:val="0"/>
          <w:marRight w:val="0"/>
          <w:marTop w:val="0"/>
          <w:marBottom w:val="0"/>
          <w:divBdr>
            <w:top w:val="none" w:sz="0" w:space="0" w:color="auto"/>
            <w:left w:val="none" w:sz="0" w:space="0" w:color="auto"/>
            <w:bottom w:val="none" w:sz="0" w:space="0" w:color="auto"/>
            <w:right w:val="none" w:sz="0" w:space="0" w:color="auto"/>
          </w:divBdr>
          <w:divsChild>
            <w:div w:id="337388341">
              <w:marLeft w:val="0"/>
              <w:marRight w:val="0"/>
              <w:marTop w:val="0"/>
              <w:marBottom w:val="0"/>
              <w:divBdr>
                <w:top w:val="none" w:sz="0" w:space="0" w:color="auto"/>
                <w:left w:val="none" w:sz="0" w:space="0" w:color="auto"/>
                <w:bottom w:val="none" w:sz="0" w:space="0" w:color="auto"/>
                <w:right w:val="none" w:sz="0" w:space="0" w:color="auto"/>
              </w:divBdr>
              <w:divsChild>
                <w:div w:id="15912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cobs@swlaw.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rdon@sc.pim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ee@sc.pima.gov" TargetMode="External"/><Relationship Id="rId4" Type="http://schemas.openxmlformats.org/officeDocument/2006/relationships/settings" Target="settings.xml"/><Relationship Id="rId9" Type="http://schemas.openxmlformats.org/officeDocument/2006/relationships/hyperlink" Target="mailto:gsakall@sc.pim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EA6F-3CC8-409E-A7F1-D4475E8E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4546</Words>
  <Characters>23233</Characters>
  <Application>Microsoft Office Word</Application>
  <DocSecurity>0</DocSecurity>
  <PresentationFormat>14|.DOCX</PresentationFormat>
  <Lines>193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2021-04-20T00:50:00Z</dcterms:created>
  <dcterms:modified xsi:type="dcterms:W3CDTF">2021-04-20T15:43:00Z</dcterms:modified>
</cp:coreProperties>
</file>