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B8247" w14:textId="27127E68" w:rsidR="009F7002" w:rsidRDefault="00647C00" w:rsidP="009F7002">
      <w:pPr>
        <w:rPr>
          <w:sz w:val="28"/>
          <w:szCs w:val="28"/>
        </w:rPr>
      </w:pPr>
      <w:bookmarkStart w:id="0" w:name="_GoBack"/>
      <w:r>
        <w:rPr>
          <w:sz w:val="28"/>
          <w:szCs w:val="28"/>
        </w:rPr>
        <w:t>James C. Mitchell</w:t>
      </w:r>
    </w:p>
    <w:p w14:paraId="3B11706B" w14:textId="4794B1E1" w:rsidR="00647C00" w:rsidRDefault="00647C00" w:rsidP="009F7002">
      <w:pPr>
        <w:rPr>
          <w:sz w:val="28"/>
          <w:szCs w:val="28"/>
        </w:rPr>
      </w:pPr>
      <w:r>
        <w:rPr>
          <w:sz w:val="28"/>
          <w:szCs w:val="28"/>
        </w:rPr>
        <w:t>1098 W. Shoal Creek Lane</w:t>
      </w:r>
    </w:p>
    <w:p w14:paraId="0B8824D7" w14:textId="12616235" w:rsidR="00647C00" w:rsidRDefault="00647C00" w:rsidP="009F7002">
      <w:pPr>
        <w:rPr>
          <w:sz w:val="28"/>
          <w:szCs w:val="28"/>
        </w:rPr>
      </w:pPr>
      <w:r>
        <w:rPr>
          <w:sz w:val="28"/>
          <w:szCs w:val="28"/>
        </w:rPr>
        <w:t>Oro Valley, AZ 85737</w:t>
      </w:r>
    </w:p>
    <w:p w14:paraId="2E78EACB" w14:textId="3A4FFF41" w:rsidR="00647C00" w:rsidRDefault="00647C00" w:rsidP="009F7002">
      <w:pPr>
        <w:rPr>
          <w:sz w:val="28"/>
          <w:szCs w:val="28"/>
        </w:rPr>
      </w:pPr>
      <w:r>
        <w:rPr>
          <w:sz w:val="28"/>
          <w:szCs w:val="28"/>
        </w:rPr>
        <w:t>Phone 520-907-2478</w:t>
      </w:r>
    </w:p>
    <w:p w14:paraId="7475F08C" w14:textId="6C575B6C" w:rsidR="00647C00" w:rsidRDefault="00647C00" w:rsidP="009F7002">
      <w:pPr>
        <w:rPr>
          <w:sz w:val="28"/>
          <w:szCs w:val="28"/>
        </w:rPr>
      </w:pPr>
      <w:r>
        <w:rPr>
          <w:sz w:val="28"/>
          <w:szCs w:val="28"/>
        </w:rPr>
        <w:t xml:space="preserve">email </w:t>
      </w:r>
      <w:r w:rsidR="00757426" w:rsidRPr="00A2783D">
        <w:rPr>
          <w:sz w:val="28"/>
          <w:szCs w:val="28"/>
        </w:rPr>
        <w:t>mitchell@email.arizona.edu</w:t>
      </w:r>
    </w:p>
    <w:p w14:paraId="3BD24AA9" w14:textId="77777777" w:rsidR="00757426" w:rsidRDefault="00757426" w:rsidP="00757426">
      <w:pPr>
        <w:rPr>
          <w:sz w:val="28"/>
          <w:szCs w:val="28"/>
        </w:rPr>
      </w:pPr>
      <w:r>
        <w:rPr>
          <w:sz w:val="28"/>
          <w:szCs w:val="28"/>
        </w:rPr>
        <w:t>State Bar of Arizona No. 017387</w:t>
      </w:r>
    </w:p>
    <w:bookmarkEnd w:id="0"/>
    <w:p w14:paraId="0B896F8A" w14:textId="77777777" w:rsidR="00757426" w:rsidRDefault="00757426" w:rsidP="009F7002">
      <w:pPr>
        <w:rPr>
          <w:sz w:val="28"/>
          <w:szCs w:val="28"/>
        </w:rPr>
      </w:pPr>
    </w:p>
    <w:p w14:paraId="78A50ACE" w14:textId="7B598333" w:rsidR="00E3642A" w:rsidRDefault="00E3642A" w:rsidP="00527608">
      <w:pPr>
        <w:rPr>
          <w:b/>
          <w:sz w:val="28"/>
          <w:szCs w:val="28"/>
        </w:rPr>
      </w:pPr>
    </w:p>
    <w:p w14:paraId="7430FDE6" w14:textId="77777777" w:rsidR="00AE3AA8" w:rsidRDefault="00AE3AA8" w:rsidP="00527608">
      <w:pPr>
        <w:rPr>
          <w:b/>
          <w:sz w:val="28"/>
          <w:szCs w:val="28"/>
        </w:rPr>
      </w:pPr>
    </w:p>
    <w:p w14:paraId="786A1852" w14:textId="77777777" w:rsidR="00757426" w:rsidRDefault="00757426" w:rsidP="00527608">
      <w:pPr>
        <w:rPr>
          <w:b/>
          <w:sz w:val="28"/>
          <w:szCs w:val="28"/>
        </w:rPr>
      </w:pPr>
    </w:p>
    <w:p w14:paraId="6E9C8B4D" w14:textId="77777777" w:rsidR="00E3642A" w:rsidRDefault="00E3642A" w:rsidP="00E3642A">
      <w:pPr>
        <w:ind w:firstLine="432"/>
        <w:jc w:val="center"/>
        <w:rPr>
          <w:b/>
          <w:sz w:val="28"/>
          <w:szCs w:val="28"/>
        </w:rPr>
      </w:pPr>
    </w:p>
    <w:p w14:paraId="265A8D3E" w14:textId="77777777" w:rsidR="00E3642A" w:rsidRDefault="00E3642A" w:rsidP="00E3642A">
      <w:pPr>
        <w:ind w:firstLine="432"/>
        <w:jc w:val="center"/>
        <w:rPr>
          <w:b/>
          <w:sz w:val="28"/>
          <w:szCs w:val="28"/>
        </w:rPr>
      </w:pPr>
      <w:r>
        <w:rPr>
          <w:b/>
          <w:sz w:val="28"/>
          <w:szCs w:val="28"/>
        </w:rPr>
        <w:t>IN THE SUPREME COURT</w:t>
      </w:r>
    </w:p>
    <w:p w14:paraId="7AE94C5A" w14:textId="19340657" w:rsidR="00E3642A" w:rsidRDefault="00E3642A" w:rsidP="00E3642A">
      <w:pPr>
        <w:ind w:firstLine="432"/>
        <w:jc w:val="center"/>
        <w:rPr>
          <w:b/>
          <w:sz w:val="28"/>
          <w:szCs w:val="28"/>
        </w:rPr>
      </w:pPr>
      <w:r>
        <w:rPr>
          <w:b/>
          <w:sz w:val="28"/>
          <w:szCs w:val="28"/>
        </w:rPr>
        <w:t>STATE OF ARIZONA</w:t>
      </w:r>
    </w:p>
    <w:p w14:paraId="7BE3F784" w14:textId="1BB4886A" w:rsidR="00757426" w:rsidRDefault="00757426" w:rsidP="00E3642A">
      <w:pPr>
        <w:ind w:firstLine="432"/>
        <w:jc w:val="center"/>
        <w:rPr>
          <w:b/>
          <w:sz w:val="28"/>
          <w:szCs w:val="28"/>
        </w:rPr>
      </w:pPr>
    </w:p>
    <w:p w14:paraId="7502256D" w14:textId="77777777" w:rsidR="007D4F35" w:rsidRPr="0057475A" w:rsidRDefault="007D4F35" w:rsidP="00E90180">
      <w:pPr>
        <w:ind w:firstLine="432"/>
        <w:rPr>
          <w:b/>
          <w:sz w:val="28"/>
          <w:szCs w:val="28"/>
        </w:rPr>
      </w:pPr>
    </w:p>
    <w:p w14:paraId="3C362E42" w14:textId="77777777" w:rsidR="00204DD0" w:rsidRDefault="00204DD0" w:rsidP="00E3642A">
      <w:pPr>
        <w:rPr>
          <w:sz w:val="28"/>
          <w:szCs w:val="28"/>
        </w:rPr>
      </w:pPr>
    </w:p>
    <w:p w14:paraId="51EF9EC9" w14:textId="77777777" w:rsidR="00E3642A" w:rsidRDefault="00E3642A" w:rsidP="00E3642A">
      <w:pPr>
        <w:ind w:firstLine="432"/>
        <w:rPr>
          <w:sz w:val="28"/>
          <w:szCs w:val="28"/>
        </w:rPr>
      </w:pPr>
      <w:r>
        <w:rPr>
          <w:noProof/>
        </w:rPr>
        <mc:AlternateContent>
          <mc:Choice Requires="wps">
            <w:drawing>
              <wp:anchor distT="0" distB="0" distL="114300" distR="114300" simplePos="0" relativeHeight="251659264" behindDoc="0" locked="0" layoutInCell="1" allowOverlap="1" wp14:anchorId="5C5A40DD" wp14:editId="5ACB35DE">
                <wp:simplePos x="0" y="0"/>
                <wp:positionH relativeFrom="column">
                  <wp:posOffset>2567093</wp:posOffset>
                </wp:positionH>
                <wp:positionV relativeFrom="paragraph">
                  <wp:posOffset>85513</wp:posOffset>
                </wp:positionV>
                <wp:extent cx="3598" cy="1143000"/>
                <wp:effectExtent l="0" t="0" r="47625" b="25400"/>
                <wp:wrapNone/>
                <wp:docPr id="1" name="Straight Connector 1"/>
                <wp:cNvGraphicFramePr/>
                <a:graphic xmlns:a="http://schemas.openxmlformats.org/drawingml/2006/main">
                  <a:graphicData uri="http://schemas.microsoft.com/office/word/2010/wordprocessingShape">
                    <wps:wsp>
                      <wps:cNvCnPr/>
                      <wps:spPr>
                        <a:xfrm>
                          <a:off x="0" y="0"/>
                          <a:ext cx="3598" cy="114300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09D4F31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15pt,6.75pt" to="202.45pt,96.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" strokecolor="black [3213]" strokeweight=".5pt">
                <v:stroke joinstyle="miter"/>
              </v:line>
            </w:pict>
          </mc:Fallback>
        </mc:AlternateContent>
      </w:r>
    </w:p>
    <w:p w14:paraId="70AB7842" w14:textId="3B67009D" w:rsidR="00E3642A" w:rsidRDefault="00E3642A" w:rsidP="00E3642A">
      <w:pPr>
        <w:rPr>
          <w:sz w:val="28"/>
          <w:szCs w:val="28"/>
        </w:rPr>
      </w:pPr>
      <w:r>
        <w:rPr>
          <w:sz w:val="28"/>
          <w:szCs w:val="28"/>
        </w:rPr>
        <w:t>In the Mat</w:t>
      </w:r>
      <w:r w:rsidR="003D3F61">
        <w:rPr>
          <w:sz w:val="28"/>
          <w:szCs w:val="28"/>
        </w:rPr>
        <w:t>ter of</w:t>
      </w:r>
      <w:r w:rsidR="003D3F61">
        <w:rPr>
          <w:sz w:val="28"/>
          <w:szCs w:val="28"/>
        </w:rPr>
        <w:tab/>
      </w:r>
      <w:r w:rsidR="003D3F61">
        <w:rPr>
          <w:sz w:val="28"/>
          <w:szCs w:val="28"/>
        </w:rPr>
        <w:tab/>
      </w:r>
      <w:r w:rsidR="003D3F61">
        <w:rPr>
          <w:sz w:val="28"/>
          <w:szCs w:val="28"/>
        </w:rPr>
        <w:tab/>
      </w:r>
      <w:r w:rsidR="003D3F61">
        <w:rPr>
          <w:sz w:val="28"/>
          <w:szCs w:val="28"/>
        </w:rPr>
        <w:tab/>
        <w:t>Supreme Court No. R-</w:t>
      </w:r>
      <w:r w:rsidR="00D67A32">
        <w:rPr>
          <w:sz w:val="28"/>
          <w:szCs w:val="28"/>
        </w:rPr>
        <w:t>21-0016</w:t>
      </w:r>
    </w:p>
    <w:p w14:paraId="7D3163C0" w14:textId="50687E61" w:rsidR="00E3642A" w:rsidRPr="00222CD1" w:rsidRDefault="00E3642A" w:rsidP="00E3642A">
      <w:pPr>
        <w:rPr>
          <w:sz w:val="10"/>
          <w:szCs w:val="10"/>
        </w:rPr>
      </w:pPr>
      <w:r>
        <w:rPr>
          <w:sz w:val="28"/>
          <w:szCs w:val="28"/>
        </w:rPr>
        <w:t>PETITION TO AMEND</w:t>
      </w:r>
      <w:r>
        <w:rPr>
          <w:sz w:val="28"/>
          <w:szCs w:val="28"/>
        </w:rPr>
        <w:tab/>
      </w:r>
      <w:r w:rsidR="00222CD1">
        <w:rPr>
          <w:sz w:val="28"/>
          <w:szCs w:val="28"/>
        </w:rPr>
        <w:t xml:space="preserve">                   </w:t>
      </w:r>
      <w:r w:rsidR="00B45105">
        <w:rPr>
          <w:sz w:val="28"/>
          <w:szCs w:val="28"/>
        </w:rPr>
        <w:t xml:space="preserve">  </w:t>
      </w:r>
      <w:r w:rsidR="00B45105">
        <w:rPr>
          <w:b/>
          <w:sz w:val="28"/>
          <w:szCs w:val="28"/>
        </w:rPr>
        <w:t xml:space="preserve">Comment in Opposition to Petition </w:t>
      </w:r>
    </w:p>
    <w:p w14:paraId="21FD9CA0" w14:textId="270D8410" w:rsidR="00B45105" w:rsidRPr="00222CD1" w:rsidRDefault="00456E7D" w:rsidP="00B45105">
      <w:pPr>
        <w:ind w:left="4320" w:hanging="4320"/>
        <w:rPr>
          <w:b/>
          <w:sz w:val="28"/>
          <w:szCs w:val="28"/>
        </w:rPr>
      </w:pPr>
      <w:r>
        <w:rPr>
          <w:sz w:val="28"/>
          <w:szCs w:val="28"/>
        </w:rPr>
        <w:t>RULE</w:t>
      </w:r>
      <w:r w:rsidR="003D3F61">
        <w:rPr>
          <w:sz w:val="28"/>
          <w:szCs w:val="28"/>
        </w:rPr>
        <w:t xml:space="preserve"> </w:t>
      </w:r>
      <w:r w:rsidR="00D67A32">
        <w:rPr>
          <w:sz w:val="28"/>
          <w:szCs w:val="28"/>
        </w:rPr>
        <w:t>45</w:t>
      </w:r>
      <w:r w:rsidR="003D3F61">
        <w:rPr>
          <w:sz w:val="28"/>
          <w:szCs w:val="28"/>
        </w:rPr>
        <w:t>(</w:t>
      </w:r>
      <w:r w:rsidR="00D67A32">
        <w:rPr>
          <w:sz w:val="28"/>
          <w:szCs w:val="28"/>
        </w:rPr>
        <w:t>a</w:t>
      </w:r>
      <w:r>
        <w:rPr>
          <w:sz w:val="28"/>
          <w:szCs w:val="28"/>
        </w:rPr>
        <w:t>)</w:t>
      </w:r>
      <w:r w:rsidR="00D67A32">
        <w:rPr>
          <w:sz w:val="28"/>
          <w:szCs w:val="28"/>
        </w:rPr>
        <w:t xml:space="preserve">2 of the Arizona      </w:t>
      </w:r>
      <w:r w:rsidR="00E3642A">
        <w:rPr>
          <w:sz w:val="28"/>
          <w:szCs w:val="28"/>
        </w:rPr>
        <w:tab/>
      </w:r>
      <w:r w:rsidR="00B45105" w:rsidRPr="00B45105">
        <w:rPr>
          <w:b/>
          <w:sz w:val="28"/>
          <w:szCs w:val="28"/>
        </w:rPr>
        <w:t xml:space="preserve">to </w:t>
      </w:r>
      <w:r w:rsidR="00B45105" w:rsidRPr="00222CD1">
        <w:rPr>
          <w:b/>
          <w:sz w:val="28"/>
          <w:szCs w:val="28"/>
        </w:rPr>
        <w:t xml:space="preserve">Amend Rule 45(a)2 of </w:t>
      </w:r>
      <w:r w:rsidR="00B45105">
        <w:rPr>
          <w:b/>
          <w:sz w:val="28"/>
          <w:szCs w:val="28"/>
        </w:rPr>
        <w:t>the Arizona</w:t>
      </w:r>
    </w:p>
    <w:p w14:paraId="6ACCAC9E" w14:textId="1EBC91A6" w:rsidR="00E3642A" w:rsidRPr="00364718" w:rsidRDefault="00B45105" w:rsidP="00B45105">
      <w:pPr>
        <w:ind w:left="4320" w:hanging="4320"/>
        <w:rPr>
          <w:b/>
          <w:sz w:val="28"/>
          <w:szCs w:val="28"/>
        </w:rPr>
      </w:pPr>
      <w:r>
        <w:rPr>
          <w:sz w:val="28"/>
          <w:szCs w:val="28"/>
        </w:rPr>
        <w:t xml:space="preserve">Rules of the Supreme Court  </w:t>
      </w:r>
      <w:r>
        <w:rPr>
          <w:sz w:val="28"/>
          <w:szCs w:val="28"/>
        </w:rPr>
        <w:tab/>
      </w:r>
      <w:r w:rsidRPr="00222CD1">
        <w:rPr>
          <w:b/>
          <w:sz w:val="28"/>
          <w:szCs w:val="28"/>
        </w:rPr>
        <w:t>Rules of the Supreme Court</w:t>
      </w:r>
    </w:p>
    <w:p w14:paraId="769C118D" w14:textId="10D0C895" w:rsidR="00E3642A" w:rsidRDefault="00E3642A" w:rsidP="00B45105">
      <w:pPr>
        <w:rPr>
          <w:sz w:val="28"/>
          <w:szCs w:val="28"/>
        </w:rPr>
      </w:pPr>
      <w:r w:rsidRPr="007805FB">
        <w:rPr>
          <w:sz w:val="28"/>
          <w:szCs w:val="28"/>
        </w:rPr>
        <w:t>________________________</w:t>
      </w:r>
      <w:r w:rsidR="00456E7D">
        <w:rPr>
          <w:sz w:val="28"/>
          <w:szCs w:val="28"/>
        </w:rPr>
        <w:t>__</w:t>
      </w:r>
      <w:r w:rsidR="00B45105">
        <w:rPr>
          <w:sz w:val="28"/>
          <w:szCs w:val="28"/>
        </w:rPr>
        <w:t>___</w:t>
      </w:r>
      <w:r w:rsidR="003D3F61">
        <w:rPr>
          <w:sz w:val="28"/>
          <w:szCs w:val="28"/>
        </w:rPr>
        <w:t xml:space="preserve">   </w:t>
      </w:r>
    </w:p>
    <w:p w14:paraId="6B86E463" w14:textId="17E187EC" w:rsidR="00204DD0" w:rsidRDefault="00204DD0" w:rsidP="00E3642A">
      <w:pPr>
        <w:ind w:left="4320" w:hanging="4320"/>
        <w:rPr>
          <w:sz w:val="28"/>
          <w:szCs w:val="28"/>
        </w:rPr>
      </w:pPr>
    </w:p>
    <w:p w14:paraId="2FAA4B37" w14:textId="6E62BE1B" w:rsidR="00757426" w:rsidRDefault="00757426" w:rsidP="00E90180">
      <w:pPr>
        <w:rPr>
          <w:sz w:val="28"/>
          <w:szCs w:val="28"/>
        </w:rPr>
      </w:pPr>
    </w:p>
    <w:p w14:paraId="5D240738" w14:textId="77777777" w:rsidR="007D4F35" w:rsidRDefault="007D4F35" w:rsidP="00E3642A">
      <w:pPr>
        <w:ind w:left="4320" w:hanging="4320"/>
        <w:rPr>
          <w:sz w:val="28"/>
          <w:szCs w:val="28"/>
        </w:rPr>
      </w:pPr>
    </w:p>
    <w:p w14:paraId="1D41523E" w14:textId="0B7BE3EE" w:rsidR="00AE3AA8" w:rsidRDefault="003D3F61" w:rsidP="00AE3AA8">
      <w:pPr>
        <w:spacing w:line="480" w:lineRule="auto"/>
        <w:ind w:firstLine="432"/>
        <w:rPr>
          <w:sz w:val="28"/>
          <w:szCs w:val="28"/>
        </w:rPr>
      </w:pPr>
      <w:r>
        <w:rPr>
          <w:sz w:val="28"/>
          <w:szCs w:val="28"/>
        </w:rPr>
        <w:t>Pursuant to Rule 2</w:t>
      </w:r>
      <w:r w:rsidR="00583E08">
        <w:rPr>
          <w:sz w:val="28"/>
          <w:szCs w:val="28"/>
        </w:rPr>
        <w:t>8</w:t>
      </w:r>
      <w:r>
        <w:rPr>
          <w:sz w:val="28"/>
          <w:szCs w:val="28"/>
        </w:rPr>
        <w:t xml:space="preserve">, </w:t>
      </w:r>
      <w:r w:rsidR="005F0844">
        <w:rPr>
          <w:sz w:val="28"/>
          <w:szCs w:val="28"/>
        </w:rPr>
        <w:t xml:space="preserve">Arizona </w:t>
      </w:r>
      <w:r>
        <w:rPr>
          <w:sz w:val="28"/>
          <w:szCs w:val="28"/>
        </w:rPr>
        <w:t xml:space="preserve">Rules of the Supreme Court, the undersigned respectfully </w:t>
      </w:r>
      <w:r w:rsidR="00AE3AA8">
        <w:rPr>
          <w:sz w:val="28"/>
          <w:szCs w:val="28"/>
        </w:rPr>
        <w:t xml:space="preserve">submits this </w:t>
      </w:r>
      <w:r w:rsidR="00705DFF">
        <w:rPr>
          <w:sz w:val="28"/>
          <w:szCs w:val="28"/>
        </w:rPr>
        <w:t>c</w:t>
      </w:r>
      <w:r w:rsidR="00AE3AA8">
        <w:rPr>
          <w:sz w:val="28"/>
          <w:szCs w:val="28"/>
        </w:rPr>
        <w:t>omment for the Court’s consideration</w:t>
      </w:r>
      <w:r>
        <w:rPr>
          <w:sz w:val="28"/>
          <w:szCs w:val="28"/>
        </w:rPr>
        <w:t>.</w:t>
      </w:r>
      <w:r w:rsidR="007539C0">
        <w:rPr>
          <w:sz w:val="28"/>
          <w:szCs w:val="28"/>
        </w:rPr>
        <w:t xml:space="preserve"> </w:t>
      </w:r>
    </w:p>
    <w:p w14:paraId="266E6E3D" w14:textId="77777777" w:rsidR="00E90180" w:rsidRDefault="00AE3AA8" w:rsidP="00E90180">
      <w:pPr>
        <w:spacing w:line="480" w:lineRule="auto"/>
        <w:ind w:firstLine="432"/>
        <w:rPr>
          <w:sz w:val="28"/>
          <w:szCs w:val="28"/>
        </w:rPr>
      </w:pPr>
      <w:r>
        <w:rPr>
          <w:sz w:val="28"/>
          <w:szCs w:val="28"/>
        </w:rPr>
        <w:t>I write to oppose the amendment in its present amorphous form. It lacks factual support for its premises</w:t>
      </w:r>
      <w:r w:rsidR="00A16BC7">
        <w:rPr>
          <w:sz w:val="28"/>
          <w:szCs w:val="28"/>
        </w:rPr>
        <w:t>,</w:t>
      </w:r>
      <w:r>
        <w:rPr>
          <w:sz w:val="28"/>
          <w:szCs w:val="28"/>
        </w:rPr>
        <w:t xml:space="preserve"> even a minimally </w:t>
      </w:r>
      <w:r w:rsidR="005958BF">
        <w:rPr>
          <w:sz w:val="28"/>
          <w:szCs w:val="28"/>
        </w:rPr>
        <w:t>defined</w:t>
      </w:r>
      <w:r>
        <w:rPr>
          <w:sz w:val="28"/>
          <w:szCs w:val="28"/>
        </w:rPr>
        <w:t xml:space="preserve"> plan for its application</w:t>
      </w:r>
      <w:r w:rsidR="00A16BC7">
        <w:rPr>
          <w:sz w:val="28"/>
          <w:szCs w:val="28"/>
        </w:rPr>
        <w:t>, and any provision for assessment of its impact</w:t>
      </w:r>
      <w:r>
        <w:rPr>
          <w:sz w:val="28"/>
          <w:szCs w:val="28"/>
        </w:rPr>
        <w:t>.</w:t>
      </w:r>
    </w:p>
    <w:p w14:paraId="301B06D3" w14:textId="7AE27221" w:rsidR="00AE3AA8" w:rsidRDefault="000E57B6" w:rsidP="00E90180">
      <w:pPr>
        <w:spacing w:line="480" w:lineRule="auto"/>
        <w:ind w:firstLine="432"/>
        <w:rPr>
          <w:sz w:val="28"/>
          <w:szCs w:val="28"/>
        </w:rPr>
      </w:pPr>
      <w:r>
        <w:rPr>
          <w:sz w:val="28"/>
          <w:szCs w:val="28"/>
        </w:rPr>
        <w:t>It</w:t>
      </w:r>
      <w:r w:rsidR="00220BAA">
        <w:rPr>
          <w:sz w:val="28"/>
          <w:szCs w:val="28"/>
        </w:rPr>
        <w:t>’</w:t>
      </w:r>
      <w:r>
        <w:rPr>
          <w:sz w:val="28"/>
          <w:szCs w:val="28"/>
        </w:rPr>
        <w:t>s</w:t>
      </w:r>
      <w:r w:rsidR="00DE0722">
        <w:rPr>
          <w:sz w:val="28"/>
          <w:szCs w:val="28"/>
        </w:rPr>
        <w:t xml:space="preserve"> a weak tool for a tough task. </w:t>
      </w:r>
      <w:r w:rsidR="00AE3AA8">
        <w:rPr>
          <w:sz w:val="28"/>
          <w:szCs w:val="28"/>
        </w:rPr>
        <w:t>Biases die hard. Elimination of unjust bias is an ongoing mission, perhaps</w:t>
      </w:r>
      <w:r>
        <w:rPr>
          <w:sz w:val="28"/>
          <w:szCs w:val="28"/>
        </w:rPr>
        <w:t xml:space="preserve"> one never to be</w:t>
      </w:r>
      <w:r w:rsidR="00AE3AA8">
        <w:rPr>
          <w:sz w:val="28"/>
          <w:szCs w:val="28"/>
        </w:rPr>
        <w:t xml:space="preserve"> accomplish</w:t>
      </w:r>
      <w:r>
        <w:rPr>
          <w:sz w:val="28"/>
          <w:szCs w:val="28"/>
        </w:rPr>
        <w:t>ed fully</w:t>
      </w:r>
      <w:r w:rsidR="00AE3AA8">
        <w:rPr>
          <w:sz w:val="28"/>
          <w:szCs w:val="28"/>
        </w:rPr>
        <w:t>. We all should make––and we all deserve––our best efforts in that battle.</w:t>
      </w:r>
    </w:p>
    <w:p w14:paraId="1A529562" w14:textId="36AE2E71" w:rsidR="00780291" w:rsidRDefault="000E57B6" w:rsidP="00916542">
      <w:pPr>
        <w:spacing w:line="480" w:lineRule="auto"/>
        <w:ind w:firstLine="432"/>
        <w:rPr>
          <w:sz w:val="28"/>
          <w:szCs w:val="28"/>
        </w:rPr>
      </w:pPr>
      <w:r>
        <w:rPr>
          <w:sz w:val="28"/>
          <w:szCs w:val="28"/>
        </w:rPr>
        <w:lastRenderedPageBreak/>
        <w:t>It is not surprising that t</w:t>
      </w:r>
      <w:r w:rsidR="00AE3AA8">
        <w:rPr>
          <w:sz w:val="28"/>
          <w:szCs w:val="28"/>
        </w:rPr>
        <w:t xml:space="preserve">his proposal </w:t>
      </w:r>
      <w:r w:rsidR="00CB5376">
        <w:rPr>
          <w:sz w:val="28"/>
          <w:szCs w:val="28"/>
        </w:rPr>
        <w:t xml:space="preserve">falls </w:t>
      </w:r>
      <w:r>
        <w:rPr>
          <w:sz w:val="28"/>
          <w:szCs w:val="28"/>
        </w:rPr>
        <w:t xml:space="preserve">so </w:t>
      </w:r>
      <w:r w:rsidR="000379C6">
        <w:rPr>
          <w:sz w:val="28"/>
          <w:szCs w:val="28"/>
        </w:rPr>
        <w:t xml:space="preserve">far </w:t>
      </w:r>
      <w:r w:rsidR="00CB5376">
        <w:rPr>
          <w:sz w:val="28"/>
          <w:szCs w:val="28"/>
        </w:rPr>
        <w:t>short</w:t>
      </w:r>
      <w:r w:rsidR="00AE3AA8">
        <w:rPr>
          <w:sz w:val="28"/>
          <w:szCs w:val="28"/>
        </w:rPr>
        <w:t xml:space="preserve">. </w:t>
      </w:r>
      <w:r w:rsidR="00A036D3">
        <w:rPr>
          <w:sz w:val="28"/>
          <w:szCs w:val="28"/>
        </w:rPr>
        <w:t>C</w:t>
      </w:r>
      <w:r w:rsidR="00AE3AA8">
        <w:rPr>
          <w:sz w:val="28"/>
          <w:szCs w:val="28"/>
        </w:rPr>
        <w:t xml:space="preserve">hoosing constructive strategies to reduce bias is difficult. </w:t>
      </w:r>
      <w:r w:rsidR="0054591E">
        <w:rPr>
          <w:sz w:val="28"/>
          <w:szCs w:val="28"/>
        </w:rPr>
        <w:t xml:space="preserve">Signaling our virtue is </w:t>
      </w:r>
      <w:r w:rsidR="00A0501F">
        <w:rPr>
          <w:sz w:val="28"/>
          <w:szCs w:val="28"/>
        </w:rPr>
        <w:t xml:space="preserve">easy but </w:t>
      </w:r>
      <w:r w:rsidR="0054591E">
        <w:rPr>
          <w:sz w:val="28"/>
          <w:szCs w:val="28"/>
        </w:rPr>
        <w:t xml:space="preserve">not enough; </w:t>
      </w:r>
      <w:r w:rsidR="00A0501F">
        <w:rPr>
          <w:sz w:val="28"/>
          <w:szCs w:val="28"/>
        </w:rPr>
        <w:t>making actual d</w:t>
      </w:r>
      <w:r w:rsidR="00AE3AA8">
        <w:rPr>
          <w:sz w:val="28"/>
          <w:szCs w:val="28"/>
        </w:rPr>
        <w:t xml:space="preserve">ecisions </w:t>
      </w:r>
      <w:r w:rsidR="00A0501F">
        <w:rPr>
          <w:sz w:val="28"/>
          <w:szCs w:val="28"/>
        </w:rPr>
        <w:t>is hard and often</w:t>
      </w:r>
      <w:r w:rsidR="00AE3AA8">
        <w:rPr>
          <w:sz w:val="28"/>
          <w:szCs w:val="28"/>
        </w:rPr>
        <w:t xml:space="preserve"> divisive. People of goodwill may disagree with equally well-intentioned friends and colleagues. </w:t>
      </w:r>
    </w:p>
    <w:p w14:paraId="3AAAD3F2" w14:textId="59C3AFD2" w:rsidR="00916542" w:rsidRDefault="00AE3AA8" w:rsidP="00916542">
      <w:pPr>
        <w:spacing w:line="480" w:lineRule="auto"/>
        <w:ind w:firstLine="432"/>
        <w:rPr>
          <w:sz w:val="28"/>
          <w:szCs w:val="28"/>
        </w:rPr>
      </w:pPr>
      <w:r>
        <w:rPr>
          <w:sz w:val="28"/>
          <w:szCs w:val="28"/>
        </w:rPr>
        <w:t xml:space="preserve">A timely example: President Biden and the American Bar Association both strongly favor expanded diversity among federal judges. However, the new administration will not consider the ABA’s judicial nomination vetting because of their differing </w:t>
      </w:r>
      <w:r w:rsidR="00BD30A2">
        <w:rPr>
          <w:sz w:val="28"/>
          <w:szCs w:val="28"/>
        </w:rPr>
        <w:t xml:space="preserve">opinions </w:t>
      </w:r>
      <w:r w:rsidR="00095058">
        <w:rPr>
          <w:sz w:val="28"/>
          <w:szCs w:val="28"/>
        </w:rPr>
        <w:t>on</w:t>
      </w:r>
      <w:r>
        <w:rPr>
          <w:sz w:val="28"/>
          <w:szCs w:val="28"/>
        </w:rPr>
        <w:t xml:space="preserve"> </w:t>
      </w:r>
      <w:r w:rsidR="00F35F03">
        <w:rPr>
          <w:sz w:val="28"/>
          <w:szCs w:val="28"/>
        </w:rPr>
        <w:t xml:space="preserve">the </w:t>
      </w:r>
      <w:r w:rsidR="005A33D7">
        <w:rPr>
          <w:sz w:val="28"/>
          <w:szCs w:val="28"/>
        </w:rPr>
        <w:t xml:space="preserve">importance of diversity in </w:t>
      </w:r>
      <w:r>
        <w:rPr>
          <w:sz w:val="28"/>
          <w:szCs w:val="28"/>
        </w:rPr>
        <w:t>identifying qualified candidates.</w:t>
      </w:r>
      <w:r>
        <w:rPr>
          <w:rStyle w:val="FootnoteReference"/>
          <w:sz w:val="28"/>
          <w:szCs w:val="28"/>
        </w:rPr>
        <w:footnoteReference w:id="1"/>
      </w:r>
      <w:r w:rsidR="00916542">
        <w:rPr>
          <w:sz w:val="28"/>
          <w:szCs w:val="28"/>
        </w:rPr>
        <w:t xml:space="preserve"> </w:t>
      </w:r>
      <w:r w:rsidR="002A3106">
        <w:rPr>
          <w:sz w:val="28"/>
          <w:szCs w:val="28"/>
        </w:rPr>
        <w:t xml:space="preserve">Who’s right? </w:t>
      </w:r>
      <w:r>
        <w:rPr>
          <w:sz w:val="28"/>
          <w:szCs w:val="28"/>
        </w:rPr>
        <w:t xml:space="preserve">We cannot wish away </w:t>
      </w:r>
      <w:r w:rsidR="00EA5070">
        <w:rPr>
          <w:sz w:val="28"/>
          <w:szCs w:val="28"/>
        </w:rPr>
        <w:t>simil</w:t>
      </w:r>
      <w:r w:rsidR="008B2042">
        <w:rPr>
          <w:sz w:val="28"/>
          <w:szCs w:val="28"/>
        </w:rPr>
        <w:t>ar s</w:t>
      </w:r>
      <w:r w:rsidR="00247B1D">
        <w:rPr>
          <w:sz w:val="28"/>
          <w:szCs w:val="28"/>
        </w:rPr>
        <w:t>trategic</w:t>
      </w:r>
      <w:r w:rsidR="008B2042">
        <w:rPr>
          <w:sz w:val="28"/>
          <w:szCs w:val="28"/>
        </w:rPr>
        <w:t xml:space="preserve"> </w:t>
      </w:r>
      <w:r>
        <w:rPr>
          <w:sz w:val="28"/>
          <w:szCs w:val="28"/>
        </w:rPr>
        <w:t>differences with happy talk about how the</w:t>
      </w:r>
      <w:r w:rsidR="00586FBE">
        <w:rPr>
          <w:sz w:val="28"/>
          <w:szCs w:val="28"/>
        </w:rPr>
        <w:t xml:space="preserve"> proposed </w:t>
      </w:r>
      <w:r>
        <w:rPr>
          <w:sz w:val="28"/>
          <w:szCs w:val="28"/>
        </w:rPr>
        <w:t>amendment “can only help” us do better.</w:t>
      </w:r>
      <w:r w:rsidR="008E0F38">
        <w:rPr>
          <w:rStyle w:val="FootnoteReference"/>
          <w:sz w:val="28"/>
          <w:szCs w:val="28"/>
        </w:rPr>
        <w:footnoteReference w:id="2"/>
      </w:r>
      <w:r>
        <w:rPr>
          <w:sz w:val="28"/>
          <w:szCs w:val="28"/>
        </w:rPr>
        <w:t xml:space="preserve"> </w:t>
      </w:r>
    </w:p>
    <w:p w14:paraId="5B9B2A19" w14:textId="13199674" w:rsidR="00F00CEE" w:rsidRDefault="00916542" w:rsidP="00916542">
      <w:pPr>
        <w:spacing w:line="480" w:lineRule="auto"/>
        <w:ind w:firstLine="432"/>
        <w:rPr>
          <w:sz w:val="28"/>
          <w:szCs w:val="28"/>
        </w:rPr>
      </w:pPr>
      <w:r>
        <w:rPr>
          <w:sz w:val="28"/>
          <w:szCs w:val="28"/>
        </w:rPr>
        <w:t xml:space="preserve">The Petition fails to make clear just what shortcomings among </w:t>
      </w:r>
      <w:r w:rsidR="00896087">
        <w:rPr>
          <w:sz w:val="28"/>
          <w:szCs w:val="28"/>
        </w:rPr>
        <w:t>lawyers</w:t>
      </w:r>
      <w:r>
        <w:rPr>
          <w:sz w:val="28"/>
          <w:szCs w:val="28"/>
        </w:rPr>
        <w:t xml:space="preserve"> it seeks to correct</w:t>
      </w:r>
      <w:r w:rsidR="0094154C">
        <w:rPr>
          <w:sz w:val="28"/>
          <w:szCs w:val="28"/>
        </w:rPr>
        <w:t>. It does not even guess</w:t>
      </w:r>
      <w:r w:rsidR="00D847D1">
        <w:rPr>
          <w:sz w:val="28"/>
          <w:szCs w:val="28"/>
        </w:rPr>
        <w:t xml:space="preserve"> how </w:t>
      </w:r>
      <w:r w:rsidR="0094154C">
        <w:rPr>
          <w:sz w:val="28"/>
          <w:szCs w:val="28"/>
        </w:rPr>
        <w:t>widespread</w:t>
      </w:r>
      <w:r w:rsidR="00D847D1">
        <w:rPr>
          <w:sz w:val="28"/>
          <w:szCs w:val="28"/>
        </w:rPr>
        <w:t xml:space="preserve"> or harmful those faults are</w:t>
      </w:r>
      <w:r>
        <w:rPr>
          <w:sz w:val="28"/>
          <w:szCs w:val="28"/>
        </w:rPr>
        <w:t>. Public survey data indicate that eighty-one percent of Americans with graduate education</w:t>
      </w:r>
      <w:r w:rsidR="00872952">
        <w:rPr>
          <w:sz w:val="28"/>
          <w:szCs w:val="28"/>
        </w:rPr>
        <w:t xml:space="preserve"> </w:t>
      </w:r>
      <w:r>
        <w:rPr>
          <w:sz w:val="28"/>
          <w:szCs w:val="28"/>
        </w:rPr>
        <w:t xml:space="preserve">already </w:t>
      </w:r>
      <w:r w:rsidR="00CE7017">
        <w:rPr>
          <w:sz w:val="28"/>
          <w:szCs w:val="28"/>
        </w:rPr>
        <w:t>profess</w:t>
      </w:r>
      <w:r w:rsidR="00896087">
        <w:rPr>
          <w:sz w:val="28"/>
          <w:szCs w:val="28"/>
        </w:rPr>
        <w:t xml:space="preserve"> to </w:t>
      </w:r>
      <w:r>
        <w:rPr>
          <w:sz w:val="28"/>
          <w:szCs w:val="28"/>
        </w:rPr>
        <w:t>believe in the benefits of ethnic and national origin diversity.</w:t>
      </w:r>
      <w:r>
        <w:rPr>
          <w:rStyle w:val="FootnoteReference"/>
          <w:sz w:val="28"/>
          <w:szCs w:val="28"/>
        </w:rPr>
        <w:footnoteReference w:id="3"/>
      </w:r>
      <w:r w:rsidR="00123399">
        <w:rPr>
          <w:sz w:val="28"/>
          <w:szCs w:val="28"/>
        </w:rPr>
        <w:t xml:space="preserve"> </w:t>
      </w:r>
      <w:r w:rsidR="00872952">
        <w:rPr>
          <w:sz w:val="28"/>
          <w:szCs w:val="28"/>
        </w:rPr>
        <w:t xml:space="preserve">That learned cohort </w:t>
      </w:r>
      <w:r w:rsidR="000E57B6">
        <w:rPr>
          <w:sz w:val="28"/>
          <w:szCs w:val="28"/>
        </w:rPr>
        <w:t>presumably</w:t>
      </w:r>
      <w:r w:rsidR="00872952">
        <w:rPr>
          <w:sz w:val="28"/>
          <w:szCs w:val="28"/>
        </w:rPr>
        <w:t xml:space="preserve"> include</w:t>
      </w:r>
      <w:r w:rsidR="000E57B6">
        <w:rPr>
          <w:sz w:val="28"/>
          <w:szCs w:val="28"/>
        </w:rPr>
        <w:t>s</w:t>
      </w:r>
      <w:r w:rsidR="00872952">
        <w:rPr>
          <w:sz w:val="28"/>
          <w:szCs w:val="28"/>
        </w:rPr>
        <w:t xml:space="preserve"> every member of the State Bar of Arizona. </w:t>
      </w:r>
      <w:r w:rsidR="00215D71">
        <w:rPr>
          <w:sz w:val="28"/>
          <w:szCs w:val="28"/>
        </w:rPr>
        <w:t>For opposition</w:t>
      </w:r>
      <w:r w:rsidR="00315C15">
        <w:rPr>
          <w:sz w:val="28"/>
          <w:szCs w:val="28"/>
        </w:rPr>
        <w:t xml:space="preserve"> to inclusion</w:t>
      </w:r>
      <w:r w:rsidR="00215D71">
        <w:rPr>
          <w:sz w:val="28"/>
          <w:szCs w:val="28"/>
        </w:rPr>
        <w:t xml:space="preserve">, </w:t>
      </w:r>
      <w:r w:rsidR="00AD2F68">
        <w:rPr>
          <w:sz w:val="28"/>
          <w:szCs w:val="28"/>
        </w:rPr>
        <w:t>America is</w:t>
      </w:r>
      <w:r w:rsidR="00215D71">
        <w:rPr>
          <w:sz w:val="28"/>
          <w:szCs w:val="28"/>
        </w:rPr>
        <w:t xml:space="preserve"> pretty much down to </w:t>
      </w:r>
      <w:r w:rsidR="00AD2F68">
        <w:rPr>
          <w:sz w:val="28"/>
          <w:szCs w:val="28"/>
        </w:rPr>
        <w:lastRenderedPageBreak/>
        <w:t xml:space="preserve">unabashed bigots, </w:t>
      </w:r>
      <w:r w:rsidR="001B39AB">
        <w:rPr>
          <w:sz w:val="28"/>
          <w:szCs w:val="28"/>
        </w:rPr>
        <w:t xml:space="preserve">irredeemable </w:t>
      </w:r>
      <w:r w:rsidR="00C92E97">
        <w:rPr>
          <w:sz w:val="28"/>
          <w:szCs w:val="28"/>
        </w:rPr>
        <w:t>Luddites</w:t>
      </w:r>
      <w:r w:rsidR="00215D71">
        <w:rPr>
          <w:sz w:val="28"/>
          <w:szCs w:val="28"/>
        </w:rPr>
        <w:t xml:space="preserve"> and the guy in the</w:t>
      </w:r>
      <w:r w:rsidR="001131E3">
        <w:rPr>
          <w:sz w:val="28"/>
          <w:szCs w:val="28"/>
        </w:rPr>
        <w:t xml:space="preserve"> old </w:t>
      </w:r>
      <w:r w:rsidR="00215D71">
        <w:rPr>
          <w:sz w:val="28"/>
          <w:szCs w:val="28"/>
        </w:rPr>
        <w:t xml:space="preserve">Kingston Trio song who doesn’t like </w:t>
      </w:r>
      <w:r w:rsidR="00215D71" w:rsidRPr="008370C7">
        <w:rPr>
          <w:i/>
          <w:sz w:val="28"/>
          <w:szCs w:val="28"/>
        </w:rPr>
        <w:t>anybody</w:t>
      </w:r>
      <w:r w:rsidR="00215D71">
        <w:rPr>
          <w:sz w:val="28"/>
          <w:szCs w:val="28"/>
        </w:rPr>
        <w:t xml:space="preserve"> very much.</w:t>
      </w:r>
      <w:r w:rsidR="001131E3">
        <w:rPr>
          <w:rStyle w:val="FootnoteReference"/>
          <w:sz w:val="28"/>
          <w:szCs w:val="28"/>
        </w:rPr>
        <w:footnoteReference w:id="4"/>
      </w:r>
      <w:r w:rsidR="00215D71">
        <w:rPr>
          <w:sz w:val="28"/>
          <w:szCs w:val="28"/>
        </w:rPr>
        <w:t xml:space="preserve"> </w:t>
      </w:r>
      <w:r w:rsidR="00123399">
        <w:rPr>
          <w:sz w:val="28"/>
          <w:szCs w:val="28"/>
        </w:rPr>
        <w:t xml:space="preserve">Given such a </w:t>
      </w:r>
      <w:r w:rsidR="00283AE4">
        <w:rPr>
          <w:sz w:val="28"/>
          <w:szCs w:val="28"/>
        </w:rPr>
        <w:t>high</w:t>
      </w:r>
      <w:r w:rsidR="00123399">
        <w:rPr>
          <w:sz w:val="28"/>
          <w:szCs w:val="28"/>
        </w:rPr>
        <w:t xml:space="preserve"> percentage of </w:t>
      </w:r>
      <w:r w:rsidR="002A3106">
        <w:rPr>
          <w:sz w:val="28"/>
          <w:szCs w:val="28"/>
        </w:rPr>
        <w:t xml:space="preserve">unforced </w:t>
      </w:r>
      <w:r w:rsidR="00123399">
        <w:rPr>
          <w:sz w:val="28"/>
          <w:szCs w:val="28"/>
        </w:rPr>
        <w:t xml:space="preserve">agreement with the Bar’s position, one wonders what a supplemental “education” requirement </w:t>
      </w:r>
      <w:r w:rsidR="00351C8A">
        <w:rPr>
          <w:sz w:val="28"/>
          <w:szCs w:val="28"/>
        </w:rPr>
        <w:t xml:space="preserve">for all active members </w:t>
      </w:r>
      <w:r w:rsidR="00123399">
        <w:rPr>
          <w:sz w:val="28"/>
          <w:szCs w:val="28"/>
        </w:rPr>
        <w:t>would accomplish</w:t>
      </w:r>
      <w:r w:rsidR="00BF4D80">
        <w:rPr>
          <w:sz w:val="28"/>
          <w:szCs w:val="28"/>
        </w:rPr>
        <w:t xml:space="preserve">, at least </w:t>
      </w:r>
      <w:r w:rsidR="002E5108">
        <w:rPr>
          <w:sz w:val="28"/>
          <w:szCs w:val="28"/>
        </w:rPr>
        <w:t>i</w:t>
      </w:r>
      <w:r w:rsidR="00BF4D80">
        <w:rPr>
          <w:sz w:val="28"/>
          <w:szCs w:val="28"/>
        </w:rPr>
        <w:t xml:space="preserve">n the </w:t>
      </w:r>
      <w:r w:rsidR="002E5108">
        <w:rPr>
          <w:sz w:val="28"/>
          <w:szCs w:val="28"/>
        </w:rPr>
        <w:t>diversity category</w:t>
      </w:r>
      <w:r w:rsidR="00BF4D80">
        <w:rPr>
          <w:sz w:val="28"/>
          <w:szCs w:val="28"/>
        </w:rPr>
        <w:t xml:space="preserve"> </w:t>
      </w:r>
      <w:r w:rsidR="002E5108">
        <w:rPr>
          <w:sz w:val="28"/>
          <w:szCs w:val="28"/>
        </w:rPr>
        <w:t>surveyed.</w:t>
      </w:r>
    </w:p>
    <w:p w14:paraId="35D8E700" w14:textId="23E70566" w:rsidR="00D847D1" w:rsidRDefault="00F7632E" w:rsidP="00916542">
      <w:pPr>
        <w:spacing w:line="480" w:lineRule="auto"/>
        <w:ind w:firstLine="432"/>
        <w:rPr>
          <w:sz w:val="28"/>
          <w:szCs w:val="28"/>
        </w:rPr>
      </w:pPr>
      <w:r>
        <w:rPr>
          <w:sz w:val="28"/>
          <w:szCs w:val="28"/>
        </w:rPr>
        <w:t xml:space="preserve">Even among the </w:t>
      </w:r>
      <w:r w:rsidR="00D509F2">
        <w:rPr>
          <w:sz w:val="28"/>
          <w:szCs w:val="28"/>
        </w:rPr>
        <w:t xml:space="preserve">most </w:t>
      </w:r>
      <w:r>
        <w:rPr>
          <w:sz w:val="28"/>
          <w:szCs w:val="28"/>
        </w:rPr>
        <w:t>highly educated</w:t>
      </w:r>
      <w:r w:rsidR="002D0DE0">
        <w:rPr>
          <w:sz w:val="28"/>
          <w:szCs w:val="28"/>
        </w:rPr>
        <w:t xml:space="preserve"> and well-motivated</w:t>
      </w:r>
      <w:r>
        <w:rPr>
          <w:sz w:val="28"/>
          <w:szCs w:val="28"/>
        </w:rPr>
        <w:t xml:space="preserve">, </w:t>
      </w:r>
      <w:r w:rsidR="001B39AB">
        <w:rPr>
          <w:sz w:val="28"/>
          <w:szCs w:val="28"/>
        </w:rPr>
        <w:t xml:space="preserve">though, </w:t>
      </w:r>
      <w:r w:rsidR="00957324">
        <w:rPr>
          <w:sz w:val="28"/>
          <w:szCs w:val="28"/>
        </w:rPr>
        <w:t xml:space="preserve">reasonable differences emerge. Most of us would </w:t>
      </w:r>
      <w:r w:rsidR="002D0DE0">
        <w:rPr>
          <w:sz w:val="28"/>
          <w:szCs w:val="28"/>
        </w:rPr>
        <w:t>feel</w:t>
      </w:r>
      <w:r w:rsidR="00957324">
        <w:rPr>
          <w:sz w:val="28"/>
          <w:szCs w:val="28"/>
        </w:rPr>
        <w:t xml:space="preserve"> deeply ashamed of maliciously us</w:t>
      </w:r>
      <w:r w:rsidR="002F00A8">
        <w:rPr>
          <w:sz w:val="28"/>
          <w:szCs w:val="28"/>
        </w:rPr>
        <w:t>ing</w:t>
      </w:r>
      <w:r w:rsidR="00957324">
        <w:rPr>
          <w:sz w:val="28"/>
          <w:szCs w:val="28"/>
        </w:rPr>
        <w:t xml:space="preserve"> words that wound other people. Yet academe is torn by use of such words in an intended constructive sense</w:t>
      </w:r>
      <w:r w:rsidR="00EE41E5">
        <w:rPr>
          <w:sz w:val="28"/>
          <w:szCs w:val="28"/>
        </w:rPr>
        <w:t>.</w:t>
      </w:r>
      <w:r w:rsidR="00957324">
        <w:rPr>
          <w:sz w:val="28"/>
          <w:szCs w:val="28"/>
        </w:rPr>
        <w:t xml:space="preserve"> One of the country’s leading law professors, Eugene Volokh of the University of California at Los Angeles</w:t>
      </w:r>
      <w:r w:rsidR="00A51528">
        <w:rPr>
          <w:sz w:val="28"/>
          <w:szCs w:val="28"/>
        </w:rPr>
        <w:t>,</w:t>
      </w:r>
      <w:r w:rsidR="00957324">
        <w:rPr>
          <w:sz w:val="28"/>
          <w:szCs w:val="28"/>
        </w:rPr>
        <w:t xml:space="preserve"> </w:t>
      </w:r>
      <w:r w:rsidR="008370C7">
        <w:rPr>
          <w:sz w:val="28"/>
          <w:szCs w:val="28"/>
        </w:rPr>
        <w:t>quoted</w:t>
      </w:r>
      <w:r w:rsidR="00957324">
        <w:rPr>
          <w:sz w:val="28"/>
          <w:szCs w:val="28"/>
        </w:rPr>
        <w:t xml:space="preserve"> a racial epithet </w:t>
      </w:r>
      <w:r w:rsidR="00313DBC">
        <w:rPr>
          <w:sz w:val="28"/>
          <w:szCs w:val="28"/>
        </w:rPr>
        <w:t xml:space="preserve">in class </w:t>
      </w:r>
      <w:r w:rsidR="00957324">
        <w:rPr>
          <w:sz w:val="28"/>
          <w:szCs w:val="28"/>
        </w:rPr>
        <w:t xml:space="preserve">while </w:t>
      </w:r>
      <w:r w:rsidR="00313DBC">
        <w:rPr>
          <w:sz w:val="28"/>
          <w:szCs w:val="28"/>
        </w:rPr>
        <w:t>explaining</w:t>
      </w:r>
      <w:r w:rsidR="00957324">
        <w:rPr>
          <w:sz w:val="28"/>
          <w:szCs w:val="28"/>
        </w:rPr>
        <w:t xml:space="preserve"> </w:t>
      </w:r>
      <w:r w:rsidR="001B39AB">
        <w:rPr>
          <w:sz w:val="28"/>
          <w:szCs w:val="28"/>
        </w:rPr>
        <w:t xml:space="preserve">a </w:t>
      </w:r>
      <w:r w:rsidR="00957324">
        <w:rPr>
          <w:sz w:val="28"/>
          <w:szCs w:val="28"/>
        </w:rPr>
        <w:t xml:space="preserve">court </w:t>
      </w:r>
      <w:r w:rsidR="00A51528">
        <w:rPr>
          <w:sz w:val="28"/>
          <w:szCs w:val="28"/>
        </w:rPr>
        <w:t>opinion</w:t>
      </w:r>
      <w:r w:rsidR="00957324">
        <w:rPr>
          <w:sz w:val="28"/>
          <w:szCs w:val="28"/>
        </w:rPr>
        <w:t xml:space="preserve"> in which the epithet was </w:t>
      </w:r>
      <w:r w:rsidR="00A51528">
        <w:rPr>
          <w:sz w:val="28"/>
          <w:szCs w:val="28"/>
        </w:rPr>
        <w:t>used.</w:t>
      </w:r>
      <w:r w:rsidR="00584B06">
        <w:rPr>
          <w:rStyle w:val="FootnoteReference"/>
          <w:sz w:val="28"/>
          <w:szCs w:val="28"/>
        </w:rPr>
        <w:footnoteReference w:id="5"/>
      </w:r>
      <w:r w:rsidR="00A51528">
        <w:rPr>
          <w:sz w:val="28"/>
          <w:szCs w:val="28"/>
        </w:rPr>
        <w:t xml:space="preserve"> </w:t>
      </w:r>
      <w:r w:rsidR="00957324">
        <w:rPr>
          <w:sz w:val="28"/>
          <w:szCs w:val="28"/>
        </w:rPr>
        <w:t xml:space="preserve"> His dean</w:t>
      </w:r>
      <w:r w:rsidR="00A51528">
        <w:rPr>
          <w:sz w:val="28"/>
          <w:szCs w:val="28"/>
        </w:rPr>
        <w:t>, a friend and respected colleague,</w:t>
      </w:r>
      <w:r w:rsidR="00957324">
        <w:rPr>
          <w:sz w:val="28"/>
          <w:szCs w:val="28"/>
        </w:rPr>
        <w:t xml:space="preserve"> considered even that use of </w:t>
      </w:r>
      <w:r w:rsidR="007F32DD">
        <w:rPr>
          <w:sz w:val="28"/>
          <w:szCs w:val="28"/>
        </w:rPr>
        <w:t>the</w:t>
      </w:r>
      <w:r w:rsidR="00957324">
        <w:rPr>
          <w:sz w:val="28"/>
          <w:szCs w:val="28"/>
        </w:rPr>
        <w:t xml:space="preserve"> word to be incendiary</w:t>
      </w:r>
      <w:r w:rsidR="00A51528">
        <w:rPr>
          <w:sz w:val="28"/>
          <w:szCs w:val="28"/>
        </w:rPr>
        <w:t xml:space="preserve">. The dean </w:t>
      </w:r>
      <w:r w:rsidR="00EE41E5">
        <w:rPr>
          <w:sz w:val="28"/>
          <w:szCs w:val="28"/>
        </w:rPr>
        <w:t xml:space="preserve">publicly </w:t>
      </w:r>
      <w:r w:rsidR="00A51528">
        <w:rPr>
          <w:sz w:val="28"/>
          <w:szCs w:val="28"/>
        </w:rPr>
        <w:t>a</w:t>
      </w:r>
      <w:r w:rsidR="00EE41E5">
        <w:rPr>
          <w:sz w:val="28"/>
          <w:szCs w:val="28"/>
        </w:rPr>
        <w:t>pologized for Volokh’s action</w:t>
      </w:r>
      <w:r w:rsidR="00A0501F">
        <w:rPr>
          <w:sz w:val="28"/>
          <w:szCs w:val="28"/>
        </w:rPr>
        <w:t xml:space="preserve">. </w:t>
      </w:r>
      <w:r w:rsidR="00584B06">
        <w:rPr>
          <w:sz w:val="28"/>
          <w:szCs w:val="28"/>
        </w:rPr>
        <w:t xml:space="preserve">Volokh </w:t>
      </w:r>
      <w:r w:rsidR="002320F7">
        <w:rPr>
          <w:sz w:val="28"/>
          <w:szCs w:val="28"/>
        </w:rPr>
        <w:t>did</w:t>
      </w:r>
      <w:r w:rsidR="00584B06">
        <w:rPr>
          <w:sz w:val="28"/>
          <w:szCs w:val="28"/>
        </w:rPr>
        <w:t xml:space="preserve"> not apologize</w:t>
      </w:r>
      <w:r w:rsidR="00BC05A1">
        <w:rPr>
          <w:sz w:val="28"/>
          <w:szCs w:val="28"/>
        </w:rPr>
        <w:t xml:space="preserve"> for </w:t>
      </w:r>
      <w:r w:rsidR="003B3E91">
        <w:rPr>
          <w:sz w:val="28"/>
          <w:szCs w:val="28"/>
        </w:rPr>
        <w:t>what he considers essential qualities of precision and clarity in teaching</w:t>
      </w:r>
      <w:r w:rsidR="00584B06">
        <w:rPr>
          <w:sz w:val="28"/>
          <w:szCs w:val="28"/>
        </w:rPr>
        <w:t xml:space="preserve">. </w:t>
      </w:r>
      <w:r w:rsidR="002D0DE0">
        <w:rPr>
          <w:sz w:val="28"/>
          <w:szCs w:val="28"/>
        </w:rPr>
        <w:t>Who’s right?</w:t>
      </w:r>
    </w:p>
    <w:p w14:paraId="1A0D69E0" w14:textId="418C163E" w:rsidR="00E87FAA" w:rsidRDefault="00A0501F" w:rsidP="00916542">
      <w:pPr>
        <w:spacing w:line="480" w:lineRule="auto"/>
        <w:ind w:firstLine="432"/>
        <w:rPr>
          <w:sz w:val="28"/>
          <w:szCs w:val="28"/>
        </w:rPr>
      </w:pPr>
      <w:r>
        <w:rPr>
          <w:sz w:val="28"/>
          <w:szCs w:val="28"/>
        </w:rPr>
        <w:t xml:space="preserve">(The dean would have been powerless to </w:t>
      </w:r>
      <w:r w:rsidR="00220BAA">
        <w:rPr>
          <w:sz w:val="28"/>
          <w:szCs w:val="28"/>
        </w:rPr>
        <w:t>punish</w:t>
      </w:r>
      <w:r>
        <w:rPr>
          <w:sz w:val="28"/>
          <w:szCs w:val="28"/>
        </w:rPr>
        <w:t xml:space="preserve"> Volokh because of academic freedom and First Amendment protection for speech at a public university. </w:t>
      </w:r>
      <w:r w:rsidR="000D7EDB">
        <w:rPr>
          <w:sz w:val="28"/>
          <w:szCs w:val="28"/>
        </w:rPr>
        <w:t>It</w:t>
      </w:r>
      <w:r w:rsidR="00E127D9">
        <w:rPr>
          <w:sz w:val="28"/>
          <w:szCs w:val="28"/>
        </w:rPr>
        <w:t xml:space="preserve"> is </w:t>
      </w:r>
      <w:r w:rsidR="00E127D9">
        <w:rPr>
          <w:sz w:val="28"/>
          <w:szCs w:val="28"/>
        </w:rPr>
        <w:lastRenderedPageBreak/>
        <w:t>perhaps</w:t>
      </w:r>
      <w:r w:rsidR="000D7EDB">
        <w:rPr>
          <w:sz w:val="28"/>
          <w:szCs w:val="28"/>
        </w:rPr>
        <w:t xml:space="preserve"> worth noting </w:t>
      </w:r>
      <w:r w:rsidR="00E127D9">
        <w:rPr>
          <w:sz w:val="28"/>
          <w:szCs w:val="28"/>
        </w:rPr>
        <w:t xml:space="preserve">here </w:t>
      </w:r>
      <w:r w:rsidR="000D7EDB">
        <w:rPr>
          <w:sz w:val="28"/>
          <w:szCs w:val="28"/>
        </w:rPr>
        <w:t xml:space="preserve">that a mandatory state bar association </w:t>
      </w:r>
      <w:r w:rsidR="00F43798">
        <w:rPr>
          <w:sz w:val="28"/>
          <w:szCs w:val="28"/>
        </w:rPr>
        <w:t xml:space="preserve">directed by a state supreme court </w:t>
      </w:r>
      <w:r w:rsidR="000D7EDB">
        <w:rPr>
          <w:sz w:val="28"/>
          <w:szCs w:val="28"/>
        </w:rPr>
        <w:t xml:space="preserve">also stands </w:t>
      </w:r>
      <w:r w:rsidR="00732500">
        <w:rPr>
          <w:sz w:val="28"/>
          <w:szCs w:val="28"/>
        </w:rPr>
        <w:t>as a</w:t>
      </w:r>
      <w:r w:rsidR="000D7EDB">
        <w:rPr>
          <w:sz w:val="28"/>
          <w:szCs w:val="28"/>
        </w:rPr>
        <w:t xml:space="preserve"> state actor </w:t>
      </w:r>
      <w:r w:rsidR="00EE41E5">
        <w:rPr>
          <w:sz w:val="28"/>
          <w:szCs w:val="28"/>
        </w:rPr>
        <w:t>in disputes over speech</w:t>
      </w:r>
      <w:r w:rsidR="000D7EDB">
        <w:rPr>
          <w:sz w:val="28"/>
          <w:szCs w:val="28"/>
        </w:rPr>
        <w:t>.</w:t>
      </w:r>
      <w:r w:rsidR="000D7EDB">
        <w:rPr>
          <w:rStyle w:val="FootnoteReference"/>
          <w:sz w:val="28"/>
          <w:szCs w:val="28"/>
        </w:rPr>
        <w:footnoteReference w:id="6"/>
      </w:r>
      <w:r>
        <w:rPr>
          <w:sz w:val="28"/>
          <w:szCs w:val="28"/>
        </w:rPr>
        <w:t>)</w:t>
      </w:r>
      <w:r w:rsidR="000D7EDB">
        <w:rPr>
          <w:sz w:val="28"/>
          <w:szCs w:val="28"/>
        </w:rPr>
        <w:t xml:space="preserve">  </w:t>
      </w:r>
    </w:p>
    <w:p w14:paraId="3157B469" w14:textId="3F23AF1F" w:rsidR="00F7632E" w:rsidRDefault="00D92891" w:rsidP="00916542">
      <w:pPr>
        <w:spacing w:line="480" w:lineRule="auto"/>
        <w:ind w:firstLine="432"/>
        <w:rPr>
          <w:sz w:val="28"/>
          <w:szCs w:val="28"/>
        </w:rPr>
      </w:pPr>
      <w:r>
        <w:rPr>
          <w:sz w:val="28"/>
          <w:szCs w:val="28"/>
        </w:rPr>
        <w:t>The undersigned</w:t>
      </w:r>
      <w:r w:rsidR="00A51528">
        <w:rPr>
          <w:sz w:val="28"/>
          <w:szCs w:val="28"/>
        </w:rPr>
        <w:t xml:space="preserve"> urge</w:t>
      </w:r>
      <w:r>
        <w:rPr>
          <w:sz w:val="28"/>
          <w:szCs w:val="28"/>
        </w:rPr>
        <w:t>s</w:t>
      </w:r>
      <w:r w:rsidR="00A51528">
        <w:rPr>
          <w:sz w:val="28"/>
          <w:szCs w:val="28"/>
        </w:rPr>
        <w:t xml:space="preserve"> anyone contemplating this Petition to read Volokh’s article on th</w:t>
      </w:r>
      <w:r>
        <w:rPr>
          <w:sz w:val="28"/>
          <w:szCs w:val="28"/>
        </w:rPr>
        <w:t>e</w:t>
      </w:r>
      <w:r w:rsidR="00A51528">
        <w:rPr>
          <w:sz w:val="28"/>
          <w:szCs w:val="28"/>
        </w:rPr>
        <w:t xml:space="preserve"> </w:t>
      </w:r>
      <w:r>
        <w:rPr>
          <w:sz w:val="28"/>
          <w:szCs w:val="28"/>
        </w:rPr>
        <w:t>controversy</w:t>
      </w:r>
      <w:r w:rsidR="00210EBA">
        <w:rPr>
          <w:rStyle w:val="FootnoteReference"/>
          <w:sz w:val="28"/>
          <w:szCs w:val="28"/>
        </w:rPr>
        <w:footnoteReference w:id="7"/>
      </w:r>
      <w:r w:rsidR="00A51528">
        <w:rPr>
          <w:sz w:val="28"/>
          <w:szCs w:val="28"/>
        </w:rPr>
        <w:t xml:space="preserve"> and a report on </w:t>
      </w:r>
      <w:r>
        <w:rPr>
          <w:sz w:val="28"/>
          <w:szCs w:val="28"/>
        </w:rPr>
        <w:t>the</w:t>
      </w:r>
      <w:r w:rsidR="00A51528">
        <w:rPr>
          <w:sz w:val="28"/>
          <w:szCs w:val="28"/>
        </w:rPr>
        <w:t xml:space="preserve"> opposing view held by another distinguished law scholar, Geoffrey Stone of the University of Chicago.</w:t>
      </w:r>
      <w:r w:rsidR="00A51528">
        <w:rPr>
          <w:rStyle w:val="FootnoteReference"/>
          <w:sz w:val="28"/>
          <w:szCs w:val="28"/>
        </w:rPr>
        <w:footnoteReference w:id="8"/>
      </w:r>
      <w:r w:rsidR="00857508">
        <w:rPr>
          <w:sz w:val="28"/>
          <w:szCs w:val="28"/>
        </w:rPr>
        <w:t xml:space="preserve"> </w:t>
      </w:r>
      <w:r w:rsidR="00584B06">
        <w:rPr>
          <w:sz w:val="28"/>
          <w:szCs w:val="28"/>
        </w:rPr>
        <w:t>Observe</w:t>
      </w:r>
      <w:r w:rsidR="00857508">
        <w:rPr>
          <w:sz w:val="28"/>
          <w:szCs w:val="28"/>
        </w:rPr>
        <w:t xml:space="preserve"> that even </w:t>
      </w:r>
      <w:r>
        <w:rPr>
          <w:sz w:val="28"/>
          <w:szCs w:val="28"/>
        </w:rPr>
        <w:t>this comment’s</w:t>
      </w:r>
      <w:r w:rsidR="00857508">
        <w:rPr>
          <w:sz w:val="28"/>
          <w:szCs w:val="28"/>
        </w:rPr>
        <w:t xml:space="preserve"> footnotes </w:t>
      </w:r>
      <w:r w:rsidR="00BC1FAE">
        <w:rPr>
          <w:sz w:val="28"/>
          <w:szCs w:val="28"/>
        </w:rPr>
        <w:t>7</w:t>
      </w:r>
      <w:r w:rsidR="00792AD9">
        <w:rPr>
          <w:sz w:val="28"/>
          <w:szCs w:val="28"/>
        </w:rPr>
        <w:t xml:space="preserve"> and </w:t>
      </w:r>
      <w:r w:rsidR="00BC1FAE">
        <w:rPr>
          <w:sz w:val="28"/>
          <w:szCs w:val="28"/>
        </w:rPr>
        <w:t>8</w:t>
      </w:r>
      <w:r w:rsidR="00792AD9">
        <w:rPr>
          <w:sz w:val="28"/>
          <w:szCs w:val="28"/>
        </w:rPr>
        <w:t xml:space="preserve"> </w:t>
      </w:r>
      <w:r w:rsidR="002320F7">
        <w:rPr>
          <w:sz w:val="28"/>
          <w:szCs w:val="28"/>
        </w:rPr>
        <w:t xml:space="preserve">reflect the </w:t>
      </w:r>
      <w:r w:rsidR="00857508">
        <w:rPr>
          <w:sz w:val="28"/>
          <w:szCs w:val="28"/>
        </w:rPr>
        <w:t>clash on this question.</w:t>
      </w:r>
    </w:p>
    <w:p w14:paraId="570212D9" w14:textId="128FD79D" w:rsidR="008864BF" w:rsidRDefault="00B9558F" w:rsidP="00916542">
      <w:pPr>
        <w:spacing w:line="480" w:lineRule="auto"/>
        <w:ind w:firstLine="432"/>
        <w:rPr>
          <w:sz w:val="28"/>
          <w:szCs w:val="28"/>
        </w:rPr>
      </w:pPr>
      <w:r>
        <w:rPr>
          <w:sz w:val="28"/>
          <w:szCs w:val="28"/>
        </w:rPr>
        <w:t xml:space="preserve">For a practically perfect illustration of the conflict, consider </w:t>
      </w:r>
      <w:r w:rsidR="00197781">
        <w:rPr>
          <w:sz w:val="28"/>
          <w:szCs w:val="28"/>
        </w:rPr>
        <w:t>an</w:t>
      </w:r>
      <w:r>
        <w:rPr>
          <w:sz w:val="28"/>
          <w:szCs w:val="28"/>
        </w:rPr>
        <w:t xml:space="preserve"> exchange between lawyers in the O.J. Simpson murder</w:t>
      </w:r>
      <w:r w:rsidR="00090C72">
        <w:rPr>
          <w:sz w:val="28"/>
          <w:szCs w:val="28"/>
        </w:rPr>
        <w:t xml:space="preserve"> trial</w:t>
      </w:r>
      <w:r>
        <w:rPr>
          <w:sz w:val="28"/>
          <w:szCs w:val="28"/>
        </w:rPr>
        <w:t xml:space="preserve">. A white police officer witness for the prosecution, Mark Fuhrman, had been accused of racism that might have influenced his treatment of the black defendant. </w:t>
      </w:r>
      <w:r w:rsidR="00D43E04">
        <w:rPr>
          <w:sz w:val="28"/>
          <w:szCs w:val="28"/>
        </w:rPr>
        <w:t>During pre-trial proceedings, a</w:t>
      </w:r>
      <w:r>
        <w:rPr>
          <w:sz w:val="28"/>
          <w:szCs w:val="28"/>
        </w:rPr>
        <w:t xml:space="preserve"> black prosecutor, Christopher Darden, sought to prevent the introduction of what he called “the N-word” used often by Fuhrman. Darden said the word was so vile that he would not utter it. He feared that it would </w:t>
      </w:r>
      <w:r w:rsidR="00090C72">
        <w:rPr>
          <w:sz w:val="28"/>
          <w:szCs w:val="28"/>
        </w:rPr>
        <w:t>traumatize t</w:t>
      </w:r>
      <w:r>
        <w:rPr>
          <w:sz w:val="28"/>
          <w:szCs w:val="28"/>
        </w:rPr>
        <w:t>he jur</w:t>
      </w:r>
      <w:r w:rsidR="00090C72">
        <w:rPr>
          <w:sz w:val="28"/>
          <w:szCs w:val="28"/>
        </w:rPr>
        <w:t xml:space="preserve">ors </w:t>
      </w:r>
      <w:r w:rsidR="00D6199D">
        <w:rPr>
          <w:sz w:val="28"/>
          <w:szCs w:val="28"/>
        </w:rPr>
        <w:t xml:space="preserve">(eight of whom were black) </w:t>
      </w:r>
      <w:r w:rsidR="00090C72">
        <w:rPr>
          <w:sz w:val="28"/>
          <w:szCs w:val="28"/>
        </w:rPr>
        <w:t>and prejudice them</w:t>
      </w:r>
      <w:r>
        <w:rPr>
          <w:sz w:val="28"/>
          <w:szCs w:val="28"/>
        </w:rPr>
        <w:t xml:space="preserve"> against Fuhrman’s testimony.</w:t>
      </w:r>
    </w:p>
    <w:p w14:paraId="73C83AF9" w14:textId="4E81FCD1" w:rsidR="00B9558F" w:rsidRPr="00B934B8" w:rsidRDefault="00165801" w:rsidP="00B934B8">
      <w:pPr>
        <w:spacing w:line="480" w:lineRule="auto"/>
        <w:ind w:firstLine="432"/>
        <w:rPr>
          <w:rFonts w:eastAsia="Times New Roman"/>
          <w:sz w:val="28"/>
          <w:szCs w:val="28"/>
        </w:rPr>
      </w:pPr>
      <w:r>
        <w:rPr>
          <w:sz w:val="28"/>
          <w:szCs w:val="28"/>
        </w:rPr>
        <w:lastRenderedPageBreak/>
        <w:t xml:space="preserve">Defense counsel </w:t>
      </w:r>
      <w:r w:rsidR="00B934B8">
        <w:rPr>
          <w:sz w:val="28"/>
          <w:szCs w:val="28"/>
        </w:rPr>
        <w:t xml:space="preserve">Johnnie Cochran, Jr. protested. Cochran, black himself, argued that Darden insulted the jury by saying </w:t>
      </w:r>
      <w:r w:rsidR="00B934B8" w:rsidRPr="00B9558F">
        <w:rPr>
          <w:sz w:val="28"/>
          <w:szCs w:val="28"/>
        </w:rPr>
        <w:t>“</w:t>
      </w:r>
      <w:r w:rsidR="00B934B8" w:rsidRPr="00B9558F">
        <w:rPr>
          <w:rFonts w:eastAsia="Times New Roman"/>
          <w:sz w:val="28"/>
          <w:szCs w:val="28"/>
        </w:rPr>
        <w:t>that African-Americans who've lived under oppression for 200-plus years in this country cannot work in the mainstream. African-Americans live with offensive words, offensive looks, offensive treatment every day of their lives. And yet they still believe in this country.</w:t>
      </w:r>
      <w:r w:rsidR="00B934B8">
        <w:rPr>
          <w:rFonts w:eastAsia="Times New Roman"/>
          <w:sz w:val="28"/>
          <w:szCs w:val="28"/>
        </w:rPr>
        <w:t>”</w:t>
      </w:r>
      <w:r w:rsidR="00B934B8">
        <w:rPr>
          <w:rStyle w:val="FootnoteReference"/>
          <w:rFonts w:eastAsia="Times New Roman"/>
          <w:sz w:val="28"/>
          <w:szCs w:val="28"/>
        </w:rPr>
        <w:footnoteReference w:id="9"/>
      </w:r>
      <w:r w:rsidR="00B934B8">
        <w:rPr>
          <w:rFonts w:eastAsia="Times New Roman"/>
          <w:sz w:val="28"/>
          <w:szCs w:val="28"/>
        </w:rPr>
        <w:t xml:space="preserve"> </w:t>
      </w:r>
      <w:r w:rsidR="00B934B8">
        <w:rPr>
          <w:sz w:val="28"/>
          <w:szCs w:val="28"/>
        </w:rPr>
        <w:t>Who’s right?</w:t>
      </w:r>
      <w:r w:rsidR="0088635F">
        <w:rPr>
          <w:sz w:val="28"/>
          <w:szCs w:val="28"/>
        </w:rPr>
        <w:t xml:space="preserve"> (Trial judge </w:t>
      </w:r>
      <w:r w:rsidR="00090C72">
        <w:rPr>
          <w:sz w:val="28"/>
          <w:szCs w:val="28"/>
        </w:rPr>
        <w:t xml:space="preserve">Lance Ito </w:t>
      </w:r>
      <w:r w:rsidR="0088635F">
        <w:rPr>
          <w:sz w:val="28"/>
          <w:szCs w:val="28"/>
        </w:rPr>
        <w:t xml:space="preserve">ruled that </w:t>
      </w:r>
      <w:r w:rsidR="004F60EA">
        <w:rPr>
          <w:sz w:val="28"/>
          <w:szCs w:val="28"/>
        </w:rPr>
        <w:t xml:space="preserve">two of forty-one </w:t>
      </w:r>
      <w:r w:rsidR="0088635F">
        <w:rPr>
          <w:sz w:val="28"/>
          <w:szCs w:val="28"/>
        </w:rPr>
        <w:t>tape recordings of Fuhrman’s racist language could be admitted.</w:t>
      </w:r>
      <w:r w:rsidR="00F92B67">
        <w:rPr>
          <w:sz w:val="28"/>
          <w:szCs w:val="28"/>
        </w:rPr>
        <w:t xml:space="preserve"> Was </w:t>
      </w:r>
      <w:r w:rsidR="004F60EA">
        <w:rPr>
          <w:sz w:val="28"/>
          <w:szCs w:val="28"/>
        </w:rPr>
        <w:t>t</w:t>
      </w:r>
      <w:r w:rsidR="00F92B67">
        <w:rPr>
          <w:sz w:val="28"/>
          <w:szCs w:val="28"/>
        </w:rPr>
        <w:t xml:space="preserve">he </w:t>
      </w:r>
      <w:proofErr w:type="gramStart"/>
      <w:r w:rsidR="004F60EA">
        <w:rPr>
          <w:sz w:val="28"/>
          <w:szCs w:val="28"/>
        </w:rPr>
        <w:t>judge</w:t>
      </w:r>
      <w:proofErr w:type="gramEnd"/>
      <w:r w:rsidR="004F60EA">
        <w:rPr>
          <w:sz w:val="28"/>
          <w:szCs w:val="28"/>
        </w:rPr>
        <w:t xml:space="preserve"> </w:t>
      </w:r>
      <w:r w:rsidR="00F92B67">
        <w:rPr>
          <w:sz w:val="28"/>
          <w:szCs w:val="28"/>
        </w:rPr>
        <w:t>right?</w:t>
      </w:r>
      <w:r w:rsidR="0088635F">
        <w:rPr>
          <w:sz w:val="28"/>
          <w:szCs w:val="28"/>
        </w:rPr>
        <w:t>)</w:t>
      </w:r>
    </w:p>
    <w:p w14:paraId="1CFE7CEE" w14:textId="53447A56" w:rsidR="00AE3AA8" w:rsidRDefault="00D92891" w:rsidP="008E0F38">
      <w:pPr>
        <w:spacing w:line="480" w:lineRule="auto"/>
        <w:ind w:firstLine="432"/>
        <w:rPr>
          <w:sz w:val="28"/>
          <w:szCs w:val="28"/>
        </w:rPr>
      </w:pPr>
      <w:r>
        <w:rPr>
          <w:sz w:val="28"/>
          <w:szCs w:val="28"/>
        </w:rPr>
        <w:t>In such a sensitive area, a</w:t>
      </w:r>
      <w:r w:rsidR="00AE3AA8">
        <w:rPr>
          <w:sz w:val="28"/>
          <w:szCs w:val="28"/>
        </w:rPr>
        <w:t xml:space="preserve">spiration </w:t>
      </w:r>
      <w:r w:rsidR="00EE41E5">
        <w:rPr>
          <w:sz w:val="28"/>
          <w:szCs w:val="28"/>
        </w:rPr>
        <w:t xml:space="preserve">alone cannot </w:t>
      </w:r>
      <w:r w:rsidR="007D4F35">
        <w:rPr>
          <w:sz w:val="28"/>
          <w:szCs w:val="28"/>
        </w:rPr>
        <w:t xml:space="preserve">justify </w:t>
      </w:r>
      <w:r w:rsidR="00B934B8">
        <w:rPr>
          <w:sz w:val="28"/>
          <w:szCs w:val="28"/>
        </w:rPr>
        <w:t>the</w:t>
      </w:r>
      <w:r w:rsidR="007D4F35">
        <w:rPr>
          <w:sz w:val="28"/>
          <w:szCs w:val="28"/>
        </w:rPr>
        <w:t xml:space="preserve"> </w:t>
      </w:r>
      <w:r w:rsidR="00F43798">
        <w:rPr>
          <w:sz w:val="28"/>
          <w:szCs w:val="28"/>
        </w:rPr>
        <w:t xml:space="preserve">vague </w:t>
      </w:r>
      <w:r w:rsidR="007D4F35">
        <w:rPr>
          <w:sz w:val="28"/>
          <w:szCs w:val="28"/>
        </w:rPr>
        <w:t>proposal</w:t>
      </w:r>
      <w:r w:rsidR="00B934B8">
        <w:rPr>
          <w:sz w:val="28"/>
          <w:szCs w:val="28"/>
        </w:rPr>
        <w:t xml:space="preserve"> offered here</w:t>
      </w:r>
      <w:r w:rsidR="00AE3AA8">
        <w:rPr>
          <w:sz w:val="28"/>
          <w:szCs w:val="28"/>
        </w:rPr>
        <w:t xml:space="preserve">. </w:t>
      </w:r>
      <w:r>
        <w:rPr>
          <w:sz w:val="28"/>
          <w:szCs w:val="28"/>
        </w:rPr>
        <w:t xml:space="preserve">We </w:t>
      </w:r>
      <w:r w:rsidR="002D0DE0">
        <w:rPr>
          <w:sz w:val="28"/>
          <w:szCs w:val="28"/>
        </w:rPr>
        <w:t>need</w:t>
      </w:r>
      <w:r>
        <w:rPr>
          <w:sz w:val="28"/>
          <w:szCs w:val="28"/>
        </w:rPr>
        <w:t xml:space="preserve"> relevant knowledge about issues that appear to have prompted this </w:t>
      </w:r>
      <w:r w:rsidR="002D0DE0">
        <w:rPr>
          <w:sz w:val="28"/>
          <w:szCs w:val="28"/>
        </w:rPr>
        <w:t>request</w:t>
      </w:r>
      <w:r>
        <w:rPr>
          <w:sz w:val="28"/>
          <w:szCs w:val="28"/>
        </w:rPr>
        <w:t xml:space="preserve"> </w:t>
      </w:r>
      <w:r w:rsidR="002D0DE0">
        <w:rPr>
          <w:sz w:val="28"/>
          <w:szCs w:val="28"/>
        </w:rPr>
        <w:t>to impose yet another</w:t>
      </w:r>
      <w:r>
        <w:rPr>
          <w:sz w:val="28"/>
          <w:szCs w:val="28"/>
        </w:rPr>
        <w:t xml:space="preserve"> mandate. </w:t>
      </w:r>
      <w:r w:rsidR="00AE3AA8">
        <w:rPr>
          <w:sz w:val="28"/>
          <w:szCs w:val="28"/>
        </w:rPr>
        <w:t xml:space="preserve">I ask the Arizona Supreme Court to </w:t>
      </w:r>
      <w:r w:rsidR="00EA5070">
        <w:rPr>
          <w:sz w:val="28"/>
          <w:szCs w:val="28"/>
        </w:rPr>
        <w:t xml:space="preserve">include in its </w:t>
      </w:r>
      <w:r w:rsidR="00AE3AA8">
        <w:rPr>
          <w:sz w:val="28"/>
          <w:szCs w:val="28"/>
        </w:rPr>
        <w:t>consider</w:t>
      </w:r>
      <w:r w:rsidR="00EA5070">
        <w:rPr>
          <w:sz w:val="28"/>
          <w:szCs w:val="28"/>
        </w:rPr>
        <w:t>ation</w:t>
      </w:r>
      <w:r w:rsidR="00AE3AA8">
        <w:rPr>
          <w:sz w:val="28"/>
          <w:szCs w:val="28"/>
        </w:rPr>
        <w:t xml:space="preserve"> these questions:</w:t>
      </w:r>
    </w:p>
    <w:p w14:paraId="6A0B831C" w14:textId="77777777" w:rsidR="00AE3AA8" w:rsidRDefault="00AE3AA8" w:rsidP="00AE3AA8">
      <w:pPr>
        <w:pStyle w:val="ListParagraph"/>
        <w:numPr>
          <w:ilvl w:val="0"/>
          <w:numId w:val="5"/>
        </w:numPr>
        <w:spacing w:line="480" w:lineRule="auto"/>
        <w:rPr>
          <w:sz w:val="28"/>
          <w:szCs w:val="28"/>
        </w:rPr>
      </w:pPr>
      <w:r w:rsidRPr="00747713">
        <w:rPr>
          <w:sz w:val="28"/>
          <w:szCs w:val="28"/>
        </w:rPr>
        <w:t xml:space="preserve">Approximately how many Arizona attorneys </w:t>
      </w:r>
      <w:r>
        <w:rPr>
          <w:sz w:val="28"/>
          <w:szCs w:val="28"/>
        </w:rPr>
        <w:t xml:space="preserve">now </w:t>
      </w:r>
      <w:r w:rsidRPr="00747713">
        <w:rPr>
          <w:sz w:val="28"/>
          <w:szCs w:val="28"/>
        </w:rPr>
        <w:t>violat</w:t>
      </w:r>
      <w:r>
        <w:rPr>
          <w:sz w:val="28"/>
          <w:szCs w:val="28"/>
        </w:rPr>
        <w:t>e</w:t>
      </w:r>
      <w:r w:rsidRPr="00747713">
        <w:rPr>
          <w:sz w:val="28"/>
          <w:szCs w:val="28"/>
        </w:rPr>
        <w:t>––even unwittingly––the existing applicable rule of professional conduct</w:t>
      </w:r>
      <w:r>
        <w:rPr>
          <w:sz w:val="28"/>
          <w:szCs w:val="28"/>
        </w:rPr>
        <w:t xml:space="preserve"> as it concerns bias</w:t>
      </w:r>
      <w:r w:rsidRPr="00747713">
        <w:rPr>
          <w:sz w:val="28"/>
          <w:szCs w:val="28"/>
        </w:rPr>
        <w:t>? How do we know?</w:t>
      </w:r>
    </w:p>
    <w:p w14:paraId="21CBD986" w14:textId="54E31068" w:rsidR="007D4F35" w:rsidRPr="006275F4" w:rsidRDefault="00AE3AA8" w:rsidP="006275F4">
      <w:pPr>
        <w:pStyle w:val="ListParagraph"/>
        <w:numPr>
          <w:ilvl w:val="0"/>
          <w:numId w:val="5"/>
        </w:numPr>
        <w:spacing w:line="480" w:lineRule="auto"/>
        <w:rPr>
          <w:sz w:val="28"/>
          <w:szCs w:val="28"/>
        </w:rPr>
      </w:pPr>
      <w:r>
        <w:rPr>
          <w:sz w:val="28"/>
          <w:szCs w:val="28"/>
        </w:rPr>
        <w:t>To what extent is the small representation of some groups in law caused or abetted by biased actions or attitudes of higher-up lawyers?</w:t>
      </w:r>
      <w:r w:rsidR="00800A22">
        <w:rPr>
          <w:sz w:val="28"/>
          <w:szCs w:val="28"/>
        </w:rPr>
        <w:t xml:space="preserve"> The Petition</w:t>
      </w:r>
      <w:r w:rsidR="007052E8">
        <w:rPr>
          <w:sz w:val="28"/>
          <w:szCs w:val="28"/>
        </w:rPr>
        <w:t xml:space="preserve"> cites a 2019 report to support the assertion that “structural and cultural hurdles in law firms result in dramatic underrepresentation of women and </w:t>
      </w:r>
      <w:r w:rsidR="007052E8">
        <w:rPr>
          <w:sz w:val="28"/>
          <w:szCs w:val="28"/>
        </w:rPr>
        <w:lastRenderedPageBreak/>
        <w:t>minorities in the equity partnership ranks.”</w:t>
      </w:r>
      <w:r w:rsidR="007052E8">
        <w:rPr>
          <w:rStyle w:val="FootnoteReference"/>
          <w:sz w:val="28"/>
          <w:szCs w:val="28"/>
        </w:rPr>
        <w:footnoteReference w:id="10"/>
      </w:r>
      <w:r w:rsidR="007052E8">
        <w:rPr>
          <w:sz w:val="28"/>
          <w:szCs w:val="28"/>
        </w:rPr>
        <w:t xml:space="preserve"> This</w:t>
      </w:r>
      <w:r w:rsidR="007D4F35">
        <w:rPr>
          <w:sz w:val="28"/>
          <w:szCs w:val="28"/>
        </w:rPr>
        <w:t xml:space="preserve"> is not a finding of fact. It is clearly-labeled </w:t>
      </w:r>
      <w:r w:rsidR="007052E8">
        <w:rPr>
          <w:sz w:val="28"/>
          <w:szCs w:val="28"/>
        </w:rPr>
        <w:t>“Commentary &amp; Analysis” by the law placement organization’s executive director.</w:t>
      </w:r>
      <w:r w:rsidR="007052E8">
        <w:rPr>
          <w:rStyle w:val="FootnoteReference"/>
          <w:sz w:val="28"/>
          <w:szCs w:val="28"/>
        </w:rPr>
        <w:footnoteReference w:id="11"/>
      </w:r>
      <w:r w:rsidR="007052E8">
        <w:rPr>
          <w:sz w:val="28"/>
          <w:szCs w:val="28"/>
        </w:rPr>
        <w:t xml:space="preserve"> </w:t>
      </w:r>
      <w:r w:rsidR="00E36ACE">
        <w:rPr>
          <w:sz w:val="28"/>
          <w:szCs w:val="28"/>
        </w:rPr>
        <w:t xml:space="preserve">Such an inference may ultimately be </w:t>
      </w:r>
      <w:r w:rsidR="00E36ACE" w:rsidRPr="006275F4">
        <w:rPr>
          <w:sz w:val="28"/>
          <w:szCs w:val="28"/>
        </w:rPr>
        <w:t>proved correct</w:t>
      </w:r>
      <w:r w:rsidR="00B9742E">
        <w:rPr>
          <w:sz w:val="28"/>
          <w:szCs w:val="28"/>
        </w:rPr>
        <w:t>.</w:t>
      </w:r>
      <w:r w:rsidR="00E36ACE" w:rsidRPr="006275F4">
        <w:rPr>
          <w:sz w:val="28"/>
          <w:szCs w:val="28"/>
        </w:rPr>
        <w:t xml:space="preserve"> </w:t>
      </w:r>
      <w:r w:rsidR="00B9742E">
        <w:rPr>
          <w:sz w:val="28"/>
          <w:szCs w:val="28"/>
        </w:rPr>
        <w:t xml:space="preserve">For </w:t>
      </w:r>
      <w:proofErr w:type="gramStart"/>
      <w:r w:rsidR="00F43798" w:rsidRPr="006275F4">
        <w:rPr>
          <w:sz w:val="28"/>
          <w:szCs w:val="28"/>
        </w:rPr>
        <w:t>now</w:t>
      </w:r>
      <w:proofErr w:type="gramEnd"/>
      <w:r w:rsidR="00E36ACE" w:rsidRPr="006275F4">
        <w:rPr>
          <w:sz w:val="28"/>
          <w:szCs w:val="28"/>
        </w:rPr>
        <w:t xml:space="preserve"> </w:t>
      </w:r>
      <w:r w:rsidR="00B9742E">
        <w:rPr>
          <w:sz w:val="28"/>
          <w:szCs w:val="28"/>
        </w:rPr>
        <w:t xml:space="preserve">it is </w:t>
      </w:r>
      <w:r w:rsidR="00E36ACE" w:rsidRPr="006275F4">
        <w:rPr>
          <w:sz w:val="28"/>
          <w:szCs w:val="28"/>
        </w:rPr>
        <w:t xml:space="preserve">little more than </w:t>
      </w:r>
      <w:r w:rsidR="0021678F" w:rsidRPr="006275F4">
        <w:rPr>
          <w:sz w:val="28"/>
          <w:szCs w:val="28"/>
        </w:rPr>
        <w:t>a feeling</w:t>
      </w:r>
      <w:r w:rsidR="007D4F35" w:rsidRPr="006275F4">
        <w:rPr>
          <w:sz w:val="28"/>
          <w:szCs w:val="28"/>
        </w:rPr>
        <w:t>,</w:t>
      </w:r>
      <w:r w:rsidR="0021678F" w:rsidRPr="006275F4">
        <w:rPr>
          <w:sz w:val="28"/>
          <w:szCs w:val="28"/>
        </w:rPr>
        <w:t xml:space="preserve"> despite </w:t>
      </w:r>
      <w:r w:rsidR="007D4F35" w:rsidRPr="006275F4">
        <w:rPr>
          <w:sz w:val="28"/>
          <w:szCs w:val="28"/>
        </w:rPr>
        <w:t xml:space="preserve">the </w:t>
      </w:r>
      <w:r w:rsidR="001041AF" w:rsidRPr="006275F4">
        <w:rPr>
          <w:sz w:val="28"/>
          <w:szCs w:val="28"/>
        </w:rPr>
        <w:t xml:space="preserve">same </w:t>
      </w:r>
      <w:r w:rsidR="007D4F35" w:rsidRPr="006275F4">
        <w:rPr>
          <w:sz w:val="28"/>
          <w:szCs w:val="28"/>
        </w:rPr>
        <w:t xml:space="preserve">executive’s acknowledgement of </w:t>
      </w:r>
      <w:r w:rsidR="00316323" w:rsidRPr="006275F4">
        <w:rPr>
          <w:sz w:val="28"/>
          <w:szCs w:val="28"/>
        </w:rPr>
        <w:t xml:space="preserve">small but </w:t>
      </w:r>
      <w:r w:rsidR="007D4F35" w:rsidRPr="006275F4">
        <w:rPr>
          <w:sz w:val="28"/>
          <w:szCs w:val="28"/>
        </w:rPr>
        <w:t>“</w:t>
      </w:r>
      <w:r w:rsidR="0021678F" w:rsidRPr="006275F4">
        <w:rPr>
          <w:sz w:val="28"/>
          <w:szCs w:val="28"/>
        </w:rPr>
        <w:t>steady gains” in diversity.</w:t>
      </w:r>
    </w:p>
    <w:p w14:paraId="7C7BE592" w14:textId="1D82A2F9" w:rsidR="00AE3AA8" w:rsidRPr="007D4F35" w:rsidRDefault="00AE3AA8" w:rsidP="007D4F35">
      <w:pPr>
        <w:pStyle w:val="ListParagraph"/>
        <w:numPr>
          <w:ilvl w:val="0"/>
          <w:numId w:val="5"/>
        </w:numPr>
        <w:spacing w:line="480" w:lineRule="auto"/>
        <w:rPr>
          <w:sz w:val="28"/>
          <w:szCs w:val="28"/>
        </w:rPr>
      </w:pPr>
      <w:r w:rsidRPr="007D4F35">
        <w:rPr>
          <w:sz w:val="28"/>
          <w:szCs w:val="28"/>
        </w:rPr>
        <w:t xml:space="preserve">Does research support the Petition’s premise that compelled presence </w:t>
      </w:r>
      <w:r w:rsidR="001E4AEC" w:rsidRPr="007D4F35">
        <w:rPr>
          <w:sz w:val="28"/>
          <w:szCs w:val="28"/>
        </w:rPr>
        <w:t xml:space="preserve">of all active members </w:t>
      </w:r>
      <w:r w:rsidRPr="007D4F35">
        <w:rPr>
          <w:sz w:val="28"/>
          <w:szCs w:val="28"/>
        </w:rPr>
        <w:t xml:space="preserve">at </w:t>
      </w:r>
      <w:r w:rsidR="00DD0534">
        <w:rPr>
          <w:sz w:val="28"/>
          <w:szCs w:val="28"/>
        </w:rPr>
        <w:t>Bar-approved enlightenment</w:t>
      </w:r>
      <w:r w:rsidRPr="007D4F35">
        <w:rPr>
          <w:sz w:val="28"/>
          <w:szCs w:val="28"/>
        </w:rPr>
        <w:t xml:space="preserve"> </w:t>
      </w:r>
      <w:r w:rsidR="004C45B3">
        <w:rPr>
          <w:sz w:val="28"/>
          <w:szCs w:val="28"/>
        </w:rPr>
        <w:t>training</w:t>
      </w:r>
      <w:r w:rsidRPr="007D4F35">
        <w:rPr>
          <w:sz w:val="28"/>
          <w:szCs w:val="28"/>
        </w:rPr>
        <w:t xml:space="preserve"> would be appropriate? </w:t>
      </w:r>
      <w:r w:rsidR="001E4AEC" w:rsidRPr="007D4F35">
        <w:rPr>
          <w:sz w:val="28"/>
          <w:szCs w:val="28"/>
        </w:rPr>
        <w:t xml:space="preserve">Would it be more prudent and effective to use such </w:t>
      </w:r>
      <w:r w:rsidR="001A686C">
        <w:rPr>
          <w:sz w:val="28"/>
          <w:szCs w:val="28"/>
        </w:rPr>
        <w:t>events</w:t>
      </w:r>
      <w:r w:rsidR="001E4AEC" w:rsidRPr="007D4F35">
        <w:rPr>
          <w:sz w:val="28"/>
          <w:szCs w:val="28"/>
        </w:rPr>
        <w:t xml:space="preserve"> as part of the discipline process for lawyers found to have violated the applicable rule?</w:t>
      </w:r>
    </w:p>
    <w:p w14:paraId="3823116B" w14:textId="2A9721D3" w:rsidR="00AE3AA8" w:rsidRDefault="00AE3AA8" w:rsidP="00AE3AA8">
      <w:pPr>
        <w:pStyle w:val="ListParagraph"/>
        <w:numPr>
          <w:ilvl w:val="0"/>
          <w:numId w:val="5"/>
        </w:numPr>
        <w:spacing w:line="480" w:lineRule="auto"/>
        <w:rPr>
          <w:sz w:val="28"/>
          <w:szCs w:val="28"/>
        </w:rPr>
      </w:pPr>
      <w:r w:rsidRPr="00F26CA2">
        <w:rPr>
          <w:sz w:val="28"/>
          <w:szCs w:val="28"/>
        </w:rPr>
        <w:t xml:space="preserve">Since pursuit of social goals sometimes </w:t>
      </w:r>
      <w:r w:rsidR="002D0DE0">
        <w:rPr>
          <w:sz w:val="28"/>
          <w:szCs w:val="28"/>
        </w:rPr>
        <w:t>lurches</w:t>
      </w:r>
      <w:r w:rsidRPr="00F26CA2">
        <w:rPr>
          <w:sz w:val="28"/>
          <w:szCs w:val="28"/>
        </w:rPr>
        <w:t xml:space="preserve"> from teaching to preaching, will the contemplated programs maintain viewpoint neutrality </w:t>
      </w:r>
      <w:r>
        <w:rPr>
          <w:sz w:val="28"/>
          <w:szCs w:val="28"/>
        </w:rPr>
        <w:t>on topics of legitimate debate</w:t>
      </w:r>
      <w:r w:rsidRPr="00F26CA2">
        <w:rPr>
          <w:sz w:val="28"/>
          <w:szCs w:val="28"/>
        </w:rPr>
        <w:t>? Will they distinguish in</w:t>
      </w:r>
      <w:r w:rsidR="00EE41E5">
        <w:rPr>
          <w:sz w:val="28"/>
          <w:szCs w:val="28"/>
        </w:rPr>
        <w:t>struction</w:t>
      </w:r>
      <w:r w:rsidRPr="00F26CA2">
        <w:rPr>
          <w:sz w:val="28"/>
          <w:szCs w:val="28"/>
        </w:rPr>
        <w:t xml:space="preserve"> from indoctrination? </w:t>
      </w:r>
      <w:r w:rsidR="006313CC">
        <w:rPr>
          <w:sz w:val="28"/>
          <w:szCs w:val="28"/>
        </w:rPr>
        <w:t xml:space="preserve">Will </w:t>
      </w:r>
      <w:r w:rsidR="00CB5376">
        <w:rPr>
          <w:sz w:val="28"/>
          <w:szCs w:val="28"/>
        </w:rPr>
        <w:t xml:space="preserve">freedom of </w:t>
      </w:r>
      <w:r w:rsidR="006313CC">
        <w:rPr>
          <w:sz w:val="28"/>
          <w:szCs w:val="28"/>
        </w:rPr>
        <w:t xml:space="preserve">speech be honored even if some speech criticizes positions </w:t>
      </w:r>
      <w:r w:rsidR="00CB5376">
        <w:rPr>
          <w:sz w:val="28"/>
          <w:szCs w:val="28"/>
        </w:rPr>
        <w:t xml:space="preserve">promoted by the Bar or </w:t>
      </w:r>
      <w:r w:rsidR="006313CC">
        <w:rPr>
          <w:sz w:val="28"/>
          <w:szCs w:val="28"/>
        </w:rPr>
        <w:t>advanced by the program facilitators?</w:t>
      </w:r>
      <w:r w:rsidR="00175E46">
        <w:rPr>
          <w:rStyle w:val="FootnoteReference"/>
          <w:sz w:val="28"/>
          <w:szCs w:val="28"/>
        </w:rPr>
        <w:footnoteReference w:id="12"/>
      </w:r>
    </w:p>
    <w:p w14:paraId="517EC71F" w14:textId="48CD2F24" w:rsidR="001E4AEC" w:rsidRPr="001E4AEC" w:rsidRDefault="001E4AEC" w:rsidP="001E4AEC">
      <w:pPr>
        <w:pStyle w:val="ListParagraph"/>
        <w:numPr>
          <w:ilvl w:val="0"/>
          <w:numId w:val="5"/>
        </w:numPr>
        <w:spacing w:line="480" w:lineRule="auto"/>
        <w:rPr>
          <w:sz w:val="28"/>
          <w:szCs w:val="28"/>
        </w:rPr>
      </w:pPr>
      <w:r>
        <w:rPr>
          <w:sz w:val="28"/>
          <w:szCs w:val="28"/>
        </w:rPr>
        <w:lastRenderedPageBreak/>
        <w:t xml:space="preserve">Two practical </w:t>
      </w:r>
      <w:r w:rsidR="00743674">
        <w:rPr>
          <w:sz w:val="28"/>
          <w:szCs w:val="28"/>
        </w:rPr>
        <w:t xml:space="preserve">administrative </w:t>
      </w:r>
      <w:r>
        <w:rPr>
          <w:sz w:val="28"/>
          <w:szCs w:val="28"/>
        </w:rPr>
        <w:t xml:space="preserve">matters. First, will the proposed hour of compliance credit be free-standing or included in three-hour programs that </w:t>
      </w:r>
      <w:r w:rsidR="007500AC">
        <w:rPr>
          <w:sz w:val="28"/>
          <w:szCs w:val="28"/>
        </w:rPr>
        <w:t xml:space="preserve">many </w:t>
      </w:r>
      <w:r>
        <w:rPr>
          <w:sz w:val="28"/>
          <w:szCs w:val="28"/>
        </w:rPr>
        <w:t xml:space="preserve">lawyers typically use to meet their MCLE ethics requirement at one sitting, a benefit touted by the State Bar </w:t>
      </w:r>
      <w:r w:rsidR="00F27E23">
        <w:rPr>
          <w:sz w:val="28"/>
          <w:szCs w:val="28"/>
        </w:rPr>
        <w:t>to sell participation at</w:t>
      </w:r>
      <w:r>
        <w:rPr>
          <w:sz w:val="28"/>
          <w:szCs w:val="28"/>
        </w:rPr>
        <w:t xml:space="preserve"> CLE by the Sea and the annual convention? </w:t>
      </w:r>
      <w:r w:rsidR="000F12F1">
        <w:rPr>
          <w:sz w:val="28"/>
          <w:szCs w:val="28"/>
        </w:rPr>
        <w:t>The Petition emphasizes that this proposal would not increase the total MCLE burden, but the difficulty of squeezing th</w:t>
      </w:r>
      <w:r w:rsidR="00AC19A1">
        <w:rPr>
          <w:sz w:val="28"/>
          <w:szCs w:val="28"/>
        </w:rPr>
        <w:t>e</w:t>
      </w:r>
      <w:r w:rsidR="000F12F1">
        <w:rPr>
          <w:sz w:val="28"/>
          <w:szCs w:val="28"/>
        </w:rPr>
        <w:t xml:space="preserve"> annual hour into existing CLE formats </w:t>
      </w:r>
      <w:r w:rsidR="004D6914">
        <w:rPr>
          <w:sz w:val="28"/>
          <w:szCs w:val="28"/>
        </w:rPr>
        <w:t xml:space="preserve">and schedules </w:t>
      </w:r>
      <w:r w:rsidR="000F12F1">
        <w:rPr>
          <w:sz w:val="28"/>
          <w:szCs w:val="28"/>
        </w:rPr>
        <w:t>might cause that very result.</w:t>
      </w:r>
      <w:r w:rsidR="000F12F1">
        <w:rPr>
          <w:rStyle w:val="FootnoteReference"/>
          <w:sz w:val="28"/>
          <w:szCs w:val="28"/>
        </w:rPr>
        <w:footnoteReference w:id="13"/>
      </w:r>
      <w:r w:rsidR="000F12F1">
        <w:rPr>
          <w:sz w:val="28"/>
          <w:szCs w:val="28"/>
        </w:rPr>
        <w:t xml:space="preserve"> </w:t>
      </w:r>
      <w:r>
        <w:rPr>
          <w:sz w:val="28"/>
          <w:szCs w:val="28"/>
        </w:rPr>
        <w:t xml:space="preserve">Second, </w:t>
      </w:r>
      <w:r w:rsidR="002C29E2">
        <w:rPr>
          <w:sz w:val="28"/>
          <w:szCs w:val="28"/>
        </w:rPr>
        <w:t>can</w:t>
      </w:r>
      <w:r>
        <w:rPr>
          <w:sz w:val="28"/>
          <w:szCs w:val="28"/>
        </w:rPr>
        <w:t xml:space="preserve"> the State Bar assure members that this hour will be free </w:t>
      </w:r>
      <w:r w:rsidR="004B7D2F">
        <w:rPr>
          <w:sz w:val="28"/>
          <w:szCs w:val="28"/>
        </w:rPr>
        <w:t xml:space="preserve">of charge </w:t>
      </w:r>
      <w:r>
        <w:rPr>
          <w:sz w:val="28"/>
          <w:szCs w:val="28"/>
        </w:rPr>
        <w:t xml:space="preserve">for the first year or provided </w:t>
      </w:r>
      <w:r w:rsidR="004927F7">
        <w:rPr>
          <w:sz w:val="28"/>
          <w:szCs w:val="28"/>
        </w:rPr>
        <w:t xml:space="preserve">for </w:t>
      </w:r>
      <w:r w:rsidR="005B4B9A">
        <w:rPr>
          <w:sz w:val="28"/>
          <w:szCs w:val="28"/>
        </w:rPr>
        <w:t>a</w:t>
      </w:r>
      <w:r>
        <w:rPr>
          <w:sz w:val="28"/>
          <w:szCs w:val="28"/>
        </w:rPr>
        <w:t xml:space="preserve"> minimal cost of ten dollars, as recommended by the </w:t>
      </w:r>
      <w:r w:rsidRPr="002728CB">
        <w:rPr>
          <w:sz w:val="28"/>
          <w:szCs w:val="28"/>
        </w:rPr>
        <w:t>Task Force on Social Justice, Bias and Inclusion</w:t>
      </w:r>
      <w:r>
        <w:rPr>
          <w:sz w:val="28"/>
          <w:szCs w:val="28"/>
        </w:rPr>
        <w:t>?</w:t>
      </w:r>
      <w:r>
        <w:rPr>
          <w:rStyle w:val="FootnoteReference"/>
          <w:sz w:val="28"/>
          <w:szCs w:val="28"/>
        </w:rPr>
        <w:footnoteReference w:id="14"/>
      </w:r>
    </w:p>
    <w:p w14:paraId="196ED621" w14:textId="50F3AF64" w:rsidR="00951AC7" w:rsidRDefault="00951AC7" w:rsidP="00AE3AA8">
      <w:pPr>
        <w:pStyle w:val="ListParagraph"/>
        <w:numPr>
          <w:ilvl w:val="0"/>
          <w:numId w:val="5"/>
        </w:numPr>
        <w:spacing w:line="480" w:lineRule="auto"/>
        <w:rPr>
          <w:sz w:val="28"/>
          <w:szCs w:val="28"/>
        </w:rPr>
      </w:pPr>
      <w:r>
        <w:rPr>
          <w:sz w:val="28"/>
          <w:szCs w:val="28"/>
        </w:rPr>
        <w:t>How w</w:t>
      </w:r>
      <w:r w:rsidR="00BE5626">
        <w:rPr>
          <w:sz w:val="28"/>
          <w:szCs w:val="28"/>
        </w:rPr>
        <w:t>ould</w:t>
      </w:r>
      <w:r>
        <w:rPr>
          <w:sz w:val="28"/>
          <w:szCs w:val="28"/>
        </w:rPr>
        <w:t xml:space="preserve"> we assess the amendment’s effectiveness</w:t>
      </w:r>
      <w:r w:rsidR="002728CB">
        <w:rPr>
          <w:sz w:val="28"/>
          <w:szCs w:val="28"/>
        </w:rPr>
        <w:t xml:space="preserve">, not merely in the number of </w:t>
      </w:r>
      <w:r w:rsidR="004B7D2F">
        <w:rPr>
          <w:sz w:val="28"/>
          <w:szCs w:val="28"/>
        </w:rPr>
        <w:t>M</w:t>
      </w:r>
      <w:r w:rsidR="00F74ABE">
        <w:rPr>
          <w:sz w:val="28"/>
          <w:szCs w:val="28"/>
        </w:rPr>
        <w:t xml:space="preserve">CLE </w:t>
      </w:r>
      <w:r w:rsidR="00701166">
        <w:rPr>
          <w:sz w:val="28"/>
          <w:szCs w:val="28"/>
        </w:rPr>
        <w:t>compliance</w:t>
      </w:r>
      <w:r w:rsidR="002728CB">
        <w:rPr>
          <w:sz w:val="28"/>
          <w:szCs w:val="28"/>
        </w:rPr>
        <w:t xml:space="preserve"> hours delivered, but in actual impact on diversity and inclusion?</w:t>
      </w:r>
    </w:p>
    <w:p w14:paraId="2F0217DB" w14:textId="7A806387" w:rsidR="007F68B6" w:rsidRDefault="005037B6" w:rsidP="007F68B6">
      <w:pPr>
        <w:spacing w:line="480" w:lineRule="auto"/>
        <w:ind w:firstLine="425"/>
        <w:rPr>
          <w:sz w:val="28"/>
          <w:szCs w:val="28"/>
        </w:rPr>
      </w:pPr>
      <w:r>
        <w:rPr>
          <w:sz w:val="28"/>
          <w:szCs w:val="28"/>
        </w:rPr>
        <w:lastRenderedPageBreak/>
        <w:t>The Petition offers no clue</w:t>
      </w:r>
      <w:r w:rsidR="00AE3AA8">
        <w:rPr>
          <w:sz w:val="28"/>
          <w:szCs w:val="28"/>
        </w:rPr>
        <w:t xml:space="preserve">. The State Bar </w:t>
      </w:r>
      <w:r w:rsidR="00FA727E">
        <w:rPr>
          <w:sz w:val="28"/>
          <w:szCs w:val="28"/>
        </w:rPr>
        <w:t xml:space="preserve">in effect </w:t>
      </w:r>
      <w:r w:rsidR="00AE3AA8">
        <w:rPr>
          <w:sz w:val="28"/>
          <w:szCs w:val="28"/>
        </w:rPr>
        <w:t xml:space="preserve">asks the Court to affirm the goal of </w:t>
      </w:r>
      <w:r w:rsidR="001A686C">
        <w:rPr>
          <w:sz w:val="28"/>
          <w:szCs w:val="28"/>
        </w:rPr>
        <w:t xml:space="preserve">expanded </w:t>
      </w:r>
      <w:r w:rsidR="00AE3AA8">
        <w:rPr>
          <w:sz w:val="28"/>
          <w:szCs w:val="28"/>
        </w:rPr>
        <w:t>diversity now and let the Bar figure out later how to employ compulsory CLE to that end.</w:t>
      </w:r>
      <w:r w:rsidR="00FA727E">
        <w:rPr>
          <w:rStyle w:val="FootnoteReference"/>
          <w:sz w:val="28"/>
          <w:szCs w:val="28"/>
        </w:rPr>
        <w:footnoteReference w:id="15"/>
      </w:r>
      <w:r w:rsidR="00AE3AA8">
        <w:rPr>
          <w:sz w:val="28"/>
          <w:szCs w:val="28"/>
        </w:rPr>
        <w:t xml:space="preserve"> Surely the Court’s consideration would be informed better if those steps were transposed. Predicting outcomes is premature </w:t>
      </w:r>
      <w:r w:rsidR="00D91221">
        <w:rPr>
          <w:sz w:val="28"/>
          <w:szCs w:val="28"/>
        </w:rPr>
        <w:t>when</w:t>
      </w:r>
      <w:r w:rsidR="00AE3AA8">
        <w:rPr>
          <w:sz w:val="28"/>
          <w:szCs w:val="28"/>
        </w:rPr>
        <w:t xml:space="preserve"> we don’t understand the process. No </w:t>
      </w:r>
      <w:r w:rsidR="00701166">
        <w:rPr>
          <w:sz w:val="28"/>
          <w:szCs w:val="28"/>
        </w:rPr>
        <w:t>t</w:t>
      </w:r>
      <w:r w:rsidR="00AE3AA8">
        <w:rPr>
          <w:sz w:val="28"/>
          <w:szCs w:val="28"/>
        </w:rPr>
        <w:t xml:space="preserve">eacher would </w:t>
      </w:r>
      <w:r w:rsidR="00701166">
        <w:rPr>
          <w:sz w:val="28"/>
          <w:szCs w:val="28"/>
        </w:rPr>
        <w:t xml:space="preserve">seriously </w:t>
      </w:r>
      <w:r w:rsidR="00AE3AA8">
        <w:rPr>
          <w:sz w:val="28"/>
          <w:szCs w:val="28"/>
        </w:rPr>
        <w:t>assert that we’ll make the grade if we haven’t even seen a syllabus.</w:t>
      </w:r>
    </w:p>
    <w:p w14:paraId="4DEB5A38" w14:textId="3B883558" w:rsidR="007F68B6" w:rsidRDefault="003672CF" w:rsidP="007F68B6">
      <w:pPr>
        <w:spacing w:line="480" w:lineRule="auto"/>
        <w:ind w:firstLine="425"/>
        <w:rPr>
          <w:sz w:val="28"/>
          <w:szCs w:val="28"/>
        </w:rPr>
      </w:pPr>
      <w:r>
        <w:rPr>
          <w:sz w:val="28"/>
          <w:szCs w:val="28"/>
        </w:rPr>
        <w:t>This p</w:t>
      </w:r>
      <w:r w:rsidR="004D6914">
        <w:rPr>
          <w:sz w:val="28"/>
          <w:szCs w:val="28"/>
        </w:rPr>
        <w:t>ro</w:t>
      </w:r>
      <w:r w:rsidR="00212D82">
        <w:rPr>
          <w:sz w:val="28"/>
          <w:szCs w:val="28"/>
        </w:rPr>
        <w:t>posal</w:t>
      </w:r>
      <w:r>
        <w:rPr>
          <w:sz w:val="28"/>
          <w:szCs w:val="28"/>
        </w:rPr>
        <w:t xml:space="preserve"> demands a little lawyerly skepticism</w:t>
      </w:r>
      <w:r w:rsidR="0090444A">
        <w:rPr>
          <w:sz w:val="28"/>
          <w:szCs w:val="28"/>
        </w:rPr>
        <w:t xml:space="preserve"> for another reason</w:t>
      </w:r>
      <w:r>
        <w:rPr>
          <w:sz w:val="28"/>
          <w:szCs w:val="28"/>
        </w:rPr>
        <w:t xml:space="preserve">. </w:t>
      </w:r>
      <w:r w:rsidR="00AE3AA8">
        <w:rPr>
          <w:sz w:val="28"/>
          <w:szCs w:val="28"/>
        </w:rPr>
        <w:t xml:space="preserve">We don’t know whether or not </w:t>
      </w:r>
      <w:r w:rsidR="00AE3AA8" w:rsidRPr="004A0F36">
        <w:rPr>
          <w:i/>
          <w:sz w:val="28"/>
          <w:szCs w:val="28"/>
        </w:rPr>
        <w:t>any</w:t>
      </w:r>
      <w:r w:rsidR="00AE3AA8">
        <w:rPr>
          <w:sz w:val="28"/>
          <w:szCs w:val="28"/>
        </w:rPr>
        <w:t xml:space="preserve"> mandated CLE educates, let alone </w:t>
      </w:r>
      <w:r w:rsidR="005B4B9A">
        <w:rPr>
          <w:sz w:val="28"/>
          <w:szCs w:val="28"/>
        </w:rPr>
        <w:t xml:space="preserve">meets this </w:t>
      </w:r>
      <w:r w:rsidR="003968D7">
        <w:rPr>
          <w:sz w:val="28"/>
          <w:szCs w:val="28"/>
        </w:rPr>
        <w:t xml:space="preserve">apparent </w:t>
      </w:r>
      <w:r w:rsidR="005B4B9A">
        <w:rPr>
          <w:sz w:val="28"/>
          <w:szCs w:val="28"/>
        </w:rPr>
        <w:t xml:space="preserve">new </w:t>
      </w:r>
      <w:r w:rsidR="003968D7">
        <w:rPr>
          <w:sz w:val="28"/>
          <w:szCs w:val="28"/>
        </w:rPr>
        <w:t>purpose</w:t>
      </w:r>
      <w:r w:rsidR="005B4B9A">
        <w:rPr>
          <w:sz w:val="28"/>
          <w:szCs w:val="28"/>
        </w:rPr>
        <w:t xml:space="preserve"> of </w:t>
      </w:r>
      <w:r w:rsidR="00AE3AA8">
        <w:rPr>
          <w:sz w:val="28"/>
          <w:szCs w:val="28"/>
        </w:rPr>
        <w:t>win</w:t>
      </w:r>
      <w:r w:rsidR="005B4B9A">
        <w:rPr>
          <w:sz w:val="28"/>
          <w:szCs w:val="28"/>
        </w:rPr>
        <w:t>ning</w:t>
      </w:r>
      <w:r w:rsidR="00AE3AA8">
        <w:rPr>
          <w:sz w:val="28"/>
          <w:szCs w:val="28"/>
        </w:rPr>
        <w:t xml:space="preserve"> hearts and </w:t>
      </w:r>
      <w:r w:rsidR="00A82DB9">
        <w:rPr>
          <w:sz w:val="28"/>
          <w:szCs w:val="28"/>
        </w:rPr>
        <w:t xml:space="preserve">modifying </w:t>
      </w:r>
      <w:r w:rsidR="00AE3AA8">
        <w:rPr>
          <w:sz w:val="28"/>
          <w:szCs w:val="28"/>
        </w:rPr>
        <w:t>minds</w:t>
      </w:r>
      <w:r w:rsidR="00A82DB9">
        <w:rPr>
          <w:sz w:val="28"/>
          <w:szCs w:val="28"/>
        </w:rPr>
        <w:t>ets</w:t>
      </w:r>
      <w:r w:rsidR="00AE3AA8">
        <w:rPr>
          <w:sz w:val="28"/>
          <w:szCs w:val="28"/>
        </w:rPr>
        <w:t xml:space="preserve">. In thirty-two years, neither the Court nor the State Bar has conducted a documented rigorous review of </w:t>
      </w:r>
      <w:r w:rsidR="00417731">
        <w:rPr>
          <w:sz w:val="28"/>
          <w:szCs w:val="28"/>
        </w:rPr>
        <w:t>our</w:t>
      </w:r>
      <w:r w:rsidR="00AE3AA8">
        <w:rPr>
          <w:sz w:val="28"/>
          <w:szCs w:val="28"/>
        </w:rPr>
        <w:t xml:space="preserve"> mandate’s </w:t>
      </w:r>
      <w:r w:rsidR="00BF4D80">
        <w:rPr>
          <w:sz w:val="28"/>
          <w:szCs w:val="28"/>
        </w:rPr>
        <w:t>efficacy</w:t>
      </w:r>
      <w:r w:rsidR="00B049B2">
        <w:rPr>
          <w:sz w:val="28"/>
          <w:szCs w:val="28"/>
        </w:rPr>
        <w:t>.</w:t>
      </w:r>
      <w:r w:rsidR="003968D7">
        <w:rPr>
          <w:rStyle w:val="FootnoteReference"/>
          <w:sz w:val="28"/>
          <w:szCs w:val="28"/>
        </w:rPr>
        <w:footnoteReference w:id="16"/>
      </w:r>
    </w:p>
    <w:p w14:paraId="63212504" w14:textId="0A2DD005" w:rsidR="007F68B6" w:rsidRDefault="00AE3AA8" w:rsidP="007F68B6">
      <w:pPr>
        <w:spacing w:line="480" w:lineRule="auto"/>
        <w:ind w:firstLine="425"/>
        <w:rPr>
          <w:sz w:val="28"/>
          <w:szCs w:val="28"/>
        </w:rPr>
      </w:pPr>
      <w:r w:rsidRPr="00FC56F5">
        <w:rPr>
          <w:sz w:val="28"/>
          <w:szCs w:val="28"/>
        </w:rPr>
        <w:t>America’s most-cited scholar on law profession ethics, the late Deborah Rhode of Stanford</w:t>
      </w:r>
      <w:r>
        <w:rPr>
          <w:sz w:val="28"/>
          <w:szCs w:val="28"/>
        </w:rPr>
        <w:t xml:space="preserve"> Law School</w:t>
      </w:r>
      <w:r w:rsidRPr="00FC56F5">
        <w:rPr>
          <w:sz w:val="28"/>
          <w:szCs w:val="28"/>
        </w:rPr>
        <w:t xml:space="preserve">, concluded after </w:t>
      </w:r>
      <w:r>
        <w:rPr>
          <w:sz w:val="28"/>
          <w:szCs w:val="28"/>
        </w:rPr>
        <w:t>comprehensive</w:t>
      </w:r>
      <w:r w:rsidRPr="00FC56F5">
        <w:rPr>
          <w:sz w:val="28"/>
          <w:szCs w:val="28"/>
        </w:rPr>
        <w:t xml:space="preserve"> study that </w:t>
      </w:r>
      <w:r>
        <w:rPr>
          <w:sz w:val="28"/>
          <w:szCs w:val="28"/>
        </w:rPr>
        <w:t xml:space="preserve">mandated </w:t>
      </w:r>
      <w:r w:rsidRPr="00FC56F5">
        <w:rPr>
          <w:sz w:val="28"/>
          <w:szCs w:val="28"/>
        </w:rPr>
        <w:t xml:space="preserve">CLE </w:t>
      </w:r>
      <w:r>
        <w:rPr>
          <w:sz w:val="28"/>
          <w:szCs w:val="28"/>
        </w:rPr>
        <w:lastRenderedPageBreak/>
        <w:t xml:space="preserve">does little or no good </w:t>
      </w:r>
      <w:r w:rsidRPr="00FC56F5">
        <w:rPr>
          <w:sz w:val="28"/>
          <w:szCs w:val="28"/>
        </w:rPr>
        <w:t>for most lawyers.</w:t>
      </w:r>
      <w:r>
        <w:rPr>
          <w:rStyle w:val="FootnoteReference"/>
          <w:sz w:val="28"/>
          <w:szCs w:val="28"/>
        </w:rPr>
        <w:footnoteReference w:id="17"/>
      </w:r>
      <w:r w:rsidR="00FF4B1F">
        <w:rPr>
          <w:sz w:val="28"/>
          <w:szCs w:val="28"/>
        </w:rPr>
        <w:t xml:space="preserve"> Rhode clerked for Justice Thurgood Marshall. </w:t>
      </w:r>
      <w:r w:rsidR="001C1A20">
        <w:rPr>
          <w:sz w:val="28"/>
          <w:szCs w:val="28"/>
        </w:rPr>
        <w:t>For decades, s</w:t>
      </w:r>
      <w:r w:rsidR="00FF4B1F">
        <w:rPr>
          <w:sz w:val="28"/>
          <w:szCs w:val="28"/>
        </w:rPr>
        <w:t>he champion</w:t>
      </w:r>
      <w:r w:rsidR="001C1A20">
        <w:rPr>
          <w:sz w:val="28"/>
          <w:szCs w:val="28"/>
        </w:rPr>
        <w:t>ed</w:t>
      </w:r>
      <w:r w:rsidR="00FF4B1F">
        <w:rPr>
          <w:sz w:val="28"/>
          <w:szCs w:val="28"/>
        </w:rPr>
        <w:t xml:space="preserve"> fights against bias in our profession and beyond. I cannot presume to know how such a dedicated advocate of inclusion would have viewed this proposal, but she did find that most </w:t>
      </w:r>
      <w:r w:rsidR="00FF4B1F" w:rsidRPr="00FC56F5">
        <w:rPr>
          <w:sz w:val="28"/>
          <w:szCs w:val="28"/>
        </w:rPr>
        <w:t>CLE</w:t>
      </w:r>
      <w:r w:rsidR="00FF4B1F">
        <w:rPr>
          <w:sz w:val="28"/>
          <w:szCs w:val="28"/>
        </w:rPr>
        <w:t xml:space="preserve"> as presently administered lacks</w:t>
      </w:r>
      <w:r w:rsidR="00FF4B1F" w:rsidRPr="00FC56F5">
        <w:rPr>
          <w:sz w:val="28"/>
          <w:szCs w:val="28"/>
        </w:rPr>
        <w:t xml:space="preserve"> the qualities </w:t>
      </w:r>
      <w:r w:rsidR="00FF4B1F">
        <w:rPr>
          <w:sz w:val="28"/>
          <w:szCs w:val="28"/>
        </w:rPr>
        <w:t>essential to</w:t>
      </w:r>
      <w:r w:rsidR="00FF4B1F" w:rsidRPr="00FC56F5">
        <w:rPr>
          <w:sz w:val="28"/>
          <w:szCs w:val="28"/>
        </w:rPr>
        <w:t xml:space="preserve"> effective education.</w:t>
      </w:r>
      <w:r w:rsidR="00FF4B1F">
        <w:rPr>
          <w:rStyle w:val="FootnoteReference"/>
          <w:sz w:val="28"/>
          <w:szCs w:val="28"/>
        </w:rPr>
        <w:footnoteReference w:id="18"/>
      </w:r>
    </w:p>
    <w:p w14:paraId="4999CB76" w14:textId="61F68F08" w:rsidR="00A7374D" w:rsidRDefault="002320F7" w:rsidP="007F68B6">
      <w:pPr>
        <w:spacing w:line="480" w:lineRule="auto"/>
        <w:ind w:firstLine="425"/>
        <w:rPr>
          <w:sz w:val="28"/>
          <w:szCs w:val="28"/>
        </w:rPr>
      </w:pPr>
      <w:r>
        <w:rPr>
          <w:sz w:val="28"/>
          <w:szCs w:val="28"/>
        </w:rPr>
        <w:t>In any event, w</w:t>
      </w:r>
      <w:r w:rsidR="00AE3AA8">
        <w:rPr>
          <w:sz w:val="28"/>
          <w:szCs w:val="28"/>
        </w:rPr>
        <w:t xml:space="preserve">e should not dismissively consign the complex goal of bias reduction to </w:t>
      </w:r>
      <w:r w:rsidR="002E5108">
        <w:rPr>
          <w:sz w:val="28"/>
          <w:szCs w:val="28"/>
        </w:rPr>
        <w:t xml:space="preserve">such </w:t>
      </w:r>
      <w:r w:rsidR="00AE3AA8">
        <w:rPr>
          <w:sz w:val="28"/>
          <w:szCs w:val="28"/>
        </w:rPr>
        <w:t xml:space="preserve">an intellectual dead zone. Improving diversity and inclusion deserves better than a vaguely-imagined mandatory hour of unspecified content hurriedly crammed into a </w:t>
      </w:r>
      <w:r w:rsidR="00FF4B1F">
        <w:rPr>
          <w:sz w:val="28"/>
          <w:szCs w:val="28"/>
        </w:rPr>
        <w:t>so-called</w:t>
      </w:r>
      <w:r w:rsidR="00AE3AA8">
        <w:rPr>
          <w:sz w:val="28"/>
          <w:szCs w:val="28"/>
        </w:rPr>
        <w:t xml:space="preserve"> “education” scheme that remains oddly immune to regulatory scrutiny. </w:t>
      </w:r>
    </w:p>
    <w:p w14:paraId="4D0FD1CC" w14:textId="5CB6128D" w:rsidR="00FF4B1F" w:rsidRDefault="00FF4B1F" w:rsidP="007F68B6">
      <w:pPr>
        <w:spacing w:line="480" w:lineRule="auto"/>
        <w:ind w:firstLine="425"/>
        <w:rPr>
          <w:sz w:val="28"/>
          <w:szCs w:val="28"/>
        </w:rPr>
      </w:pPr>
      <w:r>
        <w:rPr>
          <w:sz w:val="28"/>
          <w:szCs w:val="28"/>
        </w:rPr>
        <w:t xml:space="preserve">Nothing in this </w:t>
      </w:r>
      <w:r w:rsidR="00705DFF">
        <w:rPr>
          <w:sz w:val="28"/>
          <w:szCs w:val="28"/>
        </w:rPr>
        <w:t>c</w:t>
      </w:r>
      <w:r>
        <w:rPr>
          <w:sz w:val="28"/>
          <w:szCs w:val="28"/>
        </w:rPr>
        <w:t xml:space="preserve">omment </w:t>
      </w:r>
      <w:r w:rsidR="00FC63B1">
        <w:rPr>
          <w:sz w:val="28"/>
          <w:szCs w:val="28"/>
        </w:rPr>
        <w:t xml:space="preserve">aims to </w:t>
      </w:r>
      <w:r>
        <w:rPr>
          <w:sz w:val="28"/>
          <w:szCs w:val="28"/>
        </w:rPr>
        <w:t>discourag</w:t>
      </w:r>
      <w:r w:rsidR="00FC63B1">
        <w:rPr>
          <w:sz w:val="28"/>
          <w:szCs w:val="28"/>
        </w:rPr>
        <w:t>e</w:t>
      </w:r>
      <w:r>
        <w:rPr>
          <w:sz w:val="28"/>
          <w:szCs w:val="28"/>
        </w:rPr>
        <w:t xml:space="preserve"> State Bar efforts to improve diversity and inclusion. </w:t>
      </w:r>
      <w:r w:rsidR="00FA0105">
        <w:rPr>
          <w:sz w:val="28"/>
          <w:szCs w:val="28"/>
        </w:rPr>
        <w:t>The</w:t>
      </w:r>
      <w:r>
        <w:rPr>
          <w:sz w:val="28"/>
          <w:szCs w:val="28"/>
        </w:rPr>
        <w:t xml:space="preserve"> </w:t>
      </w:r>
      <w:r w:rsidR="002E5108">
        <w:rPr>
          <w:sz w:val="28"/>
          <w:szCs w:val="28"/>
        </w:rPr>
        <w:t>t</w:t>
      </w:r>
      <w:r>
        <w:rPr>
          <w:sz w:val="28"/>
          <w:szCs w:val="28"/>
        </w:rPr>
        <w:t xml:space="preserve">ask </w:t>
      </w:r>
      <w:r w:rsidR="002E5108">
        <w:rPr>
          <w:sz w:val="28"/>
          <w:szCs w:val="28"/>
        </w:rPr>
        <w:t>f</w:t>
      </w:r>
      <w:r>
        <w:rPr>
          <w:sz w:val="28"/>
          <w:szCs w:val="28"/>
        </w:rPr>
        <w:t>orce on</w:t>
      </w:r>
      <w:r w:rsidR="007C1582">
        <w:rPr>
          <w:sz w:val="28"/>
          <w:szCs w:val="28"/>
        </w:rPr>
        <w:t xml:space="preserve"> social justice issues </w:t>
      </w:r>
      <w:r>
        <w:rPr>
          <w:sz w:val="28"/>
          <w:szCs w:val="28"/>
        </w:rPr>
        <w:t>submitted an extensive report and recommendations to the Board of Governors</w:t>
      </w:r>
      <w:r w:rsidR="00FC63B1">
        <w:rPr>
          <w:sz w:val="28"/>
          <w:szCs w:val="28"/>
        </w:rPr>
        <w:t>;</w:t>
      </w:r>
      <w:r w:rsidR="007C1582">
        <w:rPr>
          <w:sz w:val="28"/>
          <w:szCs w:val="28"/>
        </w:rPr>
        <w:t xml:space="preserve"> </w:t>
      </w:r>
      <w:r w:rsidR="00FC63B1">
        <w:rPr>
          <w:sz w:val="28"/>
          <w:szCs w:val="28"/>
        </w:rPr>
        <w:t>t</w:t>
      </w:r>
      <w:r w:rsidR="007C1582">
        <w:rPr>
          <w:sz w:val="28"/>
          <w:szCs w:val="28"/>
        </w:rPr>
        <w:t>he Board</w:t>
      </w:r>
      <w:r w:rsidR="002728CB">
        <w:rPr>
          <w:sz w:val="28"/>
          <w:szCs w:val="28"/>
        </w:rPr>
        <w:t xml:space="preserve"> approved the report in January 2021</w:t>
      </w:r>
      <w:r>
        <w:rPr>
          <w:sz w:val="28"/>
          <w:szCs w:val="28"/>
        </w:rPr>
        <w:t>.</w:t>
      </w:r>
      <w:r w:rsidR="002728CB">
        <w:rPr>
          <w:rStyle w:val="FootnoteReference"/>
          <w:sz w:val="28"/>
          <w:szCs w:val="28"/>
        </w:rPr>
        <w:footnoteReference w:id="19"/>
      </w:r>
      <w:r>
        <w:rPr>
          <w:sz w:val="28"/>
          <w:szCs w:val="28"/>
        </w:rPr>
        <w:t xml:space="preserve"> Although one recommendation </w:t>
      </w:r>
      <w:r w:rsidR="00701166">
        <w:rPr>
          <w:sz w:val="28"/>
          <w:szCs w:val="28"/>
        </w:rPr>
        <w:t>led to</w:t>
      </w:r>
      <w:r>
        <w:rPr>
          <w:sz w:val="28"/>
          <w:szCs w:val="28"/>
        </w:rPr>
        <w:t xml:space="preserve"> the </w:t>
      </w:r>
      <w:r w:rsidR="007262F2">
        <w:rPr>
          <w:sz w:val="28"/>
          <w:szCs w:val="28"/>
        </w:rPr>
        <w:t xml:space="preserve">opaque </w:t>
      </w:r>
      <w:r>
        <w:rPr>
          <w:sz w:val="28"/>
          <w:szCs w:val="28"/>
        </w:rPr>
        <w:t xml:space="preserve">mandate </w:t>
      </w:r>
      <w:r w:rsidR="00A20517">
        <w:rPr>
          <w:sz w:val="28"/>
          <w:szCs w:val="28"/>
        </w:rPr>
        <w:t>requested</w:t>
      </w:r>
      <w:r>
        <w:rPr>
          <w:sz w:val="28"/>
          <w:szCs w:val="28"/>
        </w:rPr>
        <w:t xml:space="preserve"> </w:t>
      </w:r>
      <w:r w:rsidR="00FA0105">
        <w:rPr>
          <w:sz w:val="28"/>
          <w:szCs w:val="28"/>
        </w:rPr>
        <w:t>by</w:t>
      </w:r>
      <w:r>
        <w:rPr>
          <w:sz w:val="28"/>
          <w:szCs w:val="28"/>
        </w:rPr>
        <w:t xml:space="preserve"> </w:t>
      </w:r>
      <w:r w:rsidR="00F03B0F">
        <w:rPr>
          <w:sz w:val="28"/>
          <w:szCs w:val="28"/>
        </w:rPr>
        <w:t>P</w:t>
      </w:r>
      <w:r w:rsidR="00A345D6">
        <w:rPr>
          <w:sz w:val="28"/>
          <w:szCs w:val="28"/>
        </w:rPr>
        <w:t>etition</w:t>
      </w:r>
      <w:r w:rsidR="00FA0105">
        <w:rPr>
          <w:sz w:val="28"/>
          <w:szCs w:val="28"/>
        </w:rPr>
        <w:t>er</w:t>
      </w:r>
      <w:r>
        <w:rPr>
          <w:sz w:val="28"/>
          <w:szCs w:val="28"/>
        </w:rPr>
        <w:t>,</w:t>
      </w:r>
      <w:r w:rsidR="00E333CA">
        <w:rPr>
          <w:rStyle w:val="FootnoteReference"/>
          <w:sz w:val="28"/>
          <w:szCs w:val="28"/>
        </w:rPr>
        <w:footnoteReference w:id="20"/>
      </w:r>
      <w:r>
        <w:rPr>
          <w:sz w:val="28"/>
          <w:szCs w:val="28"/>
        </w:rPr>
        <w:t xml:space="preserve"> </w:t>
      </w:r>
      <w:r w:rsidR="004D6914">
        <w:rPr>
          <w:sz w:val="28"/>
          <w:szCs w:val="28"/>
        </w:rPr>
        <w:t>much</w:t>
      </w:r>
      <w:r>
        <w:rPr>
          <w:sz w:val="28"/>
          <w:szCs w:val="28"/>
        </w:rPr>
        <w:t xml:space="preserve"> of the report appears to be carefully </w:t>
      </w:r>
      <w:r w:rsidR="000E57B6">
        <w:rPr>
          <w:sz w:val="28"/>
          <w:szCs w:val="28"/>
        </w:rPr>
        <w:t>drawn</w:t>
      </w:r>
      <w:r w:rsidR="00701166">
        <w:rPr>
          <w:sz w:val="28"/>
          <w:szCs w:val="28"/>
        </w:rPr>
        <w:t>.</w:t>
      </w:r>
      <w:r>
        <w:rPr>
          <w:sz w:val="28"/>
          <w:szCs w:val="28"/>
        </w:rPr>
        <w:t xml:space="preserve"> </w:t>
      </w:r>
      <w:r w:rsidR="00701166">
        <w:rPr>
          <w:sz w:val="28"/>
          <w:szCs w:val="28"/>
        </w:rPr>
        <w:t>It</w:t>
      </w:r>
      <w:r>
        <w:rPr>
          <w:sz w:val="28"/>
          <w:szCs w:val="28"/>
        </w:rPr>
        <w:t xml:space="preserve"> </w:t>
      </w:r>
      <w:r w:rsidR="002D513E">
        <w:rPr>
          <w:sz w:val="28"/>
          <w:szCs w:val="28"/>
        </w:rPr>
        <w:t>recognize</w:t>
      </w:r>
      <w:r w:rsidR="00701166">
        <w:rPr>
          <w:sz w:val="28"/>
          <w:szCs w:val="28"/>
        </w:rPr>
        <w:t>s</w:t>
      </w:r>
      <w:r w:rsidR="002D513E">
        <w:rPr>
          <w:sz w:val="28"/>
          <w:szCs w:val="28"/>
        </w:rPr>
        <w:t xml:space="preserve"> the importance of</w:t>
      </w:r>
      <w:r>
        <w:rPr>
          <w:sz w:val="28"/>
          <w:szCs w:val="28"/>
        </w:rPr>
        <w:t xml:space="preserve"> </w:t>
      </w:r>
      <w:r w:rsidR="00014FDB">
        <w:rPr>
          <w:sz w:val="28"/>
          <w:szCs w:val="28"/>
        </w:rPr>
        <w:t>thorough</w:t>
      </w:r>
      <w:r>
        <w:rPr>
          <w:sz w:val="28"/>
          <w:szCs w:val="28"/>
        </w:rPr>
        <w:t xml:space="preserve"> research before </w:t>
      </w:r>
      <w:r w:rsidR="000F12F1">
        <w:rPr>
          <w:sz w:val="28"/>
          <w:szCs w:val="28"/>
        </w:rPr>
        <w:t>taking</w:t>
      </w:r>
      <w:r w:rsidR="00FC63B1">
        <w:rPr>
          <w:sz w:val="28"/>
          <w:szCs w:val="28"/>
        </w:rPr>
        <w:t xml:space="preserve"> </w:t>
      </w:r>
      <w:r w:rsidR="00FC63B1">
        <w:rPr>
          <w:sz w:val="28"/>
          <w:szCs w:val="28"/>
        </w:rPr>
        <w:lastRenderedPageBreak/>
        <w:t xml:space="preserve">new </w:t>
      </w:r>
      <w:r w:rsidR="000F12F1">
        <w:rPr>
          <w:sz w:val="28"/>
          <w:szCs w:val="28"/>
        </w:rPr>
        <w:t>actions</w:t>
      </w:r>
      <w:r w:rsidR="00FC63B1">
        <w:rPr>
          <w:sz w:val="28"/>
          <w:szCs w:val="28"/>
        </w:rPr>
        <w:t xml:space="preserve">. With </w:t>
      </w:r>
      <w:r w:rsidR="001F62C3">
        <w:rPr>
          <w:sz w:val="28"/>
          <w:szCs w:val="28"/>
        </w:rPr>
        <w:t xml:space="preserve">a </w:t>
      </w:r>
      <w:r w:rsidR="00FC63B1">
        <w:rPr>
          <w:sz w:val="28"/>
          <w:szCs w:val="28"/>
        </w:rPr>
        <w:t xml:space="preserve">strong </w:t>
      </w:r>
      <w:r w:rsidR="001F62C3">
        <w:rPr>
          <w:sz w:val="28"/>
          <w:szCs w:val="28"/>
        </w:rPr>
        <w:t xml:space="preserve">diversity </w:t>
      </w:r>
      <w:r w:rsidR="00FC63B1">
        <w:rPr>
          <w:sz w:val="28"/>
          <w:szCs w:val="28"/>
        </w:rPr>
        <w:t>commitment</w:t>
      </w:r>
      <w:r w:rsidR="00546996">
        <w:rPr>
          <w:sz w:val="28"/>
          <w:szCs w:val="28"/>
        </w:rPr>
        <w:t xml:space="preserve"> </w:t>
      </w:r>
      <w:r w:rsidR="006B4119">
        <w:rPr>
          <w:sz w:val="28"/>
          <w:szCs w:val="28"/>
        </w:rPr>
        <w:t xml:space="preserve">of this Court and the State Bar </w:t>
      </w:r>
      <w:r w:rsidR="00546996">
        <w:rPr>
          <w:sz w:val="28"/>
          <w:szCs w:val="28"/>
        </w:rPr>
        <w:t>already clearly evidenced</w:t>
      </w:r>
      <w:r w:rsidR="00FC63B1">
        <w:rPr>
          <w:sz w:val="28"/>
          <w:szCs w:val="28"/>
        </w:rPr>
        <w:t xml:space="preserve">, </w:t>
      </w:r>
      <w:r w:rsidR="00546996">
        <w:rPr>
          <w:sz w:val="28"/>
          <w:szCs w:val="28"/>
        </w:rPr>
        <w:t>th</w:t>
      </w:r>
      <w:r w:rsidR="006B4119">
        <w:rPr>
          <w:sz w:val="28"/>
          <w:szCs w:val="28"/>
        </w:rPr>
        <w:t>e</w:t>
      </w:r>
      <w:r w:rsidR="00546996">
        <w:rPr>
          <w:sz w:val="28"/>
          <w:szCs w:val="28"/>
        </w:rPr>
        <w:t xml:space="preserve"> Court</w:t>
      </w:r>
      <w:r w:rsidR="00FC63B1">
        <w:rPr>
          <w:sz w:val="28"/>
          <w:szCs w:val="28"/>
        </w:rPr>
        <w:t xml:space="preserve"> need not </w:t>
      </w:r>
      <w:r w:rsidR="002320F7">
        <w:rPr>
          <w:sz w:val="28"/>
          <w:szCs w:val="28"/>
        </w:rPr>
        <w:t xml:space="preserve">rush to </w:t>
      </w:r>
      <w:r w:rsidR="00FC63B1">
        <w:rPr>
          <w:sz w:val="28"/>
          <w:szCs w:val="28"/>
        </w:rPr>
        <w:t xml:space="preserve">impose </w:t>
      </w:r>
      <w:r w:rsidR="00D559D9">
        <w:rPr>
          <w:sz w:val="28"/>
          <w:szCs w:val="28"/>
        </w:rPr>
        <w:t xml:space="preserve">an inchoate addition to the </w:t>
      </w:r>
      <w:r w:rsidR="00FC63B1">
        <w:rPr>
          <w:sz w:val="28"/>
          <w:szCs w:val="28"/>
        </w:rPr>
        <w:t>MCLE</w:t>
      </w:r>
      <w:r w:rsidR="00D559D9">
        <w:rPr>
          <w:sz w:val="28"/>
          <w:szCs w:val="28"/>
        </w:rPr>
        <w:t xml:space="preserve"> </w:t>
      </w:r>
      <w:r w:rsidR="004F52E1">
        <w:rPr>
          <w:sz w:val="28"/>
          <w:szCs w:val="28"/>
        </w:rPr>
        <w:t>burden</w:t>
      </w:r>
      <w:r w:rsidR="00FC63B1">
        <w:rPr>
          <w:sz w:val="28"/>
          <w:szCs w:val="28"/>
        </w:rPr>
        <w:t>.</w:t>
      </w:r>
    </w:p>
    <w:p w14:paraId="7781CDF5" w14:textId="1F2D09C2" w:rsidR="007F68B6" w:rsidRDefault="00AE3AA8" w:rsidP="00A26812">
      <w:pPr>
        <w:spacing w:line="480" w:lineRule="auto"/>
        <w:ind w:firstLine="425"/>
        <w:rPr>
          <w:sz w:val="28"/>
          <w:szCs w:val="28"/>
        </w:rPr>
      </w:pPr>
      <w:r>
        <w:rPr>
          <w:sz w:val="28"/>
          <w:szCs w:val="28"/>
        </w:rPr>
        <w:t xml:space="preserve">I therefore ask the Court to </w:t>
      </w:r>
      <w:r w:rsidR="00DC6EAD">
        <w:rPr>
          <w:sz w:val="28"/>
          <w:szCs w:val="28"/>
        </w:rPr>
        <w:t>deny</w:t>
      </w:r>
      <w:r w:rsidR="002728CB">
        <w:rPr>
          <w:sz w:val="28"/>
          <w:szCs w:val="28"/>
        </w:rPr>
        <w:t xml:space="preserve"> this </w:t>
      </w:r>
      <w:r w:rsidR="00DC6EAD">
        <w:rPr>
          <w:sz w:val="28"/>
          <w:szCs w:val="28"/>
        </w:rPr>
        <w:t>Petition</w:t>
      </w:r>
      <w:r w:rsidR="00247B1D">
        <w:rPr>
          <w:sz w:val="28"/>
          <w:szCs w:val="28"/>
        </w:rPr>
        <w:t>.</w:t>
      </w:r>
      <w:r w:rsidR="00AD688D">
        <w:rPr>
          <w:sz w:val="28"/>
          <w:szCs w:val="28"/>
        </w:rPr>
        <w:t xml:space="preserve"> </w:t>
      </w:r>
      <w:r w:rsidR="004C5B46">
        <w:rPr>
          <w:sz w:val="28"/>
          <w:szCs w:val="28"/>
        </w:rPr>
        <w:t>In my view, a</w:t>
      </w:r>
      <w:r w:rsidR="00642C59">
        <w:rPr>
          <w:sz w:val="28"/>
          <w:szCs w:val="28"/>
        </w:rPr>
        <w:t xml:space="preserve"> new submission should be considered only when</w:t>
      </w:r>
      <w:r>
        <w:rPr>
          <w:sz w:val="28"/>
          <w:szCs w:val="28"/>
        </w:rPr>
        <w:t xml:space="preserve"> Petitioner </w:t>
      </w:r>
      <w:r w:rsidR="00D106F3">
        <w:rPr>
          <w:sz w:val="28"/>
          <w:szCs w:val="28"/>
        </w:rPr>
        <w:t>articulates</w:t>
      </w:r>
      <w:r>
        <w:rPr>
          <w:sz w:val="28"/>
          <w:szCs w:val="28"/>
        </w:rPr>
        <w:t xml:space="preserve"> a fact-based demonstration of need for this particular amendment, a detailed plan for implementing it, and a standard </w:t>
      </w:r>
      <w:r w:rsidR="007500AC">
        <w:rPr>
          <w:sz w:val="28"/>
          <w:szCs w:val="28"/>
        </w:rPr>
        <w:t xml:space="preserve">by </w:t>
      </w:r>
      <w:r>
        <w:rPr>
          <w:sz w:val="28"/>
          <w:szCs w:val="28"/>
        </w:rPr>
        <w:t xml:space="preserve">which </w:t>
      </w:r>
      <w:r w:rsidR="007500AC">
        <w:rPr>
          <w:sz w:val="28"/>
          <w:szCs w:val="28"/>
        </w:rPr>
        <w:t>to</w:t>
      </w:r>
      <w:r>
        <w:rPr>
          <w:sz w:val="28"/>
          <w:szCs w:val="28"/>
        </w:rPr>
        <w:t xml:space="preserve"> measure its </w:t>
      </w:r>
      <w:r w:rsidR="00014FDB">
        <w:rPr>
          <w:sz w:val="28"/>
          <w:szCs w:val="28"/>
        </w:rPr>
        <w:t>effectiveness</w:t>
      </w:r>
      <w:r>
        <w:rPr>
          <w:sz w:val="28"/>
          <w:szCs w:val="28"/>
        </w:rPr>
        <w:t>.</w:t>
      </w:r>
      <w:r w:rsidR="00597C0F">
        <w:rPr>
          <w:sz w:val="28"/>
          <w:szCs w:val="28"/>
        </w:rPr>
        <w:t xml:space="preserve"> </w:t>
      </w:r>
    </w:p>
    <w:p w14:paraId="29A5A217" w14:textId="3F8094A0" w:rsidR="002D513E" w:rsidRDefault="007F68B6" w:rsidP="00710520">
      <w:pPr>
        <w:spacing w:line="480" w:lineRule="auto"/>
        <w:ind w:firstLine="425"/>
        <w:rPr>
          <w:sz w:val="28"/>
          <w:szCs w:val="28"/>
        </w:rPr>
      </w:pPr>
      <w:r>
        <w:rPr>
          <w:sz w:val="28"/>
          <w:szCs w:val="28"/>
        </w:rPr>
        <w:t>Respectfully submitted on this</w:t>
      </w:r>
      <w:r w:rsidR="00586FBE">
        <w:rPr>
          <w:sz w:val="28"/>
          <w:szCs w:val="28"/>
        </w:rPr>
        <w:t xml:space="preserve"> 1</w:t>
      </w:r>
      <w:r w:rsidR="00764A73">
        <w:rPr>
          <w:sz w:val="28"/>
          <w:szCs w:val="28"/>
        </w:rPr>
        <w:t>5</w:t>
      </w:r>
      <w:r w:rsidR="00586FBE">
        <w:rPr>
          <w:sz w:val="28"/>
          <w:szCs w:val="28"/>
        </w:rPr>
        <w:t>th</w:t>
      </w:r>
      <w:r>
        <w:rPr>
          <w:sz w:val="28"/>
          <w:szCs w:val="28"/>
        </w:rPr>
        <w:t xml:space="preserve"> day of February, 2021.</w:t>
      </w:r>
    </w:p>
    <w:p w14:paraId="14264C77" w14:textId="77777777" w:rsidR="00FA0105" w:rsidRDefault="002D513E" w:rsidP="007F68B6">
      <w:pPr>
        <w:spacing w:line="480" w:lineRule="auto"/>
        <w:rPr>
          <w:sz w:val="28"/>
          <w:szCs w:val="28"/>
        </w:rPr>
      </w:pPr>
      <w:r>
        <w:rPr>
          <w:sz w:val="28"/>
          <w:szCs w:val="28"/>
        </w:rPr>
        <w:tab/>
      </w:r>
      <w:r>
        <w:rPr>
          <w:sz w:val="28"/>
          <w:szCs w:val="28"/>
        </w:rPr>
        <w:tab/>
      </w:r>
      <w:r>
        <w:rPr>
          <w:sz w:val="28"/>
          <w:szCs w:val="28"/>
        </w:rPr>
        <w:tab/>
      </w:r>
    </w:p>
    <w:p w14:paraId="085C558F" w14:textId="098BDA2C" w:rsidR="006730DC" w:rsidRDefault="00FA0105" w:rsidP="007F68B6">
      <w:pPr>
        <w:spacing w:line="48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sidR="007F68B6">
        <w:rPr>
          <w:sz w:val="28"/>
          <w:szCs w:val="28"/>
        </w:rPr>
        <w:tab/>
      </w:r>
      <w:r w:rsidR="007F68B6">
        <w:rPr>
          <w:sz w:val="28"/>
          <w:szCs w:val="28"/>
          <w:u w:val="single"/>
        </w:rPr>
        <w:t>/s/   James C. Mitchell</w:t>
      </w:r>
    </w:p>
    <w:p w14:paraId="2B69F815" w14:textId="0B336062" w:rsidR="00822B71" w:rsidRDefault="00822B71" w:rsidP="00822B71">
      <w:pPr>
        <w:rPr>
          <w:sz w:val="28"/>
          <w:szCs w:val="28"/>
        </w:rPr>
      </w:pPr>
    </w:p>
    <w:p w14:paraId="4D053AE9" w14:textId="77777777" w:rsidR="00C9144D" w:rsidRDefault="00C9144D" w:rsidP="00822B71">
      <w:pPr>
        <w:rPr>
          <w:sz w:val="28"/>
          <w:szCs w:val="28"/>
        </w:rPr>
      </w:pPr>
    </w:p>
    <w:p w14:paraId="30D0C27B" w14:textId="77777777" w:rsidR="00A2783D" w:rsidRDefault="006730DC" w:rsidP="00822B71">
      <w:pPr>
        <w:rPr>
          <w:sz w:val="28"/>
          <w:szCs w:val="28"/>
        </w:rPr>
      </w:pPr>
      <w:r>
        <w:rPr>
          <w:sz w:val="28"/>
          <w:szCs w:val="28"/>
        </w:rPr>
        <w:t>Filed electronically</w:t>
      </w:r>
      <w:r w:rsidR="00822B71">
        <w:rPr>
          <w:sz w:val="28"/>
          <w:szCs w:val="28"/>
        </w:rPr>
        <w:t xml:space="preserve"> with the </w:t>
      </w:r>
    </w:p>
    <w:p w14:paraId="2EEDB2A8" w14:textId="413BDE6D" w:rsidR="006730DC" w:rsidRDefault="00822B71" w:rsidP="00822B71">
      <w:pPr>
        <w:rPr>
          <w:sz w:val="28"/>
          <w:szCs w:val="28"/>
        </w:rPr>
      </w:pPr>
      <w:r>
        <w:rPr>
          <w:sz w:val="28"/>
          <w:szCs w:val="28"/>
        </w:rPr>
        <w:t>Clerk of the Arizona Supreme Court</w:t>
      </w:r>
    </w:p>
    <w:p w14:paraId="4A592B79" w14:textId="77777777" w:rsidR="00A2783D" w:rsidRDefault="00822B71" w:rsidP="00822B71">
      <w:pPr>
        <w:rPr>
          <w:sz w:val="28"/>
          <w:szCs w:val="28"/>
        </w:rPr>
      </w:pPr>
      <w:r>
        <w:rPr>
          <w:sz w:val="28"/>
          <w:szCs w:val="28"/>
        </w:rPr>
        <w:t xml:space="preserve">through the online Rules Forum </w:t>
      </w:r>
    </w:p>
    <w:p w14:paraId="6A6807BB" w14:textId="59E5A37D" w:rsidR="00822B71" w:rsidRDefault="00822B71" w:rsidP="00822B71">
      <w:pPr>
        <w:rPr>
          <w:sz w:val="28"/>
          <w:szCs w:val="28"/>
        </w:rPr>
      </w:pPr>
      <w:r>
        <w:rPr>
          <w:sz w:val="28"/>
          <w:szCs w:val="28"/>
        </w:rPr>
        <w:t>on this 15</w:t>
      </w:r>
      <w:r w:rsidRPr="00822B71">
        <w:rPr>
          <w:sz w:val="28"/>
          <w:szCs w:val="28"/>
          <w:vertAlign w:val="superscript"/>
        </w:rPr>
        <w:t>th</w:t>
      </w:r>
      <w:r>
        <w:rPr>
          <w:sz w:val="28"/>
          <w:szCs w:val="28"/>
        </w:rPr>
        <w:t xml:space="preserve"> day of February, 2021.</w:t>
      </w:r>
    </w:p>
    <w:p w14:paraId="59BDC6C7" w14:textId="607FAE5C" w:rsidR="00A2783D" w:rsidRDefault="00A2783D" w:rsidP="00822B71">
      <w:pPr>
        <w:rPr>
          <w:sz w:val="28"/>
          <w:szCs w:val="28"/>
        </w:rPr>
      </w:pPr>
    </w:p>
    <w:p w14:paraId="1D50F91C" w14:textId="334C3683" w:rsidR="00A2783D" w:rsidRPr="006730DC" w:rsidRDefault="00A2783D" w:rsidP="00822B71">
      <w:pPr>
        <w:rPr>
          <w:sz w:val="28"/>
          <w:szCs w:val="28"/>
        </w:rPr>
      </w:pPr>
      <w:r>
        <w:rPr>
          <w:sz w:val="28"/>
          <w:szCs w:val="28"/>
        </w:rPr>
        <w:t>/s/ James C. Mitchell</w:t>
      </w:r>
    </w:p>
    <w:sectPr w:rsidR="00A2783D" w:rsidRPr="006730DC" w:rsidSect="006E3F4D">
      <w:footerReference w:type="even" r:id="rId7"/>
      <w:footerReference w:type="default" r:id="rId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B0A0B" w14:textId="77777777" w:rsidR="009D4599" w:rsidRDefault="009D4599" w:rsidP="00092CF6">
      <w:r>
        <w:separator/>
      </w:r>
    </w:p>
  </w:endnote>
  <w:endnote w:type="continuationSeparator" w:id="0">
    <w:p w14:paraId="530C75D0" w14:textId="77777777" w:rsidR="009D4599" w:rsidRDefault="009D4599" w:rsidP="00092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DEFCB" w14:textId="77777777" w:rsidR="00B9558F" w:rsidRDefault="00B9558F" w:rsidP="00B9558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75D58A" w14:textId="77777777" w:rsidR="00B9558F" w:rsidRDefault="00B95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D2EB" w14:textId="77777777" w:rsidR="00B9558F" w:rsidRDefault="00B9558F" w:rsidP="00B9558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B0EF16D" w14:textId="77777777" w:rsidR="00B9558F" w:rsidRDefault="00B95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0DF79" w14:textId="77777777" w:rsidR="009D4599" w:rsidRDefault="009D4599" w:rsidP="00E87FAA">
      <w:pPr>
        <w:spacing w:line="120" w:lineRule="auto"/>
      </w:pPr>
      <w:r>
        <w:separator/>
      </w:r>
    </w:p>
    <w:p w14:paraId="0F69FC8D" w14:textId="77777777" w:rsidR="009D4599" w:rsidRDefault="009D4599" w:rsidP="00210EBA">
      <w:pPr>
        <w:spacing w:line="120" w:lineRule="auto"/>
      </w:pPr>
    </w:p>
  </w:footnote>
  <w:footnote w:type="continuationSeparator" w:id="0">
    <w:p w14:paraId="5B1DCE53" w14:textId="77777777" w:rsidR="009D4599" w:rsidRDefault="009D4599" w:rsidP="00092CF6">
      <w:r>
        <w:continuationSeparator/>
      </w:r>
    </w:p>
  </w:footnote>
  <w:footnote w:id="1">
    <w:p w14:paraId="248CFECE" w14:textId="23939620" w:rsidR="00B9558F" w:rsidRDefault="00B9558F" w:rsidP="00586FBE">
      <w:pPr>
        <w:rPr>
          <w:rFonts w:eastAsia="Times New Roman"/>
          <w:smallCaps/>
          <w:sz w:val="28"/>
          <w:szCs w:val="28"/>
        </w:rPr>
      </w:pPr>
      <w:r w:rsidRPr="00390C3C">
        <w:rPr>
          <w:rStyle w:val="FootnoteReference"/>
          <w:sz w:val="28"/>
          <w:szCs w:val="28"/>
        </w:rPr>
        <w:footnoteRef/>
      </w:r>
      <w:r w:rsidRPr="00390C3C">
        <w:rPr>
          <w:sz w:val="28"/>
          <w:szCs w:val="28"/>
        </w:rPr>
        <w:t xml:space="preserve"> Charlie Savage, </w:t>
      </w:r>
      <w:r w:rsidRPr="00390C3C">
        <w:rPr>
          <w:rFonts w:eastAsia="Times New Roman"/>
          <w:i/>
          <w:sz w:val="28"/>
          <w:szCs w:val="28"/>
        </w:rPr>
        <w:t>White House Won’t Restore Bar Association’s Role in Vetting Judges</w:t>
      </w:r>
      <w:r w:rsidRPr="00390C3C">
        <w:rPr>
          <w:rFonts w:eastAsia="Times New Roman"/>
          <w:sz w:val="28"/>
          <w:szCs w:val="28"/>
        </w:rPr>
        <w:t xml:space="preserve">, </w:t>
      </w:r>
      <w:r w:rsidRPr="00390C3C">
        <w:rPr>
          <w:rFonts w:eastAsia="Times New Roman"/>
          <w:smallCaps/>
          <w:sz w:val="28"/>
          <w:szCs w:val="28"/>
        </w:rPr>
        <w:t>N.Y. Times, F</w:t>
      </w:r>
      <w:r w:rsidRPr="00390C3C">
        <w:rPr>
          <w:rFonts w:eastAsia="Times New Roman"/>
          <w:sz w:val="28"/>
          <w:szCs w:val="28"/>
        </w:rPr>
        <w:t>eb</w:t>
      </w:r>
      <w:r w:rsidRPr="00390C3C">
        <w:rPr>
          <w:rFonts w:eastAsia="Times New Roman"/>
          <w:smallCaps/>
          <w:sz w:val="28"/>
          <w:szCs w:val="28"/>
        </w:rPr>
        <w:t xml:space="preserve">. 6, 2021, </w:t>
      </w:r>
      <w:r w:rsidRPr="00390C3C">
        <w:rPr>
          <w:rFonts w:eastAsia="Times New Roman"/>
          <w:sz w:val="28"/>
          <w:szCs w:val="28"/>
        </w:rPr>
        <w:t xml:space="preserve">at </w:t>
      </w:r>
      <w:r w:rsidRPr="00390C3C">
        <w:rPr>
          <w:rFonts w:eastAsia="Times New Roman"/>
          <w:smallCaps/>
          <w:sz w:val="28"/>
          <w:szCs w:val="28"/>
        </w:rPr>
        <w:t>A13.</w:t>
      </w:r>
    </w:p>
    <w:p w14:paraId="6FF30989" w14:textId="77777777" w:rsidR="00B9558F" w:rsidRPr="00CD62C3" w:rsidRDefault="00B9558F" w:rsidP="00586FBE">
      <w:pPr>
        <w:rPr>
          <w:rFonts w:eastAsia="Times New Roman"/>
          <w:smallCaps/>
          <w:sz w:val="10"/>
          <w:szCs w:val="10"/>
        </w:rPr>
      </w:pPr>
    </w:p>
  </w:footnote>
  <w:footnote w:id="2">
    <w:p w14:paraId="4408F66A" w14:textId="59C1CAA6" w:rsidR="00B9558F" w:rsidRDefault="00B9558F" w:rsidP="00586FBE">
      <w:pPr>
        <w:pStyle w:val="FootnoteText"/>
        <w:rPr>
          <w:sz w:val="28"/>
          <w:szCs w:val="28"/>
        </w:rPr>
      </w:pPr>
      <w:r w:rsidRPr="00390C3C">
        <w:rPr>
          <w:rStyle w:val="FootnoteReference"/>
          <w:sz w:val="28"/>
          <w:szCs w:val="28"/>
        </w:rPr>
        <w:footnoteRef/>
      </w:r>
      <w:r w:rsidRPr="00390C3C">
        <w:rPr>
          <w:sz w:val="28"/>
          <w:szCs w:val="28"/>
        </w:rPr>
        <w:t xml:space="preserve"> State Bar Petition</w:t>
      </w:r>
      <w:r>
        <w:rPr>
          <w:sz w:val="28"/>
          <w:szCs w:val="28"/>
        </w:rPr>
        <w:t xml:space="preserve"> [hereinafter “Petition”]</w:t>
      </w:r>
      <w:r w:rsidRPr="00390C3C">
        <w:rPr>
          <w:sz w:val="28"/>
          <w:szCs w:val="28"/>
        </w:rPr>
        <w:t>, at 4.</w:t>
      </w:r>
    </w:p>
    <w:p w14:paraId="7A882222" w14:textId="77777777" w:rsidR="00B9558F" w:rsidRPr="00CD62C3" w:rsidRDefault="00B9558F" w:rsidP="00586FBE">
      <w:pPr>
        <w:pStyle w:val="FootnoteText"/>
        <w:rPr>
          <w:sz w:val="10"/>
          <w:szCs w:val="10"/>
        </w:rPr>
      </w:pPr>
    </w:p>
  </w:footnote>
  <w:footnote w:id="3">
    <w:p w14:paraId="65188B7D" w14:textId="3D5A61BA" w:rsidR="00B9558F" w:rsidRPr="00306AB5" w:rsidRDefault="00B9558F">
      <w:pPr>
        <w:pStyle w:val="FootnoteText"/>
        <w:rPr>
          <w:sz w:val="28"/>
          <w:szCs w:val="28"/>
        </w:rPr>
      </w:pPr>
      <w:r w:rsidRPr="00123399">
        <w:rPr>
          <w:rStyle w:val="FootnoteReference"/>
          <w:sz w:val="28"/>
          <w:szCs w:val="28"/>
        </w:rPr>
        <w:footnoteRef/>
      </w:r>
      <w:r w:rsidRPr="00123399">
        <w:rPr>
          <w:sz w:val="28"/>
          <w:szCs w:val="28"/>
        </w:rPr>
        <w:t xml:space="preserve"> Hannah Fingerhut, </w:t>
      </w:r>
      <w:r w:rsidRPr="00123399">
        <w:rPr>
          <w:i/>
          <w:sz w:val="28"/>
          <w:szCs w:val="28"/>
        </w:rPr>
        <w:t>Most Americans express positive views of country’s growing racial and ethnic diversity</w:t>
      </w:r>
      <w:r w:rsidRPr="00123399">
        <w:rPr>
          <w:sz w:val="28"/>
          <w:szCs w:val="28"/>
        </w:rPr>
        <w:t xml:space="preserve">, Pew Research Center, June 14, 2018 (online at </w:t>
      </w:r>
      <w:r w:rsidRPr="00A2783D">
        <w:rPr>
          <w:sz w:val="28"/>
          <w:szCs w:val="28"/>
        </w:rPr>
        <w:t>https://pewrsr.ch/2LQQxaK</w:t>
      </w:r>
      <w:r w:rsidRPr="00123399">
        <w:rPr>
          <w:sz w:val="28"/>
          <w:szCs w:val="28"/>
        </w:rPr>
        <w:t>).</w:t>
      </w:r>
    </w:p>
  </w:footnote>
  <w:footnote w:id="4">
    <w:p w14:paraId="18A12E42" w14:textId="5E97F34D" w:rsidR="00B9558F" w:rsidRDefault="00B9558F">
      <w:pPr>
        <w:pStyle w:val="FootnoteText"/>
        <w:rPr>
          <w:sz w:val="28"/>
          <w:szCs w:val="28"/>
        </w:rPr>
      </w:pPr>
      <w:r w:rsidRPr="001131E3">
        <w:rPr>
          <w:rStyle w:val="FootnoteReference"/>
          <w:sz w:val="28"/>
          <w:szCs w:val="28"/>
        </w:rPr>
        <w:footnoteRef/>
      </w:r>
      <w:r w:rsidRPr="001131E3">
        <w:rPr>
          <w:sz w:val="28"/>
          <w:szCs w:val="28"/>
        </w:rPr>
        <w:t xml:space="preserve"> Sheldon </w:t>
      </w:r>
      <w:r w:rsidRPr="001131E3">
        <w:rPr>
          <w:sz w:val="28"/>
          <w:szCs w:val="28"/>
        </w:rPr>
        <w:t xml:space="preserve">Harnick, </w:t>
      </w:r>
      <w:r w:rsidRPr="001131E3">
        <w:rPr>
          <w:smallCaps/>
          <w:sz w:val="28"/>
          <w:szCs w:val="28"/>
        </w:rPr>
        <w:t>The Merry Minuet</w:t>
      </w:r>
      <w:r w:rsidRPr="001131E3">
        <w:rPr>
          <w:sz w:val="28"/>
          <w:szCs w:val="28"/>
        </w:rPr>
        <w:t xml:space="preserve"> (1949)</w:t>
      </w:r>
      <w:r>
        <w:rPr>
          <w:sz w:val="28"/>
          <w:szCs w:val="28"/>
        </w:rPr>
        <w:t xml:space="preserve"> (“Italians hate the Yugoslavs, South Africans hate the Dutch</w:t>
      </w:r>
      <w:r w:rsidRPr="001131E3">
        <w:rPr>
          <w:sz w:val="28"/>
          <w:szCs w:val="28"/>
        </w:rPr>
        <w:t>.</w:t>
      </w:r>
      <w:r>
        <w:rPr>
          <w:sz w:val="28"/>
          <w:szCs w:val="28"/>
        </w:rPr>
        <w:t xml:space="preserve"> And I don’t like anybody very much.”)</w:t>
      </w:r>
    </w:p>
    <w:p w14:paraId="065DAC50" w14:textId="77777777" w:rsidR="00B9558F" w:rsidRPr="008370C7" w:rsidRDefault="00B9558F">
      <w:pPr>
        <w:pStyle w:val="FootnoteText"/>
        <w:rPr>
          <w:sz w:val="10"/>
          <w:szCs w:val="10"/>
        </w:rPr>
      </w:pPr>
    </w:p>
  </w:footnote>
  <w:footnote w:id="5">
    <w:p w14:paraId="55F876D4" w14:textId="0275AE4D" w:rsidR="00B9558F" w:rsidRDefault="00B9558F">
      <w:pPr>
        <w:pStyle w:val="FootnoteText"/>
        <w:rPr>
          <w:sz w:val="28"/>
          <w:szCs w:val="28"/>
        </w:rPr>
      </w:pPr>
      <w:r w:rsidRPr="00584B06">
        <w:rPr>
          <w:rStyle w:val="FootnoteReference"/>
          <w:sz w:val="28"/>
          <w:szCs w:val="28"/>
        </w:rPr>
        <w:footnoteRef/>
      </w:r>
      <w:r w:rsidRPr="00584B06">
        <w:rPr>
          <w:sz w:val="28"/>
          <w:szCs w:val="28"/>
        </w:rPr>
        <w:t xml:space="preserve"> Disclosure: the author of this comment has done</w:t>
      </w:r>
      <w:r>
        <w:rPr>
          <w:sz w:val="28"/>
          <w:szCs w:val="28"/>
        </w:rPr>
        <w:t xml:space="preserve"> and would do</w:t>
      </w:r>
      <w:r w:rsidRPr="00584B06">
        <w:rPr>
          <w:sz w:val="28"/>
          <w:szCs w:val="28"/>
        </w:rPr>
        <w:t xml:space="preserve"> the same thing when teaching a college course on news media-related law. </w:t>
      </w:r>
    </w:p>
    <w:p w14:paraId="2A7A6903" w14:textId="77777777" w:rsidR="00B9558F" w:rsidRPr="00584B06" w:rsidRDefault="00B9558F">
      <w:pPr>
        <w:pStyle w:val="FootnoteText"/>
        <w:rPr>
          <w:sz w:val="10"/>
          <w:szCs w:val="10"/>
        </w:rPr>
      </w:pPr>
    </w:p>
  </w:footnote>
  <w:footnote w:id="6">
    <w:p w14:paraId="107EA0C0" w14:textId="24F85E91" w:rsidR="00B9558F" w:rsidRPr="008370C7" w:rsidRDefault="00B9558F" w:rsidP="00B44FD3">
      <w:pPr>
        <w:rPr>
          <w:sz w:val="10"/>
          <w:szCs w:val="10"/>
        </w:rPr>
      </w:pPr>
      <w:r w:rsidRPr="00306AB5">
        <w:rPr>
          <w:rStyle w:val="FootnoteReference"/>
          <w:sz w:val="28"/>
          <w:szCs w:val="28"/>
        </w:rPr>
        <w:footnoteRef/>
      </w:r>
      <w:r w:rsidRPr="00306AB5">
        <w:rPr>
          <w:sz w:val="28"/>
          <w:szCs w:val="28"/>
        </w:rPr>
        <w:t xml:space="preserve"> </w:t>
      </w:r>
      <w:r>
        <w:rPr>
          <w:i/>
          <w:sz w:val="28"/>
          <w:szCs w:val="28"/>
        </w:rPr>
        <w:t xml:space="preserve">See, e.g., </w:t>
      </w:r>
      <w:r w:rsidRPr="00306AB5">
        <w:rPr>
          <w:sz w:val="28"/>
          <w:szCs w:val="28"/>
        </w:rPr>
        <w:t>Bates v. State Bar of Arizona, 433 U.S. 350 (1977</w:t>
      </w:r>
      <w:r w:rsidRPr="00792AD9">
        <w:rPr>
          <w:sz w:val="28"/>
          <w:szCs w:val="28"/>
        </w:rPr>
        <w:t>)</w:t>
      </w:r>
      <w:r>
        <w:rPr>
          <w:sz w:val="28"/>
          <w:szCs w:val="28"/>
        </w:rPr>
        <w:t xml:space="preserve"> (“</w:t>
      </w:r>
      <w:r w:rsidRPr="00D847D1">
        <w:rPr>
          <w:rFonts w:eastAsia="Times New Roman"/>
          <w:sz w:val="27"/>
          <w:szCs w:val="27"/>
        </w:rPr>
        <w:t>The Arizona Supreme Court is the</w:t>
      </w:r>
      <w:r>
        <w:rPr>
          <w:rFonts w:eastAsia="Times New Roman"/>
          <w:sz w:val="27"/>
          <w:szCs w:val="27"/>
        </w:rPr>
        <w:t xml:space="preserve"> </w:t>
      </w:r>
      <w:r w:rsidRPr="00D847D1">
        <w:rPr>
          <w:rFonts w:eastAsia="Times New Roman"/>
          <w:sz w:val="27"/>
          <w:szCs w:val="27"/>
        </w:rPr>
        <w:t>real party in interest; it adopted the rules, and it is the</w:t>
      </w:r>
      <w:r>
        <w:rPr>
          <w:rFonts w:eastAsia="Times New Roman"/>
          <w:sz w:val="27"/>
          <w:szCs w:val="27"/>
        </w:rPr>
        <w:t xml:space="preserve"> </w:t>
      </w:r>
      <w:r w:rsidRPr="00D847D1">
        <w:rPr>
          <w:rFonts w:eastAsia="Times New Roman"/>
          <w:sz w:val="27"/>
          <w:szCs w:val="27"/>
        </w:rPr>
        <w:t>ultimate trier of fact and law in the enforcement process.</w:t>
      </w:r>
      <w:r>
        <w:rPr>
          <w:rFonts w:eastAsia="Times New Roman"/>
          <w:sz w:val="27"/>
          <w:szCs w:val="27"/>
        </w:rPr>
        <w:t xml:space="preserve">” </w:t>
      </w:r>
      <w:r>
        <w:rPr>
          <w:rFonts w:eastAsia="Times New Roman"/>
          <w:i/>
          <w:sz w:val="27"/>
          <w:szCs w:val="27"/>
        </w:rPr>
        <w:t>Id</w:t>
      </w:r>
      <w:r>
        <w:rPr>
          <w:rFonts w:eastAsia="Times New Roman"/>
          <w:sz w:val="27"/>
          <w:szCs w:val="27"/>
        </w:rPr>
        <w:t>. at 361).</w:t>
      </w:r>
    </w:p>
  </w:footnote>
  <w:footnote w:id="7">
    <w:p w14:paraId="493D0C8B" w14:textId="025E08F7" w:rsidR="00B9558F" w:rsidRPr="002F00A8" w:rsidRDefault="00B9558F" w:rsidP="00CD62C3">
      <w:pPr>
        <w:pStyle w:val="Heading1"/>
        <w:rPr>
          <w:b w:val="0"/>
          <w:sz w:val="10"/>
          <w:szCs w:val="10"/>
        </w:rPr>
      </w:pPr>
      <w:r w:rsidRPr="002F00A8">
        <w:rPr>
          <w:rStyle w:val="FootnoteReference"/>
          <w:b w:val="0"/>
          <w:sz w:val="28"/>
          <w:szCs w:val="28"/>
        </w:rPr>
        <w:footnoteRef/>
      </w:r>
      <w:r>
        <w:rPr>
          <w:b w:val="0"/>
          <w:sz w:val="28"/>
          <w:szCs w:val="28"/>
        </w:rPr>
        <w:t xml:space="preserve"> </w:t>
      </w:r>
      <w:r w:rsidRPr="002F00A8">
        <w:rPr>
          <w:b w:val="0"/>
          <w:sz w:val="28"/>
          <w:szCs w:val="28"/>
        </w:rPr>
        <w:t xml:space="preserve">Eugene </w:t>
      </w:r>
      <w:r w:rsidRPr="002F00A8">
        <w:rPr>
          <w:b w:val="0"/>
          <w:sz w:val="28"/>
          <w:szCs w:val="28"/>
        </w:rPr>
        <w:t xml:space="preserve">Volokh, </w:t>
      </w:r>
      <w:r w:rsidRPr="002F00A8">
        <w:rPr>
          <w:b w:val="0"/>
          <w:i/>
          <w:sz w:val="28"/>
          <w:szCs w:val="28"/>
        </w:rPr>
        <w:t>UCLA Dean Apologizes for My Having Accurately Quoted the Word “Nigger” in Discussing a Case</w:t>
      </w:r>
      <w:r w:rsidRPr="002F00A8">
        <w:rPr>
          <w:b w:val="0"/>
          <w:sz w:val="28"/>
          <w:szCs w:val="28"/>
        </w:rPr>
        <w:t xml:space="preserve">, Reason, The Volokh Conspiracy, Apr. 14, 2020 (online at </w:t>
      </w:r>
      <w:r w:rsidRPr="00A2783D">
        <w:rPr>
          <w:b w:val="0"/>
          <w:sz w:val="28"/>
          <w:szCs w:val="28"/>
        </w:rPr>
        <w:t>https://bit.ly/3u0Ombh</w:t>
      </w:r>
      <w:r w:rsidRPr="002F00A8">
        <w:rPr>
          <w:b w:val="0"/>
          <w:sz w:val="28"/>
          <w:szCs w:val="28"/>
        </w:rPr>
        <w:t>).</w:t>
      </w:r>
    </w:p>
  </w:footnote>
  <w:footnote w:id="8">
    <w:p w14:paraId="5CA41F0F" w14:textId="3FED7366" w:rsidR="00B9558F" w:rsidRPr="002F00A8" w:rsidRDefault="00B9558F" w:rsidP="00E87FAA">
      <w:pPr>
        <w:pStyle w:val="FootnoteText"/>
        <w:rPr>
          <w:sz w:val="28"/>
          <w:szCs w:val="28"/>
        </w:rPr>
      </w:pPr>
      <w:r w:rsidRPr="002F00A8">
        <w:rPr>
          <w:rStyle w:val="FootnoteReference"/>
          <w:sz w:val="28"/>
          <w:szCs w:val="28"/>
        </w:rPr>
        <w:footnoteRef/>
      </w:r>
      <w:r w:rsidRPr="002F00A8">
        <w:rPr>
          <w:sz w:val="28"/>
          <w:szCs w:val="28"/>
        </w:rPr>
        <w:t xml:space="preserve"> Colleen Flaherty, </w:t>
      </w:r>
      <w:r w:rsidRPr="002F00A8">
        <w:rPr>
          <w:i/>
          <w:sz w:val="28"/>
          <w:szCs w:val="28"/>
        </w:rPr>
        <w:t xml:space="preserve">A Free Speech Purist </w:t>
      </w:r>
      <w:r w:rsidRPr="002F00A8">
        <w:rPr>
          <w:i/>
          <w:sz w:val="28"/>
          <w:szCs w:val="28"/>
        </w:rPr>
        <w:t>Opts Not to Use the N-word</w:t>
      </w:r>
      <w:r w:rsidRPr="002F00A8">
        <w:rPr>
          <w:sz w:val="28"/>
          <w:szCs w:val="28"/>
        </w:rPr>
        <w:t xml:space="preserve">, </w:t>
      </w:r>
      <w:r w:rsidRPr="002F00A8">
        <w:rPr>
          <w:smallCaps/>
          <w:sz w:val="28"/>
          <w:szCs w:val="28"/>
        </w:rPr>
        <w:t>Inside Higher Educ</w:t>
      </w:r>
      <w:r w:rsidRPr="002F00A8">
        <w:rPr>
          <w:sz w:val="28"/>
          <w:szCs w:val="28"/>
        </w:rPr>
        <w:t>., Mar. 8, 2019 (online at https://bit.ly/3b3WDCJ).</w:t>
      </w:r>
    </w:p>
    <w:p w14:paraId="54CAE003" w14:textId="0D003955" w:rsidR="00B9558F" w:rsidRPr="002F00A8" w:rsidRDefault="00B9558F" w:rsidP="00E87FAA">
      <w:pPr>
        <w:pStyle w:val="FootnoteText"/>
        <w:rPr>
          <w:sz w:val="10"/>
          <w:szCs w:val="10"/>
        </w:rPr>
      </w:pPr>
      <w:r w:rsidRPr="002F00A8">
        <w:rPr>
          <w:sz w:val="28"/>
          <w:szCs w:val="28"/>
        </w:rPr>
        <w:t xml:space="preserve"> </w:t>
      </w:r>
    </w:p>
  </w:footnote>
  <w:footnote w:id="9">
    <w:p w14:paraId="28A68BAB" w14:textId="1A28128F" w:rsidR="00B934B8" w:rsidRPr="00D43E04" w:rsidRDefault="00B934B8">
      <w:pPr>
        <w:pStyle w:val="FootnoteText"/>
        <w:rPr>
          <w:sz w:val="28"/>
          <w:szCs w:val="28"/>
        </w:rPr>
      </w:pPr>
      <w:r w:rsidRPr="00D43E04">
        <w:rPr>
          <w:rStyle w:val="FootnoteReference"/>
          <w:sz w:val="28"/>
          <w:szCs w:val="28"/>
        </w:rPr>
        <w:footnoteRef/>
      </w:r>
      <w:r w:rsidRPr="00D43E04">
        <w:rPr>
          <w:sz w:val="28"/>
          <w:szCs w:val="28"/>
        </w:rPr>
        <w:t xml:space="preserve"> Kenneth B. Noble, </w:t>
      </w:r>
      <w:r w:rsidRPr="00D43E04">
        <w:rPr>
          <w:i/>
          <w:sz w:val="28"/>
          <w:szCs w:val="28"/>
        </w:rPr>
        <w:t>Issue of Racism Erupts in Simpson Trial</w:t>
      </w:r>
      <w:r w:rsidRPr="00D43E04">
        <w:rPr>
          <w:sz w:val="28"/>
          <w:szCs w:val="28"/>
        </w:rPr>
        <w:t>, N.Y. Times, Jan. 14, 1995, at A7 (viewed online at https://nyti.ms/3uc74wW).</w:t>
      </w:r>
    </w:p>
    <w:p w14:paraId="70F22BCB" w14:textId="77777777" w:rsidR="00B934B8" w:rsidRPr="00B934B8" w:rsidRDefault="00B934B8">
      <w:pPr>
        <w:pStyle w:val="FootnoteText"/>
      </w:pPr>
    </w:p>
  </w:footnote>
  <w:footnote w:id="10">
    <w:p w14:paraId="42BB8538" w14:textId="0C8F1E6D" w:rsidR="00B9558F" w:rsidRPr="002F00A8" w:rsidRDefault="00B9558F" w:rsidP="00E87FAA">
      <w:pPr>
        <w:pStyle w:val="FootnoteText"/>
        <w:rPr>
          <w:sz w:val="28"/>
          <w:szCs w:val="28"/>
        </w:rPr>
      </w:pPr>
      <w:r w:rsidRPr="002F00A8">
        <w:rPr>
          <w:rStyle w:val="FootnoteReference"/>
          <w:sz w:val="28"/>
          <w:szCs w:val="28"/>
        </w:rPr>
        <w:footnoteRef/>
      </w:r>
      <w:r w:rsidRPr="002F00A8">
        <w:rPr>
          <w:sz w:val="28"/>
          <w:szCs w:val="28"/>
        </w:rPr>
        <w:t xml:space="preserve"> Petition, at 5, (citing National Association for Law Placement 2019 Report on Diversity [hereinafter “NALP Report”]. Online at </w:t>
      </w:r>
      <w:r w:rsidRPr="00A2783D">
        <w:rPr>
          <w:sz w:val="28"/>
          <w:szCs w:val="28"/>
        </w:rPr>
        <w:t>https://www.nalp.org/uploads/2019_DiversityReport.pdf</w:t>
      </w:r>
      <w:r w:rsidRPr="002F00A8">
        <w:rPr>
          <w:sz w:val="28"/>
          <w:szCs w:val="28"/>
        </w:rPr>
        <w:t>).</w:t>
      </w:r>
    </w:p>
    <w:p w14:paraId="1197343D" w14:textId="77777777" w:rsidR="00B9558F" w:rsidRPr="00A2783D" w:rsidRDefault="00B9558F" w:rsidP="00E769D4">
      <w:pPr>
        <w:pStyle w:val="FootnoteText"/>
        <w:ind w:firstLine="720"/>
        <w:rPr>
          <w:sz w:val="10"/>
          <w:szCs w:val="10"/>
        </w:rPr>
      </w:pPr>
    </w:p>
  </w:footnote>
  <w:footnote w:id="11">
    <w:p w14:paraId="6CFC772D" w14:textId="77777777" w:rsidR="00B9558F" w:rsidRPr="00A2783D" w:rsidRDefault="00B9558F">
      <w:pPr>
        <w:pStyle w:val="FootnoteText"/>
        <w:rPr>
          <w:sz w:val="10"/>
          <w:szCs w:val="10"/>
        </w:rPr>
      </w:pPr>
    </w:p>
  </w:footnote>
  <w:footnote w:id="12">
    <w:p w14:paraId="46CD22C9" w14:textId="3AB205C6" w:rsidR="00B9558F" w:rsidRDefault="00B9558F">
      <w:pPr>
        <w:pStyle w:val="FootnoteText"/>
        <w:rPr>
          <w:sz w:val="28"/>
          <w:szCs w:val="28"/>
        </w:rPr>
      </w:pPr>
      <w:r w:rsidRPr="00743674">
        <w:rPr>
          <w:rStyle w:val="FootnoteReference"/>
          <w:sz w:val="28"/>
          <w:szCs w:val="28"/>
        </w:rPr>
        <w:footnoteRef/>
      </w:r>
      <w:r w:rsidRPr="00743674">
        <w:rPr>
          <w:sz w:val="28"/>
          <w:szCs w:val="28"/>
        </w:rPr>
        <w:t xml:space="preserve"> The State Bar’s social justice task force, </w:t>
      </w:r>
      <w:r w:rsidRPr="00743674">
        <w:rPr>
          <w:i/>
          <w:sz w:val="28"/>
          <w:szCs w:val="28"/>
        </w:rPr>
        <w:t>infra</w:t>
      </w:r>
      <w:r w:rsidRPr="00743674">
        <w:rPr>
          <w:sz w:val="28"/>
          <w:szCs w:val="28"/>
        </w:rPr>
        <w:t xml:space="preserve"> note </w:t>
      </w:r>
      <w:r>
        <w:rPr>
          <w:sz w:val="28"/>
          <w:szCs w:val="28"/>
        </w:rPr>
        <w:t>1</w:t>
      </w:r>
      <w:r w:rsidR="00B934B8">
        <w:rPr>
          <w:sz w:val="28"/>
          <w:szCs w:val="28"/>
        </w:rPr>
        <w:t>4</w:t>
      </w:r>
      <w:r w:rsidRPr="00743674">
        <w:rPr>
          <w:sz w:val="28"/>
          <w:szCs w:val="28"/>
        </w:rPr>
        <w:t>, has noted that</w:t>
      </w:r>
      <w:r>
        <w:rPr>
          <w:sz w:val="28"/>
          <w:szCs w:val="28"/>
        </w:rPr>
        <w:t xml:space="preserve"> contemplated Bar-sponsored events must be </w:t>
      </w:r>
      <w:r>
        <w:rPr>
          <w:i/>
          <w:sz w:val="28"/>
          <w:szCs w:val="28"/>
        </w:rPr>
        <w:t>Keller-</w:t>
      </w:r>
      <w:r>
        <w:rPr>
          <w:sz w:val="28"/>
          <w:szCs w:val="28"/>
        </w:rPr>
        <w:t xml:space="preserve">compliant. Keller v. State Bar of California, 496 U.S. 1 (1990). </w:t>
      </w:r>
    </w:p>
    <w:p w14:paraId="69BD6074" w14:textId="42515F98" w:rsidR="00B9558F" w:rsidRPr="006275F4" w:rsidRDefault="00B9558F">
      <w:pPr>
        <w:pStyle w:val="FootnoteText"/>
        <w:rPr>
          <w:sz w:val="10"/>
          <w:szCs w:val="10"/>
        </w:rPr>
      </w:pPr>
      <w:r w:rsidRPr="00743674">
        <w:rPr>
          <w:sz w:val="28"/>
          <w:szCs w:val="28"/>
        </w:rPr>
        <w:t xml:space="preserve"> </w:t>
      </w:r>
    </w:p>
  </w:footnote>
  <w:footnote w:id="13">
    <w:p w14:paraId="41D90419" w14:textId="489620DE" w:rsidR="00B9558F" w:rsidRDefault="00B9558F">
      <w:pPr>
        <w:pStyle w:val="FootnoteText"/>
        <w:rPr>
          <w:sz w:val="28"/>
          <w:szCs w:val="28"/>
        </w:rPr>
      </w:pPr>
      <w:r w:rsidRPr="00CD62C3">
        <w:rPr>
          <w:rStyle w:val="FootnoteReference"/>
          <w:sz w:val="28"/>
          <w:szCs w:val="28"/>
        </w:rPr>
        <w:footnoteRef/>
      </w:r>
      <w:r w:rsidRPr="00CD62C3">
        <w:rPr>
          <w:sz w:val="28"/>
          <w:szCs w:val="28"/>
        </w:rPr>
        <w:t xml:space="preserve"> The Bar claims that requiring a yearly compliance hour would “minimize the burden” of finding specialty credits. Petition, at 5. However, the Bar proposal would triple the amount of diversity material required by the ABA Model Rule invoked to justify a new mandate. </w:t>
      </w:r>
      <w:r w:rsidRPr="00CD62C3">
        <w:rPr>
          <w:i/>
          <w:sz w:val="28"/>
          <w:szCs w:val="28"/>
        </w:rPr>
        <w:t>Id.</w:t>
      </w:r>
      <w:r w:rsidRPr="00CD62C3">
        <w:rPr>
          <w:sz w:val="28"/>
          <w:szCs w:val="28"/>
        </w:rPr>
        <w:t xml:space="preserve"> at 3. </w:t>
      </w:r>
      <w:r>
        <w:rPr>
          <w:sz w:val="28"/>
          <w:szCs w:val="28"/>
        </w:rPr>
        <w:t>The concept of minimization seems elusive here.</w:t>
      </w:r>
    </w:p>
    <w:p w14:paraId="731904AD" w14:textId="77777777" w:rsidR="00B9558F" w:rsidRPr="00CD62C3" w:rsidRDefault="00B9558F">
      <w:pPr>
        <w:pStyle w:val="FootnoteText"/>
        <w:rPr>
          <w:sz w:val="10"/>
          <w:szCs w:val="10"/>
        </w:rPr>
      </w:pPr>
    </w:p>
  </w:footnote>
  <w:footnote w:id="14">
    <w:p w14:paraId="19EE7FC6" w14:textId="2D64E755" w:rsidR="00B9558F" w:rsidRDefault="00B9558F" w:rsidP="001E4AEC">
      <w:pPr>
        <w:pStyle w:val="FootnoteText"/>
        <w:rPr>
          <w:sz w:val="28"/>
          <w:szCs w:val="28"/>
        </w:rPr>
      </w:pPr>
      <w:r w:rsidRPr="00CD62C3">
        <w:rPr>
          <w:rStyle w:val="FootnoteReference"/>
          <w:sz w:val="28"/>
          <w:szCs w:val="28"/>
        </w:rPr>
        <w:footnoteRef/>
      </w:r>
      <w:r w:rsidRPr="00CD62C3">
        <w:rPr>
          <w:sz w:val="28"/>
          <w:szCs w:val="28"/>
        </w:rPr>
        <w:t xml:space="preserve"> Task Force Report on Social Justice, Bias and Inclusion Report, Dec. 4, 2020 [hereinafter “Task Force Report”] (viewed online at </w:t>
      </w:r>
      <w:r w:rsidRPr="00A2783D">
        <w:rPr>
          <w:sz w:val="28"/>
          <w:szCs w:val="28"/>
        </w:rPr>
        <w:t>https://www.azbar.org/media/8d8c1480048a3de/sjtf_report.pdf</w:t>
      </w:r>
      <w:r w:rsidRPr="00CD62C3">
        <w:rPr>
          <w:sz w:val="28"/>
          <w:szCs w:val="28"/>
        </w:rPr>
        <w:t>) at A2.</w:t>
      </w:r>
    </w:p>
    <w:p w14:paraId="0D9513F7" w14:textId="77777777" w:rsidR="00B9558F" w:rsidRPr="00CD62C3" w:rsidRDefault="00B9558F" w:rsidP="001E4AEC">
      <w:pPr>
        <w:pStyle w:val="FootnoteText"/>
        <w:rPr>
          <w:sz w:val="10"/>
          <w:szCs w:val="10"/>
        </w:rPr>
      </w:pPr>
    </w:p>
  </w:footnote>
  <w:footnote w:id="15">
    <w:p w14:paraId="41455D25" w14:textId="27D7EBD2" w:rsidR="00B9558F" w:rsidRDefault="00B9558F">
      <w:pPr>
        <w:pStyle w:val="FootnoteText"/>
        <w:rPr>
          <w:sz w:val="28"/>
          <w:szCs w:val="28"/>
        </w:rPr>
      </w:pPr>
      <w:r w:rsidRPr="00CD62C3">
        <w:rPr>
          <w:rStyle w:val="FootnoteReference"/>
          <w:sz w:val="28"/>
          <w:szCs w:val="28"/>
        </w:rPr>
        <w:footnoteRef/>
      </w:r>
      <w:r w:rsidRPr="00CD62C3">
        <w:rPr>
          <w:sz w:val="28"/>
          <w:szCs w:val="28"/>
        </w:rPr>
        <w:t xml:space="preserve"> “[T]he State Bar is aware that if this proposed amendment is approved by this Court, the MCLE Regulations will have to be modified to determine qualifying diversity and inclusion training.” Petition, at 6.</w:t>
      </w:r>
    </w:p>
    <w:p w14:paraId="217E957B" w14:textId="77777777" w:rsidR="00B9558F" w:rsidRPr="00A2783D" w:rsidRDefault="00B9558F">
      <w:pPr>
        <w:pStyle w:val="FootnoteText"/>
        <w:rPr>
          <w:sz w:val="10"/>
          <w:szCs w:val="10"/>
        </w:rPr>
      </w:pPr>
    </w:p>
  </w:footnote>
  <w:footnote w:id="16">
    <w:p w14:paraId="02844446" w14:textId="1FF2BC9E" w:rsidR="00B9558F" w:rsidRPr="00CB16DB" w:rsidRDefault="00B9558F" w:rsidP="003968D7">
      <w:pPr>
        <w:rPr>
          <w:rFonts w:eastAsia="Times New Roman"/>
          <w:sz w:val="28"/>
          <w:szCs w:val="28"/>
        </w:rPr>
      </w:pPr>
      <w:r w:rsidRPr="00CB16DB">
        <w:rPr>
          <w:rStyle w:val="FootnoteReference"/>
          <w:sz w:val="28"/>
          <w:szCs w:val="28"/>
        </w:rPr>
        <w:footnoteRef/>
      </w:r>
      <w:r w:rsidRPr="00CB16DB">
        <w:rPr>
          <w:sz w:val="28"/>
          <w:szCs w:val="28"/>
        </w:rPr>
        <w:t xml:space="preserve"> Former Chief Justice </w:t>
      </w:r>
      <w:r>
        <w:rPr>
          <w:sz w:val="28"/>
          <w:szCs w:val="28"/>
        </w:rPr>
        <w:t xml:space="preserve">Rebecca White </w:t>
      </w:r>
      <w:r w:rsidRPr="00CB16DB">
        <w:rPr>
          <w:sz w:val="28"/>
          <w:szCs w:val="28"/>
        </w:rPr>
        <w:t xml:space="preserve">Berch, speaking of a report on State Bar governance, said that as with “… every other Court program, the Court requires a periodic review.” </w:t>
      </w:r>
      <w:r>
        <w:rPr>
          <w:sz w:val="28"/>
          <w:szCs w:val="28"/>
        </w:rPr>
        <w:t xml:space="preserve">Online at </w:t>
      </w:r>
      <w:r w:rsidRPr="00C44B42">
        <w:rPr>
          <w:sz w:val="28"/>
          <w:szCs w:val="28"/>
        </w:rPr>
        <w:t>http://www.azcourts.gov/cscommittees/Task-Force-to-Review-the-State-Bars-Role-and-Governance</w:t>
      </w:r>
      <w:r>
        <w:rPr>
          <w:sz w:val="28"/>
          <w:szCs w:val="28"/>
        </w:rPr>
        <w:t xml:space="preserve">, Sept. 1, 2015 (video since deleted; Justice </w:t>
      </w:r>
      <w:r>
        <w:rPr>
          <w:sz w:val="28"/>
          <w:szCs w:val="28"/>
        </w:rPr>
        <w:t>Berch’s comment copied from the undersigned’s notes).</w:t>
      </w:r>
    </w:p>
    <w:p w14:paraId="545FA693" w14:textId="5E3463F4" w:rsidR="00B9558F" w:rsidRPr="00A2783D" w:rsidRDefault="00B9558F">
      <w:pPr>
        <w:pStyle w:val="FootnoteText"/>
        <w:rPr>
          <w:sz w:val="10"/>
          <w:szCs w:val="10"/>
        </w:rPr>
      </w:pPr>
    </w:p>
  </w:footnote>
  <w:footnote w:id="17">
    <w:p w14:paraId="0E5AEFAF" w14:textId="04E03182" w:rsidR="00B9558F" w:rsidRDefault="00B9558F" w:rsidP="007C3D54">
      <w:pPr>
        <w:rPr>
          <w:rFonts w:eastAsia="Times New Roman"/>
          <w:sz w:val="28"/>
          <w:szCs w:val="28"/>
        </w:rPr>
      </w:pPr>
      <w:r w:rsidRPr="00390C3C">
        <w:rPr>
          <w:rStyle w:val="FootnoteReference"/>
          <w:sz w:val="28"/>
          <w:szCs w:val="28"/>
        </w:rPr>
        <w:footnoteRef/>
      </w:r>
      <w:r w:rsidRPr="00390C3C">
        <w:rPr>
          <w:sz w:val="28"/>
          <w:szCs w:val="28"/>
        </w:rPr>
        <w:t xml:space="preserve"> </w:t>
      </w:r>
      <w:r w:rsidRPr="00390C3C">
        <w:rPr>
          <w:rFonts w:eastAsia="Times New Roman"/>
          <w:sz w:val="28"/>
          <w:szCs w:val="28"/>
        </w:rPr>
        <w:t xml:space="preserve">Deborah L. Rhode and Lucy </w:t>
      </w:r>
      <w:r w:rsidRPr="00390C3C">
        <w:rPr>
          <w:rFonts w:eastAsia="Times New Roman"/>
          <w:sz w:val="28"/>
          <w:szCs w:val="28"/>
        </w:rPr>
        <w:t xml:space="preserve">Ricca, </w:t>
      </w:r>
      <w:r w:rsidRPr="00390C3C">
        <w:rPr>
          <w:rFonts w:eastAsia="Times New Roman"/>
          <w:i/>
          <w:sz w:val="28"/>
          <w:szCs w:val="28"/>
        </w:rPr>
        <w:t xml:space="preserve">Revisiting MCLE: Is Compulsory Passive Learning Building Better </w:t>
      </w:r>
      <w:r w:rsidRPr="00390C3C">
        <w:rPr>
          <w:rFonts w:eastAsia="Times New Roman"/>
          <w:i/>
          <w:sz w:val="28"/>
          <w:szCs w:val="28"/>
        </w:rPr>
        <w:t>Lawyers?</w:t>
      </w:r>
      <w:r w:rsidRPr="00390C3C">
        <w:rPr>
          <w:rFonts w:eastAsia="Times New Roman"/>
          <w:sz w:val="28"/>
          <w:szCs w:val="28"/>
        </w:rPr>
        <w:t xml:space="preserve">, 22(2) </w:t>
      </w:r>
      <w:r w:rsidRPr="00390C3C">
        <w:rPr>
          <w:rFonts w:eastAsia="Times New Roman"/>
          <w:smallCaps/>
          <w:sz w:val="28"/>
          <w:szCs w:val="28"/>
        </w:rPr>
        <w:t>Prof. Law.</w:t>
      </w:r>
      <w:r w:rsidRPr="00390C3C">
        <w:rPr>
          <w:rFonts w:eastAsia="Times New Roman"/>
          <w:sz w:val="28"/>
          <w:szCs w:val="28"/>
        </w:rPr>
        <w:t xml:space="preserve"> (2014). </w:t>
      </w:r>
      <w:r>
        <w:rPr>
          <w:rFonts w:eastAsia="Times New Roman"/>
          <w:sz w:val="28"/>
          <w:szCs w:val="28"/>
        </w:rPr>
        <w:t>(</w:t>
      </w:r>
      <w:r w:rsidRPr="00390C3C">
        <w:rPr>
          <w:rFonts w:eastAsia="Times New Roman"/>
          <w:sz w:val="28"/>
          <w:szCs w:val="28"/>
        </w:rPr>
        <w:t xml:space="preserve">Online at </w:t>
      </w:r>
      <w:r w:rsidRPr="00A2783D">
        <w:rPr>
          <w:rFonts w:eastAsia="Times New Roman"/>
          <w:sz w:val="28"/>
          <w:szCs w:val="28"/>
        </w:rPr>
        <w:t>https://bit.ly/3aYc7Z8</w:t>
      </w:r>
      <w:r>
        <w:rPr>
          <w:rStyle w:val="Hyperlink"/>
          <w:rFonts w:eastAsia="Times New Roman"/>
          <w:sz w:val="28"/>
          <w:szCs w:val="28"/>
        </w:rPr>
        <w:t>)</w:t>
      </w:r>
      <w:r w:rsidRPr="00390C3C">
        <w:rPr>
          <w:rFonts w:eastAsia="Times New Roman"/>
          <w:sz w:val="28"/>
          <w:szCs w:val="28"/>
        </w:rPr>
        <w:t>.</w:t>
      </w:r>
    </w:p>
    <w:p w14:paraId="4352C993" w14:textId="77777777" w:rsidR="00B9558F" w:rsidRPr="00CD62C3" w:rsidRDefault="00B9558F" w:rsidP="007C3D54">
      <w:pPr>
        <w:rPr>
          <w:rFonts w:eastAsia="Times New Roman"/>
          <w:sz w:val="10"/>
          <w:szCs w:val="10"/>
        </w:rPr>
      </w:pPr>
    </w:p>
  </w:footnote>
  <w:footnote w:id="18">
    <w:p w14:paraId="2EE7C609" w14:textId="76BFA608" w:rsidR="00B9558F" w:rsidRDefault="00B9558F">
      <w:pPr>
        <w:pStyle w:val="FootnoteText"/>
        <w:rPr>
          <w:sz w:val="28"/>
          <w:szCs w:val="28"/>
        </w:rPr>
      </w:pPr>
      <w:r w:rsidRPr="00390C3C">
        <w:rPr>
          <w:rStyle w:val="FootnoteReference"/>
          <w:sz w:val="28"/>
          <w:szCs w:val="28"/>
        </w:rPr>
        <w:footnoteRef/>
      </w:r>
      <w:r w:rsidRPr="00390C3C">
        <w:rPr>
          <w:sz w:val="28"/>
          <w:szCs w:val="28"/>
        </w:rPr>
        <w:t xml:space="preserve"> </w:t>
      </w:r>
      <w:r w:rsidRPr="00390C3C">
        <w:rPr>
          <w:i/>
          <w:sz w:val="28"/>
          <w:szCs w:val="28"/>
        </w:rPr>
        <w:t>Id.</w:t>
      </w:r>
      <w:r w:rsidRPr="00390C3C">
        <w:rPr>
          <w:sz w:val="28"/>
          <w:szCs w:val="28"/>
        </w:rPr>
        <w:t xml:space="preserve"> at 8.</w:t>
      </w:r>
    </w:p>
    <w:p w14:paraId="315173EC" w14:textId="77777777" w:rsidR="00B9558F" w:rsidRPr="005B4B9A" w:rsidRDefault="00B9558F">
      <w:pPr>
        <w:pStyle w:val="FootnoteText"/>
        <w:rPr>
          <w:sz w:val="10"/>
          <w:szCs w:val="10"/>
        </w:rPr>
      </w:pPr>
    </w:p>
  </w:footnote>
  <w:footnote w:id="19">
    <w:p w14:paraId="3DF7A7D3" w14:textId="7002FEFE" w:rsidR="00B9558F" w:rsidRDefault="00B9558F">
      <w:pPr>
        <w:pStyle w:val="FootnoteText"/>
        <w:rPr>
          <w:sz w:val="28"/>
          <w:szCs w:val="28"/>
        </w:rPr>
      </w:pPr>
      <w:r w:rsidRPr="002728CB">
        <w:rPr>
          <w:rStyle w:val="FootnoteReference"/>
          <w:sz w:val="28"/>
          <w:szCs w:val="28"/>
        </w:rPr>
        <w:footnoteRef/>
      </w:r>
      <w:r w:rsidRPr="002728CB">
        <w:rPr>
          <w:sz w:val="28"/>
          <w:szCs w:val="28"/>
        </w:rPr>
        <w:t xml:space="preserve"> Task Force </w:t>
      </w:r>
      <w:r>
        <w:rPr>
          <w:sz w:val="28"/>
          <w:szCs w:val="28"/>
        </w:rPr>
        <w:t xml:space="preserve">Report, </w:t>
      </w:r>
      <w:r>
        <w:rPr>
          <w:i/>
          <w:sz w:val="28"/>
          <w:szCs w:val="28"/>
        </w:rPr>
        <w:t xml:space="preserve">supra </w:t>
      </w:r>
      <w:r>
        <w:rPr>
          <w:sz w:val="28"/>
          <w:szCs w:val="28"/>
        </w:rPr>
        <w:t>note 1</w:t>
      </w:r>
      <w:r w:rsidR="00C03BA3">
        <w:rPr>
          <w:sz w:val="28"/>
          <w:szCs w:val="28"/>
        </w:rPr>
        <w:t>4</w:t>
      </w:r>
      <w:r w:rsidRPr="002728CB">
        <w:rPr>
          <w:sz w:val="28"/>
          <w:szCs w:val="28"/>
        </w:rPr>
        <w:t>.</w:t>
      </w:r>
    </w:p>
    <w:p w14:paraId="12D229A0" w14:textId="77777777" w:rsidR="00B9558F" w:rsidRPr="00CD62C3" w:rsidRDefault="00B9558F">
      <w:pPr>
        <w:pStyle w:val="FootnoteText"/>
        <w:rPr>
          <w:sz w:val="10"/>
          <w:szCs w:val="10"/>
        </w:rPr>
      </w:pPr>
    </w:p>
  </w:footnote>
  <w:footnote w:id="20">
    <w:p w14:paraId="008449C8" w14:textId="03687DD4" w:rsidR="00B9558F" w:rsidRPr="00E333CA" w:rsidRDefault="00B9558F">
      <w:pPr>
        <w:pStyle w:val="FootnoteText"/>
        <w:rPr>
          <w:sz w:val="28"/>
          <w:szCs w:val="28"/>
        </w:rPr>
      </w:pPr>
      <w:r w:rsidRPr="00E333CA">
        <w:rPr>
          <w:rStyle w:val="FootnoteReference"/>
          <w:sz w:val="28"/>
          <w:szCs w:val="28"/>
        </w:rPr>
        <w:footnoteRef/>
      </w:r>
      <w:r w:rsidRPr="00E333CA">
        <w:rPr>
          <w:sz w:val="28"/>
          <w:szCs w:val="28"/>
        </w:rPr>
        <w:t xml:space="preserve"> </w:t>
      </w:r>
      <w:r w:rsidRPr="00E333CA">
        <w:rPr>
          <w:i/>
          <w:sz w:val="28"/>
          <w:szCs w:val="28"/>
        </w:rPr>
        <w:t>Id.</w:t>
      </w:r>
      <w:r w:rsidRPr="00E333CA">
        <w:rPr>
          <w:sz w:val="28"/>
          <w:szCs w:val="28"/>
        </w:rPr>
        <w:t xml:space="preserve"> at A2.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B2BB1"/>
    <w:multiLevelType w:val="hybridMultilevel"/>
    <w:tmpl w:val="26BC470C"/>
    <w:lvl w:ilvl="0" w:tplc="17580C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717735"/>
    <w:multiLevelType w:val="hybridMultilevel"/>
    <w:tmpl w:val="D866431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15:restartNumberingAfterBreak="0">
    <w:nsid w:val="4083356A"/>
    <w:multiLevelType w:val="hybridMultilevel"/>
    <w:tmpl w:val="DF8CA59A"/>
    <w:lvl w:ilvl="0" w:tplc="8724D6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CE53DE"/>
    <w:multiLevelType w:val="hybridMultilevel"/>
    <w:tmpl w:val="8E20E27E"/>
    <w:lvl w:ilvl="0" w:tplc="5E5EB7D8">
      <w:start w:val="1"/>
      <w:numFmt w:val="upp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72D06294"/>
    <w:multiLevelType w:val="hybridMultilevel"/>
    <w:tmpl w:val="D22ED8DA"/>
    <w:lvl w:ilvl="0" w:tplc="BE7419BE">
      <w:start w:val="1"/>
      <w:numFmt w:val="upp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ADC"/>
    <w:rsid w:val="00002114"/>
    <w:rsid w:val="00014783"/>
    <w:rsid w:val="00014FDB"/>
    <w:rsid w:val="00021ECB"/>
    <w:rsid w:val="000261B5"/>
    <w:rsid w:val="00031BD7"/>
    <w:rsid w:val="000379C6"/>
    <w:rsid w:val="000432BA"/>
    <w:rsid w:val="0004455D"/>
    <w:rsid w:val="00053B67"/>
    <w:rsid w:val="00053C21"/>
    <w:rsid w:val="0005708A"/>
    <w:rsid w:val="00076C72"/>
    <w:rsid w:val="00083AD4"/>
    <w:rsid w:val="00087E18"/>
    <w:rsid w:val="00090C72"/>
    <w:rsid w:val="00092731"/>
    <w:rsid w:val="00092CF6"/>
    <w:rsid w:val="00095058"/>
    <w:rsid w:val="00095BF2"/>
    <w:rsid w:val="00096355"/>
    <w:rsid w:val="000D3B58"/>
    <w:rsid w:val="000D5F9A"/>
    <w:rsid w:val="000D7EDB"/>
    <w:rsid w:val="000E118D"/>
    <w:rsid w:val="000E13D4"/>
    <w:rsid w:val="000E4FAD"/>
    <w:rsid w:val="000E57B6"/>
    <w:rsid w:val="000E71F2"/>
    <w:rsid w:val="000E76A6"/>
    <w:rsid w:val="000F02C7"/>
    <w:rsid w:val="000F12F1"/>
    <w:rsid w:val="000F2CDF"/>
    <w:rsid w:val="001041AF"/>
    <w:rsid w:val="001102C9"/>
    <w:rsid w:val="001131E3"/>
    <w:rsid w:val="00117D90"/>
    <w:rsid w:val="00120FAB"/>
    <w:rsid w:val="00123399"/>
    <w:rsid w:val="001333FA"/>
    <w:rsid w:val="00134D90"/>
    <w:rsid w:val="0013633C"/>
    <w:rsid w:val="00152C82"/>
    <w:rsid w:val="00155C0D"/>
    <w:rsid w:val="001570A7"/>
    <w:rsid w:val="00157B11"/>
    <w:rsid w:val="00165801"/>
    <w:rsid w:val="00167FD1"/>
    <w:rsid w:val="00175B45"/>
    <w:rsid w:val="00175E46"/>
    <w:rsid w:val="00195238"/>
    <w:rsid w:val="00196311"/>
    <w:rsid w:val="00197781"/>
    <w:rsid w:val="001A24EF"/>
    <w:rsid w:val="001A5595"/>
    <w:rsid w:val="001A686C"/>
    <w:rsid w:val="001A7EFF"/>
    <w:rsid w:val="001B39AB"/>
    <w:rsid w:val="001B5485"/>
    <w:rsid w:val="001B7CF9"/>
    <w:rsid w:val="001C1A20"/>
    <w:rsid w:val="001C6246"/>
    <w:rsid w:val="001C6E58"/>
    <w:rsid w:val="001D7736"/>
    <w:rsid w:val="001D79FE"/>
    <w:rsid w:val="001E121B"/>
    <w:rsid w:val="001E305E"/>
    <w:rsid w:val="001E4AEC"/>
    <w:rsid w:val="001F3792"/>
    <w:rsid w:val="001F62C3"/>
    <w:rsid w:val="002012CB"/>
    <w:rsid w:val="00204DD0"/>
    <w:rsid w:val="00206BB7"/>
    <w:rsid w:val="00210EBA"/>
    <w:rsid w:val="00212D82"/>
    <w:rsid w:val="00215D71"/>
    <w:rsid w:val="0021678F"/>
    <w:rsid w:val="00220BAA"/>
    <w:rsid w:val="00222CD1"/>
    <w:rsid w:val="00225DAE"/>
    <w:rsid w:val="002320F7"/>
    <w:rsid w:val="00241D15"/>
    <w:rsid w:val="00247B1D"/>
    <w:rsid w:val="00247D93"/>
    <w:rsid w:val="00254BCD"/>
    <w:rsid w:val="0027071D"/>
    <w:rsid w:val="002728CB"/>
    <w:rsid w:val="00283AE4"/>
    <w:rsid w:val="002937A6"/>
    <w:rsid w:val="00293E08"/>
    <w:rsid w:val="00296A0E"/>
    <w:rsid w:val="002A3106"/>
    <w:rsid w:val="002A3B84"/>
    <w:rsid w:val="002A3F30"/>
    <w:rsid w:val="002B32C7"/>
    <w:rsid w:val="002B7267"/>
    <w:rsid w:val="002C29E2"/>
    <w:rsid w:val="002D0DE0"/>
    <w:rsid w:val="002D4351"/>
    <w:rsid w:val="002D513E"/>
    <w:rsid w:val="002E1A91"/>
    <w:rsid w:val="002E4674"/>
    <w:rsid w:val="002E5108"/>
    <w:rsid w:val="002E7344"/>
    <w:rsid w:val="002F00A8"/>
    <w:rsid w:val="0030437D"/>
    <w:rsid w:val="00306AB5"/>
    <w:rsid w:val="00306C60"/>
    <w:rsid w:val="00311672"/>
    <w:rsid w:val="00313DBC"/>
    <w:rsid w:val="00315C15"/>
    <w:rsid w:val="0031615C"/>
    <w:rsid w:val="00316323"/>
    <w:rsid w:val="00337792"/>
    <w:rsid w:val="003463E8"/>
    <w:rsid w:val="00346825"/>
    <w:rsid w:val="00351C8A"/>
    <w:rsid w:val="0035524D"/>
    <w:rsid w:val="003635C9"/>
    <w:rsid w:val="00366B04"/>
    <w:rsid w:val="003672CF"/>
    <w:rsid w:val="00371DFF"/>
    <w:rsid w:val="003738A8"/>
    <w:rsid w:val="00381F88"/>
    <w:rsid w:val="00390894"/>
    <w:rsid w:val="00390C3C"/>
    <w:rsid w:val="00391032"/>
    <w:rsid w:val="00392464"/>
    <w:rsid w:val="00395FF6"/>
    <w:rsid w:val="003968D7"/>
    <w:rsid w:val="003A0DB5"/>
    <w:rsid w:val="003A2049"/>
    <w:rsid w:val="003A3736"/>
    <w:rsid w:val="003A6A3E"/>
    <w:rsid w:val="003B372C"/>
    <w:rsid w:val="003B3E91"/>
    <w:rsid w:val="003C4D57"/>
    <w:rsid w:val="003C61BA"/>
    <w:rsid w:val="003D3F61"/>
    <w:rsid w:val="003D465E"/>
    <w:rsid w:val="003E23DD"/>
    <w:rsid w:val="003E726B"/>
    <w:rsid w:val="003E746A"/>
    <w:rsid w:val="003F04FE"/>
    <w:rsid w:val="003F33C4"/>
    <w:rsid w:val="003F4613"/>
    <w:rsid w:val="003F5369"/>
    <w:rsid w:val="0040090F"/>
    <w:rsid w:val="00404465"/>
    <w:rsid w:val="00405161"/>
    <w:rsid w:val="004102C7"/>
    <w:rsid w:val="004115BB"/>
    <w:rsid w:val="00413D53"/>
    <w:rsid w:val="00416384"/>
    <w:rsid w:val="00417731"/>
    <w:rsid w:val="00425ADC"/>
    <w:rsid w:val="00430262"/>
    <w:rsid w:val="00430F93"/>
    <w:rsid w:val="0044744D"/>
    <w:rsid w:val="00456E7D"/>
    <w:rsid w:val="0046664B"/>
    <w:rsid w:val="00475F8A"/>
    <w:rsid w:val="00476501"/>
    <w:rsid w:val="00476AD8"/>
    <w:rsid w:val="0048681C"/>
    <w:rsid w:val="00491D01"/>
    <w:rsid w:val="004927F7"/>
    <w:rsid w:val="004941EA"/>
    <w:rsid w:val="00495675"/>
    <w:rsid w:val="00495AF0"/>
    <w:rsid w:val="004A1C88"/>
    <w:rsid w:val="004A44C3"/>
    <w:rsid w:val="004A768B"/>
    <w:rsid w:val="004A7715"/>
    <w:rsid w:val="004A7857"/>
    <w:rsid w:val="004B297E"/>
    <w:rsid w:val="004B7D2F"/>
    <w:rsid w:val="004C45B3"/>
    <w:rsid w:val="004C5B46"/>
    <w:rsid w:val="004D2B31"/>
    <w:rsid w:val="004D6914"/>
    <w:rsid w:val="004D71E4"/>
    <w:rsid w:val="004E1801"/>
    <w:rsid w:val="004E46B1"/>
    <w:rsid w:val="004E4FA8"/>
    <w:rsid w:val="004E74E4"/>
    <w:rsid w:val="004F3F66"/>
    <w:rsid w:val="004F4463"/>
    <w:rsid w:val="004F52E1"/>
    <w:rsid w:val="004F60EA"/>
    <w:rsid w:val="005037B6"/>
    <w:rsid w:val="00504644"/>
    <w:rsid w:val="0051042C"/>
    <w:rsid w:val="005113E1"/>
    <w:rsid w:val="00514C9C"/>
    <w:rsid w:val="005166BE"/>
    <w:rsid w:val="00523F48"/>
    <w:rsid w:val="00525E1C"/>
    <w:rsid w:val="00527608"/>
    <w:rsid w:val="00536DFD"/>
    <w:rsid w:val="00536F36"/>
    <w:rsid w:val="00537867"/>
    <w:rsid w:val="005430ED"/>
    <w:rsid w:val="00543CE8"/>
    <w:rsid w:val="0054591E"/>
    <w:rsid w:val="005459DA"/>
    <w:rsid w:val="00546358"/>
    <w:rsid w:val="00546996"/>
    <w:rsid w:val="00563001"/>
    <w:rsid w:val="00571E77"/>
    <w:rsid w:val="00580B2A"/>
    <w:rsid w:val="0058268F"/>
    <w:rsid w:val="00583CC2"/>
    <w:rsid w:val="00583E08"/>
    <w:rsid w:val="005843BB"/>
    <w:rsid w:val="00584B06"/>
    <w:rsid w:val="00586FBE"/>
    <w:rsid w:val="0059040D"/>
    <w:rsid w:val="00590F97"/>
    <w:rsid w:val="005958BF"/>
    <w:rsid w:val="00597C0F"/>
    <w:rsid w:val="005A3173"/>
    <w:rsid w:val="005A33D7"/>
    <w:rsid w:val="005A3E9B"/>
    <w:rsid w:val="005A62D8"/>
    <w:rsid w:val="005B0D94"/>
    <w:rsid w:val="005B2512"/>
    <w:rsid w:val="005B4B9A"/>
    <w:rsid w:val="005B5997"/>
    <w:rsid w:val="005C6772"/>
    <w:rsid w:val="005D2B00"/>
    <w:rsid w:val="005D3B7A"/>
    <w:rsid w:val="005F0844"/>
    <w:rsid w:val="005F7C1A"/>
    <w:rsid w:val="006017F1"/>
    <w:rsid w:val="00603B95"/>
    <w:rsid w:val="00605D5E"/>
    <w:rsid w:val="00613081"/>
    <w:rsid w:val="0061763C"/>
    <w:rsid w:val="00625ABF"/>
    <w:rsid w:val="0062602F"/>
    <w:rsid w:val="006269AD"/>
    <w:rsid w:val="00627453"/>
    <w:rsid w:val="006275F4"/>
    <w:rsid w:val="006313CC"/>
    <w:rsid w:val="00636951"/>
    <w:rsid w:val="0064248A"/>
    <w:rsid w:val="00642C59"/>
    <w:rsid w:val="00647A78"/>
    <w:rsid w:val="00647C00"/>
    <w:rsid w:val="0065118A"/>
    <w:rsid w:val="0065136D"/>
    <w:rsid w:val="006541F0"/>
    <w:rsid w:val="006651A3"/>
    <w:rsid w:val="006730DC"/>
    <w:rsid w:val="006800D7"/>
    <w:rsid w:val="00687965"/>
    <w:rsid w:val="00697711"/>
    <w:rsid w:val="006B3579"/>
    <w:rsid w:val="006B4119"/>
    <w:rsid w:val="006B683C"/>
    <w:rsid w:val="006C2D80"/>
    <w:rsid w:val="006C718E"/>
    <w:rsid w:val="006D4A15"/>
    <w:rsid w:val="006E33FD"/>
    <w:rsid w:val="006E3F4D"/>
    <w:rsid w:val="006F7260"/>
    <w:rsid w:val="007008D2"/>
    <w:rsid w:val="00701166"/>
    <w:rsid w:val="00702B71"/>
    <w:rsid w:val="007052E8"/>
    <w:rsid w:val="00705DFF"/>
    <w:rsid w:val="00710520"/>
    <w:rsid w:val="007262F2"/>
    <w:rsid w:val="00732500"/>
    <w:rsid w:val="00743020"/>
    <w:rsid w:val="00743674"/>
    <w:rsid w:val="007500AC"/>
    <w:rsid w:val="00750143"/>
    <w:rsid w:val="0075333D"/>
    <w:rsid w:val="007539C0"/>
    <w:rsid w:val="00754109"/>
    <w:rsid w:val="00757426"/>
    <w:rsid w:val="00760602"/>
    <w:rsid w:val="007619E7"/>
    <w:rsid w:val="00764A73"/>
    <w:rsid w:val="00765302"/>
    <w:rsid w:val="0077116B"/>
    <w:rsid w:val="00772355"/>
    <w:rsid w:val="00776048"/>
    <w:rsid w:val="00776D2B"/>
    <w:rsid w:val="00780291"/>
    <w:rsid w:val="00782AB7"/>
    <w:rsid w:val="007911A3"/>
    <w:rsid w:val="007927B5"/>
    <w:rsid w:val="00792AD9"/>
    <w:rsid w:val="007A078D"/>
    <w:rsid w:val="007A609C"/>
    <w:rsid w:val="007A7F6A"/>
    <w:rsid w:val="007B25C0"/>
    <w:rsid w:val="007B3701"/>
    <w:rsid w:val="007C1582"/>
    <w:rsid w:val="007C3D54"/>
    <w:rsid w:val="007C4033"/>
    <w:rsid w:val="007C5A21"/>
    <w:rsid w:val="007C678A"/>
    <w:rsid w:val="007D00F1"/>
    <w:rsid w:val="007D4F35"/>
    <w:rsid w:val="007D7D83"/>
    <w:rsid w:val="007E0AA0"/>
    <w:rsid w:val="007E42A8"/>
    <w:rsid w:val="007F32DD"/>
    <w:rsid w:val="007F68B6"/>
    <w:rsid w:val="00800A22"/>
    <w:rsid w:val="00815EB6"/>
    <w:rsid w:val="00817F65"/>
    <w:rsid w:val="00822B71"/>
    <w:rsid w:val="00827B46"/>
    <w:rsid w:val="00832114"/>
    <w:rsid w:val="0083355D"/>
    <w:rsid w:val="008370C7"/>
    <w:rsid w:val="00837762"/>
    <w:rsid w:val="00842A93"/>
    <w:rsid w:val="008441BA"/>
    <w:rsid w:val="00846934"/>
    <w:rsid w:val="00857508"/>
    <w:rsid w:val="00861620"/>
    <w:rsid w:val="00872952"/>
    <w:rsid w:val="00876B31"/>
    <w:rsid w:val="0088635F"/>
    <w:rsid w:val="008864BF"/>
    <w:rsid w:val="00894E78"/>
    <w:rsid w:val="00896087"/>
    <w:rsid w:val="008B141D"/>
    <w:rsid w:val="008B2042"/>
    <w:rsid w:val="008B6C59"/>
    <w:rsid w:val="008C2B2E"/>
    <w:rsid w:val="008C3713"/>
    <w:rsid w:val="008E0F38"/>
    <w:rsid w:val="00901FD6"/>
    <w:rsid w:val="009033B2"/>
    <w:rsid w:val="00903C21"/>
    <w:rsid w:val="0090444A"/>
    <w:rsid w:val="00912E8A"/>
    <w:rsid w:val="00916542"/>
    <w:rsid w:val="00920700"/>
    <w:rsid w:val="00921E68"/>
    <w:rsid w:val="00922D46"/>
    <w:rsid w:val="00925941"/>
    <w:rsid w:val="00933905"/>
    <w:rsid w:val="00934082"/>
    <w:rsid w:val="00934AE6"/>
    <w:rsid w:val="009363C8"/>
    <w:rsid w:val="0094154C"/>
    <w:rsid w:val="00951AC7"/>
    <w:rsid w:val="00953C82"/>
    <w:rsid w:val="00957324"/>
    <w:rsid w:val="00963294"/>
    <w:rsid w:val="00965070"/>
    <w:rsid w:val="009703A6"/>
    <w:rsid w:val="009A0FB2"/>
    <w:rsid w:val="009A3613"/>
    <w:rsid w:val="009B0DA5"/>
    <w:rsid w:val="009C1820"/>
    <w:rsid w:val="009C5EB1"/>
    <w:rsid w:val="009D44B7"/>
    <w:rsid w:val="009D4599"/>
    <w:rsid w:val="009F5521"/>
    <w:rsid w:val="009F6D8A"/>
    <w:rsid w:val="009F7002"/>
    <w:rsid w:val="00A028AC"/>
    <w:rsid w:val="00A036D3"/>
    <w:rsid w:val="00A0501F"/>
    <w:rsid w:val="00A06EA1"/>
    <w:rsid w:val="00A1025C"/>
    <w:rsid w:val="00A16BC7"/>
    <w:rsid w:val="00A20517"/>
    <w:rsid w:val="00A26812"/>
    <w:rsid w:val="00A2783D"/>
    <w:rsid w:val="00A345D6"/>
    <w:rsid w:val="00A354FE"/>
    <w:rsid w:val="00A51528"/>
    <w:rsid w:val="00A55165"/>
    <w:rsid w:val="00A55EEB"/>
    <w:rsid w:val="00A71918"/>
    <w:rsid w:val="00A7374D"/>
    <w:rsid w:val="00A739DD"/>
    <w:rsid w:val="00A82435"/>
    <w:rsid w:val="00A82DB9"/>
    <w:rsid w:val="00A85054"/>
    <w:rsid w:val="00AB4E2B"/>
    <w:rsid w:val="00AC06A3"/>
    <w:rsid w:val="00AC19A1"/>
    <w:rsid w:val="00AC1F59"/>
    <w:rsid w:val="00AC62A4"/>
    <w:rsid w:val="00AD1197"/>
    <w:rsid w:val="00AD2F68"/>
    <w:rsid w:val="00AD4E22"/>
    <w:rsid w:val="00AD688D"/>
    <w:rsid w:val="00AE328E"/>
    <w:rsid w:val="00AE3AA8"/>
    <w:rsid w:val="00AE4AB4"/>
    <w:rsid w:val="00AF4795"/>
    <w:rsid w:val="00B01C7B"/>
    <w:rsid w:val="00B033F3"/>
    <w:rsid w:val="00B049B2"/>
    <w:rsid w:val="00B050BE"/>
    <w:rsid w:val="00B071C3"/>
    <w:rsid w:val="00B1005B"/>
    <w:rsid w:val="00B104E5"/>
    <w:rsid w:val="00B10F83"/>
    <w:rsid w:val="00B13AA4"/>
    <w:rsid w:val="00B2794C"/>
    <w:rsid w:val="00B3018B"/>
    <w:rsid w:val="00B36339"/>
    <w:rsid w:val="00B44FD3"/>
    <w:rsid w:val="00B45105"/>
    <w:rsid w:val="00B46CB1"/>
    <w:rsid w:val="00B567E1"/>
    <w:rsid w:val="00B714D7"/>
    <w:rsid w:val="00B74418"/>
    <w:rsid w:val="00B75D28"/>
    <w:rsid w:val="00B7652A"/>
    <w:rsid w:val="00B926BA"/>
    <w:rsid w:val="00B934B8"/>
    <w:rsid w:val="00B9558F"/>
    <w:rsid w:val="00B9742E"/>
    <w:rsid w:val="00BA4CF9"/>
    <w:rsid w:val="00BB64D0"/>
    <w:rsid w:val="00BC05A1"/>
    <w:rsid w:val="00BC1FAE"/>
    <w:rsid w:val="00BC26F7"/>
    <w:rsid w:val="00BC3C0F"/>
    <w:rsid w:val="00BC3FF0"/>
    <w:rsid w:val="00BC56F2"/>
    <w:rsid w:val="00BC6644"/>
    <w:rsid w:val="00BD30A2"/>
    <w:rsid w:val="00BD31E2"/>
    <w:rsid w:val="00BD4378"/>
    <w:rsid w:val="00BD6F7D"/>
    <w:rsid w:val="00BD7E5B"/>
    <w:rsid w:val="00BE5626"/>
    <w:rsid w:val="00BF1D24"/>
    <w:rsid w:val="00BF4D80"/>
    <w:rsid w:val="00C03BA3"/>
    <w:rsid w:val="00C12268"/>
    <w:rsid w:val="00C13F35"/>
    <w:rsid w:val="00C372B6"/>
    <w:rsid w:val="00C447CD"/>
    <w:rsid w:val="00C44B42"/>
    <w:rsid w:val="00C44F4E"/>
    <w:rsid w:val="00C63F08"/>
    <w:rsid w:val="00C66B7F"/>
    <w:rsid w:val="00C66F13"/>
    <w:rsid w:val="00C77B10"/>
    <w:rsid w:val="00C83345"/>
    <w:rsid w:val="00C9144D"/>
    <w:rsid w:val="00C92E97"/>
    <w:rsid w:val="00C968E9"/>
    <w:rsid w:val="00CA42AA"/>
    <w:rsid w:val="00CB16DB"/>
    <w:rsid w:val="00CB5048"/>
    <w:rsid w:val="00CB5376"/>
    <w:rsid w:val="00CB6320"/>
    <w:rsid w:val="00CC2FE4"/>
    <w:rsid w:val="00CD290A"/>
    <w:rsid w:val="00CD62C3"/>
    <w:rsid w:val="00CE1010"/>
    <w:rsid w:val="00CE1FA9"/>
    <w:rsid w:val="00CE7017"/>
    <w:rsid w:val="00CE76CB"/>
    <w:rsid w:val="00D07CFE"/>
    <w:rsid w:val="00D106F3"/>
    <w:rsid w:val="00D134E6"/>
    <w:rsid w:val="00D17E90"/>
    <w:rsid w:val="00D31921"/>
    <w:rsid w:val="00D43E04"/>
    <w:rsid w:val="00D45430"/>
    <w:rsid w:val="00D509F2"/>
    <w:rsid w:val="00D559D9"/>
    <w:rsid w:val="00D60763"/>
    <w:rsid w:val="00D6199D"/>
    <w:rsid w:val="00D66089"/>
    <w:rsid w:val="00D67A32"/>
    <w:rsid w:val="00D67E3A"/>
    <w:rsid w:val="00D75B16"/>
    <w:rsid w:val="00D8420E"/>
    <w:rsid w:val="00D847D1"/>
    <w:rsid w:val="00D911F5"/>
    <w:rsid w:val="00D91221"/>
    <w:rsid w:val="00D92891"/>
    <w:rsid w:val="00D94CB4"/>
    <w:rsid w:val="00DA5BC3"/>
    <w:rsid w:val="00DC5D36"/>
    <w:rsid w:val="00DC6EAD"/>
    <w:rsid w:val="00DD0534"/>
    <w:rsid w:val="00DE0722"/>
    <w:rsid w:val="00DE0E4D"/>
    <w:rsid w:val="00DE1501"/>
    <w:rsid w:val="00DF02B7"/>
    <w:rsid w:val="00DF4402"/>
    <w:rsid w:val="00DF4D30"/>
    <w:rsid w:val="00DF6880"/>
    <w:rsid w:val="00E127D9"/>
    <w:rsid w:val="00E20EAB"/>
    <w:rsid w:val="00E25203"/>
    <w:rsid w:val="00E2773C"/>
    <w:rsid w:val="00E30C7C"/>
    <w:rsid w:val="00E333CA"/>
    <w:rsid w:val="00E3642A"/>
    <w:rsid w:val="00E36ACE"/>
    <w:rsid w:val="00E431C3"/>
    <w:rsid w:val="00E504BB"/>
    <w:rsid w:val="00E56113"/>
    <w:rsid w:val="00E57BAA"/>
    <w:rsid w:val="00E73CF4"/>
    <w:rsid w:val="00E769D4"/>
    <w:rsid w:val="00E811BD"/>
    <w:rsid w:val="00E87A64"/>
    <w:rsid w:val="00E87FAA"/>
    <w:rsid w:val="00E90180"/>
    <w:rsid w:val="00E91F5C"/>
    <w:rsid w:val="00EA4E19"/>
    <w:rsid w:val="00EA5070"/>
    <w:rsid w:val="00EB2CA4"/>
    <w:rsid w:val="00EC66A6"/>
    <w:rsid w:val="00ED1793"/>
    <w:rsid w:val="00ED181A"/>
    <w:rsid w:val="00EE0FFA"/>
    <w:rsid w:val="00EE41E5"/>
    <w:rsid w:val="00EE7426"/>
    <w:rsid w:val="00EF1695"/>
    <w:rsid w:val="00EF3A2C"/>
    <w:rsid w:val="00F00CEE"/>
    <w:rsid w:val="00F03B0F"/>
    <w:rsid w:val="00F14253"/>
    <w:rsid w:val="00F150E7"/>
    <w:rsid w:val="00F15975"/>
    <w:rsid w:val="00F16A23"/>
    <w:rsid w:val="00F262F3"/>
    <w:rsid w:val="00F27E23"/>
    <w:rsid w:val="00F31249"/>
    <w:rsid w:val="00F32D7F"/>
    <w:rsid w:val="00F353B8"/>
    <w:rsid w:val="00F35F03"/>
    <w:rsid w:val="00F43798"/>
    <w:rsid w:val="00F4488F"/>
    <w:rsid w:val="00F57969"/>
    <w:rsid w:val="00F73742"/>
    <w:rsid w:val="00F74ABE"/>
    <w:rsid w:val="00F7632E"/>
    <w:rsid w:val="00F80816"/>
    <w:rsid w:val="00F92B67"/>
    <w:rsid w:val="00FA0105"/>
    <w:rsid w:val="00FA3B66"/>
    <w:rsid w:val="00FA54C3"/>
    <w:rsid w:val="00FA727E"/>
    <w:rsid w:val="00FB081F"/>
    <w:rsid w:val="00FC0979"/>
    <w:rsid w:val="00FC63B1"/>
    <w:rsid w:val="00FD4162"/>
    <w:rsid w:val="00FD516E"/>
    <w:rsid w:val="00FE1586"/>
    <w:rsid w:val="00FF2031"/>
    <w:rsid w:val="00FF2739"/>
    <w:rsid w:val="00FF4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F2E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012CB"/>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4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7C00"/>
    <w:rPr>
      <w:color w:val="0563C1" w:themeColor="hyperlink"/>
      <w:u w:val="single"/>
    </w:rPr>
  </w:style>
  <w:style w:type="paragraph" w:styleId="FootnoteText">
    <w:name w:val="footnote text"/>
    <w:basedOn w:val="Normal"/>
    <w:link w:val="FootnoteTextChar"/>
    <w:uiPriority w:val="99"/>
    <w:unhideWhenUsed/>
    <w:rsid w:val="00092CF6"/>
  </w:style>
  <w:style w:type="character" w:customStyle="1" w:styleId="FootnoteTextChar">
    <w:name w:val="Footnote Text Char"/>
    <w:basedOn w:val="DefaultParagraphFont"/>
    <w:link w:val="FootnoteText"/>
    <w:uiPriority w:val="99"/>
    <w:rsid w:val="00092CF6"/>
  </w:style>
  <w:style w:type="character" w:styleId="FootnoteReference">
    <w:name w:val="footnote reference"/>
    <w:basedOn w:val="DefaultParagraphFont"/>
    <w:uiPriority w:val="99"/>
    <w:unhideWhenUsed/>
    <w:rsid w:val="00092CF6"/>
    <w:rPr>
      <w:vertAlign w:val="superscript"/>
    </w:rPr>
  </w:style>
  <w:style w:type="paragraph" w:styleId="EndnoteText">
    <w:name w:val="endnote text"/>
    <w:basedOn w:val="Normal"/>
    <w:link w:val="EndnoteTextChar"/>
    <w:uiPriority w:val="99"/>
    <w:unhideWhenUsed/>
    <w:rsid w:val="00092CF6"/>
  </w:style>
  <w:style w:type="character" w:customStyle="1" w:styleId="EndnoteTextChar">
    <w:name w:val="Endnote Text Char"/>
    <w:basedOn w:val="DefaultParagraphFont"/>
    <w:link w:val="EndnoteText"/>
    <w:uiPriority w:val="99"/>
    <w:rsid w:val="00092CF6"/>
  </w:style>
  <w:style w:type="character" w:styleId="EndnoteReference">
    <w:name w:val="endnote reference"/>
    <w:basedOn w:val="DefaultParagraphFont"/>
    <w:uiPriority w:val="99"/>
    <w:unhideWhenUsed/>
    <w:rsid w:val="00092CF6"/>
    <w:rPr>
      <w:vertAlign w:val="superscript"/>
    </w:rPr>
  </w:style>
  <w:style w:type="paragraph" w:styleId="Footer">
    <w:name w:val="footer"/>
    <w:basedOn w:val="Normal"/>
    <w:link w:val="FooterChar"/>
    <w:uiPriority w:val="99"/>
    <w:unhideWhenUsed/>
    <w:rsid w:val="0058268F"/>
    <w:pPr>
      <w:tabs>
        <w:tab w:val="center" w:pos="4680"/>
        <w:tab w:val="right" w:pos="9360"/>
      </w:tabs>
    </w:pPr>
  </w:style>
  <w:style w:type="character" w:customStyle="1" w:styleId="FooterChar">
    <w:name w:val="Footer Char"/>
    <w:basedOn w:val="DefaultParagraphFont"/>
    <w:link w:val="Footer"/>
    <w:uiPriority w:val="99"/>
    <w:rsid w:val="0058268F"/>
  </w:style>
  <w:style w:type="character" w:styleId="PageNumber">
    <w:name w:val="page number"/>
    <w:basedOn w:val="DefaultParagraphFont"/>
    <w:uiPriority w:val="99"/>
    <w:semiHidden/>
    <w:unhideWhenUsed/>
    <w:rsid w:val="0058268F"/>
  </w:style>
  <w:style w:type="paragraph" w:styleId="ListParagraph">
    <w:name w:val="List Paragraph"/>
    <w:basedOn w:val="Normal"/>
    <w:uiPriority w:val="34"/>
    <w:qFormat/>
    <w:rsid w:val="005843BB"/>
    <w:pPr>
      <w:ind w:left="720"/>
      <w:contextualSpacing/>
    </w:pPr>
  </w:style>
  <w:style w:type="character" w:styleId="UnresolvedMention">
    <w:name w:val="Unresolved Mention"/>
    <w:basedOn w:val="DefaultParagraphFont"/>
    <w:uiPriority w:val="99"/>
    <w:rsid w:val="0027071D"/>
    <w:rPr>
      <w:color w:val="605E5C"/>
      <w:shd w:val="clear" w:color="auto" w:fill="E1DFDD"/>
    </w:rPr>
  </w:style>
  <w:style w:type="character" w:styleId="FollowedHyperlink">
    <w:name w:val="FollowedHyperlink"/>
    <w:basedOn w:val="DefaultParagraphFont"/>
    <w:uiPriority w:val="99"/>
    <w:semiHidden/>
    <w:unhideWhenUsed/>
    <w:rsid w:val="00842A93"/>
    <w:rPr>
      <w:color w:val="954F72" w:themeColor="followedHyperlink"/>
      <w:u w:val="single"/>
    </w:rPr>
  </w:style>
  <w:style w:type="character" w:customStyle="1" w:styleId="Heading1Char">
    <w:name w:val="Heading 1 Char"/>
    <w:basedOn w:val="DefaultParagraphFont"/>
    <w:link w:val="Heading1"/>
    <w:uiPriority w:val="9"/>
    <w:rsid w:val="002012CB"/>
    <w:rPr>
      <w:rFonts w:eastAsia="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938240">
      <w:bodyDiv w:val="1"/>
      <w:marLeft w:val="0"/>
      <w:marRight w:val="0"/>
      <w:marTop w:val="0"/>
      <w:marBottom w:val="0"/>
      <w:divBdr>
        <w:top w:val="none" w:sz="0" w:space="0" w:color="auto"/>
        <w:left w:val="none" w:sz="0" w:space="0" w:color="auto"/>
        <w:bottom w:val="none" w:sz="0" w:space="0" w:color="auto"/>
        <w:right w:val="none" w:sz="0" w:space="0" w:color="auto"/>
      </w:divBdr>
    </w:div>
    <w:div w:id="711074509">
      <w:bodyDiv w:val="1"/>
      <w:marLeft w:val="0"/>
      <w:marRight w:val="0"/>
      <w:marTop w:val="0"/>
      <w:marBottom w:val="0"/>
      <w:divBdr>
        <w:top w:val="none" w:sz="0" w:space="0" w:color="auto"/>
        <w:left w:val="none" w:sz="0" w:space="0" w:color="auto"/>
        <w:bottom w:val="none" w:sz="0" w:space="0" w:color="auto"/>
        <w:right w:val="none" w:sz="0" w:space="0" w:color="auto"/>
      </w:divBdr>
    </w:div>
    <w:div w:id="733429942">
      <w:bodyDiv w:val="1"/>
      <w:marLeft w:val="0"/>
      <w:marRight w:val="0"/>
      <w:marTop w:val="0"/>
      <w:marBottom w:val="0"/>
      <w:divBdr>
        <w:top w:val="none" w:sz="0" w:space="0" w:color="auto"/>
        <w:left w:val="none" w:sz="0" w:space="0" w:color="auto"/>
        <w:bottom w:val="none" w:sz="0" w:space="0" w:color="auto"/>
        <w:right w:val="none" w:sz="0" w:space="0" w:color="auto"/>
      </w:divBdr>
    </w:div>
    <w:div w:id="838077083">
      <w:bodyDiv w:val="1"/>
      <w:marLeft w:val="0"/>
      <w:marRight w:val="0"/>
      <w:marTop w:val="0"/>
      <w:marBottom w:val="0"/>
      <w:divBdr>
        <w:top w:val="none" w:sz="0" w:space="0" w:color="auto"/>
        <w:left w:val="none" w:sz="0" w:space="0" w:color="auto"/>
        <w:bottom w:val="none" w:sz="0" w:space="0" w:color="auto"/>
        <w:right w:val="none" w:sz="0" w:space="0" w:color="auto"/>
      </w:divBdr>
    </w:div>
    <w:div w:id="1187518414">
      <w:bodyDiv w:val="1"/>
      <w:marLeft w:val="0"/>
      <w:marRight w:val="0"/>
      <w:marTop w:val="0"/>
      <w:marBottom w:val="0"/>
      <w:divBdr>
        <w:top w:val="none" w:sz="0" w:space="0" w:color="auto"/>
        <w:left w:val="none" w:sz="0" w:space="0" w:color="auto"/>
        <w:bottom w:val="none" w:sz="0" w:space="0" w:color="auto"/>
        <w:right w:val="none" w:sz="0" w:space="0" w:color="auto"/>
      </w:divBdr>
    </w:div>
    <w:div w:id="19841900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1591</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Fox, Yolanda</cp:lastModifiedBy>
  <cp:revision>2</cp:revision>
  <cp:lastPrinted>2021-02-15T19:51:00Z</cp:lastPrinted>
  <dcterms:created xsi:type="dcterms:W3CDTF">2021-02-16T17:12:00Z</dcterms:created>
  <dcterms:modified xsi:type="dcterms:W3CDTF">2021-02-16T17:12:00Z</dcterms:modified>
</cp:coreProperties>
</file>