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2452F0" w14:paraId="5288ADF7" w14:textId="77777777" w:rsidTr="006F63FD">
        <w:trPr>
          <w:cantSplit/>
          <w:trHeight w:val="1987"/>
        </w:trPr>
        <w:tc>
          <w:tcPr>
            <w:tcW w:w="4836" w:type="dxa"/>
          </w:tcPr>
          <w:p w14:paraId="6E9DB00B" w14:textId="77777777" w:rsidR="00000C35" w:rsidRPr="002452F0" w:rsidRDefault="00F850BE" w:rsidP="00000C35">
            <w:pPr>
              <w:pStyle w:val="FirmInformation"/>
              <w:spacing w:line="240" w:lineRule="auto"/>
              <w:rPr>
                <w:sz w:val="28"/>
                <w:szCs w:val="28"/>
              </w:rPr>
            </w:pPr>
            <w:bookmarkStart w:id="0" w:name="_zzmpFIXED_CounselTable"/>
            <w:bookmarkStart w:id="1" w:name="_GoBack"/>
            <w:bookmarkEnd w:id="1"/>
            <w:r w:rsidRPr="002452F0">
              <w:rPr>
                <w:sz w:val="28"/>
                <w:szCs w:val="28"/>
              </w:rPr>
              <w:t>Lisa M. Panahi</w:t>
            </w:r>
            <w:r w:rsidR="00732169" w:rsidRPr="002452F0">
              <w:rPr>
                <w:sz w:val="28"/>
                <w:szCs w:val="28"/>
              </w:rPr>
              <w:t xml:space="preserve">, </w:t>
            </w:r>
            <w:r w:rsidRPr="002452F0">
              <w:rPr>
                <w:sz w:val="28"/>
                <w:szCs w:val="28"/>
              </w:rPr>
              <w:t>Bar No. 023421</w:t>
            </w:r>
            <w:r w:rsidR="00732169" w:rsidRPr="002452F0">
              <w:rPr>
                <w:sz w:val="28"/>
                <w:szCs w:val="28"/>
              </w:rPr>
              <w:br/>
            </w:r>
            <w:r w:rsidR="006F63FD" w:rsidRPr="002452F0">
              <w:rPr>
                <w:sz w:val="28"/>
                <w:szCs w:val="28"/>
              </w:rPr>
              <w:t>General Counsel</w:t>
            </w:r>
          </w:p>
          <w:p w14:paraId="327788CA" w14:textId="77777777" w:rsidR="00494BDF" w:rsidRPr="002452F0" w:rsidRDefault="00494BDF" w:rsidP="00000C35">
            <w:pPr>
              <w:pStyle w:val="FirmInformation"/>
              <w:spacing w:line="240" w:lineRule="auto"/>
              <w:rPr>
                <w:sz w:val="28"/>
                <w:szCs w:val="28"/>
              </w:rPr>
            </w:pPr>
            <w:r w:rsidRPr="002452F0">
              <w:rPr>
                <w:sz w:val="28"/>
                <w:szCs w:val="28"/>
              </w:rPr>
              <w:t>State Bar of Arizona</w:t>
            </w:r>
          </w:p>
          <w:p w14:paraId="2EC76B5A" w14:textId="77777777" w:rsidR="00357F4D" w:rsidRPr="002452F0" w:rsidRDefault="00357F4D" w:rsidP="00000C35">
            <w:pPr>
              <w:pStyle w:val="FirmInformation"/>
              <w:spacing w:line="240" w:lineRule="auto"/>
              <w:rPr>
                <w:sz w:val="28"/>
                <w:szCs w:val="28"/>
              </w:rPr>
            </w:pPr>
            <w:r w:rsidRPr="002452F0">
              <w:rPr>
                <w:sz w:val="28"/>
                <w:szCs w:val="28"/>
              </w:rPr>
              <w:t>4201 N. 24th Street, Suite 100</w:t>
            </w:r>
          </w:p>
          <w:p w14:paraId="336E177D" w14:textId="77777777" w:rsidR="00357F4D" w:rsidRPr="002452F0" w:rsidRDefault="00357F4D" w:rsidP="00000C35">
            <w:pPr>
              <w:pStyle w:val="FirmInformation"/>
              <w:spacing w:line="240" w:lineRule="auto"/>
              <w:rPr>
                <w:sz w:val="28"/>
                <w:szCs w:val="28"/>
              </w:rPr>
            </w:pPr>
            <w:r w:rsidRPr="002452F0">
              <w:rPr>
                <w:sz w:val="28"/>
                <w:szCs w:val="28"/>
              </w:rPr>
              <w:t>Phoenix, AZ  85016-6288</w:t>
            </w:r>
          </w:p>
          <w:p w14:paraId="2187EE4E" w14:textId="77777777" w:rsidR="006F63FD" w:rsidRPr="002452F0" w:rsidRDefault="00352347" w:rsidP="00735659">
            <w:pPr>
              <w:pStyle w:val="FirmInformation"/>
              <w:spacing w:line="240" w:lineRule="auto"/>
              <w:rPr>
                <w:sz w:val="28"/>
                <w:szCs w:val="28"/>
              </w:rPr>
            </w:pPr>
            <w:r w:rsidRPr="002452F0">
              <w:rPr>
                <w:sz w:val="28"/>
                <w:szCs w:val="28"/>
              </w:rPr>
              <w:t>(602) 340-7236</w:t>
            </w:r>
          </w:p>
        </w:tc>
        <w:tc>
          <w:tcPr>
            <w:tcW w:w="4200" w:type="dxa"/>
          </w:tcPr>
          <w:p w14:paraId="76CDDC48" w14:textId="77777777" w:rsidR="00357F4D" w:rsidRPr="002452F0" w:rsidRDefault="00357F4D" w:rsidP="00000C35">
            <w:pPr>
              <w:ind w:left="113" w:right="113"/>
              <w:rPr>
                <w:sz w:val="28"/>
                <w:szCs w:val="28"/>
              </w:rPr>
            </w:pPr>
          </w:p>
        </w:tc>
      </w:tr>
      <w:bookmarkEnd w:id="0"/>
    </w:tbl>
    <w:p w14:paraId="0708C310" w14:textId="77777777" w:rsidR="000F62B7" w:rsidRDefault="000F62B7" w:rsidP="00000C35">
      <w:pPr>
        <w:pStyle w:val="Court"/>
        <w:spacing w:line="240" w:lineRule="auto"/>
        <w:rPr>
          <w:b/>
          <w:sz w:val="28"/>
          <w:szCs w:val="28"/>
        </w:rPr>
      </w:pPr>
    </w:p>
    <w:p w14:paraId="74D60EDD" w14:textId="77777777" w:rsidR="00C56683" w:rsidRDefault="00C56683" w:rsidP="00000C35">
      <w:pPr>
        <w:pStyle w:val="Court"/>
        <w:spacing w:line="240" w:lineRule="auto"/>
        <w:rPr>
          <w:b/>
          <w:sz w:val="28"/>
          <w:szCs w:val="28"/>
        </w:rPr>
      </w:pPr>
    </w:p>
    <w:p w14:paraId="2DA6333A" w14:textId="6D0F08EB" w:rsidR="000C48A9" w:rsidRPr="002452F0" w:rsidRDefault="000F7A7F" w:rsidP="00000C35">
      <w:pPr>
        <w:pStyle w:val="Court"/>
        <w:spacing w:line="240" w:lineRule="auto"/>
        <w:rPr>
          <w:b/>
          <w:sz w:val="28"/>
          <w:szCs w:val="28"/>
        </w:rPr>
      </w:pPr>
      <w:r w:rsidRPr="002452F0">
        <w:rPr>
          <w:b/>
          <w:sz w:val="28"/>
          <w:szCs w:val="28"/>
        </w:rPr>
        <w:t>IN THE SUPREME COURT</w:t>
      </w:r>
      <w:r w:rsidRPr="002452F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2452F0"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2452F0" w:rsidRDefault="00357F4D" w:rsidP="00E321C5">
            <w:pPr>
              <w:pStyle w:val="Caption"/>
              <w:spacing w:before="240" w:line="260" w:lineRule="exact"/>
              <w:rPr>
                <w:sz w:val="28"/>
                <w:szCs w:val="28"/>
              </w:rPr>
            </w:pPr>
            <w:bookmarkStart w:id="2" w:name="_zzmpFIXED_CaptionTable"/>
            <w:r w:rsidRPr="002452F0">
              <w:rPr>
                <w:sz w:val="28"/>
                <w:szCs w:val="28"/>
              </w:rPr>
              <w:t>In the Matter of:</w:t>
            </w:r>
          </w:p>
          <w:p w14:paraId="1C7F176C" w14:textId="77777777" w:rsidR="002452F0" w:rsidRDefault="00E67511" w:rsidP="002452F0">
            <w:pPr>
              <w:pStyle w:val="Caption"/>
              <w:spacing w:before="240" w:line="260" w:lineRule="exact"/>
              <w:rPr>
                <w:b/>
                <w:sz w:val="28"/>
                <w:szCs w:val="28"/>
              </w:rPr>
            </w:pPr>
            <w:r w:rsidRPr="002452F0">
              <w:rPr>
                <w:b/>
                <w:sz w:val="28"/>
                <w:szCs w:val="28"/>
              </w:rPr>
              <w:t xml:space="preserve">PETITION TO </w:t>
            </w:r>
            <w:r w:rsidR="002452F0">
              <w:rPr>
                <w:b/>
                <w:sz w:val="28"/>
                <w:szCs w:val="28"/>
              </w:rPr>
              <w:t>AMEND RULES 4.1 AND 4.2 OF THE ARIZONA RULES OF CIVIL PROCEDURE</w:t>
            </w:r>
          </w:p>
          <w:p w14:paraId="5443EA06" w14:textId="52B23A43" w:rsidR="00357F4D" w:rsidRPr="002452F0" w:rsidRDefault="00357F4D" w:rsidP="002452F0">
            <w:pPr>
              <w:pStyle w:val="Caption"/>
              <w:spacing w:before="240" w:line="260" w:lineRule="exact"/>
              <w:rPr>
                <w:b/>
                <w:sz w:val="28"/>
                <w:szCs w:val="28"/>
              </w:rPr>
            </w:pPr>
          </w:p>
        </w:tc>
        <w:tc>
          <w:tcPr>
            <w:tcW w:w="4524" w:type="dxa"/>
            <w:tcBorders>
              <w:top w:val="nil"/>
              <w:left w:val="single" w:sz="4" w:space="0" w:color="auto"/>
            </w:tcBorders>
            <w:shd w:val="clear" w:color="auto" w:fill="auto"/>
          </w:tcPr>
          <w:p w14:paraId="4C75C8D6" w14:textId="165AE0F4" w:rsidR="00357F4D" w:rsidRPr="002452F0" w:rsidRDefault="00357F4D" w:rsidP="00E321C5">
            <w:pPr>
              <w:pStyle w:val="Caption"/>
              <w:tabs>
                <w:tab w:val="left" w:pos="1238"/>
              </w:tabs>
              <w:spacing w:before="240" w:after="240"/>
              <w:ind w:left="259" w:right="115"/>
              <w:rPr>
                <w:sz w:val="28"/>
                <w:szCs w:val="28"/>
              </w:rPr>
            </w:pPr>
            <w:r w:rsidRPr="002452F0">
              <w:rPr>
                <w:sz w:val="28"/>
                <w:szCs w:val="28"/>
              </w:rPr>
              <w:t>Supreme Court No. R-</w:t>
            </w:r>
            <w:r w:rsidR="008A4EB3" w:rsidRPr="002452F0">
              <w:rPr>
                <w:sz w:val="28"/>
                <w:szCs w:val="28"/>
              </w:rPr>
              <w:t>2</w:t>
            </w:r>
            <w:r w:rsidR="00A058A5" w:rsidRPr="002452F0">
              <w:rPr>
                <w:sz w:val="28"/>
                <w:szCs w:val="28"/>
              </w:rPr>
              <w:t>1</w:t>
            </w:r>
            <w:r w:rsidR="00F850BE" w:rsidRPr="002452F0">
              <w:rPr>
                <w:sz w:val="28"/>
                <w:szCs w:val="28"/>
              </w:rPr>
              <w:t>-</w:t>
            </w:r>
          </w:p>
          <w:p w14:paraId="5DA69FB8" w14:textId="75974170" w:rsidR="00357F4D" w:rsidRPr="002452F0" w:rsidRDefault="002452F0" w:rsidP="000F7A7F">
            <w:pPr>
              <w:pStyle w:val="Caption"/>
              <w:tabs>
                <w:tab w:val="left" w:pos="1238"/>
              </w:tabs>
              <w:spacing w:line="260" w:lineRule="exact"/>
              <w:ind w:right="115"/>
              <w:jc w:val="center"/>
              <w:rPr>
                <w:b/>
                <w:sz w:val="28"/>
                <w:szCs w:val="28"/>
              </w:rPr>
            </w:pPr>
            <w:r>
              <w:rPr>
                <w:b/>
                <w:sz w:val="28"/>
                <w:szCs w:val="28"/>
              </w:rPr>
              <w:t>STATE BAR OF ARIZONA PETITION</w:t>
            </w:r>
          </w:p>
          <w:p w14:paraId="5C4A37D9" w14:textId="77777777" w:rsidR="00357F4D" w:rsidRPr="002452F0" w:rsidRDefault="00357F4D" w:rsidP="00E321C5">
            <w:pPr>
              <w:pStyle w:val="DocumentTitle"/>
              <w:rPr>
                <w:sz w:val="28"/>
                <w:szCs w:val="28"/>
              </w:rPr>
            </w:pPr>
          </w:p>
          <w:p w14:paraId="264D7027" w14:textId="77777777" w:rsidR="00357F4D" w:rsidRPr="002452F0" w:rsidRDefault="00357F4D" w:rsidP="00E321C5">
            <w:pPr>
              <w:pStyle w:val="Caption"/>
              <w:ind w:left="1512" w:right="115" w:hanging="1253"/>
              <w:rPr>
                <w:sz w:val="28"/>
                <w:szCs w:val="28"/>
              </w:rPr>
            </w:pPr>
          </w:p>
        </w:tc>
      </w:tr>
    </w:tbl>
    <w:bookmarkEnd w:id="2"/>
    <w:p w14:paraId="28408CF3" w14:textId="1FD4DB0B" w:rsidR="002452F0" w:rsidRPr="002452F0" w:rsidRDefault="0008003D" w:rsidP="002452F0">
      <w:pPr>
        <w:pStyle w:val="MemoSignatureSub"/>
        <w:spacing w:before="200" w:after="0" w:line="480" w:lineRule="auto"/>
        <w:ind w:left="0" w:firstLine="720"/>
        <w:jc w:val="both"/>
        <w:rPr>
          <w:sz w:val="28"/>
          <w:szCs w:val="28"/>
        </w:rPr>
      </w:pPr>
      <w:r w:rsidRPr="002452F0">
        <w:rPr>
          <w:sz w:val="28"/>
          <w:szCs w:val="28"/>
        </w:rPr>
        <w:t>Pursuant to Rule 28(</w:t>
      </w:r>
      <w:r w:rsidR="005845AE" w:rsidRPr="002452F0">
        <w:rPr>
          <w:sz w:val="28"/>
          <w:szCs w:val="28"/>
        </w:rPr>
        <w:t>a</w:t>
      </w:r>
      <w:r w:rsidRPr="002452F0">
        <w:rPr>
          <w:sz w:val="28"/>
          <w:szCs w:val="28"/>
        </w:rPr>
        <w:t xml:space="preserve">) of the Arizona Rules of Supreme Court, the State Bar of Arizona (the “State Bar”) hereby </w:t>
      </w:r>
      <w:r w:rsidR="005845AE" w:rsidRPr="002452F0">
        <w:rPr>
          <w:sz w:val="28"/>
          <w:szCs w:val="28"/>
        </w:rPr>
        <w:t>petitions the Court to amend</w:t>
      </w:r>
      <w:r w:rsidR="002452F0" w:rsidRPr="002452F0">
        <w:rPr>
          <w:sz w:val="28"/>
          <w:szCs w:val="28"/>
        </w:rPr>
        <w:t xml:space="preserve"> Arizona Rules of Civil Procedure (the “Ariz. R. Civ. P.”) 4.1(</w:t>
      </w:r>
      <w:r w:rsidR="002452F0" w:rsidRPr="00CF695F">
        <w:rPr>
          <w:i/>
          <w:iCs/>
          <w:sz w:val="28"/>
          <w:szCs w:val="28"/>
        </w:rPr>
        <w:t>l</w:t>
      </w:r>
      <w:r w:rsidR="002452F0" w:rsidRPr="002452F0">
        <w:rPr>
          <w:sz w:val="28"/>
          <w:szCs w:val="28"/>
        </w:rPr>
        <w:t>) and 4.2(f). Ariz. R. Civ. P. 4.1 and 4.2 govern service of process within and outside of Arizona, respectively. The proposed amendments to Ariz. R. Civ. P. 4.1(</w:t>
      </w:r>
      <w:r w:rsidR="002452F0" w:rsidRPr="00CF695F">
        <w:rPr>
          <w:i/>
          <w:iCs/>
          <w:sz w:val="28"/>
          <w:szCs w:val="28"/>
        </w:rPr>
        <w:t>l</w:t>
      </w:r>
      <w:r w:rsidR="002452F0" w:rsidRPr="002452F0">
        <w:rPr>
          <w:sz w:val="28"/>
          <w:szCs w:val="28"/>
        </w:rPr>
        <w:t xml:space="preserve">) and 4.2(f) adopt changes to address due process concerns raised in </w:t>
      </w:r>
      <w:r w:rsidR="002452F0" w:rsidRPr="002452F0">
        <w:rPr>
          <w:i/>
          <w:sz w:val="28"/>
          <w:szCs w:val="28"/>
        </w:rPr>
        <w:t xml:space="preserve">Ruffino v. </w:t>
      </w:r>
      <w:proofErr w:type="spellStart"/>
      <w:r w:rsidR="002452F0" w:rsidRPr="002452F0">
        <w:rPr>
          <w:i/>
          <w:sz w:val="28"/>
          <w:szCs w:val="28"/>
        </w:rPr>
        <w:t>Lokosky</w:t>
      </w:r>
      <w:proofErr w:type="spellEnd"/>
      <w:r w:rsidR="002452F0" w:rsidRPr="002452F0">
        <w:rPr>
          <w:sz w:val="28"/>
          <w:szCs w:val="28"/>
        </w:rPr>
        <w:t xml:space="preserve">, 245 Ariz. 165 (App. 2018), </w:t>
      </w:r>
      <w:r w:rsidR="002452F0" w:rsidRPr="002452F0">
        <w:rPr>
          <w:i/>
          <w:sz w:val="28"/>
          <w:szCs w:val="28"/>
        </w:rPr>
        <w:t>review denied</w:t>
      </w:r>
      <w:r w:rsidR="002452F0" w:rsidRPr="002452F0">
        <w:rPr>
          <w:sz w:val="28"/>
          <w:szCs w:val="28"/>
        </w:rPr>
        <w:t xml:space="preserve"> (Dec. 13, 2018), with respect to service by publication and to align with recent amendments to the Arizona Rules of Family Procedure. </w:t>
      </w:r>
    </w:p>
    <w:p w14:paraId="4F6C100B" w14:textId="77777777" w:rsidR="002452F0" w:rsidRPr="002452F0" w:rsidRDefault="002452F0" w:rsidP="002452F0">
      <w:pPr>
        <w:pStyle w:val="MemoSignatureSub"/>
        <w:spacing w:after="0" w:line="480" w:lineRule="auto"/>
        <w:ind w:left="0" w:firstLine="720"/>
        <w:jc w:val="both"/>
        <w:rPr>
          <w:sz w:val="28"/>
          <w:szCs w:val="28"/>
        </w:rPr>
      </w:pPr>
      <w:r w:rsidRPr="002452F0">
        <w:rPr>
          <w:sz w:val="28"/>
          <w:szCs w:val="28"/>
        </w:rPr>
        <w:lastRenderedPageBreak/>
        <w:t>The State Bar’s proposed amendments require the serving party to seek court approval by motion, and support the motion with an affidavit, outlining the steps taken prior to seeking approval to serve by publication.</w:t>
      </w:r>
    </w:p>
    <w:p w14:paraId="7FB05C4F" w14:textId="77777777" w:rsidR="002452F0" w:rsidRPr="002452F0" w:rsidRDefault="002452F0" w:rsidP="002452F0">
      <w:pPr>
        <w:pStyle w:val="MemoSignatureSub"/>
        <w:spacing w:after="0" w:line="480" w:lineRule="auto"/>
        <w:ind w:left="0" w:firstLine="720"/>
        <w:jc w:val="both"/>
        <w:rPr>
          <w:sz w:val="28"/>
          <w:szCs w:val="28"/>
        </w:rPr>
      </w:pPr>
      <w:r w:rsidRPr="002452F0">
        <w:rPr>
          <w:sz w:val="28"/>
          <w:szCs w:val="28"/>
        </w:rPr>
        <w:t xml:space="preserve">The attached Appendix A contains a blackline showing </w:t>
      </w:r>
      <w:proofErr w:type="gramStart"/>
      <w:r w:rsidRPr="002452F0">
        <w:rPr>
          <w:sz w:val="28"/>
          <w:szCs w:val="28"/>
        </w:rPr>
        <w:t>all of</w:t>
      </w:r>
      <w:proofErr w:type="gramEnd"/>
      <w:r w:rsidRPr="002452F0">
        <w:rPr>
          <w:sz w:val="28"/>
          <w:szCs w:val="28"/>
        </w:rPr>
        <w:t xml:space="preserve"> the proposed changes to Ariz. R. Civ. P.4.1(</w:t>
      </w:r>
      <w:r w:rsidRPr="00CF695F">
        <w:rPr>
          <w:i/>
          <w:iCs/>
          <w:sz w:val="28"/>
          <w:szCs w:val="28"/>
        </w:rPr>
        <w:t>l</w:t>
      </w:r>
      <w:r w:rsidRPr="002452F0">
        <w:rPr>
          <w:sz w:val="28"/>
          <w:szCs w:val="28"/>
        </w:rPr>
        <w:t>) and 4.2(f). A clean version of the proposed changes is attached at Appendix B.</w:t>
      </w:r>
    </w:p>
    <w:p w14:paraId="2BD230D8" w14:textId="74B2643C" w:rsidR="002452F0" w:rsidRDefault="002452F0" w:rsidP="002452F0">
      <w:pPr>
        <w:pStyle w:val="MemoSignatureSub"/>
        <w:numPr>
          <w:ilvl w:val="0"/>
          <w:numId w:val="16"/>
        </w:numPr>
        <w:spacing w:after="0" w:line="480" w:lineRule="exact"/>
        <w:rPr>
          <w:b/>
          <w:sz w:val="28"/>
          <w:szCs w:val="28"/>
        </w:rPr>
      </w:pPr>
      <w:r w:rsidRPr="002452F0">
        <w:rPr>
          <w:b/>
          <w:sz w:val="28"/>
          <w:szCs w:val="28"/>
        </w:rPr>
        <w:t>BACKGROUND</w:t>
      </w:r>
    </w:p>
    <w:p w14:paraId="2D2B6445" w14:textId="77777777" w:rsidR="002452F0" w:rsidRPr="002452F0" w:rsidRDefault="002452F0" w:rsidP="002452F0">
      <w:pPr>
        <w:pStyle w:val="MemoSignatureSub"/>
        <w:spacing w:after="0" w:line="480" w:lineRule="exact"/>
        <w:ind w:left="1080" w:firstLine="0"/>
        <w:rPr>
          <w:b/>
          <w:sz w:val="28"/>
          <w:szCs w:val="28"/>
        </w:rPr>
      </w:pPr>
    </w:p>
    <w:p w14:paraId="39A8A8E8" w14:textId="4EFFCBDD" w:rsidR="002452F0" w:rsidRPr="002452F0" w:rsidRDefault="002452F0" w:rsidP="002452F0">
      <w:pPr>
        <w:pStyle w:val="MemoSignatureSub"/>
        <w:spacing w:after="0" w:line="480" w:lineRule="auto"/>
        <w:ind w:left="90" w:right="126" w:firstLine="0"/>
        <w:jc w:val="both"/>
        <w:rPr>
          <w:sz w:val="28"/>
          <w:szCs w:val="28"/>
        </w:rPr>
      </w:pPr>
      <w:r w:rsidRPr="002452F0">
        <w:rPr>
          <w:sz w:val="28"/>
          <w:szCs w:val="28"/>
        </w:rPr>
        <w:tab/>
        <w:t xml:space="preserve">On July 12, 2018, the Court of Appeals of Arizona, Division 1, issued its decision in </w:t>
      </w:r>
      <w:r w:rsidRPr="002452F0">
        <w:rPr>
          <w:i/>
          <w:sz w:val="28"/>
          <w:szCs w:val="28"/>
        </w:rPr>
        <w:t xml:space="preserve">Ruffino v. </w:t>
      </w:r>
      <w:proofErr w:type="spellStart"/>
      <w:r w:rsidRPr="002452F0">
        <w:rPr>
          <w:i/>
          <w:sz w:val="28"/>
          <w:szCs w:val="28"/>
        </w:rPr>
        <w:t>Lokosky</w:t>
      </w:r>
      <w:proofErr w:type="spellEnd"/>
      <w:r w:rsidRPr="002452F0">
        <w:rPr>
          <w:sz w:val="28"/>
          <w:szCs w:val="28"/>
        </w:rPr>
        <w:t xml:space="preserve">, 245 Ariz. 165 (App. 2018), </w:t>
      </w:r>
      <w:r w:rsidRPr="002452F0">
        <w:rPr>
          <w:i/>
          <w:sz w:val="28"/>
          <w:szCs w:val="28"/>
        </w:rPr>
        <w:t>review denied</w:t>
      </w:r>
      <w:r w:rsidRPr="002452F0">
        <w:rPr>
          <w:sz w:val="28"/>
          <w:szCs w:val="28"/>
        </w:rPr>
        <w:t xml:space="preserve"> (Dec. 13, 2018). In </w:t>
      </w:r>
      <w:r w:rsidRPr="002452F0">
        <w:rPr>
          <w:i/>
          <w:sz w:val="28"/>
          <w:szCs w:val="28"/>
        </w:rPr>
        <w:t>Ruffino</w:t>
      </w:r>
      <w:r w:rsidRPr="002452F0">
        <w:rPr>
          <w:sz w:val="28"/>
          <w:szCs w:val="28"/>
        </w:rPr>
        <w:t>, the Court of Appeals affirmed the trial court’s decision to vacate a default judgment obtained after the plaintiff served defendant by publication under Ariz. R. Civ. P. Rule 4.1(</w:t>
      </w:r>
      <w:r w:rsidRPr="002452F0">
        <w:rPr>
          <w:i/>
          <w:sz w:val="28"/>
          <w:szCs w:val="28"/>
        </w:rPr>
        <w:t>l</w:t>
      </w:r>
      <w:r w:rsidRPr="002452F0">
        <w:rPr>
          <w:sz w:val="28"/>
          <w:szCs w:val="28"/>
        </w:rPr>
        <w:t>)(1)(A)</w:t>
      </w:r>
      <w:r w:rsidR="00706F54">
        <w:rPr>
          <w:sz w:val="28"/>
          <w:szCs w:val="28"/>
        </w:rPr>
        <w:t>.</w:t>
      </w:r>
      <w:r w:rsidRPr="002452F0">
        <w:rPr>
          <w:sz w:val="28"/>
          <w:szCs w:val="28"/>
        </w:rPr>
        <w:t xml:space="preserve"> </w:t>
      </w:r>
      <w:r w:rsidRPr="002452F0">
        <w:rPr>
          <w:i/>
          <w:sz w:val="28"/>
          <w:szCs w:val="28"/>
        </w:rPr>
        <w:t>Id.</w:t>
      </w:r>
      <w:r w:rsidRPr="002452F0">
        <w:rPr>
          <w:sz w:val="28"/>
          <w:szCs w:val="28"/>
        </w:rPr>
        <w:t xml:space="preserve"> at 170, ¶ 18. Under Ariz. R. Civ. P. 4.1(</w:t>
      </w:r>
      <w:r w:rsidRPr="002452F0">
        <w:rPr>
          <w:i/>
          <w:iCs/>
          <w:sz w:val="28"/>
          <w:szCs w:val="28"/>
        </w:rPr>
        <w:t>l</w:t>
      </w:r>
      <w:r w:rsidRPr="002452F0">
        <w:rPr>
          <w:sz w:val="28"/>
          <w:szCs w:val="28"/>
        </w:rPr>
        <w:t xml:space="preserve">), service by publication may be made “only if” the following conditions are met: </w:t>
      </w:r>
    </w:p>
    <w:p w14:paraId="1664AF57" w14:textId="77777777" w:rsidR="002452F0" w:rsidRPr="002452F0" w:rsidRDefault="002452F0" w:rsidP="00706F54">
      <w:pPr>
        <w:pStyle w:val="MemoSignatureSub"/>
        <w:spacing w:before="240" w:after="0" w:line="280" w:lineRule="exact"/>
        <w:ind w:left="1440" w:right="1440" w:firstLine="0"/>
        <w:jc w:val="both"/>
        <w:rPr>
          <w:sz w:val="28"/>
          <w:szCs w:val="28"/>
        </w:rPr>
      </w:pPr>
      <w:r w:rsidRPr="002452F0">
        <w:rPr>
          <w:sz w:val="28"/>
          <w:szCs w:val="28"/>
        </w:rPr>
        <w:t xml:space="preserve">(1) “the serving party, despite reasonably diligent efforts, has been unable to ascertain the person’s current address,” </w:t>
      </w:r>
      <w:r w:rsidRPr="002452F0">
        <w:rPr>
          <w:b/>
          <w:bCs/>
          <w:sz w:val="28"/>
          <w:szCs w:val="28"/>
        </w:rPr>
        <w:t>or</w:t>
      </w:r>
      <w:r w:rsidRPr="002452F0">
        <w:rPr>
          <w:sz w:val="28"/>
          <w:szCs w:val="28"/>
        </w:rPr>
        <w:t xml:space="preserve"> </w:t>
      </w:r>
    </w:p>
    <w:p w14:paraId="2FA75507" w14:textId="77777777" w:rsidR="002452F0" w:rsidRPr="002452F0" w:rsidRDefault="002452F0" w:rsidP="00706F54">
      <w:pPr>
        <w:pStyle w:val="MemoSignatureSub"/>
        <w:spacing w:before="240" w:after="0" w:line="280" w:lineRule="exact"/>
        <w:ind w:left="1440" w:right="1440" w:firstLine="0"/>
        <w:jc w:val="both"/>
        <w:rPr>
          <w:sz w:val="28"/>
          <w:szCs w:val="28"/>
        </w:rPr>
      </w:pPr>
      <w:r w:rsidRPr="002452F0">
        <w:rPr>
          <w:sz w:val="28"/>
          <w:szCs w:val="28"/>
        </w:rPr>
        <w:t xml:space="preserve">(2) “the person to be served has intentionally avoided service of process,” </w:t>
      </w:r>
      <w:r w:rsidRPr="002452F0">
        <w:rPr>
          <w:b/>
          <w:bCs/>
          <w:sz w:val="28"/>
          <w:szCs w:val="28"/>
          <w:u w:val="single"/>
        </w:rPr>
        <w:t>and</w:t>
      </w:r>
      <w:r w:rsidRPr="002452F0">
        <w:rPr>
          <w:sz w:val="28"/>
          <w:szCs w:val="28"/>
        </w:rPr>
        <w:t xml:space="preserve"> </w:t>
      </w:r>
    </w:p>
    <w:p w14:paraId="4175BEC4" w14:textId="5F85A760" w:rsidR="002452F0" w:rsidRDefault="002452F0" w:rsidP="00706F54">
      <w:pPr>
        <w:pStyle w:val="MemoSignatureSub"/>
        <w:spacing w:before="240" w:after="0" w:line="280" w:lineRule="exact"/>
        <w:ind w:left="1440" w:right="1440" w:firstLine="0"/>
        <w:jc w:val="both"/>
        <w:rPr>
          <w:sz w:val="28"/>
          <w:szCs w:val="28"/>
        </w:rPr>
      </w:pPr>
      <w:r w:rsidRPr="002452F0">
        <w:rPr>
          <w:sz w:val="28"/>
          <w:szCs w:val="28"/>
        </w:rPr>
        <w:t>(3) “service by publication is the best means practicable in the circumstances for providing the person with notice.”</w:t>
      </w:r>
    </w:p>
    <w:p w14:paraId="2572E6E4" w14:textId="77777777" w:rsidR="002452F0" w:rsidRPr="002452F0" w:rsidRDefault="002452F0" w:rsidP="002452F0">
      <w:pPr>
        <w:pStyle w:val="MemoSignatureSub"/>
        <w:spacing w:before="240" w:after="0" w:line="240" w:lineRule="exact"/>
        <w:ind w:left="1440" w:right="1440" w:firstLine="0"/>
        <w:jc w:val="both"/>
        <w:rPr>
          <w:sz w:val="28"/>
          <w:szCs w:val="28"/>
        </w:rPr>
      </w:pPr>
    </w:p>
    <w:p w14:paraId="5D243B25" w14:textId="1133DDFB" w:rsidR="002452F0" w:rsidRPr="002452F0" w:rsidRDefault="002452F0" w:rsidP="002452F0">
      <w:pPr>
        <w:pStyle w:val="MemoSignatureSub"/>
        <w:spacing w:before="240" w:after="0" w:line="480" w:lineRule="auto"/>
        <w:ind w:left="0" w:firstLine="0"/>
        <w:jc w:val="both"/>
        <w:rPr>
          <w:sz w:val="28"/>
          <w:szCs w:val="28"/>
        </w:rPr>
      </w:pPr>
      <w:r w:rsidRPr="002452F0">
        <w:rPr>
          <w:sz w:val="28"/>
          <w:szCs w:val="28"/>
        </w:rPr>
        <w:lastRenderedPageBreak/>
        <w:t xml:space="preserve">The Court of Appeals held that the plaintiff failed to show that “reasonably diligent efforts” were made to ascertain the defendant’s address.  </w:t>
      </w:r>
      <w:r w:rsidRPr="002452F0">
        <w:rPr>
          <w:i/>
          <w:iCs/>
          <w:sz w:val="28"/>
          <w:szCs w:val="28"/>
        </w:rPr>
        <w:t>Ruffino</w:t>
      </w:r>
      <w:r w:rsidRPr="002452F0">
        <w:rPr>
          <w:sz w:val="28"/>
          <w:szCs w:val="28"/>
        </w:rPr>
        <w:t xml:space="preserve">, 245 </w:t>
      </w:r>
      <w:r w:rsidR="00706F54">
        <w:rPr>
          <w:sz w:val="28"/>
          <w:szCs w:val="28"/>
        </w:rPr>
        <w:t xml:space="preserve">Ariz. </w:t>
      </w:r>
      <w:r w:rsidRPr="002452F0">
        <w:rPr>
          <w:sz w:val="28"/>
          <w:szCs w:val="28"/>
        </w:rPr>
        <w:t>at 169, ¶¶ 12–15.  The court acknowledged that the plaintiff performed a “skip trace,” but despite having narrowed the defendant’s location to one likely address, the court held that the plaintiff did not make any effort—much less “reasonably diligent efforts</w:t>
      </w:r>
      <w:r w:rsidR="00B61635" w:rsidRPr="002452F0">
        <w:rPr>
          <w:sz w:val="28"/>
          <w:szCs w:val="28"/>
        </w:rPr>
        <w:t>”</w:t>
      </w:r>
      <w:r w:rsidR="00B61635">
        <w:rPr>
          <w:sz w:val="28"/>
          <w:szCs w:val="28"/>
        </w:rPr>
        <w:t>—</w:t>
      </w:r>
      <w:r w:rsidRPr="002452F0">
        <w:rPr>
          <w:sz w:val="28"/>
          <w:szCs w:val="28"/>
        </w:rPr>
        <w:t>to communicate with the defendant to confirm she was residing at that address.  The Court of Appeals further held that the plaintiff could have used many conventional ways to determine which of the addresses the skip trace revealed were actually the defendant’s residence.</w:t>
      </w:r>
      <w:r w:rsidRPr="002452F0">
        <w:rPr>
          <w:rStyle w:val="FootnoteReference"/>
          <w:sz w:val="28"/>
          <w:szCs w:val="28"/>
        </w:rPr>
        <w:footnoteReference w:id="1"/>
      </w:r>
      <w:r w:rsidRPr="002452F0">
        <w:rPr>
          <w:sz w:val="28"/>
          <w:szCs w:val="28"/>
        </w:rPr>
        <w:t xml:space="preserve">  </w:t>
      </w:r>
      <w:r w:rsidRPr="002452F0">
        <w:rPr>
          <w:i/>
          <w:iCs/>
          <w:sz w:val="28"/>
          <w:szCs w:val="28"/>
        </w:rPr>
        <w:t>Ruffino</w:t>
      </w:r>
      <w:r w:rsidRPr="002452F0">
        <w:rPr>
          <w:iCs/>
          <w:sz w:val="28"/>
          <w:szCs w:val="28"/>
        </w:rPr>
        <w:t>, therefore,</w:t>
      </w:r>
      <w:r w:rsidRPr="002452F0">
        <w:rPr>
          <w:sz w:val="28"/>
          <w:szCs w:val="28"/>
        </w:rPr>
        <w:t xml:space="preserve"> created </w:t>
      </w:r>
      <w:r w:rsidRPr="00B61635">
        <w:rPr>
          <w:sz w:val="28"/>
          <w:szCs w:val="28"/>
        </w:rPr>
        <w:t>ambiguity</w:t>
      </w:r>
      <w:r w:rsidRPr="002452F0">
        <w:rPr>
          <w:sz w:val="28"/>
          <w:szCs w:val="28"/>
        </w:rPr>
        <w:t xml:space="preserve"> over what</w:t>
      </w:r>
      <w:r w:rsidR="00B61635">
        <w:rPr>
          <w:sz w:val="28"/>
          <w:szCs w:val="28"/>
        </w:rPr>
        <w:t xml:space="preserve"> efforts constitute</w:t>
      </w:r>
      <w:r w:rsidRPr="002452F0">
        <w:rPr>
          <w:sz w:val="28"/>
          <w:szCs w:val="28"/>
        </w:rPr>
        <w:t xml:space="preserve"> “reasonably diligent efforts” </w:t>
      </w:r>
      <w:r w:rsidR="00B61635">
        <w:rPr>
          <w:sz w:val="28"/>
          <w:szCs w:val="28"/>
        </w:rPr>
        <w:t xml:space="preserve">that </w:t>
      </w:r>
      <w:r w:rsidRPr="002452F0">
        <w:rPr>
          <w:sz w:val="28"/>
          <w:szCs w:val="28"/>
        </w:rPr>
        <w:t xml:space="preserve"> satisfy the requirements for service by publication.</w:t>
      </w:r>
    </w:p>
    <w:p w14:paraId="51FDE164" w14:textId="0DD79FE2" w:rsidR="002452F0" w:rsidRPr="002452F0" w:rsidRDefault="002452F0" w:rsidP="002452F0">
      <w:pPr>
        <w:pStyle w:val="MemoSignatureSub"/>
        <w:spacing w:after="0" w:line="480" w:lineRule="auto"/>
        <w:ind w:left="0" w:firstLine="0"/>
        <w:jc w:val="both"/>
        <w:rPr>
          <w:sz w:val="28"/>
          <w:szCs w:val="28"/>
        </w:rPr>
      </w:pPr>
      <w:r w:rsidRPr="002452F0">
        <w:rPr>
          <w:sz w:val="28"/>
          <w:szCs w:val="28"/>
        </w:rPr>
        <w:tab/>
      </w:r>
      <w:r w:rsidR="00B61635">
        <w:rPr>
          <w:sz w:val="28"/>
          <w:szCs w:val="28"/>
        </w:rPr>
        <w:t>Additionally</w:t>
      </w:r>
      <w:r w:rsidRPr="002452F0">
        <w:rPr>
          <w:sz w:val="28"/>
          <w:szCs w:val="28"/>
        </w:rPr>
        <w:t xml:space="preserve">, effective January 1, 2019, Arizona Rule of Family Law Procedure (the “Ariz. R. Fam. Law P.”) 41(m) was revised to require court approval before service by publication. </w:t>
      </w:r>
      <w:proofErr w:type="gramStart"/>
      <w:r w:rsidRPr="002452F0">
        <w:rPr>
          <w:sz w:val="28"/>
          <w:szCs w:val="28"/>
        </w:rPr>
        <w:t>Similar to</w:t>
      </w:r>
      <w:proofErr w:type="gramEnd"/>
      <w:r w:rsidRPr="002452F0">
        <w:rPr>
          <w:sz w:val="28"/>
          <w:szCs w:val="28"/>
        </w:rPr>
        <w:t xml:space="preserve"> </w:t>
      </w:r>
      <w:r w:rsidRPr="002452F0">
        <w:rPr>
          <w:i/>
          <w:sz w:val="28"/>
          <w:szCs w:val="28"/>
        </w:rPr>
        <w:t>Ruffino</w:t>
      </w:r>
      <w:r w:rsidRPr="002452F0">
        <w:rPr>
          <w:sz w:val="28"/>
          <w:szCs w:val="28"/>
        </w:rPr>
        <w:t xml:space="preserve">’s concerns that “reasonably diligent efforts” are made to communicate with, and ultimately give notice to, an opposing </w:t>
      </w:r>
      <w:r w:rsidRPr="002452F0">
        <w:rPr>
          <w:sz w:val="28"/>
          <w:szCs w:val="28"/>
        </w:rPr>
        <w:lastRenderedPageBreak/>
        <w:t xml:space="preserve">party that an action </w:t>
      </w:r>
      <w:r w:rsidRPr="00B61635">
        <w:rPr>
          <w:sz w:val="28"/>
          <w:szCs w:val="28"/>
        </w:rPr>
        <w:t>has</w:t>
      </w:r>
      <w:r w:rsidRPr="002452F0">
        <w:rPr>
          <w:sz w:val="28"/>
          <w:szCs w:val="28"/>
        </w:rPr>
        <w:t xml:space="preserve"> </w:t>
      </w:r>
      <w:r w:rsidR="00B61635">
        <w:rPr>
          <w:sz w:val="28"/>
          <w:szCs w:val="28"/>
        </w:rPr>
        <w:t xml:space="preserve">been </w:t>
      </w:r>
      <w:r w:rsidRPr="002452F0">
        <w:rPr>
          <w:sz w:val="28"/>
          <w:szCs w:val="28"/>
        </w:rPr>
        <w:t>filed, the Comment to Ariz. R. Fam. Law P.</w:t>
      </w:r>
      <w:r w:rsidR="00B62836">
        <w:rPr>
          <w:sz w:val="28"/>
          <w:szCs w:val="28"/>
        </w:rPr>
        <w:t xml:space="preserve"> </w:t>
      </w:r>
      <w:r w:rsidRPr="002452F0">
        <w:rPr>
          <w:sz w:val="28"/>
          <w:szCs w:val="28"/>
        </w:rPr>
        <w:t>41 provides that:</w:t>
      </w:r>
    </w:p>
    <w:p w14:paraId="13BCA933" w14:textId="77777777" w:rsidR="002452F0" w:rsidRPr="002452F0" w:rsidRDefault="002452F0" w:rsidP="00B62836">
      <w:pPr>
        <w:pStyle w:val="MemoSignatureSub"/>
        <w:spacing w:before="240" w:after="0" w:line="280" w:lineRule="exact"/>
        <w:ind w:right="576" w:firstLine="0"/>
        <w:rPr>
          <w:sz w:val="28"/>
          <w:szCs w:val="28"/>
        </w:rPr>
      </w:pPr>
      <w:r w:rsidRPr="002452F0">
        <w:rPr>
          <w:sz w:val="28"/>
          <w:szCs w:val="28"/>
        </w:rPr>
        <w:t>[S]</w:t>
      </w:r>
      <w:proofErr w:type="spellStart"/>
      <w:r w:rsidRPr="002452F0">
        <w:rPr>
          <w:sz w:val="28"/>
          <w:szCs w:val="28"/>
        </w:rPr>
        <w:t>ervice</w:t>
      </w:r>
      <w:proofErr w:type="spellEnd"/>
      <w:r w:rsidRPr="002452F0">
        <w:rPr>
          <w:sz w:val="28"/>
          <w:szCs w:val="28"/>
        </w:rPr>
        <w:t xml:space="preserve"> by publication is subject to subsequent challenge if it does not satisfy due process standards of being reasonably calculated to give notice to the party being served and providing the best practicable notice under the circumstances.</w:t>
      </w:r>
    </w:p>
    <w:p w14:paraId="47B3C445" w14:textId="33F1944C" w:rsidR="002452F0" w:rsidRPr="002452F0" w:rsidRDefault="002452F0" w:rsidP="002452F0">
      <w:pPr>
        <w:pStyle w:val="MemoSignatureSub"/>
        <w:spacing w:before="240" w:after="0" w:line="480" w:lineRule="auto"/>
        <w:ind w:left="0" w:firstLine="0"/>
        <w:jc w:val="both"/>
        <w:rPr>
          <w:sz w:val="28"/>
          <w:szCs w:val="28"/>
        </w:rPr>
      </w:pPr>
      <w:r w:rsidRPr="002452F0">
        <w:rPr>
          <w:i/>
          <w:sz w:val="28"/>
          <w:szCs w:val="28"/>
        </w:rPr>
        <w:t>See</w:t>
      </w:r>
      <w:r w:rsidRPr="002452F0">
        <w:rPr>
          <w:sz w:val="28"/>
          <w:szCs w:val="28"/>
        </w:rPr>
        <w:t xml:space="preserve"> Ariz. R. Fam. Law P.</w:t>
      </w:r>
      <w:r w:rsidR="00B62836">
        <w:rPr>
          <w:sz w:val="28"/>
          <w:szCs w:val="28"/>
        </w:rPr>
        <w:t xml:space="preserve"> </w:t>
      </w:r>
      <w:r w:rsidRPr="002452F0">
        <w:rPr>
          <w:sz w:val="28"/>
          <w:szCs w:val="28"/>
        </w:rPr>
        <w:t>41</w:t>
      </w:r>
      <w:r w:rsidR="00B62836">
        <w:rPr>
          <w:sz w:val="28"/>
          <w:szCs w:val="28"/>
        </w:rPr>
        <w:t>,</w:t>
      </w:r>
      <w:r w:rsidRPr="002452F0">
        <w:rPr>
          <w:sz w:val="28"/>
          <w:szCs w:val="28"/>
        </w:rPr>
        <w:t xml:space="preserve"> at </w:t>
      </w:r>
      <w:proofErr w:type="spellStart"/>
      <w:r w:rsidRPr="002452F0">
        <w:rPr>
          <w:sz w:val="28"/>
          <w:szCs w:val="28"/>
        </w:rPr>
        <w:t>Cmt</w:t>
      </w:r>
      <w:proofErr w:type="spellEnd"/>
      <w:r w:rsidRPr="002452F0">
        <w:rPr>
          <w:sz w:val="28"/>
          <w:szCs w:val="28"/>
        </w:rPr>
        <w:t xml:space="preserve">. to 2019 </w:t>
      </w:r>
      <w:proofErr w:type="spellStart"/>
      <w:r w:rsidRPr="002452F0">
        <w:rPr>
          <w:sz w:val="28"/>
          <w:szCs w:val="28"/>
        </w:rPr>
        <w:t>Amdt</w:t>
      </w:r>
      <w:proofErr w:type="spellEnd"/>
      <w:r w:rsidRPr="002452F0">
        <w:rPr>
          <w:sz w:val="28"/>
          <w:szCs w:val="28"/>
        </w:rPr>
        <w:t xml:space="preserve">. Thus, the recent revision to Ariz. R. Fam. Law P. 41(m) </w:t>
      </w:r>
      <w:r w:rsidR="00B61635">
        <w:rPr>
          <w:sz w:val="28"/>
          <w:szCs w:val="28"/>
        </w:rPr>
        <w:t>emphasizes additional</w:t>
      </w:r>
      <w:r w:rsidRPr="002452F0">
        <w:rPr>
          <w:sz w:val="28"/>
          <w:szCs w:val="28"/>
        </w:rPr>
        <w:t xml:space="preserve"> due process standards before resorting to service by publication.</w:t>
      </w:r>
    </w:p>
    <w:p w14:paraId="567D747D" w14:textId="39D8838E" w:rsidR="002452F0" w:rsidRPr="002452F0" w:rsidRDefault="002452F0" w:rsidP="002452F0">
      <w:pPr>
        <w:pStyle w:val="MemoSignatureSub"/>
        <w:spacing w:after="0" w:line="480" w:lineRule="auto"/>
        <w:ind w:left="0" w:firstLine="0"/>
        <w:jc w:val="both"/>
        <w:rPr>
          <w:sz w:val="28"/>
          <w:szCs w:val="28"/>
        </w:rPr>
      </w:pPr>
      <w:r w:rsidRPr="002452F0">
        <w:rPr>
          <w:sz w:val="28"/>
          <w:szCs w:val="28"/>
        </w:rPr>
        <w:tab/>
        <w:t xml:space="preserve">Finally, stakeholders in both Arizona’s creditor and debtor bars have expressed support for </w:t>
      </w:r>
      <w:r w:rsidR="00B61635">
        <w:rPr>
          <w:sz w:val="28"/>
          <w:szCs w:val="28"/>
        </w:rPr>
        <w:t xml:space="preserve">aligning </w:t>
      </w:r>
      <w:r w:rsidRPr="002452F0">
        <w:rPr>
          <w:sz w:val="28"/>
          <w:szCs w:val="28"/>
        </w:rPr>
        <w:t>Ariz. R. Civ. P.</w:t>
      </w:r>
      <w:r w:rsidR="00B62836">
        <w:rPr>
          <w:sz w:val="28"/>
          <w:szCs w:val="28"/>
        </w:rPr>
        <w:t xml:space="preserve"> </w:t>
      </w:r>
      <w:r w:rsidRPr="002452F0">
        <w:rPr>
          <w:sz w:val="28"/>
          <w:szCs w:val="28"/>
        </w:rPr>
        <w:t>4.1(</w:t>
      </w:r>
      <w:r w:rsidRPr="00B62836">
        <w:rPr>
          <w:i/>
          <w:iCs/>
          <w:sz w:val="28"/>
          <w:szCs w:val="28"/>
        </w:rPr>
        <w:t>l</w:t>
      </w:r>
      <w:r w:rsidRPr="002452F0">
        <w:rPr>
          <w:sz w:val="28"/>
          <w:szCs w:val="28"/>
        </w:rPr>
        <w:t>) and 4.2(f) with Ariz. R. Fam. Law P.</w:t>
      </w:r>
      <w:r w:rsidR="00B62836">
        <w:rPr>
          <w:sz w:val="28"/>
          <w:szCs w:val="28"/>
        </w:rPr>
        <w:t xml:space="preserve"> </w:t>
      </w:r>
      <w:r w:rsidRPr="002452F0">
        <w:rPr>
          <w:sz w:val="28"/>
          <w:szCs w:val="28"/>
        </w:rPr>
        <w:t xml:space="preserve">41(m). </w:t>
      </w:r>
      <w:proofErr w:type="gramStart"/>
      <w:r w:rsidR="00CE2B3E">
        <w:rPr>
          <w:sz w:val="28"/>
          <w:szCs w:val="28"/>
        </w:rPr>
        <w:t>T</w:t>
      </w:r>
      <w:r w:rsidRPr="002452F0">
        <w:rPr>
          <w:rFonts w:eastAsia="Times New Roman"/>
          <w:sz w:val="28"/>
          <w:szCs w:val="28"/>
        </w:rPr>
        <w:t>he majority of</w:t>
      </w:r>
      <w:proofErr w:type="gramEnd"/>
      <w:r w:rsidRPr="002452F0">
        <w:rPr>
          <w:rFonts w:eastAsia="Times New Roman"/>
          <w:sz w:val="28"/>
          <w:szCs w:val="28"/>
        </w:rPr>
        <w:t xml:space="preserve"> state jurisdictions within the United States that permit service by publication have moved toward either a motion and affidavit requirement or affidavit </w:t>
      </w:r>
      <w:r w:rsidR="00CE2B3E">
        <w:rPr>
          <w:rFonts w:eastAsia="Times New Roman"/>
          <w:sz w:val="28"/>
          <w:szCs w:val="28"/>
        </w:rPr>
        <w:t xml:space="preserve">alone </w:t>
      </w:r>
      <w:r w:rsidRPr="002452F0">
        <w:rPr>
          <w:rFonts w:eastAsia="Times New Roman"/>
          <w:sz w:val="28"/>
          <w:szCs w:val="28"/>
        </w:rPr>
        <w:t xml:space="preserve">requirement. Twenty states have rules requiring a motion and affidavit before service by publication. Another fourteen states have rules requiring the filing of an affidavit before service by publication. Only four states, including, Arizona do not have either a motion or an affidavit requirement in their rules governing service by publication. </w:t>
      </w:r>
    </w:p>
    <w:p w14:paraId="2466E288" w14:textId="530518EA" w:rsidR="000F62B7" w:rsidRPr="002452F0" w:rsidRDefault="002452F0" w:rsidP="002452F0">
      <w:pPr>
        <w:pStyle w:val="MemoSignatureSub"/>
        <w:spacing w:after="0" w:line="480" w:lineRule="auto"/>
        <w:ind w:left="0" w:firstLine="720"/>
        <w:jc w:val="both"/>
        <w:rPr>
          <w:sz w:val="28"/>
          <w:szCs w:val="28"/>
        </w:rPr>
      </w:pPr>
      <w:r w:rsidRPr="002452F0">
        <w:rPr>
          <w:sz w:val="28"/>
          <w:szCs w:val="28"/>
        </w:rPr>
        <w:t>Accordingly, the State Bar believes that Ariz. R. Civ. P. 4.1 and 4.2 should be amended to align with Ariz. R. Fam. Law P. 41(m), and to require an additional affidavit requirement to outline the steps taken to try to locate and serve a person</w:t>
      </w:r>
      <w:r w:rsidR="00CE2B3E">
        <w:rPr>
          <w:sz w:val="28"/>
          <w:szCs w:val="28"/>
        </w:rPr>
        <w:t>.</w:t>
      </w:r>
      <w:r w:rsidRPr="002452F0">
        <w:rPr>
          <w:sz w:val="28"/>
          <w:szCs w:val="28"/>
        </w:rPr>
        <w:t xml:space="preserve"> </w:t>
      </w:r>
      <w:r w:rsidR="00CE2B3E">
        <w:rPr>
          <w:sz w:val="28"/>
          <w:szCs w:val="28"/>
        </w:rPr>
        <w:lastRenderedPageBreak/>
        <w:t>Such a process</w:t>
      </w:r>
      <w:r w:rsidRPr="002452F0">
        <w:rPr>
          <w:sz w:val="28"/>
          <w:szCs w:val="28"/>
        </w:rPr>
        <w:t xml:space="preserve"> will help address the due process concerns raised in </w:t>
      </w:r>
      <w:r w:rsidRPr="002452F0">
        <w:rPr>
          <w:i/>
          <w:sz w:val="28"/>
          <w:szCs w:val="28"/>
        </w:rPr>
        <w:t xml:space="preserve">Ruffino v. </w:t>
      </w:r>
      <w:proofErr w:type="spellStart"/>
      <w:r w:rsidRPr="002452F0">
        <w:rPr>
          <w:i/>
          <w:sz w:val="28"/>
          <w:szCs w:val="28"/>
        </w:rPr>
        <w:t>Lokosky</w:t>
      </w:r>
      <w:proofErr w:type="spellEnd"/>
      <w:r w:rsidRPr="002452F0">
        <w:rPr>
          <w:sz w:val="28"/>
          <w:szCs w:val="28"/>
        </w:rPr>
        <w:t>.</w:t>
      </w:r>
    </w:p>
    <w:p w14:paraId="63FC04DA" w14:textId="0734B0FD" w:rsidR="002452F0" w:rsidRDefault="002452F0" w:rsidP="002452F0">
      <w:pPr>
        <w:pStyle w:val="MemoSignatureSub"/>
        <w:spacing w:after="0" w:line="480" w:lineRule="exact"/>
        <w:ind w:left="0" w:firstLine="0"/>
        <w:rPr>
          <w:b/>
          <w:sz w:val="28"/>
          <w:szCs w:val="28"/>
        </w:rPr>
      </w:pPr>
      <w:r w:rsidRPr="002452F0">
        <w:rPr>
          <w:b/>
          <w:sz w:val="28"/>
          <w:szCs w:val="28"/>
        </w:rPr>
        <w:t>II.</w:t>
      </w:r>
      <w:r w:rsidRPr="002452F0">
        <w:rPr>
          <w:b/>
          <w:sz w:val="28"/>
          <w:szCs w:val="28"/>
        </w:rPr>
        <w:tab/>
        <w:t>THE PROPOSED AMENDMENTS TO RULE 4.1 AND RULE 4.2</w:t>
      </w:r>
    </w:p>
    <w:p w14:paraId="0B7680BA" w14:textId="77777777" w:rsidR="002452F0" w:rsidRPr="002452F0" w:rsidRDefault="002452F0" w:rsidP="002452F0">
      <w:pPr>
        <w:pStyle w:val="MemoSignatureSub"/>
        <w:spacing w:after="0" w:line="480" w:lineRule="exact"/>
        <w:ind w:left="0" w:firstLine="0"/>
        <w:rPr>
          <w:b/>
          <w:sz w:val="28"/>
          <w:szCs w:val="28"/>
        </w:rPr>
      </w:pPr>
    </w:p>
    <w:p w14:paraId="56531C53" w14:textId="09A30FB2" w:rsidR="002452F0" w:rsidRPr="002452F0" w:rsidRDefault="002452F0" w:rsidP="002452F0">
      <w:pPr>
        <w:pStyle w:val="MemoSignatureSub"/>
        <w:spacing w:after="0" w:line="480" w:lineRule="auto"/>
        <w:ind w:left="0" w:firstLine="0"/>
        <w:jc w:val="both"/>
        <w:rPr>
          <w:sz w:val="28"/>
          <w:szCs w:val="28"/>
        </w:rPr>
      </w:pPr>
      <w:r w:rsidRPr="002452F0">
        <w:rPr>
          <w:sz w:val="28"/>
          <w:szCs w:val="28"/>
        </w:rPr>
        <w:tab/>
        <w:t xml:space="preserve">The State Bar’s proposed amendments require the serving party to seek court approval by motion, </w:t>
      </w:r>
      <w:r w:rsidR="00CE2B3E">
        <w:rPr>
          <w:sz w:val="28"/>
          <w:szCs w:val="28"/>
        </w:rPr>
        <w:t>supported by</w:t>
      </w:r>
      <w:r w:rsidRPr="002452F0">
        <w:rPr>
          <w:sz w:val="28"/>
          <w:szCs w:val="28"/>
        </w:rPr>
        <w:t xml:space="preserve"> an affidavit, </w:t>
      </w:r>
      <w:r w:rsidR="00CE2B3E">
        <w:rPr>
          <w:sz w:val="28"/>
          <w:szCs w:val="28"/>
        </w:rPr>
        <w:t xml:space="preserve">which </w:t>
      </w:r>
      <w:r w:rsidRPr="002452F0">
        <w:rPr>
          <w:sz w:val="28"/>
          <w:szCs w:val="28"/>
        </w:rPr>
        <w:t>outlin</w:t>
      </w:r>
      <w:r w:rsidR="00CE2B3E">
        <w:rPr>
          <w:sz w:val="28"/>
          <w:szCs w:val="28"/>
        </w:rPr>
        <w:t>es</w:t>
      </w:r>
      <w:r w:rsidRPr="002452F0">
        <w:rPr>
          <w:sz w:val="28"/>
          <w:szCs w:val="28"/>
        </w:rPr>
        <w:t xml:space="preserve"> the steps taken prior to seeking approval to serve by publication. These amendments alter the current practice of a serving party being able to </w:t>
      </w:r>
      <w:r w:rsidR="00CE2B3E" w:rsidRPr="002452F0">
        <w:rPr>
          <w:sz w:val="28"/>
          <w:szCs w:val="28"/>
        </w:rPr>
        <w:t xml:space="preserve">solely </w:t>
      </w:r>
      <w:r w:rsidRPr="002452F0">
        <w:rPr>
          <w:sz w:val="28"/>
          <w:szCs w:val="28"/>
        </w:rPr>
        <w:t xml:space="preserve">make the determination to serve by publication. </w:t>
      </w:r>
    </w:p>
    <w:p w14:paraId="4D728307" w14:textId="63DCCDCE" w:rsidR="002452F0" w:rsidRDefault="002452F0" w:rsidP="00C56683">
      <w:pPr>
        <w:pStyle w:val="MemoSignatureSub"/>
        <w:numPr>
          <w:ilvl w:val="0"/>
          <w:numId w:val="18"/>
        </w:numPr>
        <w:spacing w:after="0"/>
        <w:rPr>
          <w:b/>
          <w:i/>
          <w:sz w:val="28"/>
          <w:szCs w:val="28"/>
        </w:rPr>
      </w:pPr>
      <w:r w:rsidRPr="002452F0">
        <w:rPr>
          <w:b/>
          <w:i/>
          <w:sz w:val="28"/>
          <w:szCs w:val="28"/>
        </w:rPr>
        <w:t>The Motion and Affidavit Requirements Address Due Process Concerns</w:t>
      </w:r>
    </w:p>
    <w:p w14:paraId="408FB342" w14:textId="77777777" w:rsidR="002452F0" w:rsidRPr="002452F0" w:rsidRDefault="002452F0" w:rsidP="002452F0">
      <w:pPr>
        <w:pStyle w:val="MemoSignatureSub"/>
        <w:spacing w:after="0" w:line="480" w:lineRule="exact"/>
        <w:ind w:left="1440" w:firstLine="0"/>
        <w:rPr>
          <w:b/>
          <w:sz w:val="28"/>
          <w:szCs w:val="28"/>
        </w:rPr>
      </w:pPr>
    </w:p>
    <w:p w14:paraId="3D198C71" w14:textId="73528DEA" w:rsidR="002452F0" w:rsidRPr="002452F0" w:rsidRDefault="002452F0" w:rsidP="002452F0">
      <w:pPr>
        <w:pStyle w:val="MemoSignatureSub"/>
        <w:spacing w:after="0" w:line="480" w:lineRule="auto"/>
        <w:ind w:left="0" w:firstLine="720"/>
        <w:jc w:val="both"/>
        <w:rPr>
          <w:rFonts w:eastAsia="Times New Roman"/>
          <w:sz w:val="28"/>
          <w:szCs w:val="28"/>
        </w:rPr>
      </w:pPr>
      <w:r w:rsidRPr="002452F0">
        <w:rPr>
          <w:sz w:val="28"/>
          <w:szCs w:val="28"/>
        </w:rPr>
        <w:t xml:space="preserve">In </w:t>
      </w:r>
      <w:r w:rsidRPr="002452F0">
        <w:rPr>
          <w:i/>
          <w:sz w:val="28"/>
          <w:szCs w:val="28"/>
        </w:rPr>
        <w:t xml:space="preserve">Ruffino v. </w:t>
      </w:r>
      <w:proofErr w:type="spellStart"/>
      <w:r w:rsidRPr="002452F0">
        <w:rPr>
          <w:i/>
          <w:sz w:val="28"/>
          <w:szCs w:val="28"/>
        </w:rPr>
        <w:t>Lokosky</w:t>
      </w:r>
      <w:proofErr w:type="spellEnd"/>
      <w:r w:rsidRPr="002452F0">
        <w:rPr>
          <w:sz w:val="28"/>
          <w:szCs w:val="28"/>
        </w:rPr>
        <w:t>, the court</w:t>
      </w:r>
      <w:r w:rsidRPr="002452F0">
        <w:rPr>
          <w:rFonts w:eastAsia="Times New Roman"/>
          <w:sz w:val="28"/>
          <w:szCs w:val="28"/>
        </w:rPr>
        <w:t xml:space="preserve"> concluded the plaintiff had not made reasonably diligent efforts to ascertain the defendant’s address and, therefore, held that service by publication was not the best means practicable under the circumstances. </w:t>
      </w:r>
      <w:r w:rsidRPr="002452F0">
        <w:rPr>
          <w:rFonts w:eastAsia="Times New Roman"/>
          <w:i/>
          <w:sz w:val="28"/>
          <w:szCs w:val="28"/>
        </w:rPr>
        <w:t>Ruffino</w:t>
      </w:r>
      <w:r w:rsidRPr="002452F0">
        <w:rPr>
          <w:rFonts w:eastAsia="Times New Roman"/>
          <w:sz w:val="28"/>
          <w:szCs w:val="28"/>
        </w:rPr>
        <w:t>, 245 Ariz. at 169</w:t>
      </w:r>
      <w:r w:rsidR="00CE2B3E">
        <w:rPr>
          <w:rFonts w:eastAsia="Times New Roman"/>
          <w:sz w:val="28"/>
          <w:szCs w:val="28"/>
        </w:rPr>
        <w:t>, ¶¶ 12-15</w:t>
      </w:r>
      <w:r w:rsidRPr="002452F0">
        <w:rPr>
          <w:rFonts w:eastAsia="Times New Roman"/>
          <w:sz w:val="28"/>
          <w:szCs w:val="28"/>
        </w:rPr>
        <w:t>. There, the plaintiff knew the defendant’s email address, phone number, and how to reach the defendant through social media</w:t>
      </w:r>
      <w:r w:rsidR="00CE2B3E">
        <w:rPr>
          <w:rFonts w:eastAsia="Times New Roman"/>
          <w:sz w:val="28"/>
          <w:szCs w:val="28"/>
        </w:rPr>
        <w:t>.</w:t>
      </w:r>
      <w:r w:rsidRPr="002452F0">
        <w:rPr>
          <w:rFonts w:eastAsia="Times New Roman"/>
          <w:sz w:val="28"/>
          <w:szCs w:val="28"/>
        </w:rPr>
        <w:t xml:space="preserve"> </w:t>
      </w:r>
      <w:r w:rsidR="00CE2B3E">
        <w:rPr>
          <w:rFonts w:eastAsia="Times New Roman"/>
          <w:sz w:val="28"/>
          <w:szCs w:val="28"/>
        </w:rPr>
        <w:t>Nevertheless,</w:t>
      </w:r>
      <w:r w:rsidR="00CE2B3E" w:rsidRPr="002452F0">
        <w:rPr>
          <w:rFonts w:eastAsia="Times New Roman"/>
          <w:sz w:val="28"/>
          <w:szCs w:val="28"/>
        </w:rPr>
        <w:t xml:space="preserve"> </w:t>
      </w:r>
      <w:r w:rsidRPr="002452F0">
        <w:rPr>
          <w:rFonts w:eastAsia="Times New Roman"/>
          <w:sz w:val="28"/>
          <w:szCs w:val="28"/>
        </w:rPr>
        <w:t xml:space="preserve">the plaintiff made no attempt through those channels to verify which of the defendant’s suspected addresses was correct prior to serving the defendant by publication. </w:t>
      </w:r>
      <w:r w:rsidRPr="002452F0">
        <w:rPr>
          <w:rFonts w:eastAsia="Times New Roman"/>
          <w:i/>
          <w:sz w:val="28"/>
          <w:szCs w:val="28"/>
        </w:rPr>
        <w:t>Id.</w:t>
      </w:r>
      <w:r w:rsidRPr="002452F0">
        <w:rPr>
          <w:rFonts w:eastAsia="Times New Roman"/>
          <w:sz w:val="28"/>
          <w:szCs w:val="28"/>
        </w:rPr>
        <w:t xml:space="preserve"> </w:t>
      </w:r>
    </w:p>
    <w:p w14:paraId="182DB048" w14:textId="54756D06" w:rsidR="002452F0" w:rsidRPr="000F2D10" w:rsidRDefault="002452F0" w:rsidP="002452F0">
      <w:pPr>
        <w:pStyle w:val="MemoSignatureSub"/>
        <w:spacing w:after="0" w:line="480" w:lineRule="auto"/>
        <w:ind w:left="0" w:firstLine="720"/>
        <w:jc w:val="both"/>
        <w:rPr>
          <w:rFonts w:eastAsia="Times New Roman"/>
          <w:iCs/>
          <w:sz w:val="28"/>
          <w:szCs w:val="28"/>
        </w:rPr>
      </w:pPr>
      <w:r w:rsidRPr="002452F0">
        <w:rPr>
          <w:rFonts w:eastAsia="Times New Roman"/>
          <w:sz w:val="28"/>
          <w:szCs w:val="28"/>
        </w:rPr>
        <w:lastRenderedPageBreak/>
        <w:t xml:space="preserve">The court concluded that a “reasonably diligent effort” by the plaintiff would have included reaching out to the defendant via telephone, email, or even social media to verify the defendant’s correct address. </w:t>
      </w:r>
      <w:r w:rsidRPr="002452F0">
        <w:rPr>
          <w:rFonts w:eastAsia="Times New Roman"/>
          <w:i/>
          <w:sz w:val="28"/>
          <w:szCs w:val="28"/>
        </w:rPr>
        <w:t>Id.</w:t>
      </w:r>
      <w:r w:rsidRPr="002452F0">
        <w:rPr>
          <w:rFonts w:eastAsia="Times New Roman"/>
          <w:sz w:val="28"/>
          <w:szCs w:val="28"/>
        </w:rPr>
        <w:t xml:space="preserve"> Thus, the court held </w:t>
      </w:r>
      <w:r w:rsidR="000F2D10">
        <w:rPr>
          <w:rFonts w:eastAsia="Times New Roman"/>
          <w:sz w:val="28"/>
          <w:szCs w:val="28"/>
        </w:rPr>
        <w:t xml:space="preserve">that </w:t>
      </w:r>
      <w:r w:rsidRPr="002452F0">
        <w:rPr>
          <w:rFonts w:eastAsia="Times New Roman"/>
          <w:sz w:val="28"/>
          <w:szCs w:val="28"/>
        </w:rPr>
        <w:t xml:space="preserve">alternative service through </w:t>
      </w:r>
      <w:r w:rsidRPr="002452F0">
        <w:rPr>
          <w:sz w:val="28"/>
          <w:szCs w:val="28"/>
        </w:rPr>
        <w:t xml:space="preserve">Ariz. R. Civ. P. </w:t>
      </w:r>
      <w:r w:rsidRPr="002452F0">
        <w:rPr>
          <w:rFonts w:eastAsia="Times New Roman"/>
          <w:sz w:val="28"/>
          <w:szCs w:val="28"/>
        </w:rPr>
        <w:t>4.1(k)(1), and not service by publication under ARCP 4.1(</w:t>
      </w:r>
      <w:r w:rsidRPr="00C64CD0">
        <w:rPr>
          <w:rFonts w:eastAsia="Times New Roman"/>
          <w:i/>
          <w:iCs/>
          <w:sz w:val="28"/>
          <w:szCs w:val="28"/>
        </w:rPr>
        <w:t>l</w:t>
      </w:r>
      <w:r w:rsidRPr="002452F0">
        <w:rPr>
          <w:rFonts w:eastAsia="Times New Roman"/>
          <w:sz w:val="28"/>
          <w:szCs w:val="28"/>
        </w:rPr>
        <w:t xml:space="preserve">), was “the best means practicable to alert [the defendant] of the suit and comply with due process.” </w:t>
      </w:r>
      <w:r w:rsidRPr="002452F0">
        <w:rPr>
          <w:rFonts w:eastAsia="Times New Roman"/>
          <w:i/>
          <w:sz w:val="28"/>
          <w:szCs w:val="28"/>
        </w:rPr>
        <w:t>Id.</w:t>
      </w:r>
      <w:r w:rsidRPr="002452F0">
        <w:rPr>
          <w:rFonts w:eastAsia="Times New Roman"/>
          <w:sz w:val="28"/>
          <w:szCs w:val="28"/>
        </w:rPr>
        <w:t xml:space="preserve"> at 170</w:t>
      </w:r>
      <w:r w:rsidR="000F2D10">
        <w:rPr>
          <w:rFonts w:eastAsia="Times New Roman"/>
          <w:sz w:val="28"/>
          <w:szCs w:val="28"/>
        </w:rPr>
        <w:t>, ¶ 16</w:t>
      </w:r>
      <w:r w:rsidRPr="002452F0">
        <w:rPr>
          <w:rFonts w:eastAsia="Times New Roman"/>
          <w:sz w:val="28"/>
          <w:szCs w:val="28"/>
        </w:rPr>
        <w:t xml:space="preserve">. Ultimately, the court summarized its holding as requiring, “when more practicable channels of communication are available, . . . a serving party should first use those channels to attempt to confirm the other party’s address, or move for alternative service, before service by publication can be considered the best means practicable under the rule.” </w:t>
      </w:r>
      <w:r w:rsidRPr="002452F0">
        <w:rPr>
          <w:rFonts w:eastAsia="Times New Roman"/>
          <w:i/>
          <w:sz w:val="28"/>
          <w:szCs w:val="28"/>
        </w:rPr>
        <w:t>Id.</w:t>
      </w:r>
      <w:r w:rsidR="000F2D10">
        <w:rPr>
          <w:rFonts w:eastAsia="Times New Roman"/>
          <w:iCs/>
          <w:sz w:val="28"/>
          <w:szCs w:val="28"/>
        </w:rPr>
        <w:t>, ¶ 18.</w:t>
      </w:r>
    </w:p>
    <w:p w14:paraId="2BD07CD8" w14:textId="77777777" w:rsidR="002452F0" w:rsidRPr="002452F0" w:rsidRDefault="002452F0" w:rsidP="002452F0">
      <w:pPr>
        <w:pStyle w:val="MemoSignatureSub"/>
        <w:spacing w:after="0" w:line="480" w:lineRule="auto"/>
        <w:ind w:left="0" w:firstLine="720"/>
        <w:jc w:val="both"/>
        <w:rPr>
          <w:rFonts w:eastAsia="Times New Roman"/>
          <w:i/>
          <w:sz w:val="28"/>
          <w:szCs w:val="28"/>
        </w:rPr>
      </w:pPr>
      <w:r w:rsidRPr="002452F0">
        <w:rPr>
          <w:rFonts w:eastAsia="Times New Roman"/>
          <w:sz w:val="28"/>
          <w:szCs w:val="28"/>
        </w:rPr>
        <w:t xml:space="preserve">The proposed amendments to </w:t>
      </w:r>
      <w:r w:rsidRPr="002452F0">
        <w:rPr>
          <w:sz w:val="28"/>
          <w:szCs w:val="28"/>
        </w:rPr>
        <w:t xml:space="preserve">Ariz. R. Civ. P. </w:t>
      </w:r>
      <w:r w:rsidRPr="002452F0">
        <w:rPr>
          <w:rFonts w:eastAsia="Times New Roman"/>
          <w:sz w:val="28"/>
          <w:szCs w:val="28"/>
        </w:rPr>
        <w:t>4.1(</w:t>
      </w:r>
      <w:r w:rsidRPr="00C64CD0">
        <w:rPr>
          <w:rFonts w:eastAsia="Times New Roman"/>
          <w:i/>
          <w:iCs/>
          <w:sz w:val="28"/>
          <w:szCs w:val="28"/>
        </w:rPr>
        <w:t>l</w:t>
      </w:r>
      <w:r w:rsidRPr="002452F0">
        <w:rPr>
          <w:rFonts w:eastAsia="Times New Roman"/>
          <w:sz w:val="28"/>
          <w:szCs w:val="28"/>
        </w:rPr>
        <w:t xml:space="preserve">) and 4.2(f), including the affidavit requirement to support the motion for court approval, squarely address the due process concerns raised in </w:t>
      </w:r>
      <w:r w:rsidRPr="002452F0">
        <w:rPr>
          <w:rFonts w:eastAsia="Times New Roman"/>
          <w:i/>
          <w:sz w:val="28"/>
          <w:szCs w:val="28"/>
        </w:rPr>
        <w:t xml:space="preserve">Ruffino v. </w:t>
      </w:r>
      <w:proofErr w:type="spellStart"/>
      <w:r w:rsidRPr="002452F0">
        <w:rPr>
          <w:rFonts w:eastAsia="Times New Roman"/>
          <w:i/>
          <w:sz w:val="28"/>
          <w:szCs w:val="28"/>
        </w:rPr>
        <w:t>Lokosky</w:t>
      </w:r>
      <w:proofErr w:type="spellEnd"/>
      <w:r w:rsidRPr="002452F0">
        <w:rPr>
          <w:rFonts w:eastAsia="Times New Roman"/>
          <w:sz w:val="28"/>
          <w:szCs w:val="28"/>
        </w:rPr>
        <w:t xml:space="preserve">. </w:t>
      </w:r>
      <w:r w:rsidRPr="002452F0">
        <w:rPr>
          <w:rFonts w:eastAsia="Times New Roman"/>
          <w:i/>
          <w:sz w:val="28"/>
          <w:szCs w:val="28"/>
        </w:rPr>
        <w:t xml:space="preserve"> </w:t>
      </w:r>
    </w:p>
    <w:p w14:paraId="78523744" w14:textId="5AAFE108" w:rsidR="002452F0" w:rsidRDefault="002452F0" w:rsidP="002452F0">
      <w:pPr>
        <w:pStyle w:val="MemoSignatureSub"/>
        <w:spacing w:after="0" w:line="480" w:lineRule="exact"/>
        <w:ind w:left="0" w:firstLine="0"/>
        <w:jc w:val="both"/>
        <w:rPr>
          <w:rFonts w:eastAsia="Times New Roman"/>
          <w:b/>
          <w:i/>
          <w:sz w:val="28"/>
          <w:szCs w:val="28"/>
        </w:rPr>
      </w:pPr>
      <w:r w:rsidRPr="002452F0">
        <w:rPr>
          <w:rFonts w:eastAsia="Times New Roman"/>
          <w:i/>
          <w:sz w:val="28"/>
          <w:szCs w:val="28"/>
        </w:rPr>
        <w:tab/>
      </w:r>
      <w:r w:rsidRPr="002452F0">
        <w:rPr>
          <w:rFonts w:eastAsia="Times New Roman"/>
          <w:b/>
          <w:sz w:val="28"/>
          <w:szCs w:val="28"/>
        </w:rPr>
        <w:t>B.</w:t>
      </w:r>
      <w:r w:rsidRPr="002452F0">
        <w:rPr>
          <w:rFonts w:eastAsia="Times New Roman"/>
          <w:b/>
          <w:sz w:val="28"/>
          <w:szCs w:val="28"/>
        </w:rPr>
        <w:tab/>
      </w:r>
      <w:r w:rsidRPr="002452F0">
        <w:rPr>
          <w:rFonts w:eastAsia="Times New Roman"/>
          <w:b/>
          <w:i/>
          <w:sz w:val="28"/>
          <w:szCs w:val="28"/>
        </w:rPr>
        <w:t>Efforts to Serve Should Be Set Forth in an Affidavit</w:t>
      </w:r>
    </w:p>
    <w:p w14:paraId="2858E4DF" w14:textId="77777777" w:rsidR="002452F0" w:rsidRPr="002452F0" w:rsidRDefault="002452F0" w:rsidP="002452F0">
      <w:pPr>
        <w:pStyle w:val="MemoSignatureSub"/>
        <w:spacing w:after="0" w:line="480" w:lineRule="exact"/>
        <w:ind w:left="0" w:firstLine="0"/>
        <w:jc w:val="both"/>
        <w:rPr>
          <w:rFonts w:eastAsia="Times New Roman"/>
          <w:sz w:val="28"/>
          <w:szCs w:val="28"/>
        </w:rPr>
      </w:pPr>
    </w:p>
    <w:p w14:paraId="051F32E1" w14:textId="471F0604" w:rsidR="002452F0" w:rsidRPr="002452F0" w:rsidRDefault="002452F0" w:rsidP="002452F0">
      <w:pPr>
        <w:pStyle w:val="MemoSignatureSub"/>
        <w:spacing w:after="0" w:line="480" w:lineRule="auto"/>
        <w:ind w:left="0" w:firstLine="720"/>
        <w:jc w:val="both"/>
        <w:rPr>
          <w:sz w:val="28"/>
          <w:szCs w:val="28"/>
        </w:rPr>
      </w:pPr>
      <w:r w:rsidRPr="002452F0">
        <w:rPr>
          <w:rFonts w:eastAsia="Times New Roman"/>
          <w:sz w:val="28"/>
          <w:szCs w:val="28"/>
        </w:rPr>
        <w:t>To</w:t>
      </w:r>
      <w:r w:rsidRPr="002452F0">
        <w:rPr>
          <w:sz w:val="28"/>
          <w:szCs w:val="28"/>
        </w:rPr>
        <w:t xml:space="preserve"> determine what information should be included in an affidavit outlining the serving party’s “reasonably diligent efforts,” the State Bar has looked to the </w:t>
      </w:r>
      <w:r w:rsidRPr="002452F0">
        <w:rPr>
          <w:sz w:val="28"/>
          <w:szCs w:val="28"/>
        </w:rPr>
        <w:lastRenderedPageBreak/>
        <w:t xml:space="preserve">Superior Court of Maricopa County, </w:t>
      </w:r>
      <w:r w:rsidRPr="000F2D10">
        <w:rPr>
          <w:sz w:val="28"/>
          <w:szCs w:val="28"/>
        </w:rPr>
        <w:t>Arizona’s Library Resource Center</w:t>
      </w:r>
      <w:r w:rsidR="000F2D10">
        <w:rPr>
          <w:rStyle w:val="FootnoteReference"/>
          <w:sz w:val="28"/>
          <w:szCs w:val="28"/>
        </w:rPr>
        <w:footnoteReference w:id="2"/>
      </w:r>
      <w:r w:rsidR="000F2D10">
        <w:rPr>
          <w:sz w:val="28"/>
          <w:szCs w:val="28"/>
        </w:rPr>
        <w:t>,</w:t>
      </w:r>
      <w:r w:rsidRPr="002452F0">
        <w:rPr>
          <w:sz w:val="28"/>
          <w:szCs w:val="28"/>
        </w:rPr>
        <w:t xml:space="preserve"> for </w:t>
      </w:r>
      <w:r w:rsidR="00315A2C">
        <w:rPr>
          <w:sz w:val="28"/>
          <w:szCs w:val="28"/>
        </w:rPr>
        <w:t xml:space="preserve">an example of </w:t>
      </w:r>
      <w:r w:rsidRPr="002452F0">
        <w:rPr>
          <w:sz w:val="28"/>
          <w:szCs w:val="28"/>
        </w:rPr>
        <w:t xml:space="preserve">guidance with respect to forms offered under the Ariz. R. Fam. Law P. 41(m). The State Bar believes that the following examples of “reasonably diligent efforts” would satisfy </w:t>
      </w:r>
      <w:r w:rsidRPr="002452F0">
        <w:rPr>
          <w:i/>
          <w:sz w:val="28"/>
          <w:szCs w:val="28"/>
        </w:rPr>
        <w:t xml:space="preserve">Ruffino v. </w:t>
      </w:r>
      <w:proofErr w:type="spellStart"/>
      <w:r w:rsidRPr="002452F0">
        <w:rPr>
          <w:i/>
          <w:sz w:val="28"/>
          <w:szCs w:val="28"/>
        </w:rPr>
        <w:t>Lokosky</w:t>
      </w:r>
      <w:proofErr w:type="spellEnd"/>
      <w:r w:rsidRPr="002452F0">
        <w:rPr>
          <w:sz w:val="28"/>
          <w:szCs w:val="28"/>
        </w:rPr>
        <w:t>:</w:t>
      </w:r>
    </w:p>
    <w:p w14:paraId="18EF88EE" w14:textId="77777777" w:rsidR="002452F0" w:rsidRPr="002452F0" w:rsidRDefault="002452F0" w:rsidP="002452F0">
      <w:pPr>
        <w:pStyle w:val="Heading4"/>
        <w:keepNext w:val="0"/>
        <w:keepLines w:val="0"/>
        <w:numPr>
          <w:ilvl w:val="3"/>
          <w:numId w:val="15"/>
        </w:numPr>
        <w:spacing w:before="0" w:line="480" w:lineRule="exact"/>
        <w:ind w:left="1440"/>
        <w:jc w:val="both"/>
        <w:rPr>
          <w:rFonts w:ascii="Times New Roman" w:hAnsi="Times New Roman" w:cs="Times New Roman"/>
          <w:i w:val="0"/>
          <w:iCs w:val="0"/>
          <w:color w:val="auto"/>
          <w:sz w:val="28"/>
          <w:szCs w:val="28"/>
        </w:rPr>
      </w:pPr>
      <w:r w:rsidRPr="002452F0">
        <w:rPr>
          <w:rFonts w:ascii="Times New Roman" w:hAnsi="Times New Roman" w:cs="Times New Roman"/>
          <w:b/>
          <w:i w:val="0"/>
          <w:iCs w:val="0"/>
          <w:color w:val="auto"/>
          <w:sz w:val="28"/>
          <w:szCs w:val="28"/>
        </w:rPr>
        <w:t>searching</w:t>
      </w:r>
      <w:r w:rsidRPr="002452F0">
        <w:rPr>
          <w:rFonts w:ascii="Times New Roman" w:hAnsi="Times New Roman" w:cs="Times New Roman"/>
          <w:i w:val="0"/>
          <w:iCs w:val="0"/>
          <w:color w:val="auto"/>
          <w:sz w:val="28"/>
          <w:szCs w:val="28"/>
        </w:rPr>
        <w:t xml:space="preserve"> internet databases or other networking sites for the person;</w:t>
      </w:r>
    </w:p>
    <w:p w14:paraId="3864C5DD" w14:textId="77777777" w:rsidR="002452F0" w:rsidRPr="002452F0" w:rsidRDefault="002452F0" w:rsidP="002452F0">
      <w:pPr>
        <w:pStyle w:val="Heading4"/>
        <w:keepNext w:val="0"/>
        <w:keepLines w:val="0"/>
        <w:numPr>
          <w:ilvl w:val="3"/>
          <w:numId w:val="15"/>
        </w:numPr>
        <w:spacing w:before="0" w:line="480" w:lineRule="exact"/>
        <w:ind w:left="1440"/>
        <w:jc w:val="both"/>
        <w:rPr>
          <w:rFonts w:ascii="Times New Roman" w:hAnsi="Times New Roman" w:cs="Times New Roman"/>
          <w:i w:val="0"/>
          <w:iCs w:val="0"/>
          <w:color w:val="auto"/>
          <w:sz w:val="28"/>
          <w:szCs w:val="28"/>
        </w:rPr>
      </w:pPr>
      <w:r w:rsidRPr="002452F0">
        <w:rPr>
          <w:rFonts w:ascii="Times New Roman" w:hAnsi="Times New Roman" w:cs="Times New Roman"/>
          <w:b/>
          <w:i w:val="0"/>
          <w:iCs w:val="0"/>
          <w:color w:val="auto"/>
          <w:sz w:val="28"/>
          <w:szCs w:val="28"/>
        </w:rPr>
        <w:t>requesting</w:t>
      </w:r>
      <w:r w:rsidRPr="002452F0">
        <w:rPr>
          <w:rFonts w:ascii="Times New Roman" w:hAnsi="Times New Roman" w:cs="Times New Roman"/>
          <w:i w:val="0"/>
          <w:iCs w:val="0"/>
          <w:color w:val="auto"/>
          <w:sz w:val="28"/>
          <w:szCs w:val="28"/>
        </w:rPr>
        <w:t xml:space="preserve"> an address by which the person may be served through the person’s known email and remitting the service documents through that known email;</w:t>
      </w:r>
    </w:p>
    <w:p w14:paraId="0D0779FE" w14:textId="283DE835" w:rsidR="002452F0" w:rsidRPr="002452F0" w:rsidRDefault="002452F0" w:rsidP="002452F0">
      <w:pPr>
        <w:pStyle w:val="Heading4"/>
        <w:keepNext w:val="0"/>
        <w:keepLines w:val="0"/>
        <w:numPr>
          <w:ilvl w:val="3"/>
          <w:numId w:val="15"/>
        </w:numPr>
        <w:spacing w:before="0" w:line="480" w:lineRule="exact"/>
        <w:ind w:left="1440"/>
        <w:jc w:val="both"/>
        <w:rPr>
          <w:rFonts w:ascii="Times New Roman" w:hAnsi="Times New Roman" w:cs="Times New Roman"/>
          <w:i w:val="0"/>
          <w:iCs w:val="0"/>
          <w:color w:val="auto"/>
          <w:sz w:val="28"/>
          <w:szCs w:val="28"/>
        </w:rPr>
      </w:pPr>
      <w:r w:rsidRPr="002452F0">
        <w:rPr>
          <w:rFonts w:ascii="Times New Roman" w:hAnsi="Times New Roman" w:cs="Times New Roman"/>
          <w:b/>
          <w:i w:val="0"/>
          <w:iCs w:val="0"/>
          <w:color w:val="auto"/>
          <w:sz w:val="28"/>
          <w:szCs w:val="28"/>
        </w:rPr>
        <w:t>requesting</w:t>
      </w:r>
      <w:r w:rsidRPr="002452F0">
        <w:rPr>
          <w:rFonts w:ascii="Times New Roman" w:hAnsi="Times New Roman" w:cs="Times New Roman"/>
          <w:i w:val="0"/>
          <w:iCs w:val="0"/>
          <w:color w:val="auto"/>
          <w:sz w:val="28"/>
          <w:szCs w:val="28"/>
        </w:rPr>
        <w:t xml:space="preserve"> an address by which the person may be served through </w:t>
      </w:r>
      <w:r w:rsidR="00315A2C">
        <w:rPr>
          <w:rFonts w:ascii="Times New Roman" w:hAnsi="Times New Roman" w:cs="Times New Roman"/>
          <w:i w:val="0"/>
          <w:iCs w:val="0"/>
          <w:color w:val="auto"/>
          <w:sz w:val="28"/>
          <w:szCs w:val="28"/>
        </w:rPr>
        <w:t xml:space="preserve">a directed question to </w:t>
      </w:r>
      <w:r w:rsidRPr="002452F0">
        <w:rPr>
          <w:rFonts w:ascii="Times New Roman" w:hAnsi="Times New Roman" w:cs="Times New Roman"/>
          <w:i w:val="0"/>
          <w:iCs w:val="0"/>
          <w:color w:val="auto"/>
          <w:sz w:val="28"/>
          <w:szCs w:val="28"/>
        </w:rPr>
        <w:t xml:space="preserve">the person’s known social media accounts;  </w:t>
      </w:r>
    </w:p>
    <w:p w14:paraId="72DFBC6B" w14:textId="77777777" w:rsidR="002452F0" w:rsidRPr="002452F0" w:rsidRDefault="002452F0" w:rsidP="002452F0">
      <w:pPr>
        <w:pStyle w:val="Heading4"/>
        <w:keepNext w:val="0"/>
        <w:keepLines w:val="0"/>
        <w:numPr>
          <w:ilvl w:val="3"/>
          <w:numId w:val="15"/>
        </w:numPr>
        <w:spacing w:before="0" w:line="480" w:lineRule="exact"/>
        <w:ind w:left="1440"/>
        <w:jc w:val="both"/>
        <w:rPr>
          <w:rFonts w:ascii="Times New Roman" w:hAnsi="Times New Roman" w:cs="Times New Roman"/>
          <w:i w:val="0"/>
          <w:iCs w:val="0"/>
          <w:color w:val="auto"/>
          <w:sz w:val="28"/>
          <w:szCs w:val="28"/>
        </w:rPr>
      </w:pPr>
      <w:r w:rsidRPr="002452F0">
        <w:rPr>
          <w:rFonts w:ascii="Times New Roman" w:hAnsi="Times New Roman" w:cs="Times New Roman"/>
          <w:b/>
          <w:i w:val="0"/>
          <w:iCs w:val="0"/>
          <w:color w:val="auto"/>
          <w:sz w:val="28"/>
          <w:szCs w:val="28"/>
        </w:rPr>
        <w:t>inquiring</w:t>
      </w:r>
      <w:r w:rsidRPr="002452F0">
        <w:rPr>
          <w:rFonts w:ascii="Times New Roman" w:hAnsi="Times New Roman" w:cs="Times New Roman"/>
          <w:i w:val="0"/>
          <w:iCs w:val="0"/>
          <w:color w:val="auto"/>
          <w:sz w:val="28"/>
          <w:szCs w:val="28"/>
        </w:rPr>
        <w:t xml:space="preserve"> with the person’s known acquaintances, friends, relatives, or employers as to the party’s whereabouts;</w:t>
      </w:r>
    </w:p>
    <w:p w14:paraId="0C4C4917" w14:textId="77777777" w:rsidR="002452F0" w:rsidRPr="002452F0" w:rsidRDefault="002452F0" w:rsidP="002452F0">
      <w:pPr>
        <w:pStyle w:val="Heading4"/>
        <w:keepNext w:val="0"/>
        <w:keepLines w:val="0"/>
        <w:numPr>
          <w:ilvl w:val="3"/>
          <w:numId w:val="15"/>
        </w:numPr>
        <w:spacing w:before="0" w:line="480" w:lineRule="exact"/>
        <w:ind w:left="1440"/>
        <w:jc w:val="both"/>
        <w:rPr>
          <w:rFonts w:ascii="Times New Roman" w:hAnsi="Times New Roman" w:cs="Times New Roman"/>
          <w:i w:val="0"/>
          <w:iCs w:val="0"/>
          <w:color w:val="auto"/>
          <w:sz w:val="28"/>
          <w:szCs w:val="28"/>
        </w:rPr>
      </w:pPr>
      <w:r w:rsidRPr="002452F0">
        <w:rPr>
          <w:rFonts w:ascii="Times New Roman" w:hAnsi="Times New Roman" w:cs="Times New Roman"/>
          <w:b/>
          <w:i w:val="0"/>
          <w:iCs w:val="0"/>
          <w:color w:val="auto"/>
          <w:sz w:val="28"/>
          <w:szCs w:val="28"/>
        </w:rPr>
        <w:t>investigating</w:t>
      </w:r>
      <w:r w:rsidRPr="002452F0">
        <w:rPr>
          <w:rFonts w:ascii="Times New Roman" w:hAnsi="Times New Roman" w:cs="Times New Roman"/>
          <w:i w:val="0"/>
          <w:iCs w:val="0"/>
          <w:color w:val="auto"/>
          <w:sz w:val="28"/>
          <w:szCs w:val="28"/>
        </w:rPr>
        <w:t xml:space="preserve"> the real and personal property index in the applicable county assessor’s office;</w:t>
      </w:r>
    </w:p>
    <w:p w14:paraId="659CA057" w14:textId="77777777" w:rsidR="002452F0" w:rsidRPr="002452F0" w:rsidRDefault="002452F0" w:rsidP="002452F0">
      <w:pPr>
        <w:pStyle w:val="Heading4"/>
        <w:keepNext w:val="0"/>
        <w:keepLines w:val="0"/>
        <w:numPr>
          <w:ilvl w:val="3"/>
          <w:numId w:val="15"/>
        </w:numPr>
        <w:spacing w:before="0" w:line="480" w:lineRule="exact"/>
        <w:ind w:left="1440"/>
        <w:jc w:val="both"/>
        <w:rPr>
          <w:rFonts w:ascii="Times New Roman" w:hAnsi="Times New Roman" w:cs="Times New Roman"/>
          <w:i w:val="0"/>
          <w:iCs w:val="0"/>
          <w:color w:val="auto"/>
          <w:sz w:val="28"/>
          <w:szCs w:val="28"/>
        </w:rPr>
      </w:pPr>
      <w:r w:rsidRPr="002452F0">
        <w:rPr>
          <w:rFonts w:ascii="Times New Roman" w:hAnsi="Times New Roman" w:cs="Times New Roman"/>
          <w:b/>
          <w:i w:val="0"/>
          <w:iCs w:val="0"/>
          <w:color w:val="auto"/>
          <w:sz w:val="28"/>
          <w:szCs w:val="28"/>
        </w:rPr>
        <w:t>checking</w:t>
      </w:r>
      <w:r w:rsidRPr="002452F0">
        <w:rPr>
          <w:rFonts w:ascii="Times New Roman" w:hAnsi="Times New Roman" w:cs="Times New Roman"/>
          <w:i w:val="0"/>
          <w:iCs w:val="0"/>
          <w:color w:val="auto"/>
          <w:sz w:val="28"/>
          <w:szCs w:val="28"/>
        </w:rPr>
        <w:t xml:space="preserve"> the websites of and telephoning the county jail, state prisons, and other detention facilities; or</w:t>
      </w:r>
    </w:p>
    <w:p w14:paraId="44C01128" w14:textId="625C56B0" w:rsidR="002452F0" w:rsidRDefault="002452F0" w:rsidP="002452F0">
      <w:pPr>
        <w:pStyle w:val="Heading4"/>
        <w:keepNext w:val="0"/>
        <w:keepLines w:val="0"/>
        <w:numPr>
          <w:ilvl w:val="3"/>
          <w:numId w:val="15"/>
        </w:numPr>
        <w:spacing w:before="0" w:line="480" w:lineRule="exact"/>
        <w:ind w:left="1440"/>
        <w:jc w:val="both"/>
        <w:rPr>
          <w:rFonts w:ascii="Times New Roman" w:hAnsi="Times New Roman" w:cs="Times New Roman"/>
          <w:i w:val="0"/>
          <w:iCs w:val="0"/>
          <w:color w:val="auto"/>
          <w:sz w:val="28"/>
          <w:szCs w:val="28"/>
        </w:rPr>
      </w:pPr>
      <w:r w:rsidRPr="002452F0">
        <w:rPr>
          <w:rFonts w:ascii="Times New Roman" w:hAnsi="Times New Roman" w:cs="Times New Roman"/>
          <w:b/>
          <w:i w:val="0"/>
          <w:iCs w:val="0"/>
          <w:color w:val="auto"/>
          <w:sz w:val="28"/>
          <w:szCs w:val="28"/>
        </w:rPr>
        <w:t>hiring</w:t>
      </w:r>
      <w:r w:rsidRPr="002452F0">
        <w:rPr>
          <w:rFonts w:ascii="Times New Roman" w:hAnsi="Times New Roman" w:cs="Times New Roman"/>
          <w:i w:val="0"/>
          <w:iCs w:val="0"/>
          <w:color w:val="auto"/>
          <w:sz w:val="28"/>
          <w:szCs w:val="28"/>
        </w:rPr>
        <w:t xml:space="preserve"> a private detective or company that charged a fee to conduct a thorough search.</w:t>
      </w:r>
    </w:p>
    <w:p w14:paraId="0B767695" w14:textId="77777777" w:rsidR="002452F0" w:rsidRPr="002452F0" w:rsidRDefault="002452F0" w:rsidP="002452F0"/>
    <w:p w14:paraId="175F066C" w14:textId="411B33CF" w:rsidR="002452F0" w:rsidRPr="002452F0" w:rsidRDefault="002452F0" w:rsidP="002452F0">
      <w:pPr>
        <w:pStyle w:val="MemoSignatureSub"/>
        <w:spacing w:after="0" w:line="480" w:lineRule="auto"/>
        <w:ind w:left="0" w:firstLine="720"/>
        <w:jc w:val="both"/>
        <w:rPr>
          <w:rFonts w:eastAsia="Times New Roman"/>
          <w:sz w:val="28"/>
          <w:szCs w:val="28"/>
        </w:rPr>
      </w:pPr>
      <w:r w:rsidRPr="002452F0">
        <w:rPr>
          <w:rFonts w:eastAsia="Times New Roman"/>
          <w:sz w:val="28"/>
          <w:szCs w:val="28"/>
        </w:rPr>
        <w:t xml:space="preserve">The list is not intended to be exhaustive, nor </w:t>
      </w:r>
      <w:r w:rsidR="00315A2C">
        <w:rPr>
          <w:rFonts w:eastAsia="Times New Roman"/>
          <w:sz w:val="28"/>
          <w:szCs w:val="28"/>
        </w:rPr>
        <w:t>should</w:t>
      </w:r>
      <w:r w:rsidR="00315A2C" w:rsidRPr="002452F0">
        <w:rPr>
          <w:rFonts w:eastAsia="Times New Roman"/>
          <w:sz w:val="28"/>
          <w:szCs w:val="28"/>
        </w:rPr>
        <w:t xml:space="preserve"> </w:t>
      </w:r>
      <w:r w:rsidRPr="002452F0">
        <w:rPr>
          <w:rFonts w:eastAsia="Times New Roman"/>
          <w:sz w:val="28"/>
          <w:szCs w:val="28"/>
        </w:rPr>
        <w:t xml:space="preserve">a serving party </w:t>
      </w:r>
      <w:r w:rsidR="00315A2C">
        <w:rPr>
          <w:rFonts w:eastAsia="Times New Roman"/>
          <w:sz w:val="28"/>
          <w:szCs w:val="28"/>
        </w:rPr>
        <w:t xml:space="preserve">be </w:t>
      </w:r>
      <w:r w:rsidRPr="002452F0">
        <w:rPr>
          <w:rFonts w:eastAsia="Times New Roman"/>
          <w:sz w:val="28"/>
          <w:szCs w:val="28"/>
        </w:rPr>
        <w:t xml:space="preserve">required to complete every task listed above. Indeed, each instance of serving a party is </w:t>
      </w:r>
      <w:r w:rsidRPr="002452F0">
        <w:rPr>
          <w:rFonts w:eastAsia="Times New Roman"/>
          <w:sz w:val="28"/>
          <w:szCs w:val="28"/>
        </w:rPr>
        <w:lastRenderedPageBreak/>
        <w:t xml:space="preserve">unique and presents varying situations. And, modes of searching for an individual, including what social media is and how it might be described in the future, may change. So, rather than include the foregoing examples in the amended rule, the State Bar believes a serving party may look to case law such as </w:t>
      </w:r>
      <w:r w:rsidRPr="002452F0">
        <w:rPr>
          <w:rFonts w:eastAsia="Times New Roman"/>
          <w:i/>
          <w:sz w:val="28"/>
          <w:szCs w:val="28"/>
        </w:rPr>
        <w:t xml:space="preserve">Ruffino v. </w:t>
      </w:r>
      <w:proofErr w:type="spellStart"/>
      <w:r w:rsidRPr="002452F0">
        <w:rPr>
          <w:rFonts w:eastAsia="Times New Roman"/>
          <w:i/>
          <w:sz w:val="28"/>
          <w:szCs w:val="28"/>
        </w:rPr>
        <w:t>Lokosky</w:t>
      </w:r>
      <w:proofErr w:type="spellEnd"/>
      <w:r w:rsidRPr="002452F0">
        <w:rPr>
          <w:rFonts w:eastAsia="Times New Roman"/>
          <w:sz w:val="28"/>
          <w:szCs w:val="28"/>
        </w:rPr>
        <w:t xml:space="preserve"> or forms available at library resource centers to guide the serving party in what “reasonably diligent efforts” include.</w:t>
      </w:r>
    </w:p>
    <w:p w14:paraId="33861D60" w14:textId="4B9F51F5" w:rsidR="002452F0" w:rsidRPr="002452F0" w:rsidRDefault="002452F0" w:rsidP="002452F0">
      <w:pPr>
        <w:pStyle w:val="MemoSignatureSub"/>
        <w:spacing w:after="0" w:line="480" w:lineRule="auto"/>
        <w:ind w:left="0" w:firstLine="720"/>
        <w:jc w:val="both"/>
        <w:rPr>
          <w:rFonts w:eastAsia="Times New Roman"/>
          <w:sz w:val="28"/>
          <w:szCs w:val="28"/>
        </w:rPr>
      </w:pPr>
      <w:r w:rsidRPr="002452F0">
        <w:rPr>
          <w:rFonts w:eastAsia="Times New Roman"/>
          <w:sz w:val="28"/>
          <w:szCs w:val="28"/>
        </w:rPr>
        <w:t>The required affidavit will also allow the court to more quickly ascertain and decide whether to approve service by publication. While some may argue that requiring permission to serve by publication will open the floodgates to meaningless paperwork, the State Bar believes that ensuring due process is of paramount importance. Service by publication has been described as service by “last resort.” The proposed amended rule will require parties to truly use service by publication as a “last resort,” thus, ameliorating concern</w:t>
      </w:r>
      <w:r w:rsidR="00315A2C">
        <w:rPr>
          <w:rFonts w:eastAsia="Times New Roman"/>
          <w:sz w:val="28"/>
          <w:szCs w:val="28"/>
        </w:rPr>
        <w:t>s</w:t>
      </w:r>
      <w:r w:rsidRPr="002452F0">
        <w:rPr>
          <w:rFonts w:eastAsia="Times New Roman"/>
          <w:sz w:val="28"/>
          <w:szCs w:val="28"/>
        </w:rPr>
        <w:t xml:space="preserve"> that the floodgates may open.</w:t>
      </w:r>
    </w:p>
    <w:p w14:paraId="3B21B1EF" w14:textId="32C7D5B3" w:rsidR="002452F0" w:rsidRPr="002452F0" w:rsidRDefault="002452F0" w:rsidP="002452F0">
      <w:pPr>
        <w:pStyle w:val="MemoSignatureSub"/>
        <w:spacing w:after="0" w:line="480" w:lineRule="auto"/>
        <w:ind w:left="0" w:firstLine="720"/>
        <w:jc w:val="both"/>
        <w:rPr>
          <w:rFonts w:eastAsia="Times New Roman"/>
          <w:sz w:val="28"/>
          <w:szCs w:val="28"/>
        </w:rPr>
      </w:pPr>
      <w:r w:rsidRPr="002452F0">
        <w:rPr>
          <w:rFonts w:eastAsia="Times New Roman"/>
          <w:sz w:val="28"/>
          <w:szCs w:val="28"/>
        </w:rPr>
        <w:t xml:space="preserve">Aligning </w:t>
      </w:r>
      <w:r w:rsidRPr="002452F0">
        <w:rPr>
          <w:sz w:val="28"/>
          <w:szCs w:val="28"/>
        </w:rPr>
        <w:t xml:space="preserve">Ariz. R. Civ. P. </w:t>
      </w:r>
      <w:r w:rsidRPr="002452F0">
        <w:rPr>
          <w:rFonts w:eastAsia="Times New Roman"/>
          <w:sz w:val="28"/>
          <w:szCs w:val="28"/>
        </w:rPr>
        <w:t>4.1(</w:t>
      </w:r>
      <w:r w:rsidRPr="00C64CD0">
        <w:rPr>
          <w:rFonts w:eastAsia="Times New Roman"/>
          <w:i/>
          <w:iCs/>
          <w:sz w:val="28"/>
          <w:szCs w:val="28"/>
        </w:rPr>
        <w:t>l</w:t>
      </w:r>
      <w:r w:rsidRPr="002452F0">
        <w:rPr>
          <w:rFonts w:eastAsia="Times New Roman"/>
          <w:sz w:val="28"/>
          <w:szCs w:val="28"/>
        </w:rPr>
        <w:t xml:space="preserve">) and 4.2(f) with </w:t>
      </w:r>
      <w:r w:rsidRPr="002452F0">
        <w:rPr>
          <w:sz w:val="28"/>
          <w:szCs w:val="28"/>
        </w:rPr>
        <w:t xml:space="preserve">Ariz. R. Fam. Law P. </w:t>
      </w:r>
      <w:r w:rsidRPr="002452F0">
        <w:rPr>
          <w:rFonts w:eastAsia="Times New Roman"/>
          <w:sz w:val="28"/>
          <w:szCs w:val="28"/>
        </w:rPr>
        <w:t xml:space="preserve">41(m) will allow for consistency in what serving parties must do, </w:t>
      </w:r>
      <w:r w:rsidR="00315A2C">
        <w:rPr>
          <w:rFonts w:eastAsia="Times New Roman"/>
          <w:sz w:val="28"/>
          <w:szCs w:val="28"/>
        </w:rPr>
        <w:t xml:space="preserve">primarily </w:t>
      </w:r>
      <w:r w:rsidRPr="002452F0">
        <w:rPr>
          <w:rFonts w:eastAsia="Times New Roman"/>
          <w:sz w:val="28"/>
          <w:szCs w:val="28"/>
        </w:rPr>
        <w:t>seek</w:t>
      </w:r>
      <w:r w:rsidR="00315A2C">
        <w:rPr>
          <w:rFonts w:eastAsia="Times New Roman"/>
          <w:sz w:val="28"/>
          <w:szCs w:val="28"/>
        </w:rPr>
        <w:t>ing</w:t>
      </w:r>
      <w:r w:rsidRPr="002452F0">
        <w:rPr>
          <w:rFonts w:eastAsia="Times New Roman"/>
          <w:sz w:val="28"/>
          <w:szCs w:val="28"/>
        </w:rPr>
        <w:t xml:space="preserve"> court permission, before </w:t>
      </w:r>
      <w:r w:rsidR="000C1E53">
        <w:rPr>
          <w:rFonts w:eastAsia="Times New Roman"/>
          <w:sz w:val="28"/>
          <w:szCs w:val="28"/>
        </w:rPr>
        <w:t>resorting</w:t>
      </w:r>
      <w:r w:rsidRPr="002452F0">
        <w:rPr>
          <w:rFonts w:eastAsia="Times New Roman"/>
          <w:sz w:val="28"/>
          <w:szCs w:val="28"/>
        </w:rPr>
        <w:t xml:space="preserve"> to servi</w:t>
      </w:r>
      <w:r w:rsidR="000C1E53">
        <w:rPr>
          <w:rFonts w:eastAsia="Times New Roman"/>
          <w:sz w:val="28"/>
          <w:szCs w:val="28"/>
        </w:rPr>
        <w:t>ce</w:t>
      </w:r>
      <w:r w:rsidRPr="002452F0">
        <w:rPr>
          <w:rFonts w:eastAsia="Times New Roman"/>
          <w:sz w:val="28"/>
          <w:szCs w:val="28"/>
        </w:rPr>
        <w:t xml:space="preserve"> by publication. The additional step of supporting the motion with an affidavit </w:t>
      </w:r>
      <w:r w:rsidR="000C1E53">
        <w:rPr>
          <w:rFonts w:eastAsia="Times New Roman"/>
          <w:sz w:val="28"/>
          <w:szCs w:val="28"/>
        </w:rPr>
        <w:t>that outlines the efforts taken</w:t>
      </w:r>
      <w:r w:rsidR="000C1E53" w:rsidRPr="002452F0">
        <w:rPr>
          <w:rFonts w:eastAsia="Times New Roman"/>
          <w:sz w:val="28"/>
          <w:szCs w:val="28"/>
        </w:rPr>
        <w:t xml:space="preserve"> </w:t>
      </w:r>
      <w:r w:rsidRPr="002452F0">
        <w:rPr>
          <w:rFonts w:eastAsia="Times New Roman"/>
          <w:sz w:val="28"/>
          <w:szCs w:val="28"/>
        </w:rPr>
        <w:t xml:space="preserve">will ensure all </w:t>
      </w:r>
      <w:r w:rsidR="000C1E53" w:rsidRPr="002452F0">
        <w:rPr>
          <w:rFonts w:eastAsia="Times New Roman"/>
          <w:sz w:val="28"/>
          <w:szCs w:val="28"/>
        </w:rPr>
        <w:t xml:space="preserve">“reasonably diligent efforts” </w:t>
      </w:r>
      <w:r w:rsidRPr="002452F0">
        <w:rPr>
          <w:rFonts w:eastAsia="Times New Roman"/>
          <w:sz w:val="28"/>
          <w:szCs w:val="28"/>
        </w:rPr>
        <w:t>are exhausted to provide a party with due process prior to serving by publication.</w:t>
      </w:r>
    </w:p>
    <w:p w14:paraId="16B3F14C" w14:textId="506449F5" w:rsidR="002452F0" w:rsidRDefault="002452F0" w:rsidP="002452F0">
      <w:pPr>
        <w:pStyle w:val="MemoSignatureSub"/>
        <w:numPr>
          <w:ilvl w:val="0"/>
          <w:numId w:val="17"/>
        </w:numPr>
        <w:spacing w:after="0" w:line="480" w:lineRule="exact"/>
        <w:rPr>
          <w:rFonts w:eastAsia="Times New Roman"/>
          <w:b/>
          <w:sz w:val="28"/>
          <w:szCs w:val="28"/>
        </w:rPr>
      </w:pPr>
      <w:r w:rsidRPr="002452F0">
        <w:rPr>
          <w:rFonts w:eastAsia="Times New Roman"/>
          <w:b/>
          <w:sz w:val="28"/>
          <w:szCs w:val="28"/>
        </w:rPr>
        <w:lastRenderedPageBreak/>
        <w:t>CONCLUSION</w:t>
      </w:r>
    </w:p>
    <w:p w14:paraId="26563AAA" w14:textId="77777777" w:rsidR="002452F0" w:rsidRPr="002452F0" w:rsidRDefault="002452F0" w:rsidP="002452F0">
      <w:pPr>
        <w:pStyle w:val="MemoSignatureSub"/>
        <w:spacing w:after="0" w:line="480" w:lineRule="exact"/>
        <w:ind w:left="0" w:firstLine="0"/>
        <w:rPr>
          <w:rFonts w:eastAsia="Times New Roman"/>
          <w:b/>
          <w:sz w:val="28"/>
          <w:szCs w:val="28"/>
        </w:rPr>
      </w:pPr>
    </w:p>
    <w:p w14:paraId="1D6B6A97" w14:textId="1A7206BE" w:rsidR="000F7A7F" w:rsidRPr="002452F0" w:rsidRDefault="002452F0" w:rsidP="00480BD0">
      <w:pPr>
        <w:pStyle w:val="MemoSignatureSub"/>
        <w:tabs>
          <w:tab w:val="left" w:pos="0"/>
        </w:tabs>
        <w:spacing w:after="0" w:line="480" w:lineRule="auto"/>
        <w:ind w:left="0" w:firstLine="0"/>
        <w:jc w:val="both"/>
        <w:rPr>
          <w:rFonts w:eastAsia="Times New Roman"/>
          <w:sz w:val="28"/>
          <w:szCs w:val="28"/>
        </w:rPr>
      </w:pPr>
      <w:r w:rsidRPr="002452F0">
        <w:rPr>
          <w:rFonts w:eastAsia="Times New Roman"/>
          <w:sz w:val="28"/>
          <w:szCs w:val="28"/>
        </w:rPr>
        <w:tab/>
        <w:t xml:space="preserve">For the foregoing reasons, the State Bar respectfully petitions this Court to amend </w:t>
      </w:r>
      <w:r w:rsidRPr="002452F0">
        <w:rPr>
          <w:sz w:val="28"/>
          <w:szCs w:val="28"/>
        </w:rPr>
        <w:t xml:space="preserve">Ariz. R. Civ. P. </w:t>
      </w:r>
      <w:r w:rsidRPr="002452F0">
        <w:rPr>
          <w:rFonts w:eastAsia="Times New Roman"/>
          <w:sz w:val="28"/>
          <w:szCs w:val="28"/>
        </w:rPr>
        <w:t>4.1(</w:t>
      </w:r>
      <w:r w:rsidRPr="00C64CD0">
        <w:rPr>
          <w:rFonts w:eastAsia="Times New Roman"/>
          <w:i/>
          <w:iCs/>
          <w:sz w:val="28"/>
          <w:szCs w:val="28"/>
        </w:rPr>
        <w:t>l</w:t>
      </w:r>
      <w:r w:rsidRPr="002452F0">
        <w:rPr>
          <w:rFonts w:eastAsia="Times New Roman"/>
          <w:sz w:val="28"/>
          <w:szCs w:val="28"/>
        </w:rPr>
        <w:t>) and 4.2(f) as set forth in the attached Appendices.</w:t>
      </w:r>
    </w:p>
    <w:p w14:paraId="3CE4EDDC" w14:textId="5A087B77" w:rsidR="000C48A9" w:rsidRPr="002452F0" w:rsidRDefault="006F63FD" w:rsidP="000C48A9">
      <w:pPr>
        <w:pStyle w:val="Body"/>
        <w:widowControl w:val="0"/>
        <w:tabs>
          <w:tab w:val="left" w:pos="720"/>
        </w:tabs>
        <w:ind w:firstLine="0"/>
        <w:rPr>
          <w:sz w:val="28"/>
          <w:szCs w:val="28"/>
        </w:rPr>
      </w:pPr>
      <w:r w:rsidRPr="002452F0">
        <w:rPr>
          <w:sz w:val="28"/>
          <w:szCs w:val="28"/>
        </w:rPr>
        <w:t xml:space="preserve">       </w:t>
      </w:r>
      <w:r w:rsidR="000C48A9" w:rsidRPr="002452F0">
        <w:rPr>
          <w:sz w:val="28"/>
          <w:szCs w:val="28"/>
        </w:rPr>
        <w:t xml:space="preserve">RESPECTFULLY SUBMITTED this </w:t>
      </w:r>
      <w:r w:rsidR="00C56683">
        <w:rPr>
          <w:sz w:val="28"/>
          <w:szCs w:val="28"/>
        </w:rPr>
        <w:t>8</w:t>
      </w:r>
      <w:r w:rsidR="00C56683" w:rsidRPr="00C56683">
        <w:rPr>
          <w:sz w:val="28"/>
          <w:szCs w:val="28"/>
          <w:vertAlign w:val="superscript"/>
        </w:rPr>
        <w:t>th</w:t>
      </w:r>
      <w:r w:rsidR="00C56683">
        <w:rPr>
          <w:sz w:val="28"/>
          <w:szCs w:val="28"/>
        </w:rPr>
        <w:t xml:space="preserve"> </w:t>
      </w:r>
      <w:r w:rsidR="000C48A9" w:rsidRPr="002452F0">
        <w:rPr>
          <w:sz w:val="28"/>
          <w:szCs w:val="28"/>
        </w:rPr>
        <w:t>day of</w:t>
      </w:r>
      <w:r w:rsidR="00C64CD0">
        <w:rPr>
          <w:sz w:val="28"/>
          <w:szCs w:val="28"/>
        </w:rPr>
        <w:t xml:space="preserve"> </w:t>
      </w:r>
      <w:r w:rsidR="00C56683">
        <w:rPr>
          <w:sz w:val="28"/>
          <w:szCs w:val="28"/>
        </w:rPr>
        <w:t>January</w:t>
      </w:r>
      <w:r w:rsidR="00D60D9B" w:rsidRPr="002452F0">
        <w:rPr>
          <w:sz w:val="28"/>
          <w:szCs w:val="28"/>
        </w:rPr>
        <w:t xml:space="preserve"> 20</w:t>
      </w:r>
      <w:r w:rsidR="005845AE" w:rsidRPr="002452F0">
        <w:rPr>
          <w:sz w:val="28"/>
          <w:szCs w:val="28"/>
        </w:rPr>
        <w:t>2</w:t>
      </w:r>
      <w:r w:rsidR="00BB0263" w:rsidRPr="002452F0">
        <w:rPr>
          <w:sz w:val="28"/>
          <w:szCs w:val="28"/>
        </w:rPr>
        <w:t>1</w:t>
      </w:r>
      <w:r w:rsidR="000C48A9" w:rsidRPr="002452F0">
        <w:rPr>
          <w:sz w:val="28"/>
          <w:szCs w:val="28"/>
        </w:rPr>
        <w:t>.</w:t>
      </w:r>
    </w:p>
    <w:p w14:paraId="3585E3F2" w14:textId="77777777" w:rsidR="000C48A9" w:rsidRPr="002452F0" w:rsidRDefault="000C48A9" w:rsidP="000C48A9">
      <w:pPr>
        <w:pStyle w:val="Body"/>
        <w:widowControl w:val="0"/>
        <w:tabs>
          <w:tab w:val="left" w:pos="720"/>
        </w:tabs>
        <w:ind w:firstLine="0"/>
        <w:rPr>
          <w:sz w:val="28"/>
          <w:szCs w:val="28"/>
        </w:rPr>
      </w:pPr>
    </w:p>
    <w:p w14:paraId="6C867847" w14:textId="06464859" w:rsidR="000C48A9" w:rsidRPr="002452F0" w:rsidRDefault="00C56683" w:rsidP="000C48A9">
      <w:pPr>
        <w:pStyle w:val="Body"/>
        <w:widowControl w:val="0"/>
        <w:tabs>
          <w:tab w:val="left" w:pos="720"/>
        </w:tabs>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/s/ </w:t>
      </w:r>
      <w:r w:rsidRPr="00C56683">
        <w:rPr>
          <w:rFonts w:ascii="Lucida Handwriting" w:hAnsi="Lucida Handwriting"/>
          <w:sz w:val="28"/>
          <w:szCs w:val="28"/>
        </w:rPr>
        <w:t>Lisa M. Panahi</w:t>
      </w:r>
    </w:p>
    <w:p w14:paraId="7DC132ED" w14:textId="77777777" w:rsidR="000C48A9" w:rsidRPr="002452F0" w:rsidRDefault="00F850BE" w:rsidP="000C48A9">
      <w:pPr>
        <w:pStyle w:val="PleadingSignature"/>
        <w:keepNext w:val="0"/>
        <w:keepLines w:val="0"/>
        <w:pBdr>
          <w:top w:val="single" w:sz="4" w:space="1" w:color="auto"/>
        </w:pBdr>
        <w:spacing w:line="240" w:lineRule="auto"/>
        <w:ind w:left="5070"/>
        <w:rPr>
          <w:sz w:val="28"/>
          <w:szCs w:val="28"/>
        </w:rPr>
      </w:pPr>
      <w:r w:rsidRPr="002452F0">
        <w:rPr>
          <w:sz w:val="28"/>
          <w:szCs w:val="28"/>
        </w:rPr>
        <w:t>Lisa M. Panahi</w:t>
      </w:r>
    </w:p>
    <w:p w14:paraId="77CBA71B" w14:textId="77777777" w:rsidR="000C48A9" w:rsidRPr="002452F0" w:rsidRDefault="000C48A9" w:rsidP="000C48A9">
      <w:pPr>
        <w:pStyle w:val="PleadingSignature"/>
        <w:keepNext w:val="0"/>
        <w:keepLines w:val="0"/>
        <w:spacing w:line="240" w:lineRule="auto"/>
        <w:ind w:left="5070"/>
        <w:rPr>
          <w:sz w:val="28"/>
          <w:szCs w:val="28"/>
        </w:rPr>
      </w:pPr>
      <w:r w:rsidRPr="002452F0">
        <w:rPr>
          <w:sz w:val="28"/>
          <w:szCs w:val="28"/>
        </w:rPr>
        <w:t>General Counsel</w:t>
      </w:r>
    </w:p>
    <w:p w14:paraId="5AD69E22" w14:textId="77777777" w:rsidR="000C48A9" w:rsidRPr="002452F0" w:rsidRDefault="000C48A9" w:rsidP="000C48A9">
      <w:pPr>
        <w:pStyle w:val="PleadingSignature"/>
        <w:keepNext w:val="0"/>
        <w:keepLines w:val="0"/>
        <w:spacing w:line="240" w:lineRule="auto"/>
        <w:ind w:left="5070"/>
        <w:rPr>
          <w:sz w:val="28"/>
          <w:szCs w:val="28"/>
        </w:rPr>
      </w:pPr>
    </w:p>
    <w:p w14:paraId="767D6AC5" w14:textId="77777777" w:rsidR="000C48A9" w:rsidRPr="002452F0" w:rsidRDefault="000C48A9" w:rsidP="000C48A9">
      <w:pPr>
        <w:pStyle w:val="PleadingSignature"/>
        <w:keepNext w:val="0"/>
        <w:keepLines w:val="0"/>
        <w:spacing w:line="240" w:lineRule="auto"/>
        <w:ind w:left="5070"/>
        <w:rPr>
          <w:sz w:val="28"/>
          <w:szCs w:val="28"/>
        </w:rPr>
      </w:pPr>
    </w:p>
    <w:p w14:paraId="44760166" w14:textId="77777777" w:rsidR="00C52E56" w:rsidRPr="002452F0" w:rsidRDefault="00C52E56" w:rsidP="004331B2">
      <w:pPr>
        <w:widowControl w:val="0"/>
        <w:spacing w:line="240" w:lineRule="auto"/>
        <w:ind w:right="4140"/>
        <w:rPr>
          <w:sz w:val="28"/>
          <w:szCs w:val="28"/>
        </w:rPr>
      </w:pPr>
    </w:p>
    <w:p w14:paraId="7E208D61" w14:textId="77777777" w:rsidR="00C52E56" w:rsidRPr="002452F0" w:rsidRDefault="00C52E56" w:rsidP="004331B2">
      <w:pPr>
        <w:widowControl w:val="0"/>
        <w:spacing w:line="240" w:lineRule="auto"/>
        <w:ind w:right="4140"/>
        <w:rPr>
          <w:sz w:val="28"/>
          <w:szCs w:val="28"/>
        </w:rPr>
      </w:pPr>
    </w:p>
    <w:p w14:paraId="41DCAE96" w14:textId="77777777" w:rsidR="000C48A9" w:rsidRPr="002452F0" w:rsidRDefault="000C48A9" w:rsidP="004331B2">
      <w:pPr>
        <w:widowControl w:val="0"/>
        <w:spacing w:line="240" w:lineRule="auto"/>
        <w:ind w:right="4140"/>
        <w:rPr>
          <w:sz w:val="28"/>
          <w:szCs w:val="28"/>
        </w:rPr>
      </w:pPr>
      <w:r w:rsidRPr="002452F0">
        <w:rPr>
          <w:sz w:val="28"/>
          <w:szCs w:val="28"/>
        </w:rPr>
        <w:t>Electronic copy filed with the</w:t>
      </w:r>
    </w:p>
    <w:p w14:paraId="4A227D25" w14:textId="77777777" w:rsidR="000C48A9" w:rsidRPr="002452F0" w:rsidRDefault="000C48A9" w:rsidP="004331B2">
      <w:pPr>
        <w:spacing w:line="240" w:lineRule="auto"/>
        <w:ind w:right="4140"/>
        <w:rPr>
          <w:sz w:val="28"/>
          <w:szCs w:val="28"/>
        </w:rPr>
      </w:pPr>
      <w:r w:rsidRPr="002452F0">
        <w:rPr>
          <w:sz w:val="28"/>
          <w:szCs w:val="28"/>
        </w:rPr>
        <w:t xml:space="preserve">Clerk of the </w:t>
      </w:r>
      <w:r w:rsidR="00692391" w:rsidRPr="002452F0">
        <w:rPr>
          <w:sz w:val="28"/>
          <w:szCs w:val="28"/>
        </w:rPr>
        <w:t>Supreme Court of Arizona</w:t>
      </w:r>
    </w:p>
    <w:p w14:paraId="2827C750" w14:textId="37BDAB87" w:rsidR="000C48A9" w:rsidRPr="002452F0" w:rsidRDefault="000C48A9" w:rsidP="00C52E56">
      <w:pPr>
        <w:tabs>
          <w:tab w:val="left" w:pos="4836"/>
        </w:tabs>
        <w:spacing w:line="240" w:lineRule="auto"/>
        <w:ind w:right="3870"/>
        <w:rPr>
          <w:sz w:val="28"/>
          <w:szCs w:val="28"/>
        </w:rPr>
      </w:pPr>
      <w:r w:rsidRPr="002452F0">
        <w:rPr>
          <w:sz w:val="28"/>
          <w:szCs w:val="28"/>
        </w:rPr>
        <w:t>t</w:t>
      </w:r>
      <w:r w:rsidR="000F7A7F" w:rsidRPr="002452F0">
        <w:rPr>
          <w:sz w:val="28"/>
          <w:szCs w:val="28"/>
        </w:rPr>
        <w:t xml:space="preserve">his </w:t>
      </w:r>
      <w:r w:rsidR="00C56683">
        <w:rPr>
          <w:sz w:val="28"/>
          <w:szCs w:val="28"/>
        </w:rPr>
        <w:t>8</w:t>
      </w:r>
      <w:proofErr w:type="gramStart"/>
      <w:r w:rsidR="00C56683" w:rsidRPr="00C56683">
        <w:rPr>
          <w:sz w:val="28"/>
          <w:szCs w:val="28"/>
          <w:vertAlign w:val="superscript"/>
        </w:rPr>
        <w:t>th</w:t>
      </w:r>
      <w:r w:rsidR="00C56683">
        <w:rPr>
          <w:sz w:val="28"/>
          <w:szCs w:val="28"/>
        </w:rPr>
        <w:t xml:space="preserve"> </w:t>
      </w:r>
      <w:r w:rsidR="000F7A7F" w:rsidRPr="002452F0">
        <w:rPr>
          <w:sz w:val="28"/>
          <w:szCs w:val="28"/>
        </w:rPr>
        <w:t xml:space="preserve"> day</w:t>
      </w:r>
      <w:proofErr w:type="gramEnd"/>
      <w:r w:rsidR="000F7A7F" w:rsidRPr="002452F0">
        <w:rPr>
          <w:sz w:val="28"/>
          <w:szCs w:val="28"/>
        </w:rPr>
        <w:t xml:space="preserve"> of </w:t>
      </w:r>
      <w:r w:rsidR="00C64CD0">
        <w:rPr>
          <w:sz w:val="28"/>
          <w:szCs w:val="28"/>
        </w:rPr>
        <w:t xml:space="preserve"> January</w:t>
      </w:r>
      <w:r w:rsidR="006F63FD" w:rsidRPr="002452F0">
        <w:rPr>
          <w:sz w:val="28"/>
          <w:szCs w:val="28"/>
        </w:rPr>
        <w:t xml:space="preserve">, </w:t>
      </w:r>
      <w:r w:rsidR="00D60D9B" w:rsidRPr="002452F0">
        <w:rPr>
          <w:sz w:val="28"/>
          <w:szCs w:val="28"/>
        </w:rPr>
        <w:t>20</w:t>
      </w:r>
      <w:r w:rsidR="005845AE" w:rsidRPr="002452F0">
        <w:rPr>
          <w:sz w:val="28"/>
          <w:szCs w:val="28"/>
        </w:rPr>
        <w:t>2</w:t>
      </w:r>
      <w:r w:rsidR="00BB0263" w:rsidRPr="002452F0">
        <w:rPr>
          <w:sz w:val="28"/>
          <w:szCs w:val="28"/>
        </w:rPr>
        <w:t>1</w:t>
      </w:r>
      <w:r w:rsidR="000F7A7F" w:rsidRPr="002452F0">
        <w:rPr>
          <w:sz w:val="28"/>
          <w:szCs w:val="28"/>
        </w:rPr>
        <w:t>.</w:t>
      </w:r>
    </w:p>
    <w:p w14:paraId="19161DDC" w14:textId="77777777" w:rsidR="000F7A7F" w:rsidRPr="002452F0" w:rsidRDefault="000F7A7F" w:rsidP="000C48A9">
      <w:pPr>
        <w:spacing w:line="240" w:lineRule="auto"/>
        <w:ind w:right="4572"/>
        <w:rPr>
          <w:sz w:val="28"/>
          <w:szCs w:val="28"/>
        </w:rPr>
      </w:pPr>
    </w:p>
    <w:p w14:paraId="45E6AB20" w14:textId="2AD94492" w:rsidR="00052372" w:rsidRPr="002452F0" w:rsidRDefault="000C48A9" w:rsidP="002452F0">
      <w:pPr>
        <w:spacing w:line="240" w:lineRule="auto"/>
        <w:ind w:right="4572"/>
        <w:rPr>
          <w:sz w:val="28"/>
          <w:szCs w:val="28"/>
        </w:rPr>
      </w:pPr>
      <w:r w:rsidRPr="002452F0">
        <w:rPr>
          <w:sz w:val="28"/>
          <w:szCs w:val="28"/>
        </w:rPr>
        <w:t xml:space="preserve">by: </w:t>
      </w:r>
      <w:r w:rsidR="00C56683" w:rsidRPr="00C56683">
        <w:rPr>
          <w:sz w:val="28"/>
          <w:szCs w:val="28"/>
          <w:u w:val="single"/>
        </w:rPr>
        <w:t xml:space="preserve">/s/ </w:t>
      </w:r>
      <w:r w:rsidR="00C56683" w:rsidRPr="00C56683">
        <w:rPr>
          <w:rFonts w:ascii="Lucida Handwriting" w:hAnsi="Lucida Handwriting"/>
          <w:sz w:val="28"/>
          <w:szCs w:val="28"/>
          <w:u w:val="single"/>
        </w:rPr>
        <w:t>Patricia Seguin</w:t>
      </w:r>
      <w:r w:rsidR="00C56683">
        <w:rPr>
          <w:sz w:val="28"/>
          <w:szCs w:val="28"/>
          <w:u w:val="single"/>
        </w:rPr>
        <w:tab/>
      </w:r>
      <w:r w:rsidRPr="002452F0">
        <w:rPr>
          <w:sz w:val="28"/>
          <w:szCs w:val="28"/>
        </w:rPr>
        <w:t xml:space="preserve"> </w:t>
      </w:r>
    </w:p>
    <w:sectPr w:rsidR="00052372" w:rsidRPr="002452F0"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FC108" w14:textId="77777777" w:rsidR="009F035B" w:rsidRDefault="009F035B">
      <w:r>
        <w:separator/>
      </w:r>
    </w:p>
  </w:endnote>
  <w:endnote w:type="continuationSeparator" w:id="0">
    <w:p w14:paraId="0090EA2E" w14:textId="77777777" w:rsidR="009F035B" w:rsidRDefault="009F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E5DB2" w14:textId="77777777" w:rsidR="009F035B" w:rsidRDefault="009F035B">
      <w:r>
        <w:separator/>
      </w:r>
    </w:p>
  </w:footnote>
  <w:footnote w:type="continuationSeparator" w:id="0">
    <w:p w14:paraId="69DF7C5D" w14:textId="77777777" w:rsidR="009F035B" w:rsidRDefault="009F035B">
      <w:r>
        <w:continuationSeparator/>
      </w:r>
    </w:p>
  </w:footnote>
  <w:footnote w:id="1">
    <w:p w14:paraId="036F5AA6" w14:textId="77777777" w:rsidR="002452F0" w:rsidRPr="00A3100E" w:rsidRDefault="002452F0" w:rsidP="002452F0">
      <w:pPr>
        <w:pStyle w:val="FootnoteText"/>
        <w:jc w:val="both"/>
        <w:rPr>
          <w:sz w:val="28"/>
          <w:szCs w:val="28"/>
        </w:rPr>
      </w:pPr>
      <w:r w:rsidRPr="00A3100E">
        <w:rPr>
          <w:rStyle w:val="FootnoteReference"/>
          <w:rFonts w:eastAsiaTheme="majorEastAsia"/>
          <w:sz w:val="28"/>
          <w:szCs w:val="28"/>
        </w:rPr>
        <w:footnoteRef/>
      </w:r>
      <w:r w:rsidRPr="00A3100E">
        <w:rPr>
          <w:sz w:val="28"/>
          <w:szCs w:val="28"/>
        </w:rPr>
        <w:t xml:space="preserve"> </w:t>
      </w:r>
      <w:r w:rsidRPr="00A3100E">
        <w:rPr>
          <w:sz w:val="28"/>
          <w:szCs w:val="28"/>
        </w:rPr>
        <w:tab/>
        <w:t xml:space="preserve">The court also held that direct service was not the best means practicable under the circumstances.  </w:t>
      </w:r>
      <w:r w:rsidRPr="00A3100E">
        <w:rPr>
          <w:i/>
          <w:iCs/>
          <w:sz w:val="28"/>
          <w:szCs w:val="28"/>
        </w:rPr>
        <w:t xml:space="preserve">Id. </w:t>
      </w:r>
      <w:r w:rsidRPr="00A3100E">
        <w:rPr>
          <w:sz w:val="28"/>
          <w:szCs w:val="28"/>
        </w:rPr>
        <w:t xml:space="preserve">at 170, ¶¶ 16–17.  The court instructed that “when more practicable channels of communication are available, . . . a serving party should first use those channels to attempt to confirm the other party’s address, or move for alternative service, before service by publication can be considered the best means practicable under the rule.”  </w:t>
      </w:r>
    </w:p>
  </w:footnote>
  <w:footnote w:id="2">
    <w:p w14:paraId="4EB0A10E" w14:textId="68EFF985" w:rsidR="000F2D10" w:rsidRPr="000F2D10" w:rsidRDefault="000F2D10">
      <w:pPr>
        <w:pStyle w:val="FootnoteText"/>
        <w:rPr>
          <w:sz w:val="28"/>
          <w:szCs w:val="28"/>
        </w:rPr>
      </w:pPr>
      <w:r w:rsidRPr="000F2D10">
        <w:rPr>
          <w:rStyle w:val="FootnoteReference"/>
          <w:sz w:val="28"/>
          <w:szCs w:val="28"/>
        </w:rPr>
        <w:footnoteRef/>
      </w:r>
      <w:r w:rsidRPr="000F2D10">
        <w:rPr>
          <w:sz w:val="28"/>
          <w:szCs w:val="28"/>
        </w:rPr>
        <w:t xml:space="preserve"> </w:t>
      </w:r>
      <w:r w:rsidRPr="000F2D10">
        <w:rPr>
          <w:sz w:val="28"/>
          <w:szCs w:val="28"/>
        </w:rPr>
        <w:tab/>
      </w:r>
      <w:hyperlink r:id="rId1" w:history="1">
        <w:r w:rsidRPr="00B7227F">
          <w:rPr>
            <w:rStyle w:val="Hyperlink"/>
            <w:sz w:val="28"/>
            <w:szCs w:val="28"/>
          </w:rPr>
          <w:t>https://superiorcourt.maricopa.gov/llrc/</w:t>
        </w:r>
      </w:hyperlink>
      <w:r>
        <w:rPr>
          <w:sz w:val="28"/>
          <w:szCs w:val="28"/>
        </w:rPr>
        <w:t xml:space="preserve">, </w:t>
      </w:r>
      <w:r w:rsidR="00315A2C">
        <w:rPr>
          <w:sz w:val="28"/>
          <w:szCs w:val="28"/>
        </w:rPr>
        <w:t xml:space="preserve">with a detailed information paper explaining “reasonably diligent efforts” at </w:t>
      </w:r>
      <w:hyperlink r:id="rId2" w:history="1">
        <w:r w:rsidR="00315A2C" w:rsidRPr="00B7227F">
          <w:rPr>
            <w:rStyle w:val="Hyperlink"/>
            <w:sz w:val="28"/>
            <w:szCs w:val="28"/>
          </w:rPr>
          <w:t>https://superiorcourt.maricopa.gov/media/4797/dr28hz.pdf</w:t>
        </w:r>
      </w:hyperlink>
      <w:r w:rsidR="00315A2C">
        <w:rPr>
          <w:sz w:val="28"/>
          <w:szCs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F5969"/>
    <w:multiLevelType w:val="hybridMultilevel"/>
    <w:tmpl w:val="7942524E"/>
    <w:lvl w:ilvl="0" w:tplc="70889534">
      <w:start w:val="1"/>
      <w:numFmt w:val="upp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75769A"/>
    <w:multiLevelType w:val="hybridMultilevel"/>
    <w:tmpl w:val="0ECE739C"/>
    <w:lvl w:ilvl="0" w:tplc="C7B86E1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BB2349"/>
    <w:multiLevelType w:val="hybridMultilevel"/>
    <w:tmpl w:val="C0A4FEE6"/>
    <w:lvl w:ilvl="0" w:tplc="C93EF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0F2A08"/>
    <w:multiLevelType w:val="hybridMultilevel"/>
    <w:tmpl w:val="5F801E22"/>
    <w:lvl w:ilvl="0" w:tplc="84982706">
      <w:start w:val="1"/>
      <w:numFmt w:val="bullet"/>
      <w:lvlText w:val=""/>
      <w:lvlJc w:val="left"/>
      <w:pPr>
        <w:ind w:left="2160" w:hanging="360"/>
      </w:pPr>
      <w:rPr>
        <w:rFonts w:ascii="Symbol" w:hAnsi="Symbol" w:hint="default"/>
      </w:rPr>
    </w:lvl>
    <w:lvl w:ilvl="1" w:tplc="90AE007C" w:tentative="1">
      <w:start w:val="1"/>
      <w:numFmt w:val="bullet"/>
      <w:lvlText w:val="o"/>
      <w:lvlJc w:val="left"/>
      <w:pPr>
        <w:ind w:left="2880" w:hanging="360"/>
      </w:pPr>
      <w:rPr>
        <w:rFonts w:ascii="Courier New" w:hAnsi="Courier New" w:cs="Courier New" w:hint="default"/>
      </w:rPr>
    </w:lvl>
    <w:lvl w:ilvl="2" w:tplc="F68E6342" w:tentative="1">
      <w:start w:val="1"/>
      <w:numFmt w:val="bullet"/>
      <w:lvlText w:val=""/>
      <w:lvlJc w:val="left"/>
      <w:pPr>
        <w:ind w:left="3600" w:hanging="360"/>
      </w:pPr>
      <w:rPr>
        <w:rFonts w:ascii="Wingdings" w:hAnsi="Wingdings" w:hint="default"/>
      </w:rPr>
    </w:lvl>
    <w:lvl w:ilvl="3" w:tplc="457C0F6C">
      <w:start w:val="1"/>
      <w:numFmt w:val="bullet"/>
      <w:lvlText w:val=""/>
      <w:lvlJc w:val="left"/>
      <w:pPr>
        <w:ind w:left="4320" w:hanging="360"/>
      </w:pPr>
      <w:rPr>
        <w:rFonts w:ascii="Symbol" w:hAnsi="Symbol" w:hint="default"/>
      </w:rPr>
    </w:lvl>
    <w:lvl w:ilvl="4" w:tplc="23BC330E" w:tentative="1">
      <w:start w:val="1"/>
      <w:numFmt w:val="bullet"/>
      <w:lvlText w:val="o"/>
      <w:lvlJc w:val="left"/>
      <w:pPr>
        <w:ind w:left="5040" w:hanging="360"/>
      </w:pPr>
      <w:rPr>
        <w:rFonts w:ascii="Courier New" w:hAnsi="Courier New" w:cs="Courier New" w:hint="default"/>
      </w:rPr>
    </w:lvl>
    <w:lvl w:ilvl="5" w:tplc="0C44CAAE" w:tentative="1">
      <w:start w:val="1"/>
      <w:numFmt w:val="bullet"/>
      <w:lvlText w:val=""/>
      <w:lvlJc w:val="left"/>
      <w:pPr>
        <w:ind w:left="5760" w:hanging="360"/>
      </w:pPr>
      <w:rPr>
        <w:rFonts w:ascii="Wingdings" w:hAnsi="Wingdings" w:hint="default"/>
      </w:rPr>
    </w:lvl>
    <w:lvl w:ilvl="6" w:tplc="FF644BD0" w:tentative="1">
      <w:start w:val="1"/>
      <w:numFmt w:val="bullet"/>
      <w:lvlText w:val=""/>
      <w:lvlJc w:val="left"/>
      <w:pPr>
        <w:ind w:left="6480" w:hanging="360"/>
      </w:pPr>
      <w:rPr>
        <w:rFonts w:ascii="Symbol" w:hAnsi="Symbol" w:hint="default"/>
      </w:rPr>
    </w:lvl>
    <w:lvl w:ilvl="7" w:tplc="C9F2CFBA" w:tentative="1">
      <w:start w:val="1"/>
      <w:numFmt w:val="bullet"/>
      <w:lvlText w:val="o"/>
      <w:lvlJc w:val="left"/>
      <w:pPr>
        <w:ind w:left="7200" w:hanging="360"/>
      </w:pPr>
      <w:rPr>
        <w:rFonts w:ascii="Courier New" w:hAnsi="Courier New" w:cs="Courier New" w:hint="default"/>
      </w:rPr>
    </w:lvl>
    <w:lvl w:ilvl="8" w:tplc="9FF64AD0" w:tentative="1">
      <w:start w:val="1"/>
      <w:numFmt w:val="bullet"/>
      <w:lvlText w:val=""/>
      <w:lvlJc w:val="left"/>
      <w:pPr>
        <w:ind w:left="7920" w:hanging="360"/>
      </w:pPr>
      <w:rPr>
        <w:rFonts w:ascii="Wingdings" w:hAnsi="Wingdings" w:hint="default"/>
      </w:r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6"/>
  </w:num>
  <w:num w:numId="5">
    <w:abstractNumId w:val="8"/>
  </w:num>
  <w:num w:numId="6">
    <w:abstractNumId w:val="9"/>
  </w:num>
  <w:num w:numId="7">
    <w:abstractNumId w:val="1"/>
  </w:num>
  <w:num w:numId="8">
    <w:abstractNumId w:val="17"/>
  </w:num>
  <w:num w:numId="9">
    <w:abstractNumId w:val="10"/>
  </w:num>
  <w:num w:numId="10">
    <w:abstractNumId w:val="12"/>
  </w:num>
  <w:num w:numId="11">
    <w:abstractNumId w:val="11"/>
  </w:num>
  <w:num w:numId="12">
    <w:abstractNumId w:val="7"/>
  </w:num>
  <w:num w:numId="13">
    <w:abstractNumId w:val="2"/>
  </w:num>
  <w:num w:numId="14">
    <w:abstractNumId w:val="5"/>
  </w:num>
  <w:num w:numId="15">
    <w:abstractNumId w:val="16"/>
  </w:num>
  <w:num w:numId="16">
    <w:abstractNumId w:val="15"/>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3885"/>
    <w:rsid w:val="000410B3"/>
    <w:rsid w:val="00043D4D"/>
    <w:rsid w:val="00052372"/>
    <w:rsid w:val="000666D1"/>
    <w:rsid w:val="0008003D"/>
    <w:rsid w:val="000917C0"/>
    <w:rsid w:val="000A1D6B"/>
    <w:rsid w:val="000C1E53"/>
    <w:rsid w:val="000C48A9"/>
    <w:rsid w:val="000F2D10"/>
    <w:rsid w:val="000F62B7"/>
    <w:rsid w:val="000F7A7F"/>
    <w:rsid w:val="000F7C13"/>
    <w:rsid w:val="00135326"/>
    <w:rsid w:val="001A2520"/>
    <w:rsid w:val="001F591C"/>
    <w:rsid w:val="002452F0"/>
    <w:rsid w:val="00274D6A"/>
    <w:rsid w:val="00315A2C"/>
    <w:rsid w:val="00352347"/>
    <w:rsid w:val="003566D6"/>
    <w:rsid w:val="00357F4D"/>
    <w:rsid w:val="003617D1"/>
    <w:rsid w:val="00377199"/>
    <w:rsid w:val="003A28AC"/>
    <w:rsid w:val="00407E2D"/>
    <w:rsid w:val="004331B2"/>
    <w:rsid w:val="00440E4C"/>
    <w:rsid w:val="00463734"/>
    <w:rsid w:val="00480BD0"/>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06F54"/>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9A180C"/>
    <w:rsid w:val="009F035B"/>
    <w:rsid w:val="00A058A5"/>
    <w:rsid w:val="00A1564B"/>
    <w:rsid w:val="00A5194F"/>
    <w:rsid w:val="00A871D6"/>
    <w:rsid w:val="00A93A7C"/>
    <w:rsid w:val="00AF282C"/>
    <w:rsid w:val="00AF3FF7"/>
    <w:rsid w:val="00B1491D"/>
    <w:rsid w:val="00B47B7D"/>
    <w:rsid w:val="00B61635"/>
    <w:rsid w:val="00B62836"/>
    <w:rsid w:val="00BB0263"/>
    <w:rsid w:val="00C03E0F"/>
    <w:rsid w:val="00C52E56"/>
    <w:rsid w:val="00C5407A"/>
    <w:rsid w:val="00C56683"/>
    <w:rsid w:val="00C64CD0"/>
    <w:rsid w:val="00C662B0"/>
    <w:rsid w:val="00C84FD4"/>
    <w:rsid w:val="00C958EE"/>
    <w:rsid w:val="00CD21FB"/>
    <w:rsid w:val="00CE2B3E"/>
    <w:rsid w:val="00CF695F"/>
    <w:rsid w:val="00D423FE"/>
    <w:rsid w:val="00D442E4"/>
    <w:rsid w:val="00D60CC7"/>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link w:val="Heading4Char"/>
    <w:semiHidden/>
    <w:unhideWhenUsed/>
    <w:qFormat/>
    <w:rsid w:val="002452F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Heading4Char">
    <w:name w:val="Heading 4 Char"/>
    <w:basedOn w:val="DefaultParagraphFont"/>
    <w:link w:val="Heading4"/>
    <w:semiHidden/>
    <w:rsid w:val="002452F0"/>
    <w:rPr>
      <w:rFonts w:asciiTheme="majorHAnsi" w:eastAsiaTheme="majorEastAsia" w:hAnsiTheme="majorHAnsi" w:cstheme="majorBidi"/>
      <w:i/>
      <w:iCs/>
      <w:color w:val="2E74B5" w:themeColor="accent1" w:themeShade="BF"/>
    </w:rPr>
  </w:style>
  <w:style w:type="paragraph" w:customStyle="1" w:styleId="MemoSignatureSub">
    <w:name w:val="Memo Signature Sub"/>
    <w:basedOn w:val="Normal"/>
    <w:rsid w:val="002452F0"/>
    <w:pPr>
      <w:spacing w:after="240" w:line="240" w:lineRule="auto"/>
      <w:ind w:left="720" w:hanging="720"/>
    </w:pPr>
    <w:rPr>
      <w:rFonts w:eastAsia="SimSun"/>
      <w:sz w:val="24"/>
    </w:rPr>
  </w:style>
  <w:style w:type="character" w:styleId="CommentReference">
    <w:name w:val="annotation reference"/>
    <w:basedOn w:val="DefaultParagraphFont"/>
    <w:rsid w:val="00D60CC7"/>
    <w:rPr>
      <w:sz w:val="16"/>
      <w:szCs w:val="16"/>
    </w:rPr>
  </w:style>
  <w:style w:type="paragraph" w:styleId="CommentText">
    <w:name w:val="annotation text"/>
    <w:basedOn w:val="Normal"/>
    <w:link w:val="CommentTextChar"/>
    <w:rsid w:val="00D60CC7"/>
    <w:pPr>
      <w:spacing w:line="240" w:lineRule="auto"/>
    </w:pPr>
  </w:style>
  <w:style w:type="character" w:customStyle="1" w:styleId="CommentTextChar">
    <w:name w:val="Comment Text Char"/>
    <w:basedOn w:val="DefaultParagraphFont"/>
    <w:link w:val="CommentText"/>
    <w:rsid w:val="00D60CC7"/>
  </w:style>
  <w:style w:type="paragraph" w:styleId="CommentSubject">
    <w:name w:val="annotation subject"/>
    <w:basedOn w:val="CommentText"/>
    <w:next w:val="CommentText"/>
    <w:link w:val="CommentSubjectChar"/>
    <w:rsid w:val="00D60CC7"/>
    <w:rPr>
      <w:b/>
      <w:bCs/>
    </w:rPr>
  </w:style>
  <w:style w:type="character" w:customStyle="1" w:styleId="CommentSubjectChar">
    <w:name w:val="Comment Subject Char"/>
    <w:basedOn w:val="CommentTextChar"/>
    <w:link w:val="CommentSubject"/>
    <w:rsid w:val="00D60CC7"/>
    <w:rPr>
      <w:b/>
      <w:bCs/>
    </w:rPr>
  </w:style>
  <w:style w:type="character" w:styleId="UnresolvedMention">
    <w:name w:val="Unresolved Mention"/>
    <w:basedOn w:val="DefaultParagraphFont"/>
    <w:uiPriority w:val="99"/>
    <w:semiHidden/>
    <w:unhideWhenUsed/>
    <w:rsid w:val="000F2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uperiorcourt.maricopa.gov/media/4797/dr28hz.pdf" TargetMode="External"/><Relationship Id="rId1" Type="http://schemas.openxmlformats.org/officeDocument/2006/relationships/hyperlink" Target="https://superiorcourt.maricopa.gov/llr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5380-A061-4FB0-BBB8-2C20A28D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9</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Fox, Yolanda</cp:lastModifiedBy>
  <cp:revision>2</cp:revision>
  <cp:lastPrinted>2014-04-30T16:27:00Z</cp:lastPrinted>
  <dcterms:created xsi:type="dcterms:W3CDTF">2021-01-14T22:56:00Z</dcterms:created>
  <dcterms:modified xsi:type="dcterms:W3CDTF">2021-01-14T22:56:00Z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