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A0F88" w14:textId="77777777" w:rsidR="00B343F9" w:rsidRPr="00931A6A" w:rsidRDefault="00B343F9" w:rsidP="00B343F9">
      <w:pPr>
        <w:pStyle w:val="FirmInformation"/>
        <w:spacing w:line="240" w:lineRule="auto"/>
        <w:rPr>
          <w:sz w:val="28"/>
          <w:szCs w:val="28"/>
        </w:rPr>
      </w:pPr>
      <w:r w:rsidRPr="00931A6A">
        <w:rPr>
          <w:sz w:val="28"/>
          <w:szCs w:val="28"/>
        </w:rPr>
        <w:t>Lisa M. Panahi, Bar No. 023421</w:t>
      </w:r>
      <w:r w:rsidRPr="00931A6A">
        <w:rPr>
          <w:sz w:val="28"/>
          <w:szCs w:val="28"/>
        </w:rPr>
        <w:br/>
        <w:t>General Counsel</w:t>
      </w:r>
    </w:p>
    <w:p w14:paraId="6E62B37D" w14:textId="77777777" w:rsidR="00B343F9" w:rsidRPr="00931A6A" w:rsidRDefault="00B343F9" w:rsidP="00B343F9">
      <w:pPr>
        <w:pStyle w:val="FirmInformation"/>
        <w:spacing w:line="240" w:lineRule="auto"/>
        <w:rPr>
          <w:sz w:val="28"/>
          <w:szCs w:val="28"/>
        </w:rPr>
      </w:pPr>
      <w:r w:rsidRPr="00931A6A">
        <w:rPr>
          <w:sz w:val="28"/>
          <w:szCs w:val="28"/>
        </w:rPr>
        <w:t>State Bar of Arizona</w:t>
      </w:r>
    </w:p>
    <w:p w14:paraId="5B8CAF81" w14:textId="77777777" w:rsidR="00B343F9" w:rsidRPr="00931A6A" w:rsidRDefault="00B343F9" w:rsidP="00B343F9">
      <w:pPr>
        <w:pStyle w:val="FirmInformation"/>
        <w:spacing w:line="240" w:lineRule="auto"/>
        <w:rPr>
          <w:sz w:val="28"/>
          <w:szCs w:val="28"/>
        </w:rPr>
      </w:pPr>
      <w:r w:rsidRPr="00931A6A">
        <w:rPr>
          <w:sz w:val="28"/>
          <w:szCs w:val="28"/>
        </w:rPr>
        <w:t>4201 N. 24th Street, Suite 100</w:t>
      </w:r>
    </w:p>
    <w:p w14:paraId="7B6D57E4" w14:textId="77777777" w:rsidR="00B343F9" w:rsidRPr="00931A6A" w:rsidRDefault="00B343F9" w:rsidP="00B343F9">
      <w:pPr>
        <w:pStyle w:val="FirmInformation"/>
        <w:spacing w:line="240" w:lineRule="auto"/>
        <w:rPr>
          <w:sz w:val="28"/>
          <w:szCs w:val="28"/>
        </w:rPr>
      </w:pPr>
      <w:r w:rsidRPr="00931A6A">
        <w:rPr>
          <w:sz w:val="28"/>
          <w:szCs w:val="28"/>
        </w:rPr>
        <w:t>Phoenix, AZ  85016-6288</w:t>
      </w:r>
    </w:p>
    <w:p w14:paraId="2247CFCE" w14:textId="4C95D086" w:rsidR="00D116D1" w:rsidRPr="00931A6A" w:rsidRDefault="00B343F9" w:rsidP="00B343F9">
      <w:pPr>
        <w:pStyle w:val="FirmInformation"/>
        <w:spacing w:line="240" w:lineRule="auto"/>
        <w:rPr>
          <w:sz w:val="28"/>
          <w:szCs w:val="28"/>
        </w:rPr>
      </w:pPr>
      <w:r w:rsidRPr="00931A6A">
        <w:rPr>
          <w:sz w:val="28"/>
          <w:szCs w:val="28"/>
        </w:rPr>
        <w:t>(602) 340-7236</w:t>
      </w:r>
    </w:p>
    <w:p w14:paraId="2A6D85B7" w14:textId="46AF7993" w:rsidR="002D5A6D" w:rsidRPr="00931A6A" w:rsidRDefault="002D5A6D" w:rsidP="00B343F9">
      <w:pPr>
        <w:pStyle w:val="FirmInformation"/>
        <w:spacing w:line="240" w:lineRule="auto"/>
        <w:rPr>
          <w:sz w:val="28"/>
          <w:szCs w:val="28"/>
        </w:rPr>
      </w:pPr>
    </w:p>
    <w:p w14:paraId="54D7C9CD" w14:textId="50433421" w:rsidR="002D5A6D" w:rsidRPr="00931A6A" w:rsidRDefault="002D5A6D" w:rsidP="00B343F9">
      <w:pPr>
        <w:pStyle w:val="FirmInformation"/>
        <w:spacing w:line="240" w:lineRule="auto"/>
        <w:rPr>
          <w:sz w:val="28"/>
          <w:szCs w:val="28"/>
        </w:rPr>
      </w:pPr>
      <w:r w:rsidRPr="00931A6A">
        <w:rPr>
          <w:sz w:val="28"/>
          <w:szCs w:val="28"/>
        </w:rPr>
        <w:t>James D. Lee, Bar No. 011586</w:t>
      </w:r>
    </w:p>
    <w:p w14:paraId="3D33AB7B" w14:textId="378E3A09" w:rsidR="002D5A6D" w:rsidRPr="00931A6A" w:rsidRDefault="002D5A6D" w:rsidP="00B343F9">
      <w:pPr>
        <w:pStyle w:val="FirmInformation"/>
        <w:spacing w:line="240" w:lineRule="auto"/>
        <w:rPr>
          <w:sz w:val="28"/>
          <w:szCs w:val="28"/>
        </w:rPr>
      </w:pPr>
      <w:r w:rsidRPr="00931A6A">
        <w:rPr>
          <w:sz w:val="28"/>
          <w:szCs w:val="28"/>
        </w:rPr>
        <w:t>Senior Bar Counsel/UPL Counsel</w:t>
      </w:r>
      <w:r w:rsidRPr="00931A6A">
        <w:rPr>
          <w:sz w:val="28"/>
          <w:szCs w:val="28"/>
        </w:rPr>
        <w:br/>
        <w:t>State Bar of Arizona</w:t>
      </w:r>
    </w:p>
    <w:p w14:paraId="66554A0D" w14:textId="09C70BF6" w:rsidR="002D5A6D" w:rsidRPr="00931A6A" w:rsidRDefault="002D5A6D" w:rsidP="00B343F9">
      <w:pPr>
        <w:pStyle w:val="FirmInformation"/>
        <w:spacing w:line="240" w:lineRule="auto"/>
        <w:rPr>
          <w:sz w:val="28"/>
          <w:szCs w:val="28"/>
        </w:rPr>
      </w:pPr>
      <w:r w:rsidRPr="00931A6A">
        <w:rPr>
          <w:sz w:val="28"/>
          <w:szCs w:val="28"/>
        </w:rPr>
        <w:t>4201 N. 24</w:t>
      </w:r>
      <w:r w:rsidRPr="00931A6A">
        <w:rPr>
          <w:sz w:val="28"/>
          <w:szCs w:val="28"/>
          <w:vertAlign w:val="superscript"/>
        </w:rPr>
        <w:t>th</w:t>
      </w:r>
      <w:r w:rsidRPr="00931A6A">
        <w:rPr>
          <w:sz w:val="28"/>
          <w:szCs w:val="28"/>
        </w:rPr>
        <w:t xml:space="preserve"> Street, Suite 100</w:t>
      </w:r>
    </w:p>
    <w:p w14:paraId="34228EA5" w14:textId="5F37EE1F" w:rsidR="002D5A6D" w:rsidRPr="00931A6A" w:rsidRDefault="002D5A6D" w:rsidP="00B343F9">
      <w:pPr>
        <w:pStyle w:val="FirmInformation"/>
        <w:spacing w:line="240" w:lineRule="auto"/>
        <w:rPr>
          <w:sz w:val="28"/>
          <w:szCs w:val="28"/>
        </w:rPr>
      </w:pPr>
      <w:r w:rsidRPr="00931A6A">
        <w:rPr>
          <w:sz w:val="28"/>
          <w:szCs w:val="28"/>
        </w:rPr>
        <w:t>Phoenix, AZ 85016-6288</w:t>
      </w:r>
    </w:p>
    <w:p w14:paraId="7FB70DAC" w14:textId="1B6CA384" w:rsidR="002D5A6D" w:rsidRPr="00931A6A" w:rsidRDefault="002D5A6D" w:rsidP="00B343F9">
      <w:pPr>
        <w:pStyle w:val="FirmInformation"/>
        <w:spacing w:line="240" w:lineRule="auto"/>
        <w:rPr>
          <w:sz w:val="28"/>
          <w:szCs w:val="28"/>
        </w:rPr>
      </w:pPr>
      <w:r w:rsidRPr="00931A6A">
        <w:rPr>
          <w:sz w:val="28"/>
          <w:szCs w:val="28"/>
        </w:rPr>
        <w:t>(602) 340-7236</w:t>
      </w:r>
    </w:p>
    <w:p w14:paraId="0ECA9264" w14:textId="0187D5C4" w:rsidR="00357F4D" w:rsidRPr="00931A6A" w:rsidRDefault="00357F4D" w:rsidP="00B13A66">
      <w:pPr>
        <w:pStyle w:val="Court"/>
        <w:spacing w:after="0" w:line="240" w:lineRule="auto"/>
        <w:jc w:val="left"/>
        <w:rPr>
          <w:b/>
          <w:sz w:val="28"/>
          <w:szCs w:val="28"/>
        </w:rPr>
      </w:pPr>
    </w:p>
    <w:p w14:paraId="532061B2" w14:textId="0EFC4FA5" w:rsidR="002D5A6D" w:rsidRPr="00931A6A" w:rsidRDefault="002D5A6D" w:rsidP="00B13A66">
      <w:pPr>
        <w:pStyle w:val="Court"/>
        <w:spacing w:after="0" w:line="240" w:lineRule="auto"/>
        <w:jc w:val="left"/>
        <w:rPr>
          <w:b/>
          <w:sz w:val="28"/>
          <w:szCs w:val="28"/>
        </w:rPr>
      </w:pPr>
    </w:p>
    <w:p w14:paraId="00883194" w14:textId="77777777" w:rsidR="00931A6A" w:rsidRPr="00931A6A" w:rsidRDefault="00931A6A" w:rsidP="00B13A66">
      <w:pPr>
        <w:pStyle w:val="Court"/>
        <w:spacing w:after="0" w:line="240" w:lineRule="auto"/>
        <w:jc w:val="left"/>
        <w:rPr>
          <w:b/>
          <w:sz w:val="28"/>
          <w:szCs w:val="28"/>
        </w:rPr>
      </w:pPr>
    </w:p>
    <w:p w14:paraId="7231568B" w14:textId="77777777" w:rsidR="00B13A66" w:rsidRPr="00931A6A" w:rsidRDefault="00B13A66" w:rsidP="00B13A66">
      <w:pPr>
        <w:pStyle w:val="Court"/>
        <w:spacing w:after="0" w:line="240" w:lineRule="auto"/>
        <w:jc w:val="left"/>
        <w:rPr>
          <w:b/>
          <w:sz w:val="28"/>
          <w:szCs w:val="28"/>
        </w:rPr>
      </w:pPr>
    </w:p>
    <w:p w14:paraId="0C5EC2CC" w14:textId="1CFF837C" w:rsidR="000C48A9" w:rsidRPr="00931A6A" w:rsidRDefault="000F7A7F" w:rsidP="00DD0ECA">
      <w:pPr>
        <w:pStyle w:val="Court"/>
        <w:spacing w:line="280" w:lineRule="atLeast"/>
        <w:rPr>
          <w:b/>
          <w:sz w:val="28"/>
          <w:szCs w:val="28"/>
        </w:rPr>
      </w:pPr>
      <w:r w:rsidRPr="00931A6A">
        <w:rPr>
          <w:b/>
          <w:sz w:val="28"/>
          <w:szCs w:val="28"/>
        </w:rPr>
        <w:t>IN THE SUPREME COURT</w:t>
      </w:r>
      <w:r w:rsidRPr="00931A6A">
        <w:rPr>
          <w:b/>
          <w:sz w:val="28"/>
          <w:szCs w:val="28"/>
        </w:rPr>
        <w:br/>
        <w:t>STATE OF ARIZONA</w:t>
      </w:r>
    </w:p>
    <w:p w14:paraId="1163E67E" w14:textId="77777777" w:rsidR="00B13A66" w:rsidRPr="00931A6A" w:rsidRDefault="00B13A66" w:rsidP="00B13A66">
      <w:pPr>
        <w:pStyle w:val="Court"/>
        <w:spacing w:after="0" w:line="240" w:lineRule="auto"/>
        <w:rPr>
          <w:b/>
          <w:sz w:val="28"/>
          <w:szCs w:val="28"/>
        </w:rPr>
      </w:pPr>
    </w:p>
    <w:tbl>
      <w:tblPr>
        <w:tblW w:w="9204" w:type="dxa"/>
        <w:tblBorders>
          <w:insideH w:val="single" w:sz="4" w:space="0" w:color="auto"/>
        </w:tblBorders>
        <w:tblLayout w:type="fixed"/>
        <w:tblLook w:val="0000" w:firstRow="0" w:lastRow="0" w:firstColumn="0" w:lastColumn="0" w:noHBand="0" w:noVBand="0"/>
      </w:tblPr>
      <w:tblGrid>
        <w:gridCol w:w="4770"/>
        <w:gridCol w:w="4434"/>
      </w:tblGrid>
      <w:tr w:rsidR="00357F4D" w:rsidRPr="00931A6A" w14:paraId="1BD976EC" w14:textId="77777777" w:rsidTr="00781222">
        <w:trPr>
          <w:trHeight w:val="2034"/>
        </w:trPr>
        <w:tc>
          <w:tcPr>
            <w:tcW w:w="4770" w:type="dxa"/>
            <w:tcBorders>
              <w:top w:val="nil"/>
              <w:bottom w:val="single" w:sz="4" w:space="0" w:color="auto"/>
              <w:right w:val="single" w:sz="4" w:space="0" w:color="auto"/>
            </w:tcBorders>
            <w:shd w:val="clear" w:color="auto" w:fill="auto"/>
          </w:tcPr>
          <w:p w14:paraId="2A63D5FE" w14:textId="77777777" w:rsidR="00357F4D" w:rsidRPr="00931A6A" w:rsidRDefault="00357F4D" w:rsidP="00DD0ECA">
            <w:pPr>
              <w:pStyle w:val="Caption"/>
              <w:spacing w:before="240" w:line="280" w:lineRule="atLeast"/>
              <w:ind w:left="76"/>
              <w:rPr>
                <w:sz w:val="28"/>
                <w:szCs w:val="28"/>
              </w:rPr>
            </w:pPr>
            <w:bookmarkStart w:id="0" w:name="_zzmpFIXED_CaptionTable"/>
            <w:r w:rsidRPr="00931A6A">
              <w:rPr>
                <w:sz w:val="28"/>
                <w:szCs w:val="28"/>
              </w:rPr>
              <w:t>In the Matter of:</w:t>
            </w:r>
          </w:p>
          <w:p w14:paraId="6DBF64F4" w14:textId="19630E70" w:rsidR="009355DA" w:rsidRPr="00931A6A" w:rsidRDefault="00E67511" w:rsidP="00DD0ECA">
            <w:pPr>
              <w:pStyle w:val="Caption"/>
              <w:spacing w:before="240" w:line="280" w:lineRule="atLeast"/>
              <w:ind w:left="76"/>
              <w:rPr>
                <w:b/>
                <w:sz w:val="28"/>
                <w:szCs w:val="28"/>
              </w:rPr>
            </w:pPr>
            <w:r w:rsidRPr="00931A6A">
              <w:rPr>
                <w:b/>
                <w:sz w:val="28"/>
                <w:szCs w:val="28"/>
              </w:rPr>
              <w:t xml:space="preserve">PETITION TO </w:t>
            </w:r>
            <w:r w:rsidR="009355DA" w:rsidRPr="00931A6A">
              <w:rPr>
                <w:b/>
                <w:sz w:val="28"/>
                <w:szCs w:val="28"/>
              </w:rPr>
              <w:t>AMEND RULE</w:t>
            </w:r>
            <w:r w:rsidR="00A0293C" w:rsidRPr="00931A6A">
              <w:rPr>
                <w:b/>
                <w:sz w:val="28"/>
                <w:szCs w:val="28"/>
              </w:rPr>
              <w:t>S</w:t>
            </w:r>
            <w:r w:rsidR="009355DA" w:rsidRPr="00931A6A">
              <w:rPr>
                <w:b/>
                <w:sz w:val="28"/>
                <w:szCs w:val="28"/>
              </w:rPr>
              <w:t xml:space="preserve"> </w:t>
            </w:r>
            <w:r w:rsidR="00A0293C" w:rsidRPr="00931A6A">
              <w:rPr>
                <w:b/>
                <w:sz w:val="28"/>
                <w:szCs w:val="28"/>
              </w:rPr>
              <w:t>75 THROUGH 80</w:t>
            </w:r>
            <w:r w:rsidR="009355DA" w:rsidRPr="00931A6A">
              <w:rPr>
                <w:b/>
                <w:sz w:val="28"/>
                <w:szCs w:val="28"/>
              </w:rPr>
              <w:t xml:space="preserve">, ARIZONA RULES OF </w:t>
            </w:r>
            <w:r w:rsidR="00781222" w:rsidRPr="00931A6A">
              <w:rPr>
                <w:b/>
                <w:sz w:val="28"/>
                <w:szCs w:val="28"/>
              </w:rPr>
              <w:t xml:space="preserve">THE </w:t>
            </w:r>
            <w:r w:rsidR="009355DA" w:rsidRPr="00931A6A">
              <w:rPr>
                <w:b/>
                <w:sz w:val="28"/>
                <w:szCs w:val="28"/>
              </w:rPr>
              <w:t>SUPREME COURT</w:t>
            </w:r>
          </w:p>
        </w:tc>
        <w:tc>
          <w:tcPr>
            <w:tcW w:w="4434" w:type="dxa"/>
            <w:tcBorders>
              <w:top w:val="nil"/>
              <w:left w:val="single" w:sz="4" w:space="0" w:color="auto"/>
            </w:tcBorders>
            <w:shd w:val="clear" w:color="auto" w:fill="auto"/>
          </w:tcPr>
          <w:p w14:paraId="4EF6096E" w14:textId="3E98DFBF" w:rsidR="00520428" w:rsidRPr="00931A6A" w:rsidRDefault="00357F4D" w:rsidP="00DD0ECA">
            <w:pPr>
              <w:pStyle w:val="Caption"/>
              <w:tabs>
                <w:tab w:val="left" w:pos="1238"/>
              </w:tabs>
              <w:spacing w:before="240" w:after="240" w:line="280" w:lineRule="atLeast"/>
              <w:ind w:left="259" w:right="-80"/>
              <w:rPr>
                <w:b/>
                <w:sz w:val="28"/>
                <w:szCs w:val="28"/>
              </w:rPr>
            </w:pPr>
            <w:r w:rsidRPr="00931A6A">
              <w:rPr>
                <w:sz w:val="28"/>
                <w:szCs w:val="28"/>
              </w:rPr>
              <w:t>Supreme Court No. R-</w:t>
            </w:r>
            <w:r w:rsidR="00520428" w:rsidRPr="00931A6A">
              <w:rPr>
                <w:sz w:val="28"/>
                <w:szCs w:val="28"/>
              </w:rPr>
              <w:t>2</w:t>
            </w:r>
            <w:r w:rsidR="00B6093B" w:rsidRPr="00931A6A">
              <w:rPr>
                <w:sz w:val="28"/>
                <w:szCs w:val="28"/>
              </w:rPr>
              <w:t>1</w:t>
            </w:r>
            <w:r w:rsidR="00382B6F" w:rsidRPr="00931A6A">
              <w:rPr>
                <w:sz w:val="28"/>
                <w:szCs w:val="28"/>
              </w:rPr>
              <w:t>-</w:t>
            </w:r>
          </w:p>
          <w:p w14:paraId="0339454F" w14:textId="77777777" w:rsidR="00520428" w:rsidRPr="00931A6A" w:rsidRDefault="00520428" w:rsidP="00DD0ECA">
            <w:pPr>
              <w:pStyle w:val="Caption"/>
              <w:tabs>
                <w:tab w:val="left" w:pos="607"/>
              </w:tabs>
              <w:spacing w:line="280" w:lineRule="atLeast"/>
              <w:ind w:left="-383" w:right="115"/>
              <w:jc w:val="center"/>
              <w:rPr>
                <w:b/>
                <w:sz w:val="28"/>
                <w:szCs w:val="28"/>
              </w:rPr>
            </w:pPr>
          </w:p>
          <w:p w14:paraId="6122CD60" w14:textId="77777777" w:rsidR="00520428" w:rsidRPr="00931A6A" w:rsidRDefault="00520428" w:rsidP="00DD0ECA">
            <w:pPr>
              <w:pStyle w:val="Caption"/>
              <w:tabs>
                <w:tab w:val="left" w:pos="607"/>
              </w:tabs>
              <w:spacing w:line="280" w:lineRule="atLeast"/>
              <w:ind w:left="-383" w:right="115"/>
              <w:jc w:val="center"/>
              <w:rPr>
                <w:b/>
                <w:sz w:val="28"/>
                <w:szCs w:val="28"/>
              </w:rPr>
            </w:pPr>
          </w:p>
          <w:p w14:paraId="69749D90" w14:textId="3DD80EB9" w:rsidR="00357F4D" w:rsidRPr="00931A6A" w:rsidRDefault="00382B6F" w:rsidP="00DD0ECA">
            <w:pPr>
              <w:pStyle w:val="Caption"/>
              <w:tabs>
                <w:tab w:val="left" w:pos="607"/>
              </w:tabs>
              <w:spacing w:line="280" w:lineRule="atLeast"/>
              <w:ind w:left="-383" w:right="115"/>
              <w:jc w:val="center"/>
              <w:rPr>
                <w:b/>
                <w:sz w:val="28"/>
                <w:szCs w:val="28"/>
              </w:rPr>
            </w:pPr>
            <w:r w:rsidRPr="00931A6A">
              <w:rPr>
                <w:b/>
                <w:sz w:val="28"/>
                <w:szCs w:val="28"/>
              </w:rPr>
              <w:t>STATE BAR OF ARIZONA PETITION</w:t>
            </w:r>
          </w:p>
          <w:p w14:paraId="1BAB75F8" w14:textId="77777777" w:rsidR="00357F4D" w:rsidRPr="00931A6A" w:rsidRDefault="00357F4D" w:rsidP="00DD0ECA">
            <w:pPr>
              <w:pStyle w:val="Caption"/>
              <w:spacing w:line="280" w:lineRule="atLeast"/>
              <w:ind w:right="115"/>
              <w:rPr>
                <w:sz w:val="28"/>
                <w:szCs w:val="28"/>
              </w:rPr>
            </w:pPr>
          </w:p>
        </w:tc>
      </w:tr>
      <w:bookmarkEnd w:id="0"/>
    </w:tbl>
    <w:p w14:paraId="7BB0DF17" w14:textId="77777777" w:rsidR="00520428" w:rsidRPr="00931A6A" w:rsidRDefault="00520428" w:rsidP="00781222">
      <w:pPr>
        <w:pStyle w:val="Body"/>
        <w:widowControl w:val="0"/>
        <w:spacing w:line="240" w:lineRule="auto"/>
        <w:ind w:right="180" w:firstLine="0"/>
        <w:jc w:val="both"/>
        <w:rPr>
          <w:sz w:val="28"/>
          <w:szCs w:val="28"/>
        </w:rPr>
      </w:pPr>
    </w:p>
    <w:p w14:paraId="16A405FA" w14:textId="55EE1E25" w:rsidR="001F591C" w:rsidRPr="00931A6A" w:rsidRDefault="005F193B" w:rsidP="00DD0ECA">
      <w:pPr>
        <w:pStyle w:val="Body"/>
        <w:widowControl w:val="0"/>
        <w:spacing w:line="480" w:lineRule="auto"/>
        <w:ind w:left="187" w:right="187" w:firstLine="720"/>
        <w:jc w:val="both"/>
        <w:rPr>
          <w:sz w:val="28"/>
          <w:szCs w:val="28"/>
        </w:rPr>
      </w:pPr>
      <w:r w:rsidRPr="00931A6A">
        <w:rPr>
          <w:sz w:val="28"/>
          <w:szCs w:val="28"/>
        </w:rPr>
        <w:t xml:space="preserve">Pursuant to Rule 28, </w:t>
      </w:r>
      <w:r w:rsidR="00543D4B" w:rsidRPr="00931A6A">
        <w:rPr>
          <w:sz w:val="28"/>
          <w:szCs w:val="28"/>
        </w:rPr>
        <w:t>Ariz. R. Sup. Ct., the State Bar of Arizona</w:t>
      </w:r>
      <w:r w:rsidR="00394C93" w:rsidRPr="00931A6A">
        <w:rPr>
          <w:sz w:val="28"/>
          <w:szCs w:val="28"/>
        </w:rPr>
        <w:t xml:space="preserve"> (“State Bar”) respectfully requests</w:t>
      </w:r>
      <w:r w:rsidR="00472FB9" w:rsidRPr="00931A6A">
        <w:rPr>
          <w:sz w:val="28"/>
          <w:szCs w:val="28"/>
        </w:rPr>
        <w:t xml:space="preserve"> </w:t>
      </w:r>
      <w:r w:rsidR="00781222" w:rsidRPr="00931A6A">
        <w:rPr>
          <w:sz w:val="28"/>
          <w:szCs w:val="28"/>
        </w:rPr>
        <w:t xml:space="preserve">that </w:t>
      </w:r>
      <w:r w:rsidR="00472FB9" w:rsidRPr="00931A6A">
        <w:rPr>
          <w:sz w:val="28"/>
          <w:szCs w:val="28"/>
        </w:rPr>
        <w:t>this Court</w:t>
      </w:r>
      <w:r w:rsidR="00543D4B" w:rsidRPr="00931A6A">
        <w:rPr>
          <w:sz w:val="28"/>
          <w:szCs w:val="28"/>
        </w:rPr>
        <w:t xml:space="preserve"> amend Rule</w:t>
      </w:r>
      <w:r w:rsidR="006A1F41" w:rsidRPr="00931A6A">
        <w:rPr>
          <w:sz w:val="28"/>
          <w:szCs w:val="28"/>
        </w:rPr>
        <w:t>s 75 through 80</w:t>
      </w:r>
      <w:r w:rsidR="009B6091" w:rsidRPr="00931A6A">
        <w:rPr>
          <w:sz w:val="28"/>
          <w:szCs w:val="28"/>
        </w:rPr>
        <w:t>,</w:t>
      </w:r>
      <w:r w:rsidR="00A32055" w:rsidRPr="00931A6A">
        <w:rPr>
          <w:sz w:val="28"/>
          <w:szCs w:val="28"/>
        </w:rPr>
        <w:t xml:space="preserve"> Ariz. R. Sup. Ct.</w:t>
      </w:r>
      <w:r w:rsidR="003B0D3C" w:rsidRPr="00931A6A">
        <w:rPr>
          <w:sz w:val="28"/>
          <w:szCs w:val="28"/>
        </w:rPr>
        <w:t xml:space="preserve"> (Rule(s))</w:t>
      </w:r>
      <w:r w:rsidR="006A1F41" w:rsidRPr="00931A6A">
        <w:rPr>
          <w:sz w:val="28"/>
          <w:szCs w:val="28"/>
        </w:rPr>
        <w:t xml:space="preserve">, which </w:t>
      </w:r>
      <w:r w:rsidR="00781222" w:rsidRPr="00931A6A">
        <w:rPr>
          <w:sz w:val="28"/>
          <w:szCs w:val="28"/>
        </w:rPr>
        <w:t xml:space="preserve">pertain to matters related to </w:t>
      </w:r>
      <w:r w:rsidR="006A1F41" w:rsidRPr="00931A6A">
        <w:rPr>
          <w:sz w:val="28"/>
          <w:szCs w:val="28"/>
        </w:rPr>
        <w:t>the unauthorized practice of law in Arizona.</w:t>
      </w:r>
    </w:p>
    <w:p w14:paraId="62859C32" w14:textId="77777777" w:rsidR="002D5A6D" w:rsidRPr="00931A6A" w:rsidRDefault="002D5A6D" w:rsidP="00D116D1">
      <w:pPr>
        <w:pStyle w:val="Body"/>
        <w:widowControl w:val="0"/>
        <w:spacing w:line="480" w:lineRule="auto"/>
        <w:ind w:left="187" w:right="187" w:firstLine="0"/>
        <w:jc w:val="center"/>
        <w:rPr>
          <w:b/>
          <w:sz w:val="28"/>
          <w:szCs w:val="28"/>
        </w:rPr>
      </w:pPr>
    </w:p>
    <w:p w14:paraId="2D85F65A" w14:textId="1C50CAED" w:rsidR="00714F58" w:rsidRPr="00931A6A" w:rsidRDefault="00714F58" w:rsidP="00D116D1">
      <w:pPr>
        <w:pStyle w:val="Body"/>
        <w:widowControl w:val="0"/>
        <w:spacing w:line="480" w:lineRule="auto"/>
        <w:ind w:left="187" w:right="187" w:firstLine="0"/>
        <w:jc w:val="center"/>
        <w:rPr>
          <w:b/>
          <w:sz w:val="28"/>
          <w:szCs w:val="28"/>
        </w:rPr>
      </w:pPr>
      <w:r w:rsidRPr="00931A6A">
        <w:rPr>
          <w:b/>
          <w:sz w:val="28"/>
          <w:szCs w:val="28"/>
        </w:rPr>
        <w:t>DISCUSSION</w:t>
      </w:r>
    </w:p>
    <w:p w14:paraId="20F41268" w14:textId="249CB045" w:rsidR="000D3531" w:rsidRPr="00931A6A" w:rsidRDefault="000D3531" w:rsidP="00D116D1">
      <w:pPr>
        <w:pStyle w:val="Body"/>
        <w:widowControl w:val="0"/>
        <w:spacing w:line="480" w:lineRule="auto"/>
        <w:ind w:left="187" w:right="187" w:firstLine="0"/>
        <w:jc w:val="center"/>
        <w:rPr>
          <w:bCs/>
          <w:sz w:val="28"/>
          <w:szCs w:val="28"/>
          <w:u w:val="single"/>
        </w:rPr>
      </w:pPr>
      <w:r w:rsidRPr="00931A6A">
        <w:rPr>
          <w:bCs/>
          <w:sz w:val="28"/>
          <w:szCs w:val="28"/>
          <w:u w:val="single"/>
        </w:rPr>
        <w:t>General</w:t>
      </w:r>
    </w:p>
    <w:p w14:paraId="5B934A8A" w14:textId="330CC44D" w:rsidR="0056547C" w:rsidRPr="00931A6A" w:rsidRDefault="0056547C" w:rsidP="00A0293C">
      <w:pPr>
        <w:pStyle w:val="Body"/>
        <w:widowControl w:val="0"/>
        <w:spacing w:line="480" w:lineRule="auto"/>
        <w:ind w:left="180" w:right="180" w:firstLine="720"/>
        <w:jc w:val="both"/>
        <w:rPr>
          <w:sz w:val="28"/>
          <w:szCs w:val="28"/>
        </w:rPr>
      </w:pPr>
      <w:r w:rsidRPr="00931A6A">
        <w:rPr>
          <w:sz w:val="28"/>
          <w:szCs w:val="28"/>
        </w:rPr>
        <w:t>Supreme Court Rules 75 through 80</w:t>
      </w:r>
      <w:r w:rsidR="008267FC" w:rsidRPr="00931A6A">
        <w:rPr>
          <w:sz w:val="28"/>
          <w:szCs w:val="28"/>
        </w:rPr>
        <w:t xml:space="preserve">, which address </w:t>
      </w:r>
      <w:r w:rsidRPr="00931A6A">
        <w:rPr>
          <w:sz w:val="28"/>
          <w:szCs w:val="28"/>
        </w:rPr>
        <w:t xml:space="preserve">the unauthorized practice of law </w:t>
      </w:r>
      <w:r w:rsidR="008267FC" w:rsidRPr="00931A6A">
        <w:rPr>
          <w:sz w:val="28"/>
          <w:szCs w:val="28"/>
        </w:rPr>
        <w:t xml:space="preserve">in Arizona, </w:t>
      </w:r>
      <w:r w:rsidR="00781222" w:rsidRPr="00931A6A">
        <w:rPr>
          <w:sz w:val="28"/>
          <w:szCs w:val="28"/>
        </w:rPr>
        <w:t>became</w:t>
      </w:r>
      <w:r w:rsidRPr="00931A6A">
        <w:rPr>
          <w:sz w:val="28"/>
          <w:szCs w:val="28"/>
        </w:rPr>
        <w:t xml:space="preserve"> effective July 1, 2003. The rules have not been extensively amended since the</w:t>
      </w:r>
      <w:r w:rsidR="008267FC" w:rsidRPr="00931A6A">
        <w:rPr>
          <w:sz w:val="28"/>
          <w:szCs w:val="28"/>
        </w:rPr>
        <w:t>ir adoption</w:t>
      </w:r>
      <w:r w:rsidRPr="00931A6A">
        <w:rPr>
          <w:sz w:val="28"/>
          <w:szCs w:val="28"/>
        </w:rPr>
        <w:t>. The State Bar</w:t>
      </w:r>
      <w:r w:rsidR="00781222" w:rsidRPr="00931A6A">
        <w:rPr>
          <w:sz w:val="28"/>
          <w:szCs w:val="28"/>
        </w:rPr>
        <w:t>, through its</w:t>
      </w:r>
      <w:r w:rsidRPr="00931A6A">
        <w:rPr>
          <w:sz w:val="28"/>
          <w:szCs w:val="28"/>
        </w:rPr>
        <w:t xml:space="preserve"> </w:t>
      </w:r>
      <w:r w:rsidR="008267FC" w:rsidRPr="00931A6A">
        <w:rPr>
          <w:sz w:val="28"/>
          <w:szCs w:val="28"/>
        </w:rPr>
        <w:lastRenderedPageBreak/>
        <w:t xml:space="preserve">experience investigating and prosecuting </w:t>
      </w:r>
      <w:r w:rsidR="00BE3E93" w:rsidRPr="00931A6A">
        <w:rPr>
          <w:sz w:val="28"/>
          <w:szCs w:val="28"/>
        </w:rPr>
        <w:t>unauthorized practice of law c</w:t>
      </w:r>
      <w:r w:rsidR="008267FC" w:rsidRPr="00931A6A">
        <w:rPr>
          <w:sz w:val="28"/>
          <w:szCs w:val="28"/>
        </w:rPr>
        <w:t>ases</w:t>
      </w:r>
      <w:r w:rsidR="00781222" w:rsidRPr="00931A6A">
        <w:rPr>
          <w:sz w:val="28"/>
          <w:szCs w:val="28"/>
        </w:rPr>
        <w:t>,</w:t>
      </w:r>
      <w:r w:rsidR="008267FC" w:rsidRPr="00931A6A">
        <w:rPr>
          <w:sz w:val="28"/>
          <w:szCs w:val="28"/>
        </w:rPr>
        <w:t xml:space="preserve"> </w:t>
      </w:r>
      <w:r w:rsidR="00512C94" w:rsidRPr="00931A6A">
        <w:rPr>
          <w:sz w:val="28"/>
          <w:szCs w:val="28"/>
        </w:rPr>
        <w:t>recommends</w:t>
      </w:r>
      <w:r w:rsidR="00781222" w:rsidRPr="00931A6A">
        <w:rPr>
          <w:sz w:val="28"/>
          <w:szCs w:val="28"/>
        </w:rPr>
        <w:t xml:space="preserve"> that the </w:t>
      </w:r>
      <w:r w:rsidR="008267FC" w:rsidRPr="00931A6A">
        <w:rPr>
          <w:sz w:val="28"/>
          <w:szCs w:val="28"/>
        </w:rPr>
        <w:t xml:space="preserve">current rules, including those taking effect January 1, 2021, </w:t>
      </w:r>
      <w:r w:rsidR="00781222" w:rsidRPr="00931A6A">
        <w:rPr>
          <w:sz w:val="28"/>
          <w:szCs w:val="28"/>
        </w:rPr>
        <w:t xml:space="preserve">be amended </w:t>
      </w:r>
      <w:r w:rsidR="008267FC" w:rsidRPr="00931A6A">
        <w:rPr>
          <w:sz w:val="28"/>
          <w:szCs w:val="28"/>
        </w:rPr>
        <w:t xml:space="preserve">to clarify their meaning, ensure procedural consistency, </w:t>
      </w:r>
      <w:r w:rsidRPr="00931A6A">
        <w:rPr>
          <w:sz w:val="28"/>
          <w:szCs w:val="28"/>
        </w:rPr>
        <w:t>and add a provision authorizing criminal contempt proceedings.</w:t>
      </w:r>
    </w:p>
    <w:p w14:paraId="0EFF672B" w14:textId="77777777" w:rsidR="003B0D3C" w:rsidRPr="00931A6A" w:rsidRDefault="003B0D3C" w:rsidP="003B0D3C">
      <w:pPr>
        <w:pStyle w:val="Body"/>
        <w:widowControl w:val="0"/>
        <w:spacing w:line="480" w:lineRule="auto"/>
        <w:ind w:left="180" w:right="180" w:firstLine="720"/>
        <w:jc w:val="both"/>
        <w:rPr>
          <w:sz w:val="28"/>
          <w:szCs w:val="28"/>
        </w:rPr>
      </w:pPr>
      <w:r w:rsidRPr="00931A6A">
        <w:rPr>
          <w:sz w:val="28"/>
          <w:szCs w:val="28"/>
        </w:rPr>
        <w:t>While the current rules authorize bar counsel to pursue civil contempt of unauthorized practice of law orders and judgments, they do not specify the manner for seeking contempt or state whether the State Bar and a respondent may enter into a consent agreement regarding contempt.</w:t>
      </w:r>
    </w:p>
    <w:p w14:paraId="7E7EDC0F" w14:textId="03E2BCEE" w:rsidR="00781222" w:rsidRPr="00931A6A" w:rsidRDefault="003B0D3C" w:rsidP="00A0293C">
      <w:pPr>
        <w:pStyle w:val="Body"/>
        <w:widowControl w:val="0"/>
        <w:spacing w:line="480" w:lineRule="auto"/>
        <w:ind w:left="180" w:right="180" w:firstLine="720"/>
        <w:jc w:val="both"/>
        <w:rPr>
          <w:sz w:val="28"/>
          <w:szCs w:val="28"/>
        </w:rPr>
      </w:pPr>
      <w:r w:rsidRPr="00931A6A">
        <w:rPr>
          <w:sz w:val="28"/>
          <w:szCs w:val="28"/>
        </w:rPr>
        <w:t>Additionally, t</w:t>
      </w:r>
      <w:r w:rsidR="0056547C" w:rsidRPr="00931A6A">
        <w:rPr>
          <w:sz w:val="28"/>
          <w:szCs w:val="28"/>
        </w:rPr>
        <w:t xml:space="preserve">he </w:t>
      </w:r>
      <w:r w:rsidR="00BE3E93" w:rsidRPr="00931A6A">
        <w:rPr>
          <w:sz w:val="28"/>
          <w:szCs w:val="28"/>
        </w:rPr>
        <w:t>unauthorized practice of law</w:t>
      </w:r>
      <w:r w:rsidR="0056547C" w:rsidRPr="00931A6A">
        <w:rPr>
          <w:sz w:val="28"/>
          <w:szCs w:val="28"/>
        </w:rPr>
        <w:t xml:space="preserve"> rules do not </w:t>
      </w:r>
      <w:r w:rsidRPr="00931A6A">
        <w:rPr>
          <w:sz w:val="28"/>
          <w:szCs w:val="28"/>
        </w:rPr>
        <w:t xml:space="preserve">currently </w:t>
      </w:r>
      <w:r w:rsidR="0056547C" w:rsidRPr="00931A6A">
        <w:rPr>
          <w:sz w:val="28"/>
          <w:szCs w:val="28"/>
        </w:rPr>
        <w:t>specify</w:t>
      </w:r>
      <w:r w:rsidRPr="00931A6A">
        <w:rPr>
          <w:sz w:val="28"/>
          <w:szCs w:val="28"/>
        </w:rPr>
        <w:t>:</w:t>
      </w:r>
      <w:r w:rsidR="0056547C" w:rsidRPr="00931A6A">
        <w:rPr>
          <w:sz w:val="28"/>
          <w:szCs w:val="28"/>
        </w:rPr>
        <w:t xml:space="preserve"> </w:t>
      </w:r>
      <w:r w:rsidR="00781222" w:rsidRPr="00931A6A">
        <w:rPr>
          <w:sz w:val="28"/>
          <w:szCs w:val="28"/>
        </w:rPr>
        <w:t xml:space="preserve">(a) </w:t>
      </w:r>
      <w:r w:rsidR="0056547C" w:rsidRPr="00931A6A">
        <w:rPr>
          <w:sz w:val="28"/>
          <w:szCs w:val="28"/>
        </w:rPr>
        <w:t>when documents and information become matters of public record</w:t>
      </w:r>
      <w:r w:rsidR="00781222" w:rsidRPr="00931A6A">
        <w:rPr>
          <w:sz w:val="28"/>
          <w:szCs w:val="28"/>
        </w:rPr>
        <w:t>; (b)</w:t>
      </w:r>
      <w:r w:rsidR="0056547C" w:rsidRPr="00931A6A">
        <w:rPr>
          <w:sz w:val="28"/>
          <w:szCs w:val="28"/>
        </w:rPr>
        <w:t xml:space="preserve"> what documents and information become matters of public record</w:t>
      </w:r>
      <w:r w:rsidR="00781222" w:rsidRPr="00931A6A">
        <w:rPr>
          <w:sz w:val="28"/>
          <w:szCs w:val="28"/>
        </w:rPr>
        <w:t>; (c)</w:t>
      </w:r>
      <w:r w:rsidR="0056547C" w:rsidRPr="00931A6A">
        <w:rPr>
          <w:sz w:val="28"/>
          <w:szCs w:val="28"/>
        </w:rPr>
        <w:t xml:space="preserve"> who may disclose information or documents</w:t>
      </w:r>
      <w:r w:rsidR="00781222" w:rsidRPr="00931A6A">
        <w:rPr>
          <w:sz w:val="28"/>
          <w:szCs w:val="28"/>
        </w:rPr>
        <w:t>;</w:t>
      </w:r>
      <w:r w:rsidR="0056547C" w:rsidRPr="00931A6A">
        <w:rPr>
          <w:sz w:val="28"/>
          <w:szCs w:val="28"/>
        </w:rPr>
        <w:t xml:space="preserve"> or</w:t>
      </w:r>
      <w:r w:rsidR="00781222" w:rsidRPr="00931A6A">
        <w:rPr>
          <w:sz w:val="28"/>
          <w:szCs w:val="28"/>
        </w:rPr>
        <w:t xml:space="preserve"> (d)</w:t>
      </w:r>
      <w:r w:rsidR="0056547C" w:rsidRPr="00931A6A">
        <w:rPr>
          <w:sz w:val="28"/>
          <w:szCs w:val="28"/>
        </w:rPr>
        <w:t xml:space="preserve"> </w:t>
      </w:r>
      <w:r w:rsidR="005255D7" w:rsidRPr="00931A6A">
        <w:rPr>
          <w:sz w:val="28"/>
          <w:szCs w:val="28"/>
        </w:rPr>
        <w:t>when</w:t>
      </w:r>
      <w:r w:rsidR="0056547C" w:rsidRPr="00931A6A">
        <w:rPr>
          <w:sz w:val="28"/>
          <w:szCs w:val="28"/>
        </w:rPr>
        <w:t xml:space="preserve"> the State Bar may expunge </w:t>
      </w:r>
      <w:r w:rsidR="00BE3E93" w:rsidRPr="00931A6A">
        <w:rPr>
          <w:sz w:val="28"/>
          <w:szCs w:val="28"/>
        </w:rPr>
        <w:t>unauthorized practice of law</w:t>
      </w:r>
      <w:r w:rsidR="00781222" w:rsidRPr="00931A6A">
        <w:rPr>
          <w:sz w:val="28"/>
          <w:szCs w:val="28"/>
        </w:rPr>
        <w:t xml:space="preserve"> </w:t>
      </w:r>
      <w:r w:rsidR="0056547C" w:rsidRPr="00931A6A">
        <w:rPr>
          <w:sz w:val="28"/>
          <w:szCs w:val="28"/>
        </w:rPr>
        <w:t>records in its possession.</w:t>
      </w:r>
    </w:p>
    <w:p w14:paraId="2C76B8DA" w14:textId="77777777" w:rsidR="00931A6A" w:rsidRPr="00931A6A" w:rsidRDefault="00931A6A" w:rsidP="00A0293C">
      <w:pPr>
        <w:pStyle w:val="Body"/>
        <w:widowControl w:val="0"/>
        <w:spacing w:line="480" w:lineRule="auto"/>
        <w:ind w:left="180" w:right="180" w:firstLine="720"/>
        <w:jc w:val="both"/>
        <w:rPr>
          <w:sz w:val="28"/>
          <w:szCs w:val="28"/>
        </w:rPr>
      </w:pPr>
    </w:p>
    <w:p w14:paraId="5FC2FAB1" w14:textId="5E19FE98" w:rsidR="006A1F41" w:rsidRPr="00931A6A" w:rsidRDefault="0056547C" w:rsidP="00A0293C">
      <w:pPr>
        <w:pStyle w:val="Body"/>
        <w:widowControl w:val="0"/>
        <w:spacing w:line="480" w:lineRule="auto"/>
        <w:ind w:left="180" w:right="180" w:firstLine="720"/>
        <w:jc w:val="both"/>
        <w:rPr>
          <w:sz w:val="28"/>
          <w:szCs w:val="28"/>
        </w:rPr>
      </w:pPr>
      <w:r w:rsidRPr="00931A6A">
        <w:rPr>
          <w:sz w:val="28"/>
          <w:szCs w:val="28"/>
        </w:rPr>
        <w:t xml:space="preserve">The proposed amendments will, in some </w:t>
      </w:r>
      <w:r w:rsidR="008267FC" w:rsidRPr="00931A6A">
        <w:rPr>
          <w:sz w:val="28"/>
          <w:szCs w:val="28"/>
        </w:rPr>
        <w:t>ways</w:t>
      </w:r>
      <w:r w:rsidRPr="00931A6A">
        <w:rPr>
          <w:sz w:val="28"/>
          <w:szCs w:val="28"/>
        </w:rPr>
        <w:t xml:space="preserve">, make the </w:t>
      </w:r>
      <w:r w:rsidR="00BE3E93" w:rsidRPr="00931A6A">
        <w:rPr>
          <w:sz w:val="28"/>
          <w:szCs w:val="28"/>
        </w:rPr>
        <w:t>unauthorized practice of law</w:t>
      </w:r>
      <w:r w:rsidRPr="00931A6A">
        <w:rPr>
          <w:sz w:val="28"/>
          <w:szCs w:val="28"/>
        </w:rPr>
        <w:t xml:space="preserve"> rules </w:t>
      </w:r>
      <w:r w:rsidR="008267FC" w:rsidRPr="00931A6A">
        <w:rPr>
          <w:sz w:val="28"/>
          <w:szCs w:val="28"/>
        </w:rPr>
        <w:t xml:space="preserve">more </w:t>
      </w:r>
      <w:r w:rsidRPr="00931A6A">
        <w:rPr>
          <w:sz w:val="28"/>
          <w:szCs w:val="28"/>
        </w:rPr>
        <w:t>consistent with the lawyer discipline rules</w:t>
      </w:r>
      <w:r w:rsidR="002A4CDC" w:rsidRPr="00931A6A">
        <w:rPr>
          <w:sz w:val="28"/>
          <w:szCs w:val="28"/>
        </w:rPr>
        <w:t xml:space="preserve"> (</w:t>
      </w:r>
      <w:r w:rsidR="002A4CDC" w:rsidRPr="00931A6A">
        <w:rPr>
          <w:i/>
          <w:iCs/>
          <w:sz w:val="28"/>
          <w:szCs w:val="28"/>
        </w:rPr>
        <w:t>e.g.</w:t>
      </w:r>
      <w:r w:rsidR="002A4CDC" w:rsidRPr="00931A6A">
        <w:rPr>
          <w:sz w:val="28"/>
          <w:szCs w:val="28"/>
        </w:rPr>
        <w:t>, Rules 41 through 74)</w:t>
      </w:r>
      <w:r w:rsidRPr="00931A6A">
        <w:rPr>
          <w:sz w:val="28"/>
          <w:szCs w:val="28"/>
        </w:rPr>
        <w:t xml:space="preserve">. In addition, bar counsel should </w:t>
      </w:r>
      <w:r w:rsidR="002A4CDC" w:rsidRPr="00931A6A">
        <w:rPr>
          <w:sz w:val="28"/>
          <w:szCs w:val="28"/>
        </w:rPr>
        <w:t xml:space="preserve">be granted </w:t>
      </w:r>
      <w:r w:rsidR="008267FC" w:rsidRPr="00931A6A">
        <w:rPr>
          <w:sz w:val="28"/>
          <w:szCs w:val="28"/>
        </w:rPr>
        <w:t xml:space="preserve">some </w:t>
      </w:r>
      <w:r w:rsidRPr="00931A6A">
        <w:rPr>
          <w:sz w:val="28"/>
          <w:szCs w:val="28"/>
        </w:rPr>
        <w:t xml:space="preserve">discretion </w:t>
      </w:r>
      <w:r w:rsidR="00F43C3A" w:rsidRPr="00931A6A">
        <w:rPr>
          <w:sz w:val="28"/>
          <w:szCs w:val="28"/>
        </w:rPr>
        <w:t xml:space="preserve">in a few situations </w:t>
      </w:r>
      <w:r w:rsidRPr="00931A6A">
        <w:rPr>
          <w:sz w:val="28"/>
          <w:szCs w:val="28"/>
        </w:rPr>
        <w:t xml:space="preserve">where the current rules mandate </w:t>
      </w:r>
      <w:r w:rsidR="002A4CDC" w:rsidRPr="00931A6A">
        <w:rPr>
          <w:sz w:val="28"/>
          <w:szCs w:val="28"/>
        </w:rPr>
        <w:t xml:space="preserve">specific </w:t>
      </w:r>
      <w:r w:rsidRPr="00931A6A">
        <w:rPr>
          <w:sz w:val="28"/>
          <w:szCs w:val="28"/>
        </w:rPr>
        <w:t xml:space="preserve">action. Finally, the State Bar, and not the superior court, should be responsible for notifying </w:t>
      </w:r>
      <w:r w:rsidR="008267FC" w:rsidRPr="00931A6A">
        <w:rPr>
          <w:sz w:val="28"/>
          <w:szCs w:val="28"/>
        </w:rPr>
        <w:t xml:space="preserve">complainants and respondents about various </w:t>
      </w:r>
      <w:r w:rsidRPr="00931A6A">
        <w:rPr>
          <w:sz w:val="28"/>
          <w:szCs w:val="28"/>
        </w:rPr>
        <w:t>matters.</w:t>
      </w:r>
    </w:p>
    <w:p w14:paraId="0BD3E6EA" w14:textId="2648E509" w:rsidR="004331B2" w:rsidRPr="00931A6A" w:rsidRDefault="00631BF5" w:rsidP="008267FC">
      <w:pPr>
        <w:pStyle w:val="Body"/>
        <w:widowControl w:val="0"/>
        <w:spacing w:line="480" w:lineRule="auto"/>
        <w:ind w:left="187" w:right="187" w:firstLine="720"/>
        <w:jc w:val="both"/>
        <w:rPr>
          <w:rStyle w:val="BodyTextChar"/>
          <w:sz w:val="28"/>
          <w:szCs w:val="28"/>
        </w:rPr>
      </w:pPr>
      <w:r w:rsidRPr="00931A6A">
        <w:rPr>
          <w:sz w:val="28"/>
          <w:szCs w:val="28"/>
        </w:rPr>
        <w:t xml:space="preserve">The proposed </w:t>
      </w:r>
      <w:r w:rsidR="006A1F41" w:rsidRPr="00931A6A">
        <w:rPr>
          <w:sz w:val="28"/>
          <w:szCs w:val="28"/>
        </w:rPr>
        <w:t>amendments are reflected in legislative format</w:t>
      </w:r>
      <w:r w:rsidR="00F77CDE" w:rsidRPr="00931A6A">
        <w:rPr>
          <w:rStyle w:val="FootnoteReference"/>
          <w:sz w:val="28"/>
          <w:szCs w:val="28"/>
        </w:rPr>
        <w:footnoteReference w:id="1"/>
      </w:r>
      <w:r w:rsidR="006A1F41" w:rsidRPr="00931A6A">
        <w:rPr>
          <w:sz w:val="28"/>
          <w:szCs w:val="28"/>
        </w:rPr>
        <w:t xml:space="preserve"> in </w:t>
      </w:r>
      <w:r w:rsidR="00457C0C" w:rsidRPr="00931A6A">
        <w:rPr>
          <w:sz w:val="28"/>
          <w:szCs w:val="28"/>
        </w:rPr>
        <w:t>Appendix</w:t>
      </w:r>
      <w:r w:rsidR="006A1F41" w:rsidRPr="00931A6A">
        <w:rPr>
          <w:sz w:val="28"/>
          <w:szCs w:val="28"/>
        </w:rPr>
        <w:t xml:space="preserve"> A</w:t>
      </w:r>
      <w:r w:rsidR="000914EF" w:rsidRPr="00931A6A">
        <w:rPr>
          <w:sz w:val="28"/>
          <w:szCs w:val="28"/>
        </w:rPr>
        <w:t>.</w:t>
      </w:r>
      <w:r w:rsidR="006A1F41" w:rsidRPr="00931A6A">
        <w:rPr>
          <w:sz w:val="28"/>
          <w:szCs w:val="28"/>
        </w:rPr>
        <w:t xml:space="preserve"> </w:t>
      </w:r>
      <w:r w:rsidR="000914EF" w:rsidRPr="00931A6A">
        <w:rPr>
          <w:sz w:val="28"/>
          <w:szCs w:val="28"/>
        </w:rPr>
        <w:t xml:space="preserve">A set of the </w:t>
      </w:r>
      <w:r w:rsidR="006A1F41" w:rsidRPr="00931A6A">
        <w:rPr>
          <w:sz w:val="28"/>
          <w:szCs w:val="28"/>
        </w:rPr>
        <w:t>proposed amendments</w:t>
      </w:r>
      <w:r w:rsidR="000914EF" w:rsidRPr="00931A6A">
        <w:rPr>
          <w:sz w:val="28"/>
          <w:szCs w:val="28"/>
        </w:rPr>
        <w:t xml:space="preserve"> in final form</w:t>
      </w:r>
      <w:r w:rsidR="006A1F41" w:rsidRPr="00931A6A">
        <w:rPr>
          <w:sz w:val="28"/>
          <w:szCs w:val="28"/>
        </w:rPr>
        <w:t xml:space="preserve"> are set forth in </w:t>
      </w:r>
      <w:r w:rsidR="00457C0C" w:rsidRPr="00931A6A">
        <w:rPr>
          <w:sz w:val="28"/>
          <w:szCs w:val="28"/>
        </w:rPr>
        <w:t>Appendix</w:t>
      </w:r>
      <w:r w:rsidR="006A1F41" w:rsidRPr="00931A6A">
        <w:rPr>
          <w:sz w:val="28"/>
          <w:szCs w:val="28"/>
        </w:rPr>
        <w:t xml:space="preserve"> B</w:t>
      </w:r>
      <w:r w:rsidRPr="00931A6A">
        <w:rPr>
          <w:sz w:val="28"/>
          <w:szCs w:val="28"/>
        </w:rPr>
        <w:t>.</w:t>
      </w:r>
    </w:p>
    <w:p w14:paraId="27AC2563" w14:textId="69B37E06" w:rsidR="000D3531" w:rsidRPr="00931A6A" w:rsidRDefault="000D3531" w:rsidP="007050BD">
      <w:pPr>
        <w:pStyle w:val="Body"/>
        <w:widowControl w:val="0"/>
        <w:spacing w:line="480" w:lineRule="auto"/>
        <w:ind w:left="187" w:right="187" w:firstLine="0"/>
        <w:jc w:val="center"/>
        <w:rPr>
          <w:rStyle w:val="BodyTextChar"/>
          <w:bCs/>
          <w:sz w:val="28"/>
          <w:szCs w:val="28"/>
          <w:u w:val="single"/>
        </w:rPr>
      </w:pPr>
      <w:r w:rsidRPr="00931A6A">
        <w:rPr>
          <w:rStyle w:val="BodyTextChar"/>
          <w:bCs/>
          <w:sz w:val="28"/>
          <w:szCs w:val="28"/>
          <w:u w:val="single"/>
        </w:rPr>
        <w:t>Discussion of Need for Amendment</w:t>
      </w:r>
      <w:r w:rsidR="00F77CDE" w:rsidRPr="00931A6A">
        <w:rPr>
          <w:rStyle w:val="BodyTextChar"/>
          <w:bCs/>
          <w:sz w:val="28"/>
          <w:szCs w:val="28"/>
          <w:u w:val="single"/>
        </w:rPr>
        <w:t>s</w:t>
      </w:r>
    </w:p>
    <w:p w14:paraId="4C667B04" w14:textId="135F7757" w:rsidR="00461241" w:rsidRPr="00931A6A" w:rsidRDefault="00461241" w:rsidP="008942ED">
      <w:pPr>
        <w:spacing w:line="480" w:lineRule="auto"/>
        <w:ind w:left="180" w:right="180" w:firstLine="540"/>
        <w:jc w:val="both"/>
        <w:rPr>
          <w:sz w:val="28"/>
          <w:szCs w:val="28"/>
        </w:rPr>
      </w:pPr>
      <w:r w:rsidRPr="00931A6A">
        <w:rPr>
          <w:sz w:val="28"/>
          <w:szCs w:val="28"/>
          <w:u w:val="single"/>
        </w:rPr>
        <w:t>Rule 75(b)(10)</w:t>
      </w:r>
      <w:r w:rsidRPr="00931A6A">
        <w:rPr>
          <w:sz w:val="28"/>
          <w:szCs w:val="28"/>
        </w:rPr>
        <w:t xml:space="preserve"> – The inclusion of a reference to the court of appeals is appropriate and necessary because orders </w:t>
      </w:r>
      <w:r w:rsidR="00827DBD" w:rsidRPr="00931A6A">
        <w:rPr>
          <w:sz w:val="28"/>
          <w:szCs w:val="28"/>
        </w:rPr>
        <w:t>may</w:t>
      </w:r>
      <w:r w:rsidRPr="00931A6A">
        <w:rPr>
          <w:sz w:val="28"/>
          <w:szCs w:val="28"/>
        </w:rPr>
        <w:t xml:space="preserve"> be issued by that court</w:t>
      </w:r>
      <w:r w:rsidR="00827DBD" w:rsidRPr="00931A6A">
        <w:rPr>
          <w:sz w:val="28"/>
          <w:szCs w:val="28"/>
        </w:rPr>
        <w:t xml:space="preserve"> (</w:t>
      </w:r>
      <w:r w:rsidR="00827DBD" w:rsidRPr="00931A6A">
        <w:rPr>
          <w:i/>
          <w:iCs/>
          <w:sz w:val="28"/>
          <w:szCs w:val="28"/>
        </w:rPr>
        <w:t>e.g.</w:t>
      </w:r>
      <w:r w:rsidR="00827DBD" w:rsidRPr="00931A6A">
        <w:rPr>
          <w:sz w:val="28"/>
          <w:szCs w:val="28"/>
        </w:rPr>
        <w:t>, in the case of special actions or appeals)</w:t>
      </w:r>
      <w:r w:rsidRPr="00931A6A">
        <w:rPr>
          <w:sz w:val="28"/>
          <w:szCs w:val="28"/>
        </w:rPr>
        <w:t xml:space="preserve">. </w:t>
      </w:r>
      <w:r w:rsidRPr="00931A6A">
        <w:rPr>
          <w:i/>
          <w:iCs/>
          <w:sz w:val="28"/>
          <w:szCs w:val="28"/>
        </w:rPr>
        <w:t>See</w:t>
      </w:r>
      <w:r w:rsidRPr="00931A6A">
        <w:rPr>
          <w:sz w:val="28"/>
          <w:szCs w:val="28"/>
        </w:rPr>
        <w:t xml:space="preserve"> Rule 79(g) (“Final orders or judgments issued by the superior court in unauthorized practice of law proceedings shall be reviewable by the court of appeals and this court pursuant to the Arizona Rules of Civil Appellate Procedure.”).</w:t>
      </w:r>
    </w:p>
    <w:p w14:paraId="741F2264" w14:textId="6BA07806" w:rsidR="001B5097" w:rsidRPr="00931A6A" w:rsidRDefault="001B5097" w:rsidP="001B5097">
      <w:pPr>
        <w:spacing w:line="480" w:lineRule="auto"/>
        <w:ind w:left="180" w:right="180" w:firstLine="540"/>
        <w:jc w:val="both"/>
        <w:rPr>
          <w:sz w:val="28"/>
          <w:szCs w:val="28"/>
        </w:rPr>
      </w:pPr>
      <w:r w:rsidRPr="00931A6A">
        <w:rPr>
          <w:sz w:val="28"/>
          <w:szCs w:val="28"/>
          <w:u w:val="single"/>
        </w:rPr>
        <w:t>Rule 76(a)(2)</w:t>
      </w:r>
      <w:r w:rsidRPr="00931A6A">
        <w:rPr>
          <w:sz w:val="28"/>
          <w:szCs w:val="28"/>
        </w:rPr>
        <w:t xml:space="preserve"> – “Entity” has been added to include entities that are not alternative business structures.</w:t>
      </w:r>
    </w:p>
    <w:p w14:paraId="570AB7A9" w14:textId="2ECFB089" w:rsidR="00461241" w:rsidRPr="00931A6A" w:rsidRDefault="00461241" w:rsidP="008942ED">
      <w:pPr>
        <w:spacing w:line="480" w:lineRule="auto"/>
        <w:ind w:left="180" w:right="180" w:firstLine="540"/>
        <w:jc w:val="both"/>
        <w:rPr>
          <w:sz w:val="28"/>
          <w:szCs w:val="28"/>
        </w:rPr>
      </w:pPr>
      <w:r w:rsidRPr="00931A6A">
        <w:rPr>
          <w:sz w:val="28"/>
          <w:szCs w:val="28"/>
          <w:u w:val="single"/>
        </w:rPr>
        <w:t>Rule 76(a)(5)</w:t>
      </w:r>
      <w:r w:rsidRPr="00931A6A">
        <w:rPr>
          <w:sz w:val="28"/>
          <w:szCs w:val="28"/>
        </w:rPr>
        <w:t xml:space="preserve"> – The inclusion of a reference to cease and desist orders is appropriate and necessary because the superior court may enter</w:t>
      </w:r>
      <w:r w:rsidR="00E52631" w:rsidRPr="00931A6A">
        <w:rPr>
          <w:sz w:val="28"/>
          <w:szCs w:val="28"/>
        </w:rPr>
        <w:t>, as a sanction,</w:t>
      </w:r>
      <w:r w:rsidRPr="00931A6A">
        <w:rPr>
          <w:sz w:val="28"/>
          <w:szCs w:val="28"/>
        </w:rPr>
        <w:t xml:space="preserve"> a cease and desist order without including injunctive relief language.</w:t>
      </w:r>
    </w:p>
    <w:p w14:paraId="6D7FC7F2" w14:textId="3A5DAB4E" w:rsidR="00461241" w:rsidRPr="00931A6A" w:rsidRDefault="00461241" w:rsidP="008942ED">
      <w:pPr>
        <w:spacing w:line="480" w:lineRule="auto"/>
        <w:ind w:left="180" w:right="180" w:firstLine="540"/>
        <w:jc w:val="both"/>
        <w:rPr>
          <w:sz w:val="28"/>
          <w:szCs w:val="28"/>
        </w:rPr>
      </w:pPr>
      <w:r w:rsidRPr="00931A6A">
        <w:rPr>
          <w:sz w:val="28"/>
          <w:szCs w:val="28"/>
          <w:u w:val="single"/>
        </w:rPr>
        <w:t xml:space="preserve">Rule 76(b)(1) (and elsewhere in the </w:t>
      </w:r>
      <w:r w:rsidR="00BE3E93" w:rsidRPr="00931A6A">
        <w:rPr>
          <w:sz w:val="28"/>
          <w:szCs w:val="28"/>
          <w:u w:val="single"/>
        </w:rPr>
        <w:t>unauthorized practice of law</w:t>
      </w:r>
      <w:r w:rsidRPr="00931A6A">
        <w:rPr>
          <w:sz w:val="28"/>
          <w:szCs w:val="28"/>
          <w:u w:val="single"/>
        </w:rPr>
        <w:t xml:space="preserve"> rules)</w:t>
      </w:r>
      <w:r w:rsidRPr="00931A6A">
        <w:rPr>
          <w:sz w:val="28"/>
          <w:szCs w:val="28"/>
        </w:rPr>
        <w:t xml:space="preserve"> – The reference to a “Consent to Cease and Desist Agreement” has been shortened to “Consent Agreement.” The requirement that a consent agreement be filed “prior to formal proceedings” </w:t>
      </w:r>
      <w:r w:rsidR="00827DBD" w:rsidRPr="00931A6A">
        <w:rPr>
          <w:sz w:val="28"/>
          <w:szCs w:val="28"/>
        </w:rPr>
        <w:t xml:space="preserve">has been </w:t>
      </w:r>
      <w:r w:rsidRPr="00931A6A">
        <w:rPr>
          <w:sz w:val="28"/>
          <w:szCs w:val="28"/>
        </w:rPr>
        <w:t xml:space="preserve">eliminated to allow the State Bar and respondents to enter into an agreed disposition of an unauthorized practice of law proceeding subsequent to a complaint being filed in superior court. The </w:t>
      </w:r>
      <w:r w:rsidR="00827DBD" w:rsidRPr="00931A6A">
        <w:rPr>
          <w:sz w:val="28"/>
          <w:szCs w:val="28"/>
        </w:rPr>
        <w:t xml:space="preserve">addition of “the </w:t>
      </w:r>
      <w:r w:rsidRPr="00931A6A">
        <w:rPr>
          <w:sz w:val="28"/>
          <w:szCs w:val="28"/>
        </w:rPr>
        <w:t>entry of an injunction or finding of contempt</w:t>
      </w:r>
      <w:r w:rsidR="00827DBD" w:rsidRPr="00931A6A">
        <w:rPr>
          <w:sz w:val="28"/>
          <w:szCs w:val="28"/>
        </w:rPr>
        <w:t>, or any other sanction agreed to by the parties</w:t>
      </w:r>
      <w:r w:rsidRPr="00931A6A">
        <w:rPr>
          <w:sz w:val="28"/>
          <w:szCs w:val="28"/>
        </w:rPr>
        <w:t>” expands the sanctions</w:t>
      </w:r>
      <w:r w:rsidR="00827DBD" w:rsidRPr="00931A6A">
        <w:rPr>
          <w:sz w:val="28"/>
          <w:szCs w:val="28"/>
        </w:rPr>
        <w:t xml:space="preserve"> available to the superior court</w:t>
      </w:r>
      <w:r w:rsidRPr="00931A6A">
        <w:rPr>
          <w:sz w:val="28"/>
          <w:szCs w:val="28"/>
        </w:rPr>
        <w:t xml:space="preserve"> to include injunctive relief and use of consent agreements in contempt proceedings.</w:t>
      </w:r>
    </w:p>
    <w:p w14:paraId="14DCFD2F" w14:textId="619E3F9E" w:rsidR="00461241" w:rsidRPr="00931A6A" w:rsidRDefault="00461241" w:rsidP="008942ED">
      <w:pPr>
        <w:spacing w:line="480" w:lineRule="auto"/>
        <w:ind w:left="180" w:right="180" w:firstLine="540"/>
        <w:jc w:val="both"/>
        <w:rPr>
          <w:sz w:val="28"/>
          <w:szCs w:val="28"/>
        </w:rPr>
      </w:pPr>
      <w:r w:rsidRPr="00931A6A">
        <w:rPr>
          <w:sz w:val="28"/>
          <w:szCs w:val="28"/>
          <w:u w:val="single"/>
        </w:rPr>
        <w:t>Rule 76(b)(2)(C)</w:t>
      </w:r>
      <w:r w:rsidRPr="00931A6A">
        <w:rPr>
          <w:sz w:val="28"/>
          <w:szCs w:val="28"/>
        </w:rPr>
        <w:t xml:space="preserve"> – The inclusion of</w:t>
      </w:r>
      <w:r w:rsidR="00E44026" w:rsidRPr="00931A6A">
        <w:rPr>
          <w:sz w:val="28"/>
          <w:szCs w:val="28"/>
        </w:rPr>
        <w:t xml:space="preserve"> the phrase </w:t>
      </w:r>
      <w:r w:rsidRPr="00931A6A">
        <w:rPr>
          <w:sz w:val="28"/>
          <w:szCs w:val="28"/>
        </w:rPr>
        <w:t xml:space="preserve">“Internet sites, including social media” </w:t>
      </w:r>
      <w:r w:rsidR="00E44026" w:rsidRPr="00931A6A">
        <w:rPr>
          <w:sz w:val="28"/>
          <w:szCs w:val="28"/>
        </w:rPr>
        <w:t xml:space="preserve">would </w:t>
      </w:r>
      <w:r w:rsidR="00827DBD" w:rsidRPr="00931A6A">
        <w:rPr>
          <w:sz w:val="28"/>
          <w:szCs w:val="28"/>
        </w:rPr>
        <w:t>allow the superior court to order a respondent to cease the use of titles or descriptions on the Internet, as well as on “advertising, business cards, and letterhead</w:t>
      </w:r>
      <w:r w:rsidR="004E2B42" w:rsidRPr="00931A6A">
        <w:rPr>
          <w:sz w:val="28"/>
          <w:szCs w:val="28"/>
        </w:rPr>
        <w:t>,</w:t>
      </w:r>
      <w:r w:rsidR="00FA34B3" w:rsidRPr="00931A6A">
        <w:rPr>
          <w:sz w:val="28"/>
          <w:szCs w:val="28"/>
        </w:rPr>
        <w:t>”</w:t>
      </w:r>
      <w:r w:rsidR="004E2B42" w:rsidRPr="00931A6A">
        <w:rPr>
          <w:sz w:val="28"/>
          <w:szCs w:val="28"/>
        </w:rPr>
        <w:t xml:space="preserve"> that may otherwise </w:t>
      </w:r>
      <w:r w:rsidRPr="00931A6A">
        <w:rPr>
          <w:sz w:val="28"/>
          <w:szCs w:val="28"/>
        </w:rPr>
        <w:t xml:space="preserve">lead a reasonable person to believe that </w:t>
      </w:r>
      <w:r w:rsidR="009C061E" w:rsidRPr="00931A6A">
        <w:rPr>
          <w:sz w:val="28"/>
          <w:szCs w:val="28"/>
        </w:rPr>
        <w:t>the respondent</w:t>
      </w:r>
      <w:r w:rsidRPr="00931A6A">
        <w:rPr>
          <w:sz w:val="28"/>
          <w:szCs w:val="28"/>
        </w:rPr>
        <w:t xml:space="preserve"> may engage in the practice of law in Arizona.</w:t>
      </w:r>
    </w:p>
    <w:p w14:paraId="0EFB88B3" w14:textId="77777777" w:rsidR="00931A6A" w:rsidRPr="00931A6A" w:rsidRDefault="00931A6A" w:rsidP="008942ED">
      <w:pPr>
        <w:spacing w:line="480" w:lineRule="auto"/>
        <w:ind w:left="180" w:right="180" w:firstLine="540"/>
        <w:jc w:val="both"/>
        <w:rPr>
          <w:sz w:val="28"/>
          <w:szCs w:val="28"/>
        </w:rPr>
      </w:pPr>
    </w:p>
    <w:p w14:paraId="29A58B37" w14:textId="0E5C0A92" w:rsidR="00461241" w:rsidRPr="00931A6A" w:rsidRDefault="00461241" w:rsidP="008942ED">
      <w:pPr>
        <w:spacing w:line="480" w:lineRule="auto"/>
        <w:ind w:left="180" w:right="180" w:firstLine="540"/>
        <w:jc w:val="both"/>
        <w:rPr>
          <w:sz w:val="28"/>
          <w:szCs w:val="28"/>
        </w:rPr>
      </w:pPr>
      <w:r w:rsidRPr="00931A6A">
        <w:rPr>
          <w:sz w:val="28"/>
          <w:szCs w:val="28"/>
          <w:u w:val="single"/>
        </w:rPr>
        <w:t>Rule 76(b)(4)</w:t>
      </w:r>
      <w:r w:rsidRPr="00931A6A">
        <w:rPr>
          <w:sz w:val="28"/>
          <w:szCs w:val="28"/>
        </w:rPr>
        <w:t xml:space="preserve"> – The expansion of contempt to include criminal contempt is appropriate and necessary to address nonlawyers and entities </w:t>
      </w:r>
      <w:r w:rsidR="004E2B42" w:rsidRPr="00931A6A">
        <w:rPr>
          <w:sz w:val="28"/>
          <w:szCs w:val="28"/>
        </w:rPr>
        <w:t xml:space="preserve">that </w:t>
      </w:r>
      <w:r w:rsidRPr="00931A6A">
        <w:rPr>
          <w:sz w:val="28"/>
          <w:szCs w:val="28"/>
        </w:rPr>
        <w:t xml:space="preserve">fail to comply with a superior court’s order directing them to refrain from engaging in the unauthorized practice of law. </w:t>
      </w:r>
      <w:r w:rsidR="004E2B42" w:rsidRPr="00931A6A">
        <w:rPr>
          <w:sz w:val="28"/>
          <w:szCs w:val="28"/>
        </w:rPr>
        <w:t>The State Bar</w:t>
      </w:r>
      <w:r w:rsidR="004D57DE" w:rsidRPr="00931A6A">
        <w:rPr>
          <w:sz w:val="28"/>
          <w:szCs w:val="28"/>
        </w:rPr>
        <w:t>’s efforts have</w:t>
      </w:r>
      <w:r w:rsidR="004E2B42" w:rsidRPr="00931A6A">
        <w:rPr>
          <w:sz w:val="28"/>
          <w:szCs w:val="28"/>
        </w:rPr>
        <w:t xml:space="preserve"> been frustrated</w:t>
      </w:r>
      <w:r w:rsidR="004D57DE" w:rsidRPr="00931A6A">
        <w:rPr>
          <w:sz w:val="28"/>
          <w:szCs w:val="28"/>
        </w:rPr>
        <w:t>,</w:t>
      </w:r>
      <w:r w:rsidR="004E2B42" w:rsidRPr="00931A6A">
        <w:rPr>
          <w:sz w:val="28"/>
          <w:szCs w:val="28"/>
        </w:rPr>
        <w:t xml:space="preserve"> on occasion</w:t>
      </w:r>
      <w:r w:rsidR="004D57DE" w:rsidRPr="00931A6A">
        <w:rPr>
          <w:sz w:val="28"/>
          <w:szCs w:val="28"/>
        </w:rPr>
        <w:t>,</w:t>
      </w:r>
      <w:r w:rsidR="004E2B42" w:rsidRPr="00931A6A">
        <w:rPr>
          <w:sz w:val="28"/>
          <w:szCs w:val="28"/>
        </w:rPr>
        <w:t xml:space="preserve"> </w:t>
      </w:r>
      <w:r w:rsidR="002D5A6D" w:rsidRPr="00931A6A">
        <w:rPr>
          <w:sz w:val="28"/>
          <w:szCs w:val="28"/>
        </w:rPr>
        <w:t>in attempts</w:t>
      </w:r>
      <w:r w:rsidR="004E2B42" w:rsidRPr="00931A6A">
        <w:rPr>
          <w:sz w:val="28"/>
          <w:szCs w:val="28"/>
        </w:rPr>
        <w:t xml:space="preserve"> to prohibit a specific person or entity from engaging in the unauthorized practice of law based solely on </w:t>
      </w:r>
      <w:r w:rsidR="00967538" w:rsidRPr="00931A6A">
        <w:rPr>
          <w:sz w:val="28"/>
          <w:szCs w:val="28"/>
        </w:rPr>
        <w:t xml:space="preserve">a cease and desist order, permanent injunction and </w:t>
      </w:r>
      <w:r w:rsidR="004E2B42" w:rsidRPr="00931A6A">
        <w:rPr>
          <w:sz w:val="28"/>
          <w:szCs w:val="28"/>
        </w:rPr>
        <w:t xml:space="preserve">civil contempt order. </w:t>
      </w:r>
      <w:r w:rsidR="00967538" w:rsidRPr="00931A6A">
        <w:rPr>
          <w:sz w:val="28"/>
          <w:szCs w:val="28"/>
        </w:rPr>
        <w:t xml:space="preserve">Certain </w:t>
      </w:r>
      <w:r w:rsidRPr="00931A6A">
        <w:rPr>
          <w:sz w:val="28"/>
          <w:szCs w:val="28"/>
        </w:rPr>
        <w:t xml:space="preserve">nonlawyers </w:t>
      </w:r>
      <w:r w:rsidR="00967538" w:rsidRPr="00931A6A">
        <w:rPr>
          <w:sz w:val="28"/>
          <w:szCs w:val="28"/>
        </w:rPr>
        <w:t>have</w:t>
      </w:r>
      <w:r w:rsidR="004E2B42" w:rsidRPr="00931A6A">
        <w:rPr>
          <w:sz w:val="28"/>
          <w:szCs w:val="28"/>
        </w:rPr>
        <w:t xml:space="preserve"> </w:t>
      </w:r>
      <w:r w:rsidRPr="00931A6A">
        <w:rPr>
          <w:sz w:val="28"/>
          <w:szCs w:val="28"/>
        </w:rPr>
        <w:t>openly refuse</w:t>
      </w:r>
      <w:r w:rsidR="00967538" w:rsidRPr="00931A6A">
        <w:rPr>
          <w:sz w:val="28"/>
          <w:szCs w:val="28"/>
        </w:rPr>
        <w:t>d</w:t>
      </w:r>
      <w:r w:rsidRPr="00931A6A">
        <w:rPr>
          <w:sz w:val="28"/>
          <w:szCs w:val="28"/>
        </w:rPr>
        <w:t xml:space="preserve"> to comply with a cease and desist order</w:t>
      </w:r>
      <w:r w:rsidR="004E2B42" w:rsidRPr="00931A6A">
        <w:rPr>
          <w:sz w:val="28"/>
          <w:szCs w:val="28"/>
        </w:rPr>
        <w:t>,</w:t>
      </w:r>
      <w:r w:rsidRPr="00931A6A">
        <w:rPr>
          <w:sz w:val="28"/>
          <w:szCs w:val="28"/>
        </w:rPr>
        <w:t xml:space="preserve"> permanent injunction</w:t>
      </w:r>
      <w:r w:rsidR="004E2B42" w:rsidRPr="00931A6A">
        <w:rPr>
          <w:sz w:val="28"/>
          <w:szCs w:val="28"/>
        </w:rPr>
        <w:t xml:space="preserve"> or civil contempt order, and </w:t>
      </w:r>
      <w:r w:rsidRPr="00931A6A">
        <w:rPr>
          <w:sz w:val="28"/>
          <w:szCs w:val="28"/>
        </w:rPr>
        <w:t xml:space="preserve">have stated or indicated they do not intend to comply with such orders. </w:t>
      </w:r>
      <w:r w:rsidR="004417FE" w:rsidRPr="00931A6A">
        <w:rPr>
          <w:sz w:val="28"/>
          <w:szCs w:val="28"/>
        </w:rPr>
        <w:t>For example, m</w:t>
      </w:r>
      <w:r w:rsidRPr="00931A6A">
        <w:rPr>
          <w:sz w:val="28"/>
          <w:szCs w:val="28"/>
        </w:rPr>
        <w:t xml:space="preserve">ultiple </w:t>
      </w:r>
      <w:r w:rsidR="004E2B42" w:rsidRPr="00931A6A">
        <w:rPr>
          <w:sz w:val="28"/>
          <w:szCs w:val="28"/>
        </w:rPr>
        <w:t xml:space="preserve">findings </w:t>
      </w:r>
      <w:r w:rsidRPr="00931A6A">
        <w:rPr>
          <w:sz w:val="28"/>
          <w:szCs w:val="28"/>
        </w:rPr>
        <w:t>of civil contempt ha</w:t>
      </w:r>
      <w:r w:rsidR="00F77CDE" w:rsidRPr="00931A6A">
        <w:rPr>
          <w:sz w:val="28"/>
          <w:szCs w:val="28"/>
        </w:rPr>
        <w:t>ve</w:t>
      </w:r>
      <w:r w:rsidRPr="00931A6A">
        <w:rPr>
          <w:sz w:val="28"/>
          <w:szCs w:val="28"/>
        </w:rPr>
        <w:t xml:space="preserve"> not stopped one nonlawyer from continuing to engage in the unauthorized practice of law as a business. The </w:t>
      </w:r>
      <w:r w:rsidR="00967538" w:rsidRPr="00931A6A">
        <w:rPr>
          <w:sz w:val="28"/>
          <w:szCs w:val="28"/>
        </w:rPr>
        <w:t xml:space="preserve">addition of the phrase </w:t>
      </w:r>
      <w:r w:rsidRPr="00931A6A">
        <w:rPr>
          <w:sz w:val="28"/>
          <w:szCs w:val="28"/>
        </w:rPr>
        <w:t>“the imposition of any other sanction authorized by law” is necessary to allow the superior courts, in contempt proceedings, to impose sanctions beyond those specifically enumerated in Rule 76(b).</w:t>
      </w:r>
    </w:p>
    <w:p w14:paraId="23D5A91D" w14:textId="48AE49E1" w:rsidR="00263892" w:rsidRPr="00931A6A" w:rsidRDefault="00263892" w:rsidP="008942ED">
      <w:pPr>
        <w:spacing w:line="480" w:lineRule="auto"/>
        <w:ind w:left="180" w:right="180" w:firstLine="540"/>
        <w:jc w:val="both"/>
        <w:rPr>
          <w:sz w:val="28"/>
          <w:szCs w:val="28"/>
        </w:rPr>
      </w:pPr>
      <w:r w:rsidRPr="00931A6A">
        <w:rPr>
          <w:sz w:val="28"/>
          <w:szCs w:val="28"/>
          <w:u w:val="single"/>
        </w:rPr>
        <w:t>Rule 76(b)(6)</w:t>
      </w:r>
      <w:r w:rsidRPr="00931A6A">
        <w:rPr>
          <w:sz w:val="28"/>
          <w:szCs w:val="28"/>
        </w:rPr>
        <w:t xml:space="preserve"> – The rule, effective January 1, 2021, references the disposition of civil penalties against alternative business structures and civil fines against legal paraprofessionals, but does not state the disposition of fines imposed on all other individuals and entities. Due to a lack of clarity in the current </w:t>
      </w:r>
      <w:r w:rsidR="008E1588" w:rsidRPr="00931A6A">
        <w:rPr>
          <w:sz w:val="28"/>
          <w:szCs w:val="28"/>
        </w:rPr>
        <w:t xml:space="preserve">rule </w:t>
      </w:r>
      <w:r w:rsidRPr="00931A6A">
        <w:rPr>
          <w:sz w:val="28"/>
          <w:szCs w:val="28"/>
        </w:rPr>
        <w:t xml:space="preserve">regarding civil </w:t>
      </w:r>
      <w:r w:rsidR="008E1588" w:rsidRPr="00931A6A">
        <w:rPr>
          <w:sz w:val="28"/>
          <w:szCs w:val="28"/>
        </w:rPr>
        <w:t>penalties for other respondents</w:t>
      </w:r>
      <w:r w:rsidRPr="00931A6A">
        <w:rPr>
          <w:sz w:val="28"/>
          <w:szCs w:val="28"/>
        </w:rPr>
        <w:t xml:space="preserve">, </w:t>
      </w:r>
      <w:r w:rsidR="008E1588" w:rsidRPr="00931A6A">
        <w:rPr>
          <w:sz w:val="28"/>
          <w:szCs w:val="28"/>
        </w:rPr>
        <w:t xml:space="preserve">penalties </w:t>
      </w:r>
      <w:r w:rsidRPr="00931A6A">
        <w:rPr>
          <w:sz w:val="28"/>
          <w:szCs w:val="28"/>
        </w:rPr>
        <w:t>have been imposed with payment to the State Bar in at least one case and to the clerk of a superior court in another case.</w:t>
      </w:r>
    </w:p>
    <w:p w14:paraId="33294457" w14:textId="6522CC35" w:rsidR="00461241" w:rsidRPr="00931A6A" w:rsidRDefault="00461241" w:rsidP="008942ED">
      <w:pPr>
        <w:spacing w:line="480" w:lineRule="auto"/>
        <w:ind w:left="180" w:right="180" w:firstLine="540"/>
        <w:jc w:val="both"/>
        <w:rPr>
          <w:sz w:val="28"/>
          <w:szCs w:val="28"/>
        </w:rPr>
      </w:pPr>
      <w:r w:rsidRPr="00931A6A">
        <w:rPr>
          <w:sz w:val="28"/>
          <w:szCs w:val="28"/>
          <w:u w:val="single"/>
        </w:rPr>
        <w:t>Rule 76(b)(7)</w:t>
      </w:r>
      <w:r w:rsidRPr="00931A6A">
        <w:rPr>
          <w:sz w:val="28"/>
          <w:szCs w:val="28"/>
        </w:rPr>
        <w:t xml:space="preserve"> – The State Bar should </w:t>
      </w:r>
      <w:r w:rsidR="00967538" w:rsidRPr="00931A6A">
        <w:rPr>
          <w:sz w:val="28"/>
          <w:szCs w:val="28"/>
        </w:rPr>
        <w:t xml:space="preserve">be granted </w:t>
      </w:r>
      <w:r w:rsidRPr="00931A6A">
        <w:rPr>
          <w:sz w:val="28"/>
          <w:szCs w:val="28"/>
        </w:rPr>
        <w:t>the discretion to waive the imposition of costs, expenses and attorney’s fees. The State Bar’s waiver of the imposition of costs, expenses and attorney’s fees is often a contributing factor in respondents entering into consent agreements</w:t>
      </w:r>
      <w:r w:rsidR="008E1588" w:rsidRPr="00931A6A">
        <w:rPr>
          <w:sz w:val="28"/>
          <w:szCs w:val="28"/>
        </w:rPr>
        <w:t>.</w:t>
      </w:r>
      <w:r w:rsidRPr="00931A6A">
        <w:rPr>
          <w:sz w:val="28"/>
          <w:szCs w:val="28"/>
        </w:rPr>
        <w:t xml:space="preserve"> </w:t>
      </w:r>
      <w:r w:rsidR="008E1588" w:rsidRPr="00931A6A">
        <w:rPr>
          <w:sz w:val="28"/>
          <w:szCs w:val="28"/>
        </w:rPr>
        <w:t>Such agreements</w:t>
      </w:r>
      <w:r w:rsidRPr="00931A6A">
        <w:rPr>
          <w:sz w:val="28"/>
          <w:szCs w:val="28"/>
        </w:rPr>
        <w:t xml:space="preserve"> accomplish the goals that would be sought at trial and reduce the expenditure of resources by the State Bar and the </w:t>
      </w:r>
      <w:r w:rsidR="00967538" w:rsidRPr="00931A6A">
        <w:rPr>
          <w:sz w:val="28"/>
          <w:szCs w:val="28"/>
        </w:rPr>
        <w:t xml:space="preserve">superior </w:t>
      </w:r>
      <w:r w:rsidRPr="00931A6A">
        <w:rPr>
          <w:sz w:val="28"/>
          <w:szCs w:val="28"/>
        </w:rPr>
        <w:t>courts.</w:t>
      </w:r>
      <w:r w:rsidR="008E1588" w:rsidRPr="00931A6A">
        <w:rPr>
          <w:sz w:val="28"/>
          <w:szCs w:val="28"/>
        </w:rPr>
        <w:t xml:space="preserve"> It is </w:t>
      </w:r>
      <w:r w:rsidR="003B0D3C" w:rsidRPr="00931A6A">
        <w:rPr>
          <w:sz w:val="28"/>
          <w:szCs w:val="28"/>
        </w:rPr>
        <w:t xml:space="preserve">also </w:t>
      </w:r>
      <w:r w:rsidR="008E1588" w:rsidRPr="00931A6A">
        <w:rPr>
          <w:sz w:val="28"/>
          <w:szCs w:val="28"/>
        </w:rPr>
        <w:t xml:space="preserve">a practice which is </w:t>
      </w:r>
      <w:r w:rsidR="003B0D3C" w:rsidRPr="00931A6A">
        <w:rPr>
          <w:sz w:val="28"/>
          <w:szCs w:val="28"/>
        </w:rPr>
        <w:t>consistent with disciplinary sanctions against attorneys (Rule 60(d)).</w:t>
      </w:r>
    </w:p>
    <w:p w14:paraId="29B50361" w14:textId="039AEF57" w:rsidR="00461241" w:rsidRPr="00931A6A" w:rsidRDefault="00461241" w:rsidP="008942ED">
      <w:pPr>
        <w:spacing w:line="480" w:lineRule="auto"/>
        <w:ind w:left="180" w:right="180" w:firstLine="540"/>
        <w:jc w:val="both"/>
        <w:rPr>
          <w:sz w:val="28"/>
          <w:szCs w:val="28"/>
        </w:rPr>
      </w:pPr>
      <w:r w:rsidRPr="00931A6A">
        <w:rPr>
          <w:sz w:val="28"/>
          <w:szCs w:val="28"/>
          <w:u w:val="single"/>
        </w:rPr>
        <w:t>Rule 76(c)</w:t>
      </w:r>
      <w:r w:rsidRPr="00931A6A">
        <w:rPr>
          <w:sz w:val="28"/>
          <w:szCs w:val="28"/>
        </w:rPr>
        <w:t xml:space="preserve"> – It is appropriate and necessary to change “Cease and Desist Sanction”</w:t>
      </w:r>
      <w:r w:rsidR="00967538" w:rsidRPr="00931A6A">
        <w:rPr>
          <w:sz w:val="28"/>
          <w:szCs w:val="28"/>
        </w:rPr>
        <w:t xml:space="preserve"> in the title</w:t>
      </w:r>
      <w:r w:rsidRPr="00931A6A">
        <w:rPr>
          <w:sz w:val="28"/>
          <w:szCs w:val="28"/>
        </w:rPr>
        <w:t xml:space="preserve"> to “Orders and Judgments” to more accurately reflect </w:t>
      </w:r>
      <w:r w:rsidR="00967538" w:rsidRPr="00931A6A">
        <w:rPr>
          <w:sz w:val="28"/>
          <w:szCs w:val="28"/>
        </w:rPr>
        <w:t xml:space="preserve">the variety of </w:t>
      </w:r>
      <w:r w:rsidRPr="00931A6A">
        <w:rPr>
          <w:sz w:val="28"/>
          <w:szCs w:val="28"/>
        </w:rPr>
        <w:t xml:space="preserve">orders that may be entered by a </w:t>
      </w:r>
      <w:r w:rsidR="00967538" w:rsidRPr="00931A6A">
        <w:rPr>
          <w:sz w:val="28"/>
          <w:szCs w:val="28"/>
        </w:rPr>
        <w:t xml:space="preserve">superior </w:t>
      </w:r>
      <w:r w:rsidRPr="00931A6A">
        <w:rPr>
          <w:sz w:val="28"/>
          <w:szCs w:val="28"/>
        </w:rPr>
        <w:t xml:space="preserve">court. The </w:t>
      </w:r>
      <w:r w:rsidR="00967538" w:rsidRPr="00931A6A">
        <w:rPr>
          <w:sz w:val="28"/>
          <w:szCs w:val="28"/>
        </w:rPr>
        <w:t xml:space="preserve">proposed </w:t>
      </w:r>
      <w:r w:rsidRPr="00931A6A">
        <w:rPr>
          <w:sz w:val="28"/>
          <w:szCs w:val="28"/>
        </w:rPr>
        <w:t>amendment clarif</w:t>
      </w:r>
      <w:r w:rsidR="00967538" w:rsidRPr="00931A6A">
        <w:rPr>
          <w:sz w:val="28"/>
          <w:szCs w:val="28"/>
        </w:rPr>
        <w:t>ies</w:t>
      </w:r>
      <w:r w:rsidRPr="00931A6A">
        <w:rPr>
          <w:sz w:val="28"/>
          <w:szCs w:val="28"/>
        </w:rPr>
        <w:t xml:space="preserve"> the effective dates of orders and judgments that do not include a cease and desist sanction</w:t>
      </w:r>
      <w:r w:rsidR="00B602EB" w:rsidRPr="00931A6A">
        <w:rPr>
          <w:sz w:val="28"/>
          <w:szCs w:val="28"/>
        </w:rPr>
        <w:t>, avoiding ambiguity with the “immediate” requirement for a cease and desist order under Rule 76(b)(2)</w:t>
      </w:r>
      <w:r w:rsidRPr="00931A6A">
        <w:rPr>
          <w:sz w:val="28"/>
          <w:szCs w:val="28"/>
        </w:rPr>
        <w:t>.</w:t>
      </w:r>
    </w:p>
    <w:p w14:paraId="24671ECD" w14:textId="07075867" w:rsidR="00461241" w:rsidRPr="00931A6A" w:rsidRDefault="00461241" w:rsidP="008942ED">
      <w:pPr>
        <w:spacing w:line="480" w:lineRule="auto"/>
        <w:ind w:left="180" w:right="180" w:firstLine="540"/>
        <w:jc w:val="both"/>
        <w:rPr>
          <w:sz w:val="28"/>
          <w:szCs w:val="28"/>
        </w:rPr>
      </w:pPr>
      <w:r w:rsidRPr="00931A6A">
        <w:rPr>
          <w:sz w:val="28"/>
          <w:szCs w:val="28"/>
          <w:u w:val="single"/>
        </w:rPr>
        <w:t>Rule 77(a)</w:t>
      </w:r>
      <w:r w:rsidRPr="00931A6A">
        <w:rPr>
          <w:sz w:val="28"/>
          <w:szCs w:val="28"/>
        </w:rPr>
        <w:t xml:space="preserve"> – Superior courts should not </w:t>
      </w:r>
      <w:r w:rsidR="00B0096D" w:rsidRPr="00931A6A">
        <w:rPr>
          <w:sz w:val="28"/>
          <w:szCs w:val="28"/>
        </w:rPr>
        <w:t>bear the responsibility of</w:t>
      </w:r>
      <w:r w:rsidRPr="00931A6A">
        <w:rPr>
          <w:sz w:val="28"/>
          <w:szCs w:val="28"/>
        </w:rPr>
        <w:t xml:space="preserve"> sending </w:t>
      </w:r>
      <w:r w:rsidR="00967538" w:rsidRPr="00931A6A">
        <w:rPr>
          <w:sz w:val="28"/>
          <w:szCs w:val="28"/>
        </w:rPr>
        <w:t xml:space="preserve">respondents’ </w:t>
      </w:r>
      <w:r w:rsidRPr="00931A6A">
        <w:rPr>
          <w:sz w:val="28"/>
          <w:szCs w:val="28"/>
        </w:rPr>
        <w:t>answers or responses</w:t>
      </w:r>
      <w:r w:rsidR="00967538" w:rsidRPr="00931A6A">
        <w:rPr>
          <w:sz w:val="28"/>
          <w:szCs w:val="28"/>
        </w:rPr>
        <w:t xml:space="preserve"> to complainants </w:t>
      </w:r>
      <w:r w:rsidRPr="00931A6A">
        <w:rPr>
          <w:sz w:val="28"/>
          <w:szCs w:val="28"/>
        </w:rPr>
        <w:t xml:space="preserve">in unauthorized practice of law cases. In </w:t>
      </w:r>
      <w:r w:rsidR="00967538" w:rsidRPr="00931A6A">
        <w:rPr>
          <w:sz w:val="28"/>
          <w:szCs w:val="28"/>
        </w:rPr>
        <w:t xml:space="preserve">typical </w:t>
      </w:r>
      <w:r w:rsidRPr="00931A6A">
        <w:rPr>
          <w:sz w:val="28"/>
          <w:szCs w:val="28"/>
        </w:rPr>
        <w:t xml:space="preserve">cases, the identity of the </w:t>
      </w:r>
      <w:r w:rsidR="00963B9E" w:rsidRPr="00931A6A">
        <w:rPr>
          <w:sz w:val="28"/>
          <w:szCs w:val="28"/>
        </w:rPr>
        <w:t xml:space="preserve">complainant </w:t>
      </w:r>
      <w:r w:rsidRPr="00931A6A">
        <w:rPr>
          <w:sz w:val="28"/>
          <w:szCs w:val="28"/>
        </w:rPr>
        <w:t>is unknown to the court. Changing</w:t>
      </w:r>
      <w:r w:rsidR="00967538" w:rsidRPr="00931A6A">
        <w:rPr>
          <w:sz w:val="28"/>
          <w:szCs w:val="28"/>
        </w:rPr>
        <w:t xml:space="preserve"> the phrase </w:t>
      </w:r>
      <w:r w:rsidRPr="00931A6A">
        <w:rPr>
          <w:sz w:val="28"/>
          <w:szCs w:val="28"/>
        </w:rPr>
        <w:t xml:space="preserve">“does not proceed with the case” to “dismisses the charge prior to a complaint being filed in superior court” is appropriate because complainants should have the right to file a complaint in superior court </w:t>
      </w:r>
      <w:r w:rsidR="00967538" w:rsidRPr="00931A6A">
        <w:rPr>
          <w:sz w:val="28"/>
          <w:szCs w:val="28"/>
        </w:rPr>
        <w:t xml:space="preserve">only </w:t>
      </w:r>
      <w:r w:rsidR="007B4AA9" w:rsidRPr="00931A6A">
        <w:rPr>
          <w:sz w:val="28"/>
          <w:szCs w:val="28"/>
        </w:rPr>
        <w:t xml:space="preserve">after </w:t>
      </w:r>
      <w:r w:rsidRPr="00931A6A">
        <w:rPr>
          <w:sz w:val="28"/>
          <w:szCs w:val="28"/>
        </w:rPr>
        <w:t xml:space="preserve">the </w:t>
      </w:r>
      <w:r w:rsidR="00967538" w:rsidRPr="00931A6A">
        <w:rPr>
          <w:sz w:val="28"/>
          <w:szCs w:val="28"/>
        </w:rPr>
        <w:t>S</w:t>
      </w:r>
      <w:r w:rsidRPr="00931A6A">
        <w:rPr>
          <w:sz w:val="28"/>
          <w:szCs w:val="28"/>
        </w:rPr>
        <w:t xml:space="preserve">tate </w:t>
      </w:r>
      <w:r w:rsidR="00967538" w:rsidRPr="00931A6A">
        <w:rPr>
          <w:sz w:val="28"/>
          <w:szCs w:val="28"/>
        </w:rPr>
        <w:t>B</w:t>
      </w:r>
      <w:r w:rsidRPr="00931A6A">
        <w:rPr>
          <w:sz w:val="28"/>
          <w:szCs w:val="28"/>
        </w:rPr>
        <w:t xml:space="preserve">ar dismisses </w:t>
      </w:r>
      <w:r w:rsidR="00967538" w:rsidRPr="00931A6A">
        <w:rPr>
          <w:sz w:val="28"/>
          <w:szCs w:val="28"/>
        </w:rPr>
        <w:t xml:space="preserve">their </w:t>
      </w:r>
      <w:r w:rsidRPr="00931A6A">
        <w:rPr>
          <w:sz w:val="28"/>
          <w:szCs w:val="28"/>
        </w:rPr>
        <w:t xml:space="preserve">charge prior to </w:t>
      </w:r>
      <w:r w:rsidR="007B4AA9" w:rsidRPr="00931A6A">
        <w:rPr>
          <w:sz w:val="28"/>
          <w:szCs w:val="28"/>
        </w:rPr>
        <w:t xml:space="preserve">filing </w:t>
      </w:r>
      <w:r w:rsidRPr="00931A6A">
        <w:rPr>
          <w:sz w:val="28"/>
          <w:szCs w:val="28"/>
        </w:rPr>
        <w:t>a complaint in superior court</w:t>
      </w:r>
      <w:r w:rsidR="007B4AA9" w:rsidRPr="00931A6A">
        <w:rPr>
          <w:sz w:val="28"/>
          <w:szCs w:val="28"/>
        </w:rPr>
        <w:t>.</w:t>
      </w:r>
      <w:r w:rsidR="00967538" w:rsidRPr="00931A6A">
        <w:rPr>
          <w:sz w:val="28"/>
          <w:szCs w:val="28"/>
        </w:rPr>
        <w:t xml:space="preserve"> </w:t>
      </w:r>
      <w:r w:rsidR="007B4AA9" w:rsidRPr="00931A6A">
        <w:rPr>
          <w:sz w:val="28"/>
          <w:szCs w:val="28"/>
        </w:rPr>
        <w:t xml:space="preserve">Similarly, </w:t>
      </w:r>
      <w:r w:rsidR="00967538" w:rsidRPr="00931A6A">
        <w:rPr>
          <w:sz w:val="28"/>
          <w:szCs w:val="28"/>
        </w:rPr>
        <w:t>c</w:t>
      </w:r>
      <w:r w:rsidRPr="00931A6A">
        <w:rPr>
          <w:sz w:val="28"/>
          <w:szCs w:val="28"/>
        </w:rPr>
        <w:t xml:space="preserve">omplainants should not have </w:t>
      </w:r>
      <w:r w:rsidR="00967538" w:rsidRPr="00931A6A">
        <w:rPr>
          <w:sz w:val="28"/>
          <w:szCs w:val="28"/>
        </w:rPr>
        <w:t>a</w:t>
      </w:r>
      <w:r w:rsidRPr="00931A6A">
        <w:rPr>
          <w:sz w:val="28"/>
          <w:szCs w:val="28"/>
        </w:rPr>
        <w:t xml:space="preserve"> right to file a complaint in superior court if the State Bar dismisses a charge during the pendency of a superior court proceeding, which may occur as part of a consent agreement</w:t>
      </w:r>
      <w:r w:rsidR="00967538" w:rsidRPr="00931A6A">
        <w:rPr>
          <w:sz w:val="28"/>
          <w:szCs w:val="28"/>
        </w:rPr>
        <w:t xml:space="preserve"> or following a determination there is insufficient evidence to prove an allegation of the unauthorized practice of law.</w:t>
      </w:r>
    </w:p>
    <w:p w14:paraId="0720447C" w14:textId="77777777" w:rsidR="00461241" w:rsidRPr="00931A6A" w:rsidRDefault="00461241" w:rsidP="008942ED">
      <w:pPr>
        <w:spacing w:line="480" w:lineRule="auto"/>
        <w:ind w:left="180" w:right="180" w:firstLine="540"/>
        <w:jc w:val="both"/>
        <w:rPr>
          <w:sz w:val="28"/>
          <w:szCs w:val="28"/>
        </w:rPr>
      </w:pPr>
      <w:r w:rsidRPr="00931A6A">
        <w:rPr>
          <w:sz w:val="28"/>
          <w:szCs w:val="28"/>
          <w:u w:val="single"/>
        </w:rPr>
        <w:t>Rule 77(b)(3)</w:t>
      </w:r>
      <w:r w:rsidRPr="00931A6A">
        <w:rPr>
          <w:sz w:val="28"/>
          <w:szCs w:val="28"/>
        </w:rPr>
        <w:t xml:space="preserve"> – Unauthorized Practice of Law Counsel may enter into consent agreements pursuant to Rule </w:t>
      </w:r>
      <w:proofErr w:type="gramStart"/>
      <w:r w:rsidRPr="00931A6A">
        <w:rPr>
          <w:sz w:val="28"/>
          <w:szCs w:val="28"/>
        </w:rPr>
        <w:t>78(c), and</w:t>
      </w:r>
      <w:proofErr w:type="gramEnd"/>
      <w:r w:rsidRPr="00931A6A">
        <w:rPr>
          <w:sz w:val="28"/>
          <w:szCs w:val="28"/>
        </w:rPr>
        <w:t xml:space="preserve"> dismiss proceedings pursuant to Rule 77(b)(4). This section should be amended to clarify that Unauthorized Practice of Law Counsel has the authority to enter into consent agreements at any stage of an unauthorized practice of law proceeding.</w:t>
      </w:r>
    </w:p>
    <w:p w14:paraId="3EF70687" w14:textId="742221C3" w:rsidR="00461241" w:rsidRPr="00931A6A" w:rsidRDefault="00461241" w:rsidP="008942ED">
      <w:pPr>
        <w:spacing w:line="480" w:lineRule="auto"/>
        <w:ind w:left="180" w:right="180" w:firstLine="540"/>
        <w:jc w:val="both"/>
        <w:rPr>
          <w:sz w:val="28"/>
          <w:szCs w:val="28"/>
        </w:rPr>
      </w:pPr>
      <w:r w:rsidRPr="00931A6A">
        <w:rPr>
          <w:sz w:val="28"/>
          <w:szCs w:val="28"/>
          <w:u w:val="single"/>
        </w:rPr>
        <w:t>Rule 77(b)(6)</w:t>
      </w:r>
      <w:r w:rsidRPr="00931A6A">
        <w:rPr>
          <w:sz w:val="28"/>
          <w:szCs w:val="28"/>
        </w:rPr>
        <w:t xml:space="preserve"> – This</w:t>
      </w:r>
      <w:r w:rsidR="00967538" w:rsidRPr="00931A6A">
        <w:rPr>
          <w:sz w:val="28"/>
          <w:szCs w:val="28"/>
        </w:rPr>
        <w:t xml:space="preserve"> amendment would make the State Bar responsible for providing a copy of respondent</w:t>
      </w:r>
      <w:r w:rsidR="00E44026" w:rsidRPr="00931A6A">
        <w:rPr>
          <w:sz w:val="28"/>
          <w:szCs w:val="28"/>
        </w:rPr>
        <w:t>s</w:t>
      </w:r>
      <w:r w:rsidR="00967538" w:rsidRPr="00931A6A">
        <w:rPr>
          <w:sz w:val="28"/>
          <w:szCs w:val="28"/>
        </w:rPr>
        <w:t>’ answer</w:t>
      </w:r>
      <w:r w:rsidR="00E44026" w:rsidRPr="00931A6A">
        <w:rPr>
          <w:sz w:val="28"/>
          <w:szCs w:val="28"/>
        </w:rPr>
        <w:t>s</w:t>
      </w:r>
      <w:r w:rsidR="00967538" w:rsidRPr="00931A6A">
        <w:rPr>
          <w:sz w:val="28"/>
          <w:szCs w:val="28"/>
        </w:rPr>
        <w:t xml:space="preserve"> </w:t>
      </w:r>
      <w:r w:rsidR="00E44026" w:rsidRPr="00931A6A">
        <w:rPr>
          <w:sz w:val="28"/>
          <w:szCs w:val="28"/>
        </w:rPr>
        <w:t>and</w:t>
      </w:r>
      <w:r w:rsidR="00967538" w:rsidRPr="00931A6A">
        <w:rPr>
          <w:sz w:val="28"/>
          <w:szCs w:val="28"/>
        </w:rPr>
        <w:t xml:space="preserve"> response</w:t>
      </w:r>
      <w:r w:rsidR="00E44026" w:rsidRPr="00931A6A">
        <w:rPr>
          <w:sz w:val="28"/>
          <w:szCs w:val="28"/>
        </w:rPr>
        <w:t>s and the final disposition of each case</w:t>
      </w:r>
      <w:r w:rsidR="00967538" w:rsidRPr="00931A6A">
        <w:rPr>
          <w:sz w:val="28"/>
          <w:szCs w:val="28"/>
        </w:rPr>
        <w:t xml:space="preserve"> to complainant</w:t>
      </w:r>
      <w:r w:rsidR="00E44026" w:rsidRPr="00931A6A">
        <w:rPr>
          <w:sz w:val="28"/>
          <w:szCs w:val="28"/>
        </w:rPr>
        <w:t>s.</w:t>
      </w:r>
      <w:r w:rsidR="00967538" w:rsidRPr="00931A6A">
        <w:rPr>
          <w:sz w:val="28"/>
          <w:szCs w:val="28"/>
        </w:rPr>
        <w:t xml:space="preserve"> </w:t>
      </w:r>
      <w:r w:rsidR="00E44026" w:rsidRPr="00931A6A">
        <w:rPr>
          <w:sz w:val="28"/>
          <w:szCs w:val="28"/>
        </w:rPr>
        <w:t>This proposed amendment, along with the proposed amendments to Rule 77(b)(3), would transfer the responsibility for providing information to complainants from the superior court to the State Bar.</w:t>
      </w:r>
    </w:p>
    <w:p w14:paraId="271CBA54" w14:textId="770904EC" w:rsidR="00461241" w:rsidRPr="00931A6A" w:rsidRDefault="00461241" w:rsidP="008942ED">
      <w:pPr>
        <w:spacing w:line="480" w:lineRule="auto"/>
        <w:ind w:left="180" w:right="180" w:firstLine="540"/>
        <w:jc w:val="both"/>
        <w:rPr>
          <w:sz w:val="28"/>
          <w:szCs w:val="28"/>
        </w:rPr>
      </w:pPr>
      <w:r w:rsidRPr="00931A6A">
        <w:rPr>
          <w:sz w:val="28"/>
          <w:szCs w:val="28"/>
          <w:u w:val="single"/>
        </w:rPr>
        <w:t>Rule 78</w:t>
      </w:r>
      <w:r w:rsidRPr="00931A6A">
        <w:rPr>
          <w:sz w:val="28"/>
          <w:szCs w:val="28"/>
        </w:rPr>
        <w:t xml:space="preserve"> – The deletion of “Initial” in the title is appropriate because Rule 78 addresses more than initial unauthorized practice of law proceedings.</w:t>
      </w:r>
    </w:p>
    <w:p w14:paraId="6957000F" w14:textId="57DC4FF9" w:rsidR="00461241" w:rsidRPr="00931A6A" w:rsidRDefault="00461241" w:rsidP="008942ED">
      <w:pPr>
        <w:spacing w:line="480" w:lineRule="auto"/>
        <w:ind w:left="180" w:right="180" w:firstLine="540"/>
        <w:jc w:val="both"/>
        <w:rPr>
          <w:sz w:val="28"/>
          <w:szCs w:val="28"/>
        </w:rPr>
      </w:pPr>
      <w:r w:rsidRPr="00931A6A">
        <w:rPr>
          <w:sz w:val="28"/>
          <w:szCs w:val="28"/>
          <w:u w:val="single"/>
        </w:rPr>
        <w:t>Rule 78(a)</w:t>
      </w:r>
      <w:r w:rsidRPr="00931A6A">
        <w:rPr>
          <w:sz w:val="28"/>
          <w:szCs w:val="28"/>
        </w:rPr>
        <w:t xml:space="preserve"> – The </w:t>
      </w:r>
      <w:r w:rsidR="00E44026" w:rsidRPr="00931A6A">
        <w:rPr>
          <w:sz w:val="28"/>
          <w:szCs w:val="28"/>
        </w:rPr>
        <w:t xml:space="preserve">addition </w:t>
      </w:r>
      <w:r w:rsidRPr="00931A6A">
        <w:rPr>
          <w:sz w:val="28"/>
          <w:szCs w:val="28"/>
        </w:rPr>
        <w:t xml:space="preserve">of a reference to consent agreements </w:t>
      </w:r>
      <w:r w:rsidR="00E44026" w:rsidRPr="00931A6A">
        <w:rPr>
          <w:sz w:val="28"/>
          <w:szCs w:val="28"/>
        </w:rPr>
        <w:t xml:space="preserve">will </w:t>
      </w:r>
      <w:r w:rsidRPr="00931A6A">
        <w:rPr>
          <w:sz w:val="28"/>
          <w:szCs w:val="28"/>
        </w:rPr>
        <w:t xml:space="preserve">reflect that unauthorized practice of law charges </w:t>
      </w:r>
      <w:r w:rsidR="00E44026" w:rsidRPr="00931A6A">
        <w:rPr>
          <w:sz w:val="28"/>
          <w:szCs w:val="28"/>
        </w:rPr>
        <w:t xml:space="preserve">may be </w:t>
      </w:r>
      <w:r w:rsidRPr="00931A6A">
        <w:rPr>
          <w:sz w:val="28"/>
          <w:szCs w:val="28"/>
        </w:rPr>
        <w:t>disposed of by filing consent agreements</w:t>
      </w:r>
      <w:r w:rsidR="00E44026" w:rsidRPr="00931A6A">
        <w:rPr>
          <w:sz w:val="28"/>
          <w:szCs w:val="28"/>
        </w:rPr>
        <w:t>, as well as by dismissal or the filing of complaints in superior court</w:t>
      </w:r>
      <w:r w:rsidRPr="00931A6A">
        <w:rPr>
          <w:sz w:val="28"/>
          <w:szCs w:val="28"/>
        </w:rPr>
        <w:t>.</w:t>
      </w:r>
    </w:p>
    <w:p w14:paraId="1FCC6436" w14:textId="240AB71E" w:rsidR="00461241" w:rsidRPr="00931A6A" w:rsidRDefault="00461241" w:rsidP="008942ED">
      <w:pPr>
        <w:spacing w:line="480" w:lineRule="auto"/>
        <w:ind w:left="180" w:right="180" w:firstLine="540"/>
        <w:jc w:val="both"/>
        <w:rPr>
          <w:sz w:val="28"/>
          <w:szCs w:val="28"/>
        </w:rPr>
      </w:pPr>
      <w:r w:rsidRPr="00931A6A">
        <w:rPr>
          <w:sz w:val="28"/>
          <w:szCs w:val="28"/>
          <w:u w:val="single"/>
        </w:rPr>
        <w:t>Rule 78(</w:t>
      </w:r>
      <w:r w:rsidR="005C35AF" w:rsidRPr="00931A6A">
        <w:rPr>
          <w:sz w:val="28"/>
          <w:szCs w:val="28"/>
          <w:u w:val="single"/>
        </w:rPr>
        <w:t>b</w:t>
      </w:r>
      <w:r w:rsidRPr="00931A6A">
        <w:rPr>
          <w:sz w:val="28"/>
          <w:szCs w:val="28"/>
          <w:u w:val="single"/>
        </w:rPr>
        <w:t>)(1)</w:t>
      </w:r>
      <w:r w:rsidRPr="00931A6A">
        <w:rPr>
          <w:sz w:val="28"/>
          <w:szCs w:val="28"/>
        </w:rPr>
        <w:t xml:space="preserve"> – The inclusion of a reference to violations of orders or judgments prohibiting a respondent from engaging in the unauthorized practice of law </w:t>
      </w:r>
      <w:r w:rsidR="005C35AF" w:rsidRPr="00931A6A">
        <w:rPr>
          <w:sz w:val="28"/>
          <w:szCs w:val="28"/>
        </w:rPr>
        <w:t>will</w:t>
      </w:r>
      <w:r w:rsidRPr="00931A6A">
        <w:rPr>
          <w:sz w:val="28"/>
          <w:szCs w:val="28"/>
        </w:rPr>
        <w:t xml:space="preserve"> clarify that screening investigation</w:t>
      </w:r>
      <w:r w:rsidR="005C35AF" w:rsidRPr="00931A6A">
        <w:rPr>
          <w:sz w:val="28"/>
          <w:szCs w:val="28"/>
        </w:rPr>
        <w:t>s</w:t>
      </w:r>
      <w:r w:rsidRPr="00931A6A">
        <w:rPr>
          <w:sz w:val="28"/>
          <w:szCs w:val="28"/>
        </w:rPr>
        <w:t xml:space="preserve"> must be undertaken when charge</w:t>
      </w:r>
      <w:r w:rsidR="005C35AF" w:rsidRPr="00931A6A">
        <w:rPr>
          <w:sz w:val="28"/>
          <w:szCs w:val="28"/>
        </w:rPr>
        <w:t>s</w:t>
      </w:r>
      <w:r w:rsidRPr="00931A6A">
        <w:rPr>
          <w:sz w:val="28"/>
          <w:szCs w:val="28"/>
        </w:rPr>
        <w:t xml:space="preserve"> allege</w:t>
      </w:r>
      <w:r w:rsidR="00074B94" w:rsidRPr="00931A6A">
        <w:rPr>
          <w:sz w:val="28"/>
          <w:szCs w:val="28"/>
        </w:rPr>
        <w:t xml:space="preserve"> </w:t>
      </w:r>
      <w:r w:rsidR="003B6414" w:rsidRPr="00931A6A">
        <w:rPr>
          <w:sz w:val="28"/>
          <w:szCs w:val="28"/>
        </w:rPr>
        <w:t>a violation of</w:t>
      </w:r>
      <w:r w:rsidRPr="00931A6A">
        <w:rPr>
          <w:sz w:val="28"/>
          <w:szCs w:val="28"/>
        </w:rPr>
        <w:t xml:space="preserve"> a court order or judgment prohibiting a respondent from engaging in the unauthorized practice of law. </w:t>
      </w:r>
      <w:r w:rsidR="00074B94" w:rsidRPr="00931A6A">
        <w:rPr>
          <w:sz w:val="28"/>
          <w:szCs w:val="28"/>
        </w:rPr>
        <w:t>S</w:t>
      </w:r>
      <w:r w:rsidRPr="00931A6A">
        <w:rPr>
          <w:sz w:val="28"/>
          <w:szCs w:val="28"/>
        </w:rPr>
        <w:t>creening investigation</w:t>
      </w:r>
      <w:r w:rsidR="00074B94" w:rsidRPr="00931A6A">
        <w:rPr>
          <w:sz w:val="28"/>
          <w:szCs w:val="28"/>
        </w:rPr>
        <w:t>s are</w:t>
      </w:r>
      <w:r w:rsidRPr="00931A6A">
        <w:rPr>
          <w:sz w:val="28"/>
          <w:szCs w:val="28"/>
        </w:rPr>
        <w:t xml:space="preserve"> appropriate</w:t>
      </w:r>
      <w:r w:rsidR="00074B94" w:rsidRPr="00931A6A">
        <w:rPr>
          <w:sz w:val="28"/>
          <w:szCs w:val="28"/>
        </w:rPr>
        <w:t xml:space="preserve"> not only when initial charges are submitted to the State Bar, but also</w:t>
      </w:r>
      <w:r w:rsidRPr="00931A6A">
        <w:rPr>
          <w:sz w:val="28"/>
          <w:szCs w:val="28"/>
        </w:rPr>
        <w:t xml:space="preserve"> when charge</w:t>
      </w:r>
      <w:r w:rsidR="00074B94" w:rsidRPr="00931A6A">
        <w:rPr>
          <w:sz w:val="28"/>
          <w:szCs w:val="28"/>
        </w:rPr>
        <w:t>s</w:t>
      </w:r>
      <w:r w:rsidRPr="00931A6A">
        <w:rPr>
          <w:sz w:val="28"/>
          <w:szCs w:val="28"/>
        </w:rPr>
        <w:t xml:space="preserve"> allege a respondent’s failure to comply with </w:t>
      </w:r>
      <w:r w:rsidR="00733D62" w:rsidRPr="00931A6A">
        <w:rPr>
          <w:sz w:val="28"/>
          <w:szCs w:val="28"/>
        </w:rPr>
        <w:t>prior unauthorized practice of law orders.</w:t>
      </w:r>
    </w:p>
    <w:p w14:paraId="00ACF1CB" w14:textId="05E9CF25" w:rsidR="00461241" w:rsidRPr="00931A6A" w:rsidRDefault="00461241" w:rsidP="008942ED">
      <w:pPr>
        <w:spacing w:line="480" w:lineRule="auto"/>
        <w:ind w:left="180" w:right="180" w:firstLine="540"/>
        <w:jc w:val="both"/>
        <w:rPr>
          <w:sz w:val="28"/>
          <w:szCs w:val="28"/>
        </w:rPr>
      </w:pPr>
      <w:r w:rsidRPr="00931A6A">
        <w:rPr>
          <w:sz w:val="28"/>
          <w:szCs w:val="28"/>
          <w:u w:val="single"/>
        </w:rPr>
        <w:t>Rule 78(b)(2)</w:t>
      </w:r>
      <w:r w:rsidRPr="00931A6A">
        <w:rPr>
          <w:sz w:val="28"/>
          <w:szCs w:val="28"/>
        </w:rPr>
        <w:t xml:space="preserve"> – </w:t>
      </w:r>
      <w:r w:rsidR="00E132F7" w:rsidRPr="00931A6A">
        <w:rPr>
          <w:sz w:val="28"/>
          <w:szCs w:val="28"/>
        </w:rPr>
        <w:t xml:space="preserve">Deleting </w:t>
      </w:r>
      <w:r w:rsidR="00074B94" w:rsidRPr="00931A6A">
        <w:rPr>
          <w:sz w:val="28"/>
          <w:szCs w:val="28"/>
        </w:rPr>
        <w:t xml:space="preserve">the phrase </w:t>
      </w:r>
      <w:r w:rsidRPr="00931A6A">
        <w:rPr>
          <w:sz w:val="28"/>
          <w:szCs w:val="28"/>
        </w:rPr>
        <w:t>“cease and desist</w:t>
      </w:r>
      <w:r w:rsidR="00E132F7" w:rsidRPr="00931A6A">
        <w:rPr>
          <w:sz w:val="28"/>
          <w:szCs w:val="28"/>
        </w:rPr>
        <w:t>,</w:t>
      </w:r>
      <w:r w:rsidRPr="00931A6A">
        <w:rPr>
          <w:sz w:val="28"/>
          <w:szCs w:val="28"/>
        </w:rPr>
        <w:t xml:space="preserve">” </w:t>
      </w:r>
      <w:r w:rsidR="00E132F7" w:rsidRPr="00931A6A">
        <w:rPr>
          <w:sz w:val="28"/>
          <w:szCs w:val="28"/>
        </w:rPr>
        <w:t xml:space="preserve">referencing only a </w:t>
      </w:r>
      <w:r w:rsidRPr="00931A6A">
        <w:rPr>
          <w:sz w:val="28"/>
          <w:szCs w:val="28"/>
        </w:rPr>
        <w:t>“consent agreement</w:t>
      </w:r>
      <w:r w:rsidR="00E132F7" w:rsidRPr="00931A6A">
        <w:rPr>
          <w:sz w:val="28"/>
          <w:szCs w:val="28"/>
        </w:rPr>
        <w:t>,</w:t>
      </w:r>
      <w:r w:rsidRPr="00931A6A">
        <w:rPr>
          <w:sz w:val="28"/>
          <w:szCs w:val="28"/>
        </w:rPr>
        <w:t xml:space="preserve">” is appropriate </w:t>
      </w:r>
      <w:r w:rsidR="00074B94" w:rsidRPr="00931A6A">
        <w:rPr>
          <w:sz w:val="28"/>
          <w:szCs w:val="28"/>
        </w:rPr>
        <w:t xml:space="preserve">because “consent agreement” is broad enough to include </w:t>
      </w:r>
      <w:proofErr w:type="gramStart"/>
      <w:r w:rsidR="00074B94" w:rsidRPr="00931A6A">
        <w:rPr>
          <w:sz w:val="28"/>
          <w:szCs w:val="28"/>
        </w:rPr>
        <w:t>all of</w:t>
      </w:r>
      <w:proofErr w:type="gramEnd"/>
      <w:r w:rsidR="00074B94" w:rsidRPr="00931A6A">
        <w:rPr>
          <w:sz w:val="28"/>
          <w:szCs w:val="28"/>
        </w:rPr>
        <w:t xml:space="preserve"> </w:t>
      </w:r>
      <w:r w:rsidRPr="00931A6A">
        <w:rPr>
          <w:sz w:val="28"/>
          <w:szCs w:val="28"/>
        </w:rPr>
        <w:t xml:space="preserve">the various types of agreements </w:t>
      </w:r>
      <w:r w:rsidR="00074B94" w:rsidRPr="00931A6A">
        <w:rPr>
          <w:sz w:val="28"/>
          <w:szCs w:val="28"/>
        </w:rPr>
        <w:t xml:space="preserve">set forth </w:t>
      </w:r>
      <w:r w:rsidRPr="00931A6A">
        <w:rPr>
          <w:sz w:val="28"/>
          <w:szCs w:val="28"/>
        </w:rPr>
        <w:t xml:space="preserve">in Rule 76(b)(1). The </w:t>
      </w:r>
      <w:r w:rsidR="00074B94" w:rsidRPr="00931A6A">
        <w:rPr>
          <w:sz w:val="28"/>
          <w:szCs w:val="28"/>
        </w:rPr>
        <w:t xml:space="preserve">amended language will clarify that the State Bar may </w:t>
      </w:r>
      <w:r w:rsidRPr="00931A6A">
        <w:rPr>
          <w:sz w:val="28"/>
          <w:szCs w:val="28"/>
        </w:rPr>
        <w:t>file applications for orders to show cause regarding contempt in superior court following a screening investigation.</w:t>
      </w:r>
    </w:p>
    <w:p w14:paraId="62FEF02D" w14:textId="540F0862" w:rsidR="00461241" w:rsidRPr="00931A6A" w:rsidRDefault="00461241" w:rsidP="008942ED">
      <w:pPr>
        <w:spacing w:line="480" w:lineRule="auto"/>
        <w:ind w:left="180" w:right="180" w:firstLine="540"/>
        <w:jc w:val="both"/>
        <w:rPr>
          <w:sz w:val="28"/>
          <w:szCs w:val="28"/>
        </w:rPr>
      </w:pPr>
      <w:r w:rsidRPr="00931A6A">
        <w:rPr>
          <w:sz w:val="28"/>
          <w:szCs w:val="28"/>
          <w:u w:val="single"/>
        </w:rPr>
        <w:t>Rule 78(b)(5)</w:t>
      </w:r>
      <w:r w:rsidRPr="00931A6A">
        <w:rPr>
          <w:sz w:val="28"/>
          <w:szCs w:val="28"/>
        </w:rPr>
        <w:t xml:space="preserve"> – The additional language clarifies that the State Bar may dismiss charge</w:t>
      </w:r>
      <w:r w:rsidR="00074B94" w:rsidRPr="00931A6A">
        <w:rPr>
          <w:sz w:val="28"/>
          <w:szCs w:val="28"/>
        </w:rPr>
        <w:t xml:space="preserve">s following its investigations into allegations </w:t>
      </w:r>
      <w:r w:rsidRPr="00931A6A">
        <w:rPr>
          <w:sz w:val="28"/>
          <w:szCs w:val="28"/>
        </w:rPr>
        <w:t>that respondent</w:t>
      </w:r>
      <w:r w:rsidR="00074B94" w:rsidRPr="00931A6A">
        <w:rPr>
          <w:sz w:val="28"/>
          <w:szCs w:val="28"/>
        </w:rPr>
        <w:t>s</w:t>
      </w:r>
      <w:r w:rsidRPr="00931A6A">
        <w:rPr>
          <w:sz w:val="28"/>
          <w:szCs w:val="28"/>
        </w:rPr>
        <w:t xml:space="preserve"> ha</w:t>
      </w:r>
      <w:r w:rsidR="00074B94" w:rsidRPr="00931A6A">
        <w:rPr>
          <w:sz w:val="28"/>
          <w:szCs w:val="28"/>
        </w:rPr>
        <w:t>ve</w:t>
      </w:r>
      <w:r w:rsidRPr="00931A6A">
        <w:rPr>
          <w:sz w:val="28"/>
          <w:szCs w:val="28"/>
        </w:rPr>
        <w:t xml:space="preserve"> failed to comply with a court’s previously-entered order or judgment in an unauthorized practice of law proceeding.</w:t>
      </w:r>
    </w:p>
    <w:p w14:paraId="5B6B8995" w14:textId="530DAB06" w:rsidR="00461241" w:rsidRPr="00931A6A" w:rsidRDefault="00461241" w:rsidP="008942ED">
      <w:pPr>
        <w:spacing w:line="480" w:lineRule="auto"/>
        <w:ind w:left="180" w:right="180" w:firstLine="540"/>
        <w:jc w:val="both"/>
        <w:rPr>
          <w:sz w:val="28"/>
          <w:szCs w:val="28"/>
        </w:rPr>
      </w:pPr>
      <w:r w:rsidRPr="00931A6A">
        <w:rPr>
          <w:sz w:val="28"/>
          <w:szCs w:val="28"/>
          <w:u w:val="single"/>
        </w:rPr>
        <w:t>Rule 78(c)</w:t>
      </w:r>
      <w:r w:rsidRPr="00931A6A">
        <w:rPr>
          <w:sz w:val="28"/>
          <w:szCs w:val="28"/>
        </w:rPr>
        <w:t xml:space="preserve"> – Changing</w:t>
      </w:r>
      <w:r w:rsidR="00074B94" w:rsidRPr="00931A6A">
        <w:rPr>
          <w:sz w:val="28"/>
          <w:szCs w:val="28"/>
        </w:rPr>
        <w:t xml:space="preserve"> the phrase</w:t>
      </w:r>
      <w:r w:rsidRPr="00931A6A">
        <w:rPr>
          <w:sz w:val="28"/>
          <w:szCs w:val="28"/>
        </w:rPr>
        <w:t xml:space="preserve"> “Consent to Cease and Desist Agreement” to “Consent Agreement” is appropriate and necessary to be consistent throughout these rules (</w:t>
      </w:r>
      <w:r w:rsidRPr="00931A6A">
        <w:rPr>
          <w:i/>
          <w:iCs/>
          <w:sz w:val="28"/>
          <w:szCs w:val="28"/>
        </w:rPr>
        <w:t>see</w:t>
      </w:r>
      <w:r w:rsidRPr="00931A6A">
        <w:rPr>
          <w:sz w:val="28"/>
          <w:szCs w:val="28"/>
        </w:rPr>
        <w:t xml:space="preserve">, </w:t>
      </w:r>
      <w:r w:rsidRPr="00931A6A">
        <w:rPr>
          <w:i/>
          <w:iCs/>
          <w:sz w:val="28"/>
          <w:szCs w:val="28"/>
        </w:rPr>
        <w:t>e.g.</w:t>
      </w:r>
      <w:r w:rsidRPr="00931A6A">
        <w:rPr>
          <w:sz w:val="28"/>
          <w:szCs w:val="28"/>
        </w:rPr>
        <w:t xml:space="preserve">, </w:t>
      </w:r>
      <w:r w:rsidR="00A124CE" w:rsidRPr="00931A6A">
        <w:rPr>
          <w:sz w:val="28"/>
          <w:szCs w:val="28"/>
        </w:rPr>
        <w:t xml:space="preserve">proposed </w:t>
      </w:r>
      <w:r w:rsidRPr="00931A6A">
        <w:rPr>
          <w:sz w:val="28"/>
          <w:szCs w:val="28"/>
        </w:rPr>
        <w:t>Rule 76(b)(1)).</w:t>
      </w:r>
    </w:p>
    <w:p w14:paraId="15AA7E32" w14:textId="77777777" w:rsidR="00461241" w:rsidRPr="00931A6A" w:rsidRDefault="00461241" w:rsidP="008942ED">
      <w:pPr>
        <w:spacing w:line="480" w:lineRule="auto"/>
        <w:ind w:left="180" w:right="180" w:firstLine="540"/>
        <w:jc w:val="both"/>
        <w:rPr>
          <w:sz w:val="28"/>
          <w:szCs w:val="28"/>
        </w:rPr>
      </w:pPr>
      <w:r w:rsidRPr="00931A6A">
        <w:rPr>
          <w:sz w:val="28"/>
          <w:szCs w:val="28"/>
          <w:u w:val="single"/>
        </w:rPr>
        <w:t>Rule 78(c)(1)</w:t>
      </w:r>
      <w:r w:rsidRPr="00931A6A">
        <w:rPr>
          <w:sz w:val="28"/>
          <w:szCs w:val="28"/>
        </w:rPr>
        <w:t xml:space="preserve"> – The additional language clarifies that Unauthorized Practice of Law Counsel and respondents may enter into consent agreements or stipulations in contempt proceedings (</w:t>
      </w:r>
      <w:r w:rsidRPr="00931A6A">
        <w:rPr>
          <w:i/>
          <w:iCs/>
          <w:sz w:val="28"/>
          <w:szCs w:val="28"/>
        </w:rPr>
        <w:t>i.e.</w:t>
      </w:r>
      <w:r w:rsidRPr="00931A6A">
        <w:rPr>
          <w:sz w:val="28"/>
          <w:szCs w:val="28"/>
        </w:rPr>
        <w:t>, cases in which the charges suggest that a respondent has violated orders or judgments previously entered by a superior court in unauthorized practice of law proceedings).</w:t>
      </w:r>
    </w:p>
    <w:p w14:paraId="5550987D" w14:textId="7BE3BAD6" w:rsidR="00461241" w:rsidRPr="00931A6A" w:rsidRDefault="00461241" w:rsidP="008942ED">
      <w:pPr>
        <w:spacing w:line="480" w:lineRule="auto"/>
        <w:ind w:left="180" w:right="180" w:firstLine="540"/>
        <w:jc w:val="both"/>
        <w:rPr>
          <w:sz w:val="28"/>
          <w:szCs w:val="28"/>
        </w:rPr>
      </w:pPr>
      <w:r w:rsidRPr="00931A6A">
        <w:rPr>
          <w:sz w:val="28"/>
          <w:szCs w:val="28"/>
          <w:u w:val="single"/>
        </w:rPr>
        <w:t>Rule 78(c)(2)</w:t>
      </w:r>
      <w:r w:rsidRPr="00931A6A">
        <w:rPr>
          <w:sz w:val="28"/>
          <w:szCs w:val="28"/>
        </w:rPr>
        <w:t xml:space="preserve"> – </w:t>
      </w:r>
      <w:r w:rsidR="00A124CE" w:rsidRPr="00931A6A">
        <w:rPr>
          <w:sz w:val="28"/>
          <w:szCs w:val="28"/>
        </w:rPr>
        <w:t>Amending the phrase</w:t>
      </w:r>
      <w:r w:rsidRPr="00931A6A">
        <w:rPr>
          <w:sz w:val="28"/>
          <w:szCs w:val="28"/>
        </w:rPr>
        <w:t xml:space="preserve"> “tender of admissions and consent to cease and desist agreement” to “consent agreement” is appropriate and necessary to be consistent throughout the rules</w:t>
      </w:r>
      <w:r w:rsidR="00A124CE" w:rsidRPr="00931A6A">
        <w:rPr>
          <w:sz w:val="28"/>
          <w:szCs w:val="28"/>
        </w:rPr>
        <w:t xml:space="preserve"> (</w:t>
      </w:r>
      <w:r w:rsidR="00A124CE" w:rsidRPr="00931A6A">
        <w:rPr>
          <w:i/>
          <w:iCs/>
          <w:sz w:val="28"/>
          <w:szCs w:val="28"/>
        </w:rPr>
        <w:t>see</w:t>
      </w:r>
      <w:r w:rsidR="00A124CE" w:rsidRPr="00931A6A">
        <w:rPr>
          <w:sz w:val="28"/>
          <w:szCs w:val="28"/>
        </w:rPr>
        <w:t xml:space="preserve">, </w:t>
      </w:r>
      <w:r w:rsidR="00A124CE" w:rsidRPr="00931A6A">
        <w:rPr>
          <w:i/>
          <w:iCs/>
          <w:sz w:val="28"/>
          <w:szCs w:val="28"/>
        </w:rPr>
        <w:t>e.g.</w:t>
      </w:r>
      <w:r w:rsidR="00A124CE" w:rsidRPr="00931A6A">
        <w:rPr>
          <w:sz w:val="28"/>
          <w:szCs w:val="28"/>
        </w:rPr>
        <w:t>, proposed Rule 76(b)(1))</w:t>
      </w:r>
      <w:r w:rsidRPr="00931A6A">
        <w:rPr>
          <w:sz w:val="28"/>
          <w:szCs w:val="28"/>
        </w:rPr>
        <w:t xml:space="preserve">. </w:t>
      </w:r>
      <w:r w:rsidR="00A124CE" w:rsidRPr="00931A6A">
        <w:rPr>
          <w:sz w:val="28"/>
          <w:szCs w:val="28"/>
        </w:rPr>
        <w:t xml:space="preserve">Language mandating the submission </w:t>
      </w:r>
      <w:r w:rsidRPr="00931A6A">
        <w:rPr>
          <w:sz w:val="28"/>
          <w:szCs w:val="28"/>
        </w:rPr>
        <w:t xml:space="preserve">of a joint memorandum in support of </w:t>
      </w:r>
      <w:r w:rsidR="00A124CE" w:rsidRPr="00931A6A">
        <w:rPr>
          <w:sz w:val="28"/>
          <w:szCs w:val="28"/>
        </w:rPr>
        <w:t>a</w:t>
      </w:r>
      <w:r w:rsidRPr="00931A6A">
        <w:rPr>
          <w:sz w:val="28"/>
          <w:szCs w:val="28"/>
        </w:rPr>
        <w:t xml:space="preserve"> consent agreement is </w:t>
      </w:r>
      <w:r w:rsidR="00A124CE" w:rsidRPr="00931A6A">
        <w:rPr>
          <w:sz w:val="28"/>
          <w:szCs w:val="28"/>
        </w:rPr>
        <w:t xml:space="preserve">unnecessary </w:t>
      </w:r>
      <w:r w:rsidRPr="00931A6A">
        <w:rPr>
          <w:sz w:val="28"/>
          <w:szCs w:val="28"/>
        </w:rPr>
        <w:t xml:space="preserve">because the form of agreement is set forth in </w:t>
      </w:r>
      <w:r w:rsidR="00A124CE" w:rsidRPr="00931A6A">
        <w:rPr>
          <w:sz w:val="28"/>
          <w:szCs w:val="28"/>
        </w:rPr>
        <w:t xml:space="preserve">proposed </w:t>
      </w:r>
      <w:r w:rsidRPr="00931A6A">
        <w:rPr>
          <w:sz w:val="28"/>
          <w:szCs w:val="28"/>
        </w:rPr>
        <w:t>Rule 78(c)(3).</w:t>
      </w:r>
    </w:p>
    <w:p w14:paraId="0D4BFDF9" w14:textId="75BC62A1" w:rsidR="00461241" w:rsidRPr="00931A6A" w:rsidRDefault="00461241" w:rsidP="008942ED">
      <w:pPr>
        <w:spacing w:line="480" w:lineRule="auto"/>
        <w:ind w:left="180" w:right="180" w:firstLine="540"/>
        <w:jc w:val="both"/>
        <w:rPr>
          <w:sz w:val="28"/>
          <w:szCs w:val="28"/>
        </w:rPr>
      </w:pPr>
      <w:r w:rsidRPr="00931A6A">
        <w:rPr>
          <w:sz w:val="28"/>
          <w:szCs w:val="28"/>
          <w:u w:val="single"/>
        </w:rPr>
        <w:t>Rule 78(c)(3)</w:t>
      </w:r>
      <w:r w:rsidRPr="00931A6A">
        <w:rPr>
          <w:sz w:val="28"/>
          <w:szCs w:val="28"/>
        </w:rPr>
        <w:t xml:space="preserve"> – The </w:t>
      </w:r>
      <w:r w:rsidR="00A124CE" w:rsidRPr="00931A6A">
        <w:rPr>
          <w:sz w:val="28"/>
          <w:szCs w:val="28"/>
        </w:rPr>
        <w:t>addition o</w:t>
      </w:r>
      <w:r w:rsidRPr="00931A6A">
        <w:rPr>
          <w:sz w:val="28"/>
          <w:szCs w:val="28"/>
        </w:rPr>
        <w:t xml:space="preserve">f “consent” </w:t>
      </w:r>
      <w:r w:rsidR="00A124CE" w:rsidRPr="00931A6A">
        <w:rPr>
          <w:sz w:val="28"/>
          <w:szCs w:val="28"/>
        </w:rPr>
        <w:t xml:space="preserve">clarifies </w:t>
      </w:r>
      <w:r w:rsidRPr="00931A6A">
        <w:rPr>
          <w:sz w:val="28"/>
          <w:szCs w:val="28"/>
        </w:rPr>
        <w:t>that the form of agreement set forth in paragraphs “A” through “D” pertain only to consent agreements for cease and desist orders and injunction</w:t>
      </w:r>
      <w:r w:rsidR="00A124CE" w:rsidRPr="00931A6A">
        <w:rPr>
          <w:sz w:val="28"/>
          <w:szCs w:val="28"/>
        </w:rPr>
        <w:t>s</w:t>
      </w:r>
      <w:r w:rsidRPr="00931A6A">
        <w:rPr>
          <w:sz w:val="28"/>
          <w:szCs w:val="28"/>
        </w:rPr>
        <w:t>, and not to the form of document that must be filed for consent agreements or stipulations regarding violations of previously-entered orders (</w:t>
      </w:r>
      <w:r w:rsidRPr="00931A6A">
        <w:rPr>
          <w:i/>
          <w:iCs/>
          <w:sz w:val="28"/>
          <w:szCs w:val="28"/>
        </w:rPr>
        <w:t>i.e.</w:t>
      </w:r>
      <w:r w:rsidRPr="00931A6A">
        <w:rPr>
          <w:sz w:val="28"/>
          <w:szCs w:val="28"/>
        </w:rPr>
        <w:t>, contempt actions).</w:t>
      </w:r>
    </w:p>
    <w:p w14:paraId="36F85638" w14:textId="7ABCFE9F" w:rsidR="00461241" w:rsidRPr="00931A6A" w:rsidRDefault="00461241" w:rsidP="008942ED">
      <w:pPr>
        <w:spacing w:line="480" w:lineRule="auto"/>
        <w:ind w:left="180" w:right="180" w:firstLine="540"/>
        <w:jc w:val="both"/>
        <w:rPr>
          <w:sz w:val="28"/>
          <w:szCs w:val="28"/>
        </w:rPr>
      </w:pPr>
      <w:r w:rsidRPr="00931A6A">
        <w:rPr>
          <w:sz w:val="28"/>
          <w:szCs w:val="28"/>
          <w:u w:val="single"/>
        </w:rPr>
        <w:t>Rule 78(c)(3)(A)</w:t>
      </w:r>
      <w:r w:rsidRPr="00931A6A">
        <w:rPr>
          <w:sz w:val="28"/>
          <w:szCs w:val="28"/>
        </w:rPr>
        <w:t xml:space="preserve"> – “[C]</w:t>
      </w:r>
      <w:proofErr w:type="spellStart"/>
      <w:r w:rsidRPr="00931A6A">
        <w:rPr>
          <w:sz w:val="28"/>
          <w:szCs w:val="28"/>
        </w:rPr>
        <w:t>harge</w:t>
      </w:r>
      <w:proofErr w:type="spellEnd"/>
      <w:r w:rsidRPr="00931A6A">
        <w:rPr>
          <w:sz w:val="28"/>
          <w:szCs w:val="28"/>
        </w:rPr>
        <w:t xml:space="preserve">” has been deleted because there are no “counts” in a charge. Pre-complaint consent agreements cannot address “[e]ach count alleged” because “counts” exist only </w:t>
      </w:r>
      <w:r w:rsidR="00A124CE" w:rsidRPr="00931A6A">
        <w:rPr>
          <w:sz w:val="28"/>
          <w:szCs w:val="28"/>
        </w:rPr>
        <w:t xml:space="preserve">when </w:t>
      </w:r>
      <w:r w:rsidRPr="00931A6A">
        <w:rPr>
          <w:sz w:val="28"/>
          <w:szCs w:val="28"/>
        </w:rPr>
        <w:t>complaint</w:t>
      </w:r>
      <w:r w:rsidR="00A124CE" w:rsidRPr="00931A6A">
        <w:rPr>
          <w:sz w:val="28"/>
          <w:szCs w:val="28"/>
        </w:rPr>
        <w:t>s</w:t>
      </w:r>
      <w:r w:rsidRPr="00931A6A">
        <w:rPr>
          <w:sz w:val="28"/>
          <w:szCs w:val="28"/>
        </w:rPr>
        <w:t xml:space="preserve"> </w:t>
      </w:r>
      <w:r w:rsidR="00A124CE" w:rsidRPr="00931A6A">
        <w:rPr>
          <w:sz w:val="28"/>
          <w:szCs w:val="28"/>
        </w:rPr>
        <w:t xml:space="preserve">are </w:t>
      </w:r>
      <w:r w:rsidRPr="00931A6A">
        <w:rPr>
          <w:sz w:val="28"/>
          <w:szCs w:val="28"/>
        </w:rPr>
        <w:t>filed in superior court. The inclusion of language addressing pre-complaint consent agreements is appropriate and necessary to address situations in which Unauthorized Practice of Law Counsel and a respondent choose to enter into a consent agreement prior to the filing of a complaint in superior court.</w:t>
      </w:r>
    </w:p>
    <w:p w14:paraId="441FA13F" w14:textId="6044110F" w:rsidR="00461241" w:rsidRPr="00931A6A" w:rsidRDefault="00461241" w:rsidP="008942ED">
      <w:pPr>
        <w:spacing w:line="480" w:lineRule="auto"/>
        <w:ind w:left="180" w:right="180" w:firstLine="540"/>
        <w:jc w:val="both"/>
        <w:rPr>
          <w:sz w:val="28"/>
          <w:szCs w:val="28"/>
        </w:rPr>
      </w:pPr>
      <w:r w:rsidRPr="00931A6A">
        <w:rPr>
          <w:sz w:val="28"/>
          <w:szCs w:val="28"/>
          <w:u w:val="single"/>
        </w:rPr>
        <w:t>Rule 78(c)(3)(B)</w:t>
      </w:r>
      <w:r w:rsidRPr="00931A6A">
        <w:rPr>
          <w:sz w:val="28"/>
          <w:szCs w:val="28"/>
        </w:rPr>
        <w:t xml:space="preserve"> – The inclusion of additional language from current Rule 78(c)(4) </w:t>
      </w:r>
      <w:r w:rsidR="001D4906" w:rsidRPr="00931A6A">
        <w:rPr>
          <w:sz w:val="28"/>
          <w:szCs w:val="28"/>
        </w:rPr>
        <w:t>retains the required analysis with the proposal to</w:t>
      </w:r>
      <w:r w:rsidRPr="00931A6A">
        <w:rPr>
          <w:sz w:val="28"/>
          <w:szCs w:val="28"/>
        </w:rPr>
        <w:t xml:space="preserve"> strik</w:t>
      </w:r>
      <w:r w:rsidR="001D4906" w:rsidRPr="00931A6A">
        <w:rPr>
          <w:sz w:val="28"/>
          <w:szCs w:val="28"/>
        </w:rPr>
        <w:t>e</w:t>
      </w:r>
      <w:r w:rsidRPr="00931A6A">
        <w:rPr>
          <w:sz w:val="28"/>
          <w:szCs w:val="28"/>
        </w:rPr>
        <w:t xml:space="preserve"> </w:t>
      </w:r>
      <w:r w:rsidR="00A124CE" w:rsidRPr="00931A6A">
        <w:rPr>
          <w:sz w:val="28"/>
          <w:szCs w:val="28"/>
        </w:rPr>
        <w:t xml:space="preserve">that </w:t>
      </w:r>
      <w:r w:rsidR="001D4906" w:rsidRPr="00931A6A">
        <w:rPr>
          <w:sz w:val="28"/>
          <w:szCs w:val="28"/>
        </w:rPr>
        <w:t>subparagraph of the rule</w:t>
      </w:r>
      <w:r w:rsidR="00A124CE" w:rsidRPr="00931A6A">
        <w:rPr>
          <w:sz w:val="28"/>
          <w:szCs w:val="28"/>
        </w:rPr>
        <w:t>.</w:t>
      </w:r>
    </w:p>
    <w:p w14:paraId="358B8C48" w14:textId="1E8C313C" w:rsidR="00461241" w:rsidRPr="00931A6A" w:rsidRDefault="00461241" w:rsidP="008942ED">
      <w:pPr>
        <w:spacing w:line="480" w:lineRule="auto"/>
        <w:ind w:left="180" w:right="180" w:firstLine="540"/>
        <w:jc w:val="both"/>
        <w:rPr>
          <w:sz w:val="28"/>
          <w:szCs w:val="28"/>
        </w:rPr>
      </w:pPr>
      <w:r w:rsidRPr="00931A6A">
        <w:rPr>
          <w:sz w:val="28"/>
          <w:szCs w:val="28"/>
          <w:u w:val="single"/>
        </w:rPr>
        <w:t>Rule 78(c)(4)</w:t>
      </w:r>
      <w:r w:rsidRPr="00931A6A">
        <w:rPr>
          <w:sz w:val="28"/>
          <w:szCs w:val="28"/>
        </w:rPr>
        <w:t xml:space="preserve"> – The requirement of a joint memorandum is </w:t>
      </w:r>
      <w:r w:rsidR="00A124CE" w:rsidRPr="00931A6A">
        <w:rPr>
          <w:sz w:val="28"/>
          <w:szCs w:val="28"/>
        </w:rPr>
        <w:t xml:space="preserve">unnecessary </w:t>
      </w:r>
      <w:r w:rsidRPr="00931A6A">
        <w:rPr>
          <w:sz w:val="28"/>
          <w:szCs w:val="28"/>
        </w:rPr>
        <w:t xml:space="preserve">because the form of agreement is set forth in </w:t>
      </w:r>
      <w:r w:rsidR="001D4906" w:rsidRPr="00931A6A">
        <w:rPr>
          <w:sz w:val="28"/>
          <w:szCs w:val="28"/>
        </w:rPr>
        <w:t xml:space="preserve">the modifications for </w:t>
      </w:r>
      <w:r w:rsidR="00A124CE" w:rsidRPr="00931A6A">
        <w:rPr>
          <w:sz w:val="28"/>
          <w:szCs w:val="28"/>
        </w:rPr>
        <w:t xml:space="preserve">proposed </w:t>
      </w:r>
      <w:r w:rsidRPr="00931A6A">
        <w:rPr>
          <w:sz w:val="28"/>
          <w:szCs w:val="28"/>
        </w:rPr>
        <w:t>Rule 78(c)(3). The requirement of an analysis of the proposed sanction, including a discussion why a greater or lesser sanction would not be appropriate has been moved to proposed Rule 78(c)(3)(B).</w:t>
      </w:r>
    </w:p>
    <w:p w14:paraId="75EE9916" w14:textId="36E19EC7" w:rsidR="00461241" w:rsidRPr="00931A6A" w:rsidRDefault="00461241" w:rsidP="008942ED">
      <w:pPr>
        <w:spacing w:line="480" w:lineRule="auto"/>
        <w:ind w:left="180" w:right="180" w:firstLine="540"/>
        <w:jc w:val="both"/>
        <w:rPr>
          <w:sz w:val="28"/>
          <w:szCs w:val="28"/>
        </w:rPr>
      </w:pPr>
      <w:r w:rsidRPr="00931A6A">
        <w:rPr>
          <w:sz w:val="28"/>
          <w:szCs w:val="28"/>
          <w:u w:val="single"/>
        </w:rPr>
        <w:t>Rule 78(c)(5)</w:t>
      </w:r>
      <w:r w:rsidRPr="00931A6A">
        <w:rPr>
          <w:sz w:val="28"/>
          <w:szCs w:val="28"/>
        </w:rPr>
        <w:t xml:space="preserve"> – </w:t>
      </w:r>
      <w:r w:rsidR="00A124CE" w:rsidRPr="00931A6A">
        <w:rPr>
          <w:sz w:val="28"/>
          <w:szCs w:val="28"/>
        </w:rPr>
        <w:t xml:space="preserve">This current rule will be renumbered as </w:t>
      </w:r>
      <w:r w:rsidR="005B35EC" w:rsidRPr="00931A6A">
        <w:rPr>
          <w:sz w:val="28"/>
          <w:szCs w:val="28"/>
        </w:rPr>
        <w:t xml:space="preserve">Rule 78(c)(4). </w:t>
      </w:r>
      <w:r w:rsidRPr="00931A6A">
        <w:rPr>
          <w:sz w:val="28"/>
          <w:szCs w:val="28"/>
        </w:rPr>
        <w:t>Changing “agreement” to “consent agreement” clarifies that the “agreement” referenced in the rule is a consent agreement.</w:t>
      </w:r>
    </w:p>
    <w:p w14:paraId="41AA0BE0" w14:textId="08078E97" w:rsidR="00461241" w:rsidRPr="00931A6A" w:rsidRDefault="00461241" w:rsidP="008942ED">
      <w:pPr>
        <w:spacing w:line="480" w:lineRule="auto"/>
        <w:ind w:left="180" w:right="180" w:firstLine="540"/>
        <w:jc w:val="both"/>
        <w:rPr>
          <w:sz w:val="28"/>
          <w:szCs w:val="28"/>
        </w:rPr>
      </w:pPr>
      <w:r w:rsidRPr="00931A6A">
        <w:rPr>
          <w:sz w:val="28"/>
          <w:szCs w:val="28"/>
          <w:u w:val="single"/>
        </w:rPr>
        <w:t>Rule 78(c)(5)(B)</w:t>
      </w:r>
      <w:r w:rsidRPr="00931A6A">
        <w:rPr>
          <w:sz w:val="28"/>
          <w:szCs w:val="28"/>
        </w:rPr>
        <w:t xml:space="preserve"> – </w:t>
      </w:r>
      <w:r w:rsidR="00A124CE" w:rsidRPr="00931A6A">
        <w:rPr>
          <w:sz w:val="28"/>
          <w:szCs w:val="28"/>
        </w:rPr>
        <w:t xml:space="preserve">This current rule will be renumbered as Rule 78(c)(4)(B). </w:t>
      </w:r>
      <w:r w:rsidRPr="00931A6A">
        <w:rPr>
          <w:sz w:val="28"/>
          <w:szCs w:val="28"/>
        </w:rPr>
        <w:t>Changing “agreement” to “consent agreement” clarifies that the “agreement” referenced in the rule is a consent agreement.</w:t>
      </w:r>
    </w:p>
    <w:p w14:paraId="2E3E9D17" w14:textId="025BC430" w:rsidR="00461241" w:rsidRPr="00931A6A" w:rsidRDefault="00461241" w:rsidP="008942ED">
      <w:pPr>
        <w:spacing w:line="480" w:lineRule="auto"/>
        <w:ind w:left="180" w:right="180" w:firstLine="540"/>
        <w:jc w:val="both"/>
        <w:rPr>
          <w:sz w:val="28"/>
          <w:szCs w:val="28"/>
        </w:rPr>
      </w:pPr>
      <w:r w:rsidRPr="00931A6A">
        <w:rPr>
          <w:sz w:val="28"/>
          <w:szCs w:val="28"/>
          <w:u w:val="single"/>
        </w:rPr>
        <w:t>Rule 78(c)(5)(C)</w:t>
      </w:r>
      <w:r w:rsidRPr="00931A6A">
        <w:rPr>
          <w:sz w:val="28"/>
          <w:szCs w:val="28"/>
        </w:rPr>
        <w:t xml:space="preserve"> – </w:t>
      </w:r>
      <w:r w:rsidR="00A124CE" w:rsidRPr="00931A6A">
        <w:rPr>
          <w:sz w:val="28"/>
          <w:szCs w:val="28"/>
        </w:rPr>
        <w:t xml:space="preserve">This current rule will be renumbered as Rule 78(c)(4)(B). </w:t>
      </w:r>
      <w:r w:rsidRPr="00931A6A">
        <w:rPr>
          <w:sz w:val="28"/>
          <w:szCs w:val="28"/>
        </w:rPr>
        <w:t xml:space="preserve">A special action is the appropriate </w:t>
      </w:r>
      <w:r w:rsidR="00B35B4F" w:rsidRPr="00931A6A">
        <w:rPr>
          <w:sz w:val="28"/>
          <w:szCs w:val="28"/>
        </w:rPr>
        <w:t xml:space="preserve">appellate </w:t>
      </w:r>
      <w:r w:rsidRPr="00931A6A">
        <w:rPr>
          <w:sz w:val="28"/>
          <w:szCs w:val="28"/>
        </w:rPr>
        <w:t xml:space="preserve">procedure to use </w:t>
      </w:r>
      <w:r w:rsidR="00B35B4F" w:rsidRPr="00931A6A">
        <w:rPr>
          <w:sz w:val="28"/>
          <w:szCs w:val="28"/>
        </w:rPr>
        <w:t xml:space="preserve">if </w:t>
      </w:r>
      <w:r w:rsidRPr="00931A6A">
        <w:rPr>
          <w:sz w:val="28"/>
          <w:szCs w:val="28"/>
        </w:rPr>
        <w:t>a superior court rejects a consent agreement</w:t>
      </w:r>
      <w:r w:rsidR="004E3883" w:rsidRPr="00931A6A">
        <w:rPr>
          <w:sz w:val="28"/>
          <w:szCs w:val="28"/>
        </w:rPr>
        <w:t>,</w:t>
      </w:r>
      <w:r w:rsidRPr="00931A6A">
        <w:rPr>
          <w:sz w:val="28"/>
          <w:szCs w:val="28"/>
        </w:rPr>
        <w:t xml:space="preserve"> since th</w:t>
      </w:r>
      <w:r w:rsidR="004E3883" w:rsidRPr="00931A6A">
        <w:rPr>
          <w:sz w:val="28"/>
          <w:szCs w:val="28"/>
        </w:rPr>
        <w:t xml:space="preserve">is </w:t>
      </w:r>
      <w:r w:rsidRPr="00931A6A">
        <w:rPr>
          <w:sz w:val="28"/>
          <w:szCs w:val="28"/>
        </w:rPr>
        <w:t xml:space="preserve">type of order is not a final judgment that can be appealed. The requirement for an adjudication hearing within 30 days has been deleted because the </w:t>
      </w:r>
      <w:r w:rsidR="00A124CE" w:rsidRPr="00931A6A">
        <w:rPr>
          <w:sz w:val="28"/>
          <w:szCs w:val="28"/>
        </w:rPr>
        <w:t xml:space="preserve">superior </w:t>
      </w:r>
      <w:r w:rsidRPr="00931A6A">
        <w:rPr>
          <w:sz w:val="28"/>
          <w:szCs w:val="28"/>
        </w:rPr>
        <w:t xml:space="preserve">court should have the </w:t>
      </w:r>
      <w:r w:rsidR="00B35B4F" w:rsidRPr="00931A6A">
        <w:rPr>
          <w:sz w:val="28"/>
          <w:szCs w:val="28"/>
        </w:rPr>
        <w:t xml:space="preserve">docketing </w:t>
      </w:r>
      <w:r w:rsidRPr="00931A6A">
        <w:rPr>
          <w:sz w:val="28"/>
          <w:szCs w:val="28"/>
        </w:rPr>
        <w:t xml:space="preserve">discretion to determine when a trial should be set. </w:t>
      </w:r>
      <w:r w:rsidR="00B35B4F" w:rsidRPr="00931A6A">
        <w:rPr>
          <w:sz w:val="28"/>
          <w:szCs w:val="28"/>
        </w:rPr>
        <w:t>As an example, i</w:t>
      </w:r>
      <w:r w:rsidRPr="00931A6A">
        <w:rPr>
          <w:sz w:val="28"/>
          <w:szCs w:val="28"/>
        </w:rPr>
        <w:t>n cases where a trial date has been set, but the court rejects a consent agreement, the trial date previously set by the court may be more than 30 days after the court’s rejection. The court should not be required to move a scheduled trial to an earlier date simply because the parties filed, and the court rejected, a consent agreement. Changing “adjudication hearing” to “a hearing on the merits” is appropriate to clarify the nature of the hearing.</w:t>
      </w:r>
    </w:p>
    <w:p w14:paraId="06D316EB" w14:textId="158212C6" w:rsidR="00461241" w:rsidRPr="00931A6A" w:rsidRDefault="00A124CE" w:rsidP="008942ED">
      <w:pPr>
        <w:spacing w:line="480" w:lineRule="auto"/>
        <w:ind w:left="180" w:right="180" w:firstLine="540"/>
        <w:jc w:val="both"/>
        <w:rPr>
          <w:sz w:val="28"/>
          <w:szCs w:val="28"/>
        </w:rPr>
      </w:pPr>
      <w:r w:rsidRPr="00931A6A">
        <w:rPr>
          <w:sz w:val="28"/>
          <w:szCs w:val="28"/>
          <w:u w:val="single"/>
        </w:rPr>
        <w:t>Rule 78(c)(6)</w:t>
      </w:r>
      <w:r w:rsidRPr="00931A6A">
        <w:rPr>
          <w:sz w:val="28"/>
          <w:szCs w:val="28"/>
        </w:rPr>
        <w:t xml:space="preserve"> – This current rule will be renumbered as Rule 78(c)(5).</w:t>
      </w:r>
      <w:r w:rsidR="00E6731A" w:rsidRPr="00931A6A">
        <w:rPr>
          <w:sz w:val="28"/>
          <w:szCs w:val="28"/>
        </w:rPr>
        <w:t xml:space="preserve"> </w:t>
      </w:r>
      <w:r w:rsidR="00461241" w:rsidRPr="00931A6A">
        <w:rPr>
          <w:sz w:val="28"/>
          <w:szCs w:val="28"/>
        </w:rPr>
        <w:t>Changing</w:t>
      </w:r>
      <w:r w:rsidR="00E6731A" w:rsidRPr="00931A6A">
        <w:rPr>
          <w:sz w:val="28"/>
          <w:szCs w:val="28"/>
        </w:rPr>
        <w:t xml:space="preserve"> the phrase</w:t>
      </w:r>
      <w:r w:rsidR="00461241" w:rsidRPr="00931A6A">
        <w:rPr>
          <w:sz w:val="28"/>
          <w:szCs w:val="28"/>
        </w:rPr>
        <w:t xml:space="preserve"> “consent to cease and desist agreement” to “consent agreement” is appropriate and necessary </w:t>
      </w:r>
      <w:r w:rsidR="00B35B4F" w:rsidRPr="00931A6A">
        <w:rPr>
          <w:sz w:val="28"/>
          <w:szCs w:val="28"/>
        </w:rPr>
        <w:t>for consistency</w:t>
      </w:r>
      <w:r w:rsidR="00E6731A" w:rsidRPr="00931A6A">
        <w:rPr>
          <w:sz w:val="28"/>
          <w:szCs w:val="28"/>
        </w:rPr>
        <w:t xml:space="preserve"> (</w:t>
      </w:r>
      <w:r w:rsidR="00E6731A" w:rsidRPr="00931A6A">
        <w:rPr>
          <w:i/>
          <w:iCs/>
          <w:sz w:val="28"/>
          <w:szCs w:val="28"/>
        </w:rPr>
        <w:t>see</w:t>
      </w:r>
      <w:r w:rsidR="00E6731A" w:rsidRPr="00931A6A">
        <w:rPr>
          <w:sz w:val="28"/>
          <w:szCs w:val="28"/>
        </w:rPr>
        <w:t xml:space="preserve">, </w:t>
      </w:r>
      <w:r w:rsidR="00E6731A" w:rsidRPr="00931A6A">
        <w:rPr>
          <w:i/>
          <w:iCs/>
          <w:sz w:val="28"/>
          <w:szCs w:val="28"/>
        </w:rPr>
        <w:t>e.g.</w:t>
      </w:r>
      <w:r w:rsidR="00E6731A" w:rsidRPr="00931A6A">
        <w:rPr>
          <w:sz w:val="28"/>
          <w:szCs w:val="28"/>
        </w:rPr>
        <w:t>, proposed Rule 76(b)(1))</w:t>
      </w:r>
      <w:r w:rsidR="00461241" w:rsidRPr="00931A6A">
        <w:rPr>
          <w:sz w:val="28"/>
          <w:szCs w:val="28"/>
        </w:rPr>
        <w:t xml:space="preserve">. The entry of a cease and desist order and injunction are both appropriate when a nonlawyer or entity has engaged in the unauthorized practice of law. The form of judgment has been amended to include a reference to the entry of a cease and desist order in addition to an injunction, and </w:t>
      </w:r>
      <w:r w:rsidR="00E6731A" w:rsidRPr="00931A6A">
        <w:rPr>
          <w:sz w:val="28"/>
          <w:szCs w:val="28"/>
        </w:rPr>
        <w:t xml:space="preserve">to </w:t>
      </w:r>
      <w:r w:rsidR="00461241" w:rsidRPr="00931A6A">
        <w:rPr>
          <w:sz w:val="28"/>
          <w:szCs w:val="28"/>
        </w:rPr>
        <w:t>include language for orders regarding other sanctions authorized by law. The form of judgment in a contempt proceeding should be left to the</w:t>
      </w:r>
      <w:r w:rsidR="00EF69EF" w:rsidRPr="00931A6A">
        <w:rPr>
          <w:sz w:val="28"/>
          <w:szCs w:val="28"/>
        </w:rPr>
        <w:t xml:space="preserve"> superior</w:t>
      </w:r>
      <w:r w:rsidR="00461241" w:rsidRPr="00931A6A">
        <w:rPr>
          <w:sz w:val="28"/>
          <w:szCs w:val="28"/>
        </w:rPr>
        <w:t xml:space="preserve"> court.</w:t>
      </w:r>
    </w:p>
    <w:p w14:paraId="35823C0C" w14:textId="3A16E54A" w:rsidR="00461241" w:rsidRPr="00931A6A" w:rsidRDefault="00461241" w:rsidP="008942ED">
      <w:pPr>
        <w:spacing w:line="480" w:lineRule="auto"/>
        <w:ind w:left="180" w:right="180" w:firstLine="540"/>
        <w:jc w:val="both"/>
        <w:rPr>
          <w:sz w:val="28"/>
          <w:szCs w:val="28"/>
        </w:rPr>
      </w:pPr>
      <w:r w:rsidRPr="00931A6A">
        <w:rPr>
          <w:sz w:val="28"/>
          <w:szCs w:val="28"/>
          <w:u w:val="single"/>
        </w:rPr>
        <w:t>Rule 79(a)</w:t>
      </w:r>
      <w:r w:rsidRPr="00931A6A">
        <w:rPr>
          <w:sz w:val="28"/>
          <w:szCs w:val="28"/>
        </w:rPr>
        <w:t xml:space="preserve"> – Changing</w:t>
      </w:r>
      <w:r w:rsidR="00EF69EF" w:rsidRPr="00931A6A">
        <w:rPr>
          <w:sz w:val="28"/>
          <w:szCs w:val="28"/>
        </w:rPr>
        <w:t xml:space="preserve"> the phrase </w:t>
      </w:r>
      <w:r w:rsidRPr="00931A6A">
        <w:rPr>
          <w:sz w:val="28"/>
          <w:szCs w:val="28"/>
        </w:rPr>
        <w:t xml:space="preserve">“consent to cease and desist agreement” to “consent agreement” is appropriate and necessary </w:t>
      </w:r>
      <w:r w:rsidR="008145C5" w:rsidRPr="00931A6A">
        <w:rPr>
          <w:sz w:val="28"/>
          <w:szCs w:val="28"/>
        </w:rPr>
        <w:t>for consistency</w:t>
      </w:r>
      <w:r w:rsidR="00EF69EF" w:rsidRPr="00931A6A">
        <w:rPr>
          <w:sz w:val="28"/>
          <w:szCs w:val="28"/>
        </w:rPr>
        <w:t xml:space="preserve"> (</w:t>
      </w:r>
      <w:r w:rsidR="00EF69EF" w:rsidRPr="00931A6A">
        <w:rPr>
          <w:i/>
          <w:iCs/>
          <w:sz w:val="28"/>
          <w:szCs w:val="28"/>
        </w:rPr>
        <w:t>see</w:t>
      </w:r>
      <w:r w:rsidR="00EF69EF" w:rsidRPr="00931A6A">
        <w:rPr>
          <w:sz w:val="28"/>
          <w:szCs w:val="28"/>
        </w:rPr>
        <w:t xml:space="preserve">, </w:t>
      </w:r>
      <w:r w:rsidR="00EF69EF" w:rsidRPr="00931A6A">
        <w:rPr>
          <w:i/>
          <w:iCs/>
          <w:sz w:val="28"/>
          <w:szCs w:val="28"/>
        </w:rPr>
        <w:t>e.g.</w:t>
      </w:r>
      <w:r w:rsidR="00EF69EF" w:rsidRPr="00931A6A">
        <w:rPr>
          <w:sz w:val="28"/>
          <w:szCs w:val="28"/>
        </w:rPr>
        <w:t>, proposed Rule 76(b)(1))</w:t>
      </w:r>
      <w:r w:rsidRPr="00931A6A">
        <w:rPr>
          <w:sz w:val="28"/>
          <w:szCs w:val="28"/>
        </w:rPr>
        <w:t>.</w:t>
      </w:r>
    </w:p>
    <w:p w14:paraId="094D2391" w14:textId="62B7F339" w:rsidR="00461241" w:rsidRPr="00931A6A" w:rsidRDefault="00461241" w:rsidP="008942ED">
      <w:pPr>
        <w:spacing w:line="480" w:lineRule="auto"/>
        <w:ind w:left="180" w:right="180" w:firstLine="540"/>
        <w:jc w:val="both"/>
        <w:rPr>
          <w:sz w:val="28"/>
          <w:szCs w:val="28"/>
        </w:rPr>
      </w:pPr>
      <w:r w:rsidRPr="00931A6A">
        <w:rPr>
          <w:sz w:val="28"/>
          <w:szCs w:val="28"/>
          <w:u w:val="single"/>
        </w:rPr>
        <w:t>Rule 79(e)</w:t>
      </w:r>
      <w:r w:rsidRPr="00931A6A">
        <w:rPr>
          <w:sz w:val="28"/>
          <w:szCs w:val="28"/>
        </w:rPr>
        <w:t xml:space="preserve"> – </w:t>
      </w:r>
      <w:r w:rsidR="00693CD9" w:rsidRPr="00931A6A">
        <w:rPr>
          <w:sz w:val="28"/>
          <w:szCs w:val="28"/>
        </w:rPr>
        <w:t>Striking the</w:t>
      </w:r>
      <w:r w:rsidRPr="00931A6A">
        <w:rPr>
          <w:sz w:val="28"/>
          <w:szCs w:val="28"/>
        </w:rPr>
        <w:t xml:space="preserve"> reference to “recommendations” regarding sanctions is appropriate because </w:t>
      </w:r>
      <w:r w:rsidR="00EF69EF" w:rsidRPr="00931A6A">
        <w:rPr>
          <w:sz w:val="28"/>
          <w:szCs w:val="28"/>
        </w:rPr>
        <w:t xml:space="preserve">the </w:t>
      </w:r>
      <w:r w:rsidRPr="00931A6A">
        <w:rPr>
          <w:sz w:val="28"/>
          <w:szCs w:val="28"/>
        </w:rPr>
        <w:t>superior court enter</w:t>
      </w:r>
      <w:r w:rsidR="00EF69EF" w:rsidRPr="00931A6A">
        <w:rPr>
          <w:sz w:val="28"/>
          <w:szCs w:val="28"/>
        </w:rPr>
        <w:t>s</w:t>
      </w:r>
      <w:r w:rsidRPr="00931A6A">
        <w:rPr>
          <w:sz w:val="28"/>
          <w:szCs w:val="28"/>
        </w:rPr>
        <w:t xml:space="preserve"> orders that include the imposition of sanctions; they do not “recommend” sanctions.</w:t>
      </w:r>
    </w:p>
    <w:p w14:paraId="45FAB463" w14:textId="77777777" w:rsidR="00931A6A" w:rsidRPr="00931A6A" w:rsidRDefault="00931A6A" w:rsidP="008942ED">
      <w:pPr>
        <w:spacing w:line="480" w:lineRule="auto"/>
        <w:ind w:left="180" w:right="180" w:firstLine="540"/>
        <w:jc w:val="both"/>
        <w:rPr>
          <w:sz w:val="28"/>
          <w:szCs w:val="28"/>
        </w:rPr>
      </w:pPr>
    </w:p>
    <w:p w14:paraId="6F0E2952" w14:textId="77777777" w:rsidR="00461241" w:rsidRPr="00931A6A" w:rsidRDefault="00461241" w:rsidP="008942ED">
      <w:pPr>
        <w:spacing w:line="480" w:lineRule="auto"/>
        <w:ind w:left="180" w:right="180" w:firstLine="540"/>
        <w:jc w:val="both"/>
        <w:rPr>
          <w:sz w:val="28"/>
          <w:szCs w:val="28"/>
        </w:rPr>
      </w:pPr>
      <w:r w:rsidRPr="00931A6A">
        <w:rPr>
          <w:sz w:val="28"/>
          <w:szCs w:val="28"/>
          <w:u w:val="single"/>
        </w:rPr>
        <w:t>Rule 79(f)</w:t>
      </w:r>
      <w:r w:rsidRPr="00931A6A">
        <w:rPr>
          <w:sz w:val="28"/>
          <w:szCs w:val="28"/>
        </w:rPr>
        <w:t xml:space="preserve"> – The inclusion of a reference to Criminal Rule 35 is appropriate and necessary to establish a procedure for criminal contempt.</w:t>
      </w:r>
    </w:p>
    <w:p w14:paraId="71BE1677" w14:textId="77777777" w:rsidR="00461241" w:rsidRPr="00931A6A" w:rsidRDefault="00461241" w:rsidP="008942ED">
      <w:pPr>
        <w:spacing w:line="480" w:lineRule="auto"/>
        <w:ind w:left="180" w:right="180" w:firstLine="540"/>
        <w:jc w:val="both"/>
        <w:rPr>
          <w:sz w:val="28"/>
          <w:szCs w:val="28"/>
        </w:rPr>
      </w:pPr>
      <w:r w:rsidRPr="00931A6A">
        <w:rPr>
          <w:sz w:val="28"/>
          <w:szCs w:val="28"/>
          <w:u w:val="single"/>
        </w:rPr>
        <w:t>Rule 79(g)</w:t>
      </w:r>
      <w:r w:rsidRPr="00931A6A">
        <w:rPr>
          <w:sz w:val="28"/>
          <w:szCs w:val="28"/>
        </w:rPr>
        <w:t xml:space="preserve"> – Changing “discipline” to “sanction” clarifies that sanctions—and not discipline—are imposed in unauthorized practice of law proceedings.</w:t>
      </w:r>
    </w:p>
    <w:p w14:paraId="16BCC30A" w14:textId="723DA240" w:rsidR="00461241" w:rsidRPr="00931A6A" w:rsidRDefault="00461241" w:rsidP="008942ED">
      <w:pPr>
        <w:spacing w:line="480" w:lineRule="auto"/>
        <w:ind w:left="180" w:right="180" w:firstLine="540"/>
        <w:jc w:val="both"/>
        <w:rPr>
          <w:sz w:val="28"/>
          <w:szCs w:val="28"/>
        </w:rPr>
      </w:pPr>
      <w:r w:rsidRPr="00931A6A">
        <w:rPr>
          <w:sz w:val="28"/>
          <w:szCs w:val="28"/>
          <w:u w:val="single"/>
        </w:rPr>
        <w:t>Rule 80(a)(1)</w:t>
      </w:r>
      <w:r w:rsidRPr="00931A6A">
        <w:rPr>
          <w:sz w:val="28"/>
          <w:szCs w:val="28"/>
        </w:rPr>
        <w:t xml:space="preserve"> – The processing of unauthorized practice of law cases should not be delayed due to similar proceedings elsewhere if the matter is pending before a superior court, but the State Bar should be permitted in its discretion to delay disposing of charge</w:t>
      </w:r>
      <w:r w:rsidR="00EF69EF" w:rsidRPr="00931A6A">
        <w:rPr>
          <w:sz w:val="28"/>
          <w:szCs w:val="28"/>
        </w:rPr>
        <w:t>s</w:t>
      </w:r>
      <w:r w:rsidRPr="00931A6A">
        <w:rPr>
          <w:sz w:val="28"/>
          <w:szCs w:val="28"/>
        </w:rPr>
        <w:t xml:space="preserve"> </w:t>
      </w:r>
      <w:r w:rsidR="006A603C" w:rsidRPr="00931A6A">
        <w:rPr>
          <w:sz w:val="28"/>
          <w:szCs w:val="28"/>
        </w:rPr>
        <w:t xml:space="preserve">not yet filed as a complaint </w:t>
      </w:r>
      <w:r w:rsidRPr="00931A6A">
        <w:rPr>
          <w:sz w:val="28"/>
          <w:szCs w:val="28"/>
        </w:rPr>
        <w:t xml:space="preserve">if there are substantially similar proceedings elsewhere that may assist it in determining an appropriate disposition of a charge. </w:t>
      </w:r>
      <w:r w:rsidR="00EF69EF" w:rsidRPr="00931A6A">
        <w:rPr>
          <w:sz w:val="28"/>
          <w:szCs w:val="28"/>
        </w:rPr>
        <w:t>Granting this discretion to Un</w:t>
      </w:r>
      <w:r w:rsidRPr="00931A6A">
        <w:rPr>
          <w:sz w:val="28"/>
          <w:szCs w:val="28"/>
        </w:rPr>
        <w:t xml:space="preserve">authorized Practice of Law Counsel </w:t>
      </w:r>
      <w:r w:rsidR="00EF69EF" w:rsidRPr="00931A6A">
        <w:rPr>
          <w:sz w:val="28"/>
          <w:szCs w:val="28"/>
        </w:rPr>
        <w:t xml:space="preserve">will </w:t>
      </w:r>
      <w:r w:rsidRPr="00931A6A">
        <w:rPr>
          <w:sz w:val="28"/>
          <w:szCs w:val="28"/>
        </w:rPr>
        <w:t>limit the expenditure of resources in matters where the outcome of the same or similar charge</w:t>
      </w:r>
      <w:r w:rsidR="00EF69EF" w:rsidRPr="00931A6A">
        <w:rPr>
          <w:sz w:val="28"/>
          <w:szCs w:val="28"/>
        </w:rPr>
        <w:t>s</w:t>
      </w:r>
      <w:r w:rsidRPr="00931A6A">
        <w:rPr>
          <w:sz w:val="28"/>
          <w:szCs w:val="28"/>
        </w:rPr>
        <w:t xml:space="preserve"> may </w:t>
      </w:r>
      <w:r w:rsidR="00EF69EF" w:rsidRPr="00931A6A">
        <w:rPr>
          <w:sz w:val="28"/>
          <w:szCs w:val="28"/>
        </w:rPr>
        <w:t xml:space="preserve">have a bearing on </w:t>
      </w:r>
      <w:r w:rsidRPr="00931A6A">
        <w:rPr>
          <w:sz w:val="28"/>
          <w:szCs w:val="28"/>
        </w:rPr>
        <w:t xml:space="preserve">the disposition of the </w:t>
      </w:r>
      <w:r w:rsidR="00EF69EF" w:rsidRPr="00931A6A">
        <w:rPr>
          <w:sz w:val="28"/>
          <w:szCs w:val="28"/>
        </w:rPr>
        <w:t xml:space="preserve">unauthorized practice of law </w:t>
      </w:r>
      <w:r w:rsidRPr="00931A6A">
        <w:rPr>
          <w:sz w:val="28"/>
          <w:szCs w:val="28"/>
        </w:rPr>
        <w:t>charge</w:t>
      </w:r>
      <w:r w:rsidR="00EF69EF" w:rsidRPr="00931A6A">
        <w:rPr>
          <w:sz w:val="28"/>
          <w:szCs w:val="28"/>
        </w:rPr>
        <w:t>s</w:t>
      </w:r>
      <w:r w:rsidRPr="00931A6A">
        <w:rPr>
          <w:sz w:val="28"/>
          <w:szCs w:val="28"/>
        </w:rPr>
        <w:t>.</w:t>
      </w:r>
    </w:p>
    <w:p w14:paraId="3D6ACC2E" w14:textId="6FF429CF" w:rsidR="00461241" w:rsidRPr="00931A6A" w:rsidRDefault="00461241" w:rsidP="008942ED">
      <w:pPr>
        <w:spacing w:line="480" w:lineRule="auto"/>
        <w:ind w:left="180" w:right="180" w:firstLine="540"/>
        <w:jc w:val="both"/>
        <w:rPr>
          <w:sz w:val="28"/>
          <w:szCs w:val="28"/>
        </w:rPr>
      </w:pPr>
      <w:r w:rsidRPr="00931A6A">
        <w:rPr>
          <w:sz w:val="28"/>
          <w:szCs w:val="28"/>
          <w:u w:val="single"/>
        </w:rPr>
        <w:t>Rule 80(a)(2)</w:t>
      </w:r>
      <w:r w:rsidRPr="00931A6A">
        <w:rPr>
          <w:sz w:val="28"/>
          <w:szCs w:val="28"/>
        </w:rPr>
        <w:t xml:space="preserve"> – Unauthorized Practice of Law Counsel should have the discretion to determine whether a lack of cooperation by witnesses, an agreement between the complainant and respondent, or restitution can adequately address the nature of the misconduct.</w:t>
      </w:r>
    </w:p>
    <w:p w14:paraId="266AF437" w14:textId="401AEDF1" w:rsidR="00461241" w:rsidRPr="00931A6A" w:rsidRDefault="00461241" w:rsidP="008942ED">
      <w:pPr>
        <w:spacing w:line="480" w:lineRule="auto"/>
        <w:ind w:left="180" w:right="180" w:firstLine="540"/>
        <w:jc w:val="both"/>
        <w:rPr>
          <w:sz w:val="28"/>
          <w:szCs w:val="28"/>
        </w:rPr>
      </w:pPr>
      <w:r w:rsidRPr="00931A6A">
        <w:rPr>
          <w:sz w:val="28"/>
          <w:szCs w:val="28"/>
          <w:u w:val="single"/>
        </w:rPr>
        <w:t>Rule 80(a)(6)</w:t>
      </w:r>
      <w:r w:rsidRPr="00931A6A">
        <w:rPr>
          <w:sz w:val="28"/>
          <w:szCs w:val="28"/>
        </w:rPr>
        <w:t xml:space="preserve"> – </w:t>
      </w:r>
      <w:r w:rsidR="000E4035" w:rsidRPr="00931A6A">
        <w:rPr>
          <w:sz w:val="28"/>
          <w:szCs w:val="28"/>
        </w:rPr>
        <w:t>The language in the current rule is limited to “testimony given in the</w:t>
      </w:r>
      <w:r w:rsidR="002A0FF3" w:rsidRPr="00931A6A">
        <w:rPr>
          <w:sz w:val="28"/>
          <w:szCs w:val="28"/>
        </w:rPr>
        <w:t xml:space="preserve"> [unauthorized practice of law]</w:t>
      </w:r>
      <w:r w:rsidR="008D2F49" w:rsidRPr="00931A6A">
        <w:rPr>
          <w:sz w:val="28"/>
          <w:szCs w:val="28"/>
        </w:rPr>
        <w:t xml:space="preserve"> proceedings,” whereas Rule 48(</w:t>
      </w:r>
      <w:r w:rsidR="008D2F49" w:rsidRPr="00931A6A">
        <w:rPr>
          <w:i/>
          <w:iCs/>
          <w:sz w:val="28"/>
          <w:szCs w:val="28"/>
        </w:rPr>
        <w:t>l</w:t>
      </w:r>
      <w:r w:rsidR="008D2F49" w:rsidRPr="00931A6A">
        <w:rPr>
          <w:sz w:val="28"/>
          <w:szCs w:val="28"/>
        </w:rPr>
        <w:t xml:space="preserve">), which grants immunity in cases involving lawyer misconduct, applies to both communications “related to lawyer misconduct, lack of professionalism or disability, </w:t>
      </w:r>
      <w:r w:rsidR="008D2F49" w:rsidRPr="00931A6A">
        <w:rPr>
          <w:b/>
          <w:bCs/>
          <w:i/>
          <w:iCs/>
          <w:sz w:val="28"/>
          <w:szCs w:val="28"/>
        </w:rPr>
        <w:t>and</w:t>
      </w:r>
      <w:r w:rsidR="008D2F49" w:rsidRPr="00931A6A">
        <w:rPr>
          <w:sz w:val="28"/>
          <w:szCs w:val="28"/>
        </w:rPr>
        <w:t xml:space="preserve"> testimony given in the proceedings.” (Emphasis added).</w:t>
      </w:r>
      <w:r w:rsidR="000E4035" w:rsidRPr="00931A6A">
        <w:rPr>
          <w:sz w:val="28"/>
          <w:szCs w:val="28"/>
        </w:rPr>
        <w:t xml:space="preserve"> </w:t>
      </w:r>
      <w:r w:rsidRPr="00931A6A">
        <w:rPr>
          <w:sz w:val="28"/>
          <w:szCs w:val="28"/>
        </w:rPr>
        <w:t xml:space="preserve">The </w:t>
      </w:r>
      <w:r w:rsidR="00EF69EF" w:rsidRPr="00931A6A">
        <w:rPr>
          <w:sz w:val="28"/>
          <w:szCs w:val="28"/>
        </w:rPr>
        <w:t xml:space="preserve">additional language and the </w:t>
      </w:r>
      <w:r w:rsidRPr="00931A6A">
        <w:rPr>
          <w:sz w:val="28"/>
          <w:szCs w:val="28"/>
        </w:rPr>
        <w:t xml:space="preserve">deletion of “as provided by law” </w:t>
      </w:r>
      <w:r w:rsidR="008D2F49" w:rsidRPr="00931A6A">
        <w:rPr>
          <w:sz w:val="28"/>
          <w:szCs w:val="28"/>
        </w:rPr>
        <w:t xml:space="preserve">will </w:t>
      </w:r>
      <w:r w:rsidR="002A0FF3" w:rsidRPr="00931A6A">
        <w:rPr>
          <w:sz w:val="28"/>
          <w:szCs w:val="28"/>
        </w:rPr>
        <w:t xml:space="preserve">result in </w:t>
      </w:r>
      <w:r w:rsidR="000E4035" w:rsidRPr="00931A6A">
        <w:rPr>
          <w:sz w:val="28"/>
          <w:szCs w:val="28"/>
        </w:rPr>
        <w:t>immunity language</w:t>
      </w:r>
      <w:r w:rsidR="002A0FF3" w:rsidRPr="00931A6A">
        <w:rPr>
          <w:sz w:val="28"/>
          <w:szCs w:val="28"/>
        </w:rPr>
        <w:t xml:space="preserve"> consistent with that</w:t>
      </w:r>
      <w:r w:rsidR="000E4035" w:rsidRPr="00931A6A">
        <w:rPr>
          <w:sz w:val="28"/>
          <w:szCs w:val="28"/>
        </w:rPr>
        <w:t xml:space="preserve"> in Rule 48(</w:t>
      </w:r>
      <w:r w:rsidR="000E4035" w:rsidRPr="00931A6A">
        <w:rPr>
          <w:i/>
          <w:iCs/>
          <w:sz w:val="28"/>
          <w:szCs w:val="28"/>
        </w:rPr>
        <w:t>l</w:t>
      </w:r>
      <w:r w:rsidR="000E4035" w:rsidRPr="00931A6A">
        <w:rPr>
          <w:sz w:val="28"/>
          <w:szCs w:val="28"/>
        </w:rPr>
        <w:t>)</w:t>
      </w:r>
      <w:r w:rsidRPr="00931A6A">
        <w:rPr>
          <w:sz w:val="28"/>
          <w:szCs w:val="28"/>
        </w:rPr>
        <w:t>.</w:t>
      </w:r>
    </w:p>
    <w:p w14:paraId="3A5E1283" w14:textId="4F31EC40" w:rsidR="00461241" w:rsidRPr="00931A6A" w:rsidRDefault="00461241" w:rsidP="008942ED">
      <w:pPr>
        <w:spacing w:line="480" w:lineRule="auto"/>
        <w:ind w:left="180" w:right="180" w:firstLine="540"/>
        <w:jc w:val="both"/>
        <w:rPr>
          <w:sz w:val="28"/>
          <w:szCs w:val="28"/>
        </w:rPr>
      </w:pPr>
      <w:r w:rsidRPr="00931A6A">
        <w:rPr>
          <w:sz w:val="28"/>
          <w:szCs w:val="28"/>
          <w:u w:val="single"/>
        </w:rPr>
        <w:t>Rule 80(b)(1)</w:t>
      </w:r>
      <w:r w:rsidRPr="00931A6A">
        <w:rPr>
          <w:sz w:val="28"/>
          <w:szCs w:val="28"/>
        </w:rPr>
        <w:t xml:space="preserve"> – The additional language </w:t>
      </w:r>
      <w:r w:rsidR="002A0FF3" w:rsidRPr="00931A6A">
        <w:rPr>
          <w:sz w:val="28"/>
          <w:szCs w:val="28"/>
        </w:rPr>
        <w:t xml:space="preserve">clarifies </w:t>
      </w:r>
      <w:r w:rsidRPr="00931A6A">
        <w:rPr>
          <w:sz w:val="28"/>
          <w:szCs w:val="28"/>
        </w:rPr>
        <w:t>when information related to unauthorized practice of law proceedings become</w:t>
      </w:r>
      <w:r w:rsidR="002A0FF3" w:rsidRPr="00931A6A">
        <w:rPr>
          <w:sz w:val="28"/>
          <w:szCs w:val="28"/>
        </w:rPr>
        <w:t>s</w:t>
      </w:r>
      <w:r w:rsidRPr="00931A6A">
        <w:rPr>
          <w:sz w:val="28"/>
          <w:szCs w:val="28"/>
        </w:rPr>
        <w:t xml:space="preserve"> available to the public.</w:t>
      </w:r>
    </w:p>
    <w:p w14:paraId="7C216C57" w14:textId="1A2FB7DC" w:rsidR="00461241" w:rsidRPr="00931A6A" w:rsidRDefault="00461241" w:rsidP="008942ED">
      <w:pPr>
        <w:spacing w:line="480" w:lineRule="auto"/>
        <w:ind w:left="180" w:right="180" w:firstLine="540"/>
        <w:jc w:val="both"/>
        <w:rPr>
          <w:sz w:val="28"/>
          <w:szCs w:val="28"/>
        </w:rPr>
      </w:pPr>
      <w:r w:rsidRPr="00931A6A">
        <w:rPr>
          <w:sz w:val="28"/>
          <w:szCs w:val="28"/>
          <w:u w:val="single"/>
        </w:rPr>
        <w:t>Rule 80(b)(2)(A)</w:t>
      </w:r>
      <w:r w:rsidRPr="00931A6A">
        <w:rPr>
          <w:sz w:val="28"/>
          <w:szCs w:val="28"/>
        </w:rPr>
        <w:t xml:space="preserve"> – The deletion of “a panelist” is appropriate because panelists are not involved in unauthorized practice of law proceedings. The </w:t>
      </w:r>
      <w:r w:rsidR="002A0FF3" w:rsidRPr="00931A6A">
        <w:rPr>
          <w:sz w:val="28"/>
          <w:szCs w:val="28"/>
        </w:rPr>
        <w:t xml:space="preserve">addition of a short list of </w:t>
      </w:r>
      <w:r w:rsidRPr="00931A6A">
        <w:rPr>
          <w:sz w:val="28"/>
          <w:szCs w:val="28"/>
        </w:rPr>
        <w:t xml:space="preserve">examples </w:t>
      </w:r>
      <w:r w:rsidR="002A0FF3" w:rsidRPr="00931A6A">
        <w:rPr>
          <w:sz w:val="28"/>
          <w:szCs w:val="28"/>
        </w:rPr>
        <w:t xml:space="preserve">clarifies the types of </w:t>
      </w:r>
      <w:r w:rsidRPr="00931A6A">
        <w:rPr>
          <w:sz w:val="28"/>
          <w:szCs w:val="28"/>
        </w:rPr>
        <w:t xml:space="preserve">documents that do not become matters of public </w:t>
      </w:r>
      <w:proofErr w:type="gramStart"/>
      <w:r w:rsidRPr="00931A6A">
        <w:rPr>
          <w:sz w:val="28"/>
          <w:szCs w:val="28"/>
        </w:rPr>
        <w:t>record</w:t>
      </w:r>
      <w:r w:rsidR="00A952B4" w:rsidRPr="00931A6A">
        <w:rPr>
          <w:sz w:val="28"/>
          <w:szCs w:val="28"/>
        </w:rPr>
        <w:t>, and</w:t>
      </w:r>
      <w:proofErr w:type="gramEnd"/>
      <w:r w:rsidR="00A952B4" w:rsidRPr="00931A6A">
        <w:rPr>
          <w:sz w:val="28"/>
          <w:szCs w:val="28"/>
        </w:rPr>
        <w:t xml:space="preserve"> is consistent with the rule pertaining to lawyer discipline proceed</w:t>
      </w:r>
      <w:r w:rsidR="00BE3E93" w:rsidRPr="00931A6A">
        <w:rPr>
          <w:sz w:val="28"/>
          <w:szCs w:val="28"/>
        </w:rPr>
        <w:t>i</w:t>
      </w:r>
      <w:r w:rsidR="00A952B4" w:rsidRPr="00931A6A">
        <w:rPr>
          <w:sz w:val="28"/>
          <w:szCs w:val="28"/>
        </w:rPr>
        <w:t>ngs (</w:t>
      </w:r>
      <w:r w:rsidR="00A952B4" w:rsidRPr="00931A6A">
        <w:rPr>
          <w:i/>
          <w:iCs/>
          <w:sz w:val="28"/>
          <w:szCs w:val="28"/>
        </w:rPr>
        <w:t>see</w:t>
      </w:r>
      <w:r w:rsidR="00A952B4" w:rsidRPr="00931A6A">
        <w:rPr>
          <w:sz w:val="28"/>
          <w:szCs w:val="28"/>
        </w:rPr>
        <w:t xml:space="preserve"> Rule 70(b)(1))</w:t>
      </w:r>
      <w:r w:rsidRPr="00931A6A">
        <w:rPr>
          <w:sz w:val="28"/>
          <w:szCs w:val="28"/>
        </w:rPr>
        <w:t>.</w:t>
      </w:r>
    </w:p>
    <w:p w14:paraId="04591156" w14:textId="6DE79D8E" w:rsidR="00461241" w:rsidRPr="00931A6A" w:rsidRDefault="00461241" w:rsidP="008942ED">
      <w:pPr>
        <w:spacing w:line="480" w:lineRule="auto"/>
        <w:ind w:left="180" w:right="180" w:firstLine="540"/>
        <w:jc w:val="both"/>
        <w:rPr>
          <w:sz w:val="28"/>
          <w:szCs w:val="28"/>
        </w:rPr>
      </w:pPr>
      <w:r w:rsidRPr="00931A6A">
        <w:rPr>
          <w:sz w:val="28"/>
          <w:szCs w:val="28"/>
          <w:u w:val="single"/>
        </w:rPr>
        <w:t>Rule 80(b)(2)(B)</w:t>
      </w:r>
      <w:r w:rsidRPr="00931A6A">
        <w:rPr>
          <w:sz w:val="28"/>
          <w:szCs w:val="28"/>
        </w:rPr>
        <w:t xml:space="preserve"> – The deletion of “a panelist” is appropriate because panelists are not involved in unauthorized practice of law proceedings. “</w:t>
      </w:r>
      <w:r w:rsidR="00A952B4" w:rsidRPr="00931A6A">
        <w:rPr>
          <w:sz w:val="28"/>
          <w:szCs w:val="28"/>
        </w:rPr>
        <w:t>[C]</w:t>
      </w:r>
      <w:proofErr w:type="spellStart"/>
      <w:r w:rsidRPr="00931A6A">
        <w:rPr>
          <w:sz w:val="28"/>
          <w:szCs w:val="28"/>
        </w:rPr>
        <w:t>ommittee</w:t>
      </w:r>
      <w:proofErr w:type="spellEnd"/>
      <w:r w:rsidRPr="00931A6A">
        <w:rPr>
          <w:sz w:val="28"/>
          <w:szCs w:val="28"/>
        </w:rPr>
        <w:t>” was added because limited matters may be addressed by the Attorney Discipline Probable Cause Committee</w:t>
      </w:r>
      <w:r w:rsidR="002A0FF3" w:rsidRPr="00931A6A">
        <w:rPr>
          <w:sz w:val="28"/>
          <w:szCs w:val="28"/>
        </w:rPr>
        <w:t xml:space="preserve"> (</w:t>
      </w:r>
      <w:r w:rsidR="002A0FF3" w:rsidRPr="00931A6A">
        <w:rPr>
          <w:i/>
          <w:iCs/>
          <w:sz w:val="28"/>
          <w:szCs w:val="28"/>
        </w:rPr>
        <w:t>see</w:t>
      </w:r>
      <w:r w:rsidR="002A0FF3" w:rsidRPr="00931A6A">
        <w:rPr>
          <w:sz w:val="28"/>
          <w:szCs w:val="28"/>
        </w:rPr>
        <w:t xml:space="preserve"> Rule 75(</w:t>
      </w:r>
      <w:r w:rsidR="00FA34B3" w:rsidRPr="00931A6A">
        <w:rPr>
          <w:sz w:val="28"/>
          <w:szCs w:val="28"/>
        </w:rPr>
        <w:t>b</w:t>
      </w:r>
      <w:r w:rsidR="002A0FF3" w:rsidRPr="00931A6A">
        <w:rPr>
          <w:sz w:val="28"/>
          <w:szCs w:val="28"/>
        </w:rPr>
        <w:t>)(4)</w:t>
      </w:r>
      <w:r w:rsidR="005B245E" w:rsidRPr="00931A6A">
        <w:rPr>
          <w:sz w:val="28"/>
          <w:szCs w:val="28"/>
        </w:rPr>
        <w:t xml:space="preserve"> (D</w:t>
      </w:r>
      <w:r w:rsidR="002A0FF3" w:rsidRPr="00931A6A">
        <w:rPr>
          <w:sz w:val="28"/>
          <w:szCs w:val="28"/>
        </w:rPr>
        <w:t>efinitions)</w:t>
      </w:r>
      <w:r w:rsidR="005B245E" w:rsidRPr="00931A6A">
        <w:rPr>
          <w:sz w:val="28"/>
          <w:szCs w:val="28"/>
        </w:rPr>
        <w:t>, and Rules 77(c))</w:t>
      </w:r>
      <w:r w:rsidRPr="00931A6A">
        <w:rPr>
          <w:sz w:val="28"/>
          <w:szCs w:val="28"/>
        </w:rPr>
        <w:t>.</w:t>
      </w:r>
    </w:p>
    <w:p w14:paraId="179579A7" w14:textId="7AA7C198" w:rsidR="00461241" w:rsidRPr="00931A6A" w:rsidRDefault="00461241" w:rsidP="008942ED">
      <w:pPr>
        <w:spacing w:line="480" w:lineRule="auto"/>
        <w:ind w:left="180" w:right="180" w:firstLine="540"/>
        <w:jc w:val="both"/>
        <w:rPr>
          <w:sz w:val="28"/>
          <w:szCs w:val="28"/>
        </w:rPr>
      </w:pPr>
      <w:r w:rsidRPr="00931A6A">
        <w:rPr>
          <w:sz w:val="28"/>
          <w:szCs w:val="28"/>
          <w:u w:val="single"/>
        </w:rPr>
        <w:t>Rule 80(b)(2)(D)</w:t>
      </w:r>
      <w:r w:rsidRPr="00931A6A">
        <w:rPr>
          <w:sz w:val="28"/>
          <w:szCs w:val="28"/>
        </w:rPr>
        <w:t xml:space="preserve"> – </w:t>
      </w:r>
      <w:r w:rsidR="00A952B4" w:rsidRPr="00931A6A">
        <w:rPr>
          <w:sz w:val="28"/>
          <w:szCs w:val="28"/>
        </w:rPr>
        <w:t xml:space="preserve">Amending the phrase </w:t>
      </w:r>
      <w:r w:rsidRPr="00931A6A">
        <w:rPr>
          <w:sz w:val="28"/>
          <w:szCs w:val="28"/>
        </w:rPr>
        <w:t>“Attorney Consumer Assistance Program” to “intake department” is appropriate because the “Attorney Consumer Assistance Program” is a term that is no longer used</w:t>
      </w:r>
      <w:r w:rsidR="00A952B4" w:rsidRPr="00931A6A">
        <w:rPr>
          <w:sz w:val="28"/>
          <w:szCs w:val="28"/>
        </w:rPr>
        <w:t xml:space="preserve"> by the State Bar</w:t>
      </w:r>
      <w:r w:rsidRPr="00931A6A">
        <w:rPr>
          <w:sz w:val="28"/>
          <w:szCs w:val="28"/>
        </w:rPr>
        <w:t>. “[T]</w:t>
      </w:r>
      <w:proofErr w:type="spellStart"/>
      <w:r w:rsidRPr="00931A6A">
        <w:rPr>
          <w:sz w:val="28"/>
          <w:szCs w:val="28"/>
        </w:rPr>
        <w:t>elephonic</w:t>
      </w:r>
      <w:proofErr w:type="spellEnd"/>
      <w:r w:rsidRPr="00931A6A">
        <w:rPr>
          <w:sz w:val="28"/>
          <w:szCs w:val="28"/>
        </w:rPr>
        <w:t xml:space="preserve"> requests” was changed to “requests” to protect non-telephonic requests for information and to be consistent with the rules pertaining to lawyer discipline proceedings</w:t>
      </w:r>
      <w:r w:rsidR="004979FA" w:rsidRPr="00931A6A">
        <w:rPr>
          <w:sz w:val="28"/>
          <w:szCs w:val="28"/>
        </w:rPr>
        <w:t xml:space="preserve"> (</w:t>
      </w:r>
      <w:r w:rsidR="004979FA" w:rsidRPr="00931A6A">
        <w:rPr>
          <w:i/>
          <w:iCs/>
          <w:sz w:val="28"/>
          <w:szCs w:val="28"/>
        </w:rPr>
        <w:t>see</w:t>
      </w:r>
      <w:r w:rsidR="004979FA" w:rsidRPr="00931A6A">
        <w:rPr>
          <w:sz w:val="28"/>
          <w:szCs w:val="28"/>
        </w:rPr>
        <w:t xml:space="preserve"> Rule 70(b)(8))</w:t>
      </w:r>
      <w:r w:rsidRPr="00931A6A">
        <w:rPr>
          <w:sz w:val="28"/>
          <w:szCs w:val="28"/>
        </w:rPr>
        <w:t>.</w:t>
      </w:r>
    </w:p>
    <w:p w14:paraId="372DCEF3" w14:textId="7565D4BC" w:rsidR="00461241" w:rsidRPr="00931A6A" w:rsidRDefault="00461241" w:rsidP="008942ED">
      <w:pPr>
        <w:spacing w:line="480" w:lineRule="auto"/>
        <w:ind w:left="180" w:right="180" w:firstLine="540"/>
        <w:jc w:val="both"/>
        <w:rPr>
          <w:sz w:val="28"/>
          <w:szCs w:val="28"/>
        </w:rPr>
      </w:pPr>
      <w:r w:rsidRPr="00931A6A">
        <w:rPr>
          <w:sz w:val="28"/>
          <w:szCs w:val="28"/>
          <w:u w:val="single"/>
        </w:rPr>
        <w:t>Rules 80(b)(2)(E) through (I)</w:t>
      </w:r>
      <w:r w:rsidRPr="00931A6A">
        <w:rPr>
          <w:sz w:val="28"/>
          <w:szCs w:val="28"/>
        </w:rPr>
        <w:t xml:space="preserve"> – Several categories of information w</w:t>
      </w:r>
      <w:r w:rsidR="00F77CDE" w:rsidRPr="00931A6A">
        <w:rPr>
          <w:sz w:val="28"/>
          <w:szCs w:val="28"/>
        </w:rPr>
        <w:t>ere</w:t>
      </w:r>
      <w:r w:rsidRPr="00931A6A">
        <w:rPr>
          <w:sz w:val="28"/>
          <w:szCs w:val="28"/>
        </w:rPr>
        <w:t xml:space="preserve"> included to</w:t>
      </w:r>
      <w:r w:rsidR="008F09CF" w:rsidRPr="00931A6A">
        <w:rPr>
          <w:sz w:val="28"/>
          <w:szCs w:val="28"/>
        </w:rPr>
        <w:t xml:space="preserve"> allow</w:t>
      </w:r>
      <w:r w:rsidRPr="00931A6A">
        <w:rPr>
          <w:sz w:val="28"/>
          <w:szCs w:val="28"/>
        </w:rPr>
        <w:t xml:space="preserve"> the state bar </w:t>
      </w:r>
      <w:r w:rsidR="008F09CF" w:rsidRPr="00931A6A">
        <w:rPr>
          <w:sz w:val="28"/>
          <w:szCs w:val="28"/>
        </w:rPr>
        <w:t>to</w:t>
      </w:r>
      <w:r w:rsidRPr="00931A6A">
        <w:rPr>
          <w:sz w:val="28"/>
          <w:szCs w:val="28"/>
        </w:rPr>
        <w:t xml:space="preserve"> redact or seal information or documents for which a motion to seal would otherwise need to be filed with the superior court</w:t>
      </w:r>
      <w:r w:rsidR="008F09CF" w:rsidRPr="00931A6A">
        <w:rPr>
          <w:sz w:val="28"/>
          <w:szCs w:val="28"/>
        </w:rPr>
        <w:t xml:space="preserve">, and to make the rule consistent with the </w:t>
      </w:r>
      <w:r w:rsidRPr="00931A6A">
        <w:rPr>
          <w:sz w:val="28"/>
          <w:szCs w:val="28"/>
        </w:rPr>
        <w:t>rules pertaining to lawyer discipline proceedings</w:t>
      </w:r>
      <w:r w:rsidR="008F09CF" w:rsidRPr="00931A6A">
        <w:rPr>
          <w:sz w:val="28"/>
          <w:szCs w:val="28"/>
        </w:rPr>
        <w:t xml:space="preserve"> (</w:t>
      </w:r>
      <w:r w:rsidR="008F09CF" w:rsidRPr="00931A6A">
        <w:rPr>
          <w:i/>
          <w:iCs/>
          <w:sz w:val="28"/>
          <w:szCs w:val="28"/>
        </w:rPr>
        <w:t>see</w:t>
      </w:r>
      <w:r w:rsidR="008F09CF" w:rsidRPr="00931A6A">
        <w:rPr>
          <w:sz w:val="28"/>
          <w:szCs w:val="28"/>
        </w:rPr>
        <w:t xml:space="preserve"> Rule 70(b)(11) through (15))</w:t>
      </w:r>
      <w:r w:rsidRPr="00931A6A">
        <w:rPr>
          <w:sz w:val="28"/>
          <w:szCs w:val="28"/>
        </w:rPr>
        <w:t>.</w:t>
      </w:r>
    </w:p>
    <w:p w14:paraId="223B6126" w14:textId="79DE8402" w:rsidR="00461241" w:rsidRPr="00931A6A" w:rsidRDefault="00461241" w:rsidP="008942ED">
      <w:pPr>
        <w:spacing w:line="480" w:lineRule="auto"/>
        <w:ind w:left="180" w:right="180" w:firstLine="540"/>
        <w:jc w:val="both"/>
        <w:rPr>
          <w:sz w:val="28"/>
          <w:szCs w:val="28"/>
        </w:rPr>
      </w:pPr>
      <w:r w:rsidRPr="00931A6A">
        <w:rPr>
          <w:sz w:val="28"/>
          <w:szCs w:val="28"/>
          <w:u w:val="single"/>
        </w:rPr>
        <w:t>Rule 80(b)(3)</w:t>
      </w:r>
      <w:r w:rsidRPr="00931A6A">
        <w:rPr>
          <w:sz w:val="28"/>
          <w:szCs w:val="28"/>
        </w:rPr>
        <w:t xml:space="preserve"> – The current rule does not </w:t>
      </w:r>
      <w:r w:rsidR="008F09CF" w:rsidRPr="00931A6A">
        <w:rPr>
          <w:sz w:val="28"/>
          <w:szCs w:val="28"/>
        </w:rPr>
        <w:t xml:space="preserve">state </w:t>
      </w:r>
      <w:r w:rsidRPr="00931A6A">
        <w:rPr>
          <w:sz w:val="28"/>
          <w:szCs w:val="28"/>
        </w:rPr>
        <w:t xml:space="preserve">when </w:t>
      </w:r>
      <w:r w:rsidR="005B245E" w:rsidRPr="00931A6A">
        <w:rPr>
          <w:sz w:val="28"/>
          <w:szCs w:val="28"/>
        </w:rPr>
        <w:t xml:space="preserve">unauthorized practice of law </w:t>
      </w:r>
      <w:r w:rsidRPr="00931A6A">
        <w:rPr>
          <w:sz w:val="28"/>
          <w:szCs w:val="28"/>
        </w:rPr>
        <w:t>information or documents become matters of public record</w:t>
      </w:r>
      <w:r w:rsidR="0039122D" w:rsidRPr="00931A6A">
        <w:rPr>
          <w:sz w:val="28"/>
          <w:szCs w:val="28"/>
        </w:rPr>
        <w:t>, or when the State Bar may disclose its file when the file is not a matter of public record</w:t>
      </w:r>
      <w:r w:rsidRPr="00931A6A">
        <w:rPr>
          <w:sz w:val="28"/>
          <w:szCs w:val="28"/>
        </w:rPr>
        <w:t>. The proposed language is consistent with the rules pertaining to lawyer discipline proceedings</w:t>
      </w:r>
      <w:r w:rsidR="008F09CF" w:rsidRPr="00931A6A">
        <w:rPr>
          <w:sz w:val="28"/>
          <w:szCs w:val="28"/>
        </w:rPr>
        <w:t xml:space="preserve"> (</w:t>
      </w:r>
      <w:r w:rsidR="008F09CF" w:rsidRPr="00931A6A">
        <w:rPr>
          <w:i/>
          <w:iCs/>
          <w:sz w:val="28"/>
          <w:szCs w:val="28"/>
        </w:rPr>
        <w:t>see</w:t>
      </w:r>
      <w:r w:rsidR="008F09CF" w:rsidRPr="00931A6A">
        <w:rPr>
          <w:sz w:val="28"/>
          <w:szCs w:val="28"/>
        </w:rPr>
        <w:t xml:space="preserve"> Rule 70(c))</w:t>
      </w:r>
      <w:r w:rsidRPr="00931A6A">
        <w:rPr>
          <w:sz w:val="28"/>
          <w:szCs w:val="28"/>
        </w:rPr>
        <w:t>.</w:t>
      </w:r>
    </w:p>
    <w:p w14:paraId="46A68049" w14:textId="699450B6" w:rsidR="00461241" w:rsidRPr="00931A6A" w:rsidRDefault="00461241" w:rsidP="008942ED">
      <w:pPr>
        <w:spacing w:line="480" w:lineRule="auto"/>
        <w:ind w:left="180" w:right="180" w:firstLine="540"/>
        <w:jc w:val="both"/>
        <w:rPr>
          <w:sz w:val="28"/>
          <w:szCs w:val="28"/>
        </w:rPr>
      </w:pPr>
      <w:r w:rsidRPr="00931A6A">
        <w:rPr>
          <w:sz w:val="28"/>
          <w:szCs w:val="28"/>
          <w:u w:val="single"/>
        </w:rPr>
        <w:t>Rule 80(b)(4)</w:t>
      </w:r>
      <w:r w:rsidRPr="00931A6A">
        <w:rPr>
          <w:sz w:val="28"/>
          <w:szCs w:val="28"/>
        </w:rPr>
        <w:t xml:space="preserve"> – The proposed rule clarifies the ability of a complainant, respondent or witness to disclose documents, and is consistent with the rules pertaining to lawyer discipline proceedings</w:t>
      </w:r>
      <w:r w:rsidR="008F09CF" w:rsidRPr="00931A6A">
        <w:rPr>
          <w:sz w:val="28"/>
          <w:szCs w:val="28"/>
        </w:rPr>
        <w:t xml:space="preserve"> (</w:t>
      </w:r>
      <w:r w:rsidR="008F09CF" w:rsidRPr="00931A6A">
        <w:rPr>
          <w:i/>
          <w:iCs/>
          <w:sz w:val="28"/>
          <w:szCs w:val="28"/>
        </w:rPr>
        <w:t>see</w:t>
      </w:r>
      <w:r w:rsidR="008F09CF" w:rsidRPr="00931A6A">
        <w:rPr>
          <w:sz w:val="28"/>
          <w:szCs w:val="28"/>
        </w:rPr>
        <w:t xml:space="preserve"> Rule </w:t>
      </w:r>
      <w:r w:rsidR="00E42D48" w:rsidRPr="00931A6A">
        <w:rPr>
          <w:sz w:val="28"/>
          <w:szCs w:val="28"/>
        </w:rPr>
        <w:t>7</w:t>
      </w:r>
      <w:r w:rsidR="008F09CF" w:rsidRPr="00931A6A">
        <w:rPr>
          <w:sz w:val="28"/>
          <w:szCs w:val="28"/>
        </w:rPr>
        <w:t>0(d))</w:t>
      </w:r>
      <w:r w:rsidRPr="00931A6A">
        <w:rPr>
          <w:sz w:val="28"/>
          <w:szCs w:val="28"/>
        </w:rPr>
        <w:t>.</w:t>
      </w:r>
    </w:p>
    <w:p w14:paraId="62EC5AF3" w14:textId="79E94755" w:rsidR="00461241" w:rsidRPr="00931A6A" w:rsidRDefault="00461241" w:rsidP="008942ED">
      <w:pPr>
        <w:spacing w:line="480" w:lineRule="auto"/>
        <w:ind w:left="180" w:right="180" w:firstLine="540"/>
        <w:jc w:val="both"/>
        <w:rPr>
          <w:sz w:val="28"/>
          <w:szCs w:val="28"/>
        </w:rPr>
      </w:pPr>
      <w:r w:rsidRPr="00931A6A">
        <w:rPr>
          <w:sz w:val="28"/>
          <w:szCs w:val="28"/>
          <w:u w:val="single"/>
        </w:rPr>
        <w:t>Rule 80(b)(5)</w:t>
      </w:r>
      <w:r w:rsidRPr="00931A6A">
        <w:rPr>
          <w:sz w:val="28"/>
          <w:szCs w:val="28"/>
        </w:rPr>
        <w:t xml:space="preserve"> – The addition of language regarding the impact of disclosure of information or documents in unauthorized practice of law proceedings </w:t>
      </w:r>
      <w:r w:rsidR="001C3C24" w:rsidRPr="00931A6A">
        <w:rPr>
          <w:sz w:val="28"/>
          <w:szCs w:val="28"/>
        </w:rPr>
        <w:t>is c</w:t>
      </w:r>
      <w:r w:rsidRPr="00931A6A">
        <w:rPr>
          <w:sz w:val="28"/>
          <w:szCs w:val="28"/>
        </w:rPr>
        <w:t>onsistent with the rules pertaining to lawyer discipline proceedings</w:t>
      </w:r>
      <w:r w:rsidR="001C3C24" w:rsidRPr="00931A6A">
        <w:rPr>
          <w:sz w:val="28"/>
          <w:szCs w:val="28"/>
        </w:rPr>
        <w:t xml:space="preserve"> (</w:t>
      </w:r>
      <w:r w:rsidR="001C3C24" w:rsidRPr="00931A6A">
        <w:rPr>
          <w:i/>
          <w:iCs/>
          <w:sz w:val="28"/>
          <w:szCs w:val="28"/>
        </w:rPr>
        <w:t>see</w:t>
      </w:r>
      <w:r w:rsidR="001C3C24" w:rsidRPr="00931A6A">
        <w:rPr>
          <w:sz w:val="28"/>
          <w:szCs w:val="28"/>
        </w:rPr>
        <w:t xml:space="preserve"> Rule </w:t>
      </w:r>
      <w:r w:rsidR="00E42D48" w:rsidRPr="00931A6A">
        <w:rPr>
          <w:sz w:val="28"/>
          <w:szCs w:val="28"/>
        </w:rPr>
        <w:t>7</w:t>
      </w:r>
      <w:r w:rsidR="001C3C24" w:rsidRPr="00931A6A">
        <w:rPr>
          <w:sz w:val="28"/>
          <w:szCs w:val="28"/>
        </w:rPr>
        <w:t>0(f))</w:t>
      </w:r>
      <w:r w:rsidRPr="00931A6A">
        <w:rPr>
          <w:sz w:val="28"/>
          <w:szCs w:val="28"/>
        </w:rPr>
        <w:t>.</w:t>
      </w:r>
    </w:p>
    <w:p w14:paraId="1FB704AC" w14:textId="15EE8D68" w:rsidR="00461241" w:rsidRPr="00931A6A" w:rsidRDefault="00461241" w:rsidP="008942ED">
      <w:pPr>
        <w:spacing w:line="480" w:lineRule="auto"/>
        <w:ind w:left="180" w:right="180" w:firstLine="540"/>
        <w:jc w:val="both"/>
        <w:rPr>
          <w:sz w:val="28"/>
          <w:szCs w:val="28"/>
        </w:rPr>
      </w:pPr>
      <w:bookmarkStart w:id="1" w:name="_Hlk54341850"/>
      <w:r w:rsidRPr="00931A6A">
        <w:rPr>
          <w:sz w:val="28"/>
          <w:szCs w:val="28"/>
          <w:u w:val="single"/>
        </w:rPr>
        <w:t>Rule 80(b)(7)</w:t>
      </w:r>
      <w:r w:rsidRPr="00931A6A">
        <w:rPr>
          <w:sz w:val="28"/>
          <w:szCs w:val="28"/>
        </w:rPr>
        <w:t xml:space="preserve"> – The </w:t>
      </w:r>
      <w:r w:rsidR="00183999" w:rsidRPr="00931A6A">
        <w:rPr>
          <w:sz w:val="28"/>
          <w:szCs w:val="28"/>
        </w:rPr>
        <w:t>addition</w:t>
      </w:r>
      <w:r w:rsidRPr="00931A6A">
        <w:rPr>
          <w:sz w:val="28"/>
          <w:szCs w:val="28"/>
        </w:rPr>
        <w:t xml:space="preserve"> of</w:t>
      </w:r>
      <w:r w:rsidR="00183999" w:rsidRPr="00931A6A">
        <w:rPr>
          <w:sz w:val="28"/>
          <w:szCs w:val="28"/>
        </w:rPr>
        <w:t xml:space="preserve"> a subsection re</w:t>
      </w:r>
      <w:r w:rsidRPr="00931A6A">
        <w:rPr>
          <w:sz w:val="28"/>
          <w:szCs w:val="28"/>
        </w:rPr>
        <w:t xml:space="preserve">garding the retention of records </w:t>
      </w:r>
      <w:r w:rsidR="00183999" w:rsidRPr="00931A6A">
        <w:rPr>
          <w:sz w:val="28"/>
          <w:szCs w:val="28"/>
        </w:rPr>
        <w:t>is appropriate and necessary to</w:t>
      </w:r>
      <w:r w:rsidRPr="00931A6A">
        <w:rPr>
          <w:sz w:val="28"/>
          <w:szCs w:val="28"/>
        </w:rPr>
        <w:t xml:space="preserve"> clarify the State Bar’s duty to retain documents and information</w:t>
      </w:r>
      <w:r w:rsidR="00E169AC" w:rsidRPr="00931A6A">
        <w:rPr>
          <w:sz w:val="28"/>
          <w:szCs w:val="28"/>
        </w:rPr>
        <w:t xml:space="preserve"> related to unauthorized practice of law matters</w:t>
      </w:r>
      <w:r w:rsidR="00183999" w:rsidRPr="00931A6A">
        <w:rPr>
          <w:sz w:val="28"/>
          <w:szCs w:val="28"/>
        </w:rPr>
        <w:t xml:space="preserve">. Based on the incorporation of Rule 70(h), the retention of records in unauthorized practice of law matters will be the same as that for lawyer regulation matters. On September 30, 2020, </w:t>
      </w:r>
      <w:r w:rsidR="00E169AC" w:rsidRPr="00931A6A">
        <w:rPr>
          <w:sz w:val="28"/>
          <w:szCs w:val="28"/>
        </w:rPr>
        <w:t>the Supreme Court</w:t>
      </w:r>
      <w:r w:rsidR="00183999" w:rsidRPr="00931A6A">
        <w:rPr>
          <w:sz w:val="28"/>
          <w:szCs w:val="28"/>
        </w:rPr>
        <w:t xml:space="preserve"> entered </w:t>
      </w:r>
      <w:r w:rsidR="00686245" w:rsidRPr="00931A6A">
        <w:rPr>
          <w:sz w:val="28"/>
          <w:szCs w:val="28"/>
        </w:rPr>
        <w:t>Administrative Order No. 2020-153</w:t>
      </w:r>
      <w:r w:rsidR="00183999" w:rsidRPr="00931A6A">
        <w:rPr>
          <w:sz w:val="28"/>
          <w:szCs w:val="28"/>
        </w:rPr>
        <w:t xml:space="preserve">, which </w:t>
      </w:r>
      <w:r w:rsidR="002B39E2" w:rsidRPr="00931A6A">
        <w:rPr>
          <w:sz w:val="28"/>
          <w:szCs w:val="28"/>
        </w:rPr>
        <w:t>establishes the State Bar’s duties regarding records retention and disposition</w:t>
      </w:r>
      <w:r w:rsidR="00183999" w:rsidRPr="00931A6A">
        <w:rPr>
          <w:sz w:val="28"/>
          <w:szCs w:val="28"/>
        </w:rPr>
        <w:t xml:space="preserve">. That administrative order specifically referenced </w:t>
      </w:r>
      <w:r w:rsidR="00E169AC" w:rsidRPr="00931A6A">
        <w:rPr>
          <w:sz w:val="28"/>
          <w:szCs w:val="28"/>
        </w:rPr>
        <w:t>unauthorized practice of law records</w:t>
      </w:r>
      <w:r w:rsidR="00686245" w:rsidRPr="00931A6A">
        <w:rPr>
          <w:sz w:val="28"/>
          <w:szCs w:val="28"/>
        </w:rPr>
        <w:t>.</w:t>
      </w:r>
    </w:p>
    <w:p w14:paraId="2FD5FBE2" w14:textId="3DE71C45" w:rsidR="00461241" w:rsidRPr="00931A6A" w:rsidRDefault="00461241" w:rsidP="008942ED">
      <w:pPr>
        <w:spacing w:line="480" w:lineRule="auto"/>
        <w:ind w:left="180" w:right="180" w:firstLine="540"/>
        <w:jc w:val="both"/>
        <w:rPr>
          <w:sz w:val="28"/>
          <w:szCs w:val="28"/>
        </w:rPr>
      </w:pPr>
      <w:r w:rsidRPr="00931A6A">
        <w:rPr>
          <w:sz w:val="28"/>
          <w:szCs w:val="28"/>
          <w:u w:val="single"/>
        </w:rPr>
        <w:t>Rule 80(c)</w:t>
      </w:r>
      <w:r w:rsidRPr="00931A6A">
        <w:rPr>
          <w:sz w:val="28"/>
          <w:szCs w:val="28"/>
        </w:rPr>
        <w:t xml:space="preserve"> – The </w:t>
      </w:r>
      <w:r w:rsidR="001F0DAD" w:rsidRPr="00931A6A">
        <w:rPr>
          <w:sz w:val="28"/>
          <w:szCs w:val="28"/>
        </w:rPr>
        <w:t xml:space="preserve">addition </w:t>
      </w:r>
      <w:r w:rsidRPr="00931A6A">
        <w:rPr>
          <w:sz w:val="28"/>
          <w:szCs w:val="28"/>
        </w:rPr>
        <w:t>of an expungement rule</w:t>
      </w:r>
      <w:r w:rsidR="00183999" w:rsidRPr="00931A6A">
        <w:rPr>
          <w:sz w:val="28"/>
          <w:szCs w:val="28"/>
        </w:rPr>
        <w:t xml:space="preserve"> is necessary to allow </w:t>
      </w:r>
      <w:r w:rsidRPr="00931A6A">
        <w:rPr>
          <w:sz w:val="28"/>
          <w:szCs w:val="28"/>
        </w:rPr>
        <w:t>the State Bar</w:t>
      </w:r>
      <w:r w:rsidR="00183999" w:rsidRPr="00931A6A">
        <w:rPr>
          <w:sz w:val="28"/>
          <w:szCs w:val="28"/>
        </w:rPr>
        <w:t xml:space="preserve"> </w:t>
      </w:r>
      <w:r w:rsidR="004F0435" w:rsidRPr="00931A6A">
        <w:rPr>
          <w:sz w:val="28"/>
          <w:szCs w:val="28"/>
        </w:rPr>
        <w:t>to expunge certain</w:t>
      </w:r>
      <w:r w:rsidR="00183999" w:rsidRPr="00931A6A">
        <w:rPr>
          <w:sz w:val="28"/>
          <w:szCs w:val="28"/>
        </w:rPr>
        <w:t xml:space="preserve"> unauthorized practice of law</w:t>
      </w:r>
      <w:r w:rsidR="004F0435" w:rsidRPr="00931A6A">
        <w:rPr>
          <w:sz w:val="28"/>
          <w:szCs w:val="28"/>
        </w:rPr>
        <w:t xml:space="preserve"> </w:t>
      </w:r>
      <w:r w:rsidRPr="00931A6A">
        <w:rPr>
          <w:sz w:val="28"/>
          <w:szCs w:val="28"/>
        </w:rPr>
        <w:t xml:space="preserve">records. The proposed rule incorporates </w:t>
      </w:r>
      <w:r w:rsidR="001F0DAD" w:rsidRPr="00931A6A">
        <w:rPr>
          <w:sz w:val="28"/>
          <w:szCs w:val="28"/>
        </w:rPr>
        <w:t xml:space="preserve">Supreme Court </w:t>
      </w:r>
      <w:r w:rsidRPr="00931A6A">
        <w:rPr>
          <w:sz w:val="28"/>
          <w:szCs w:val="28"/>
        </w:rPr>
        <w:t>Rule 71, which addresse</w:t>
      </w:r>
      <w:r w:rsidR="00183999" w:rsidRPr="00931A6A">
        <w:rPr>
          <w:sz w:val="28"/>
          <w:szCs w:val="28"/>
        </w:rPr>
        <w:t>s</w:t>
      </w:r>
      <w:r w:rsidRPr="00931A6A">
        <w:rPr>
          <w:sz w:val="28"/>
          <w:szCs w:val="28"/>
        </w:rPr>
        <w:t xml:space="preserve"> the expungement of State Bar records in lawyer </w:t>
      </w:r>
      <w:r w:rsidR="007A4708" w:rsidRPr="00931A6A">
        <w:rPr>
          <w:sz w:val="28"/>
          <w:szCs w:val="28"/>
        </w:rPr>
        <w:t xml:space="preserve">regulation </w:t>
      </w:r>
      <w:r w:rsidR="00183999" w:rsidRPr="00931A6A">
        <w:rPr>
          <w:sz w:val="28"/>
          <w:szCs w:val="28"/>
        </w:rPr>
        <w:t>matters.</w:t>
      </w:r>
      <w:r w:rsidR="007A4708" w:rsidRPr="00931A6A">
        <w:rPr>
          <w:sz w:val="28"/>
          <w:szCs w:val="28"/>
        </w:rPr>
        <w:t xml:space="preserve"> </w:t>
      </w:r>
      <w:r w:rsidR="00183999" w:rsidRPr="00931A6A">
        <w:rPr>
          <w:sz w:val="28"/>
          <w:szCs w:val="28"/>
        </w:rPr>
        <w:t xml:space="preserve">Based on </w:t>
      </w:r>
      <w:r w:rsidR="007A4708" w:rsidRPr="00931A6A">
        <w:rPr>
          <w:sz w:val="28"/>
          <w:szCs w:val="28"/>
        </w:rPr>
        <w:t>the incorporation of Rule 71,</w:t>
      </w:r>
      <w:r w:rsidR="00183999" w:rsidRPr="00931A6A">
        <w:rPr>
          <w:sz w:val="28"/>
          <w:szCs w:val="28"/>
        </w:rPr>
        <w:t xml:space="preserve"> the expungement of records in unauthorized practice of law matters will be the same as that for lawyer regulation matters</w:t>
      </w:r>
      <w:r w:rsidR="007A4708" w:rsidRPr="00931A6A">
        <w:rPr>
          <w:sz w:val="28"/>
          <w:szCs w:val="28"/>
        </w:rPr>
        <w:t>.</w:t>
      </w:r>
    </w:p>
    <w:p w14:paraId="663468E4" w14:textId="17FC1B26" w:rsidR="00931A6A" w:rsidRPr="00931A6A" w:rsidRDefault="00931A6A" w:rsidP="008942ED">
      <w:pPr>
        <w:spacing w:line="480" w:lineRule="auto"/>
        <w:ind w:left="180" w:right="180" w:firstLine="540"/>
        <w:jc w:val="both"/>
        <w:rPr>
          <w:sz w:val="28"/>
          <w:szCs w:val="28"/>
        </w:rPr>
      </w:pPr>
    </w:p>
    <w:p w14:paraId="3DAA3FD2" w14:textId="77777777" w:rsidR="00931A6A" w:rsidRPr="00931A6A" w:rsidRDefault="00931A6A" w:rsidP="008942ED">
      <w:pPr>
        <w:spacing w:line="480" w:lineRule="auto"/>
        <w:ind w:left="180" w:right="180" w:firstLine="540"/>
        <w:jc w:val="both"/>
        <w:rPr>
          <w:sz w:val="28"/>
          <w:szCs w:val="28"/>
        </w:rPr>
      </w:pPr>
    </w:p>
    <w:bookmarkEnd w:id="1"/>
    <w:p w14:paraId="5B4E54EB" w14:textId="35A11CF8" w:rsidR="000C48A9" w:rsidRPr="00931A6A" w:rsidRDefault="007A3F0F" w:rsidP="00A0293C">
      <w:pPr>
        <w:pStyle w:val="Body"/>
        <w:widowControl w:val="0"/>
        <w:spacing w:line="480" w:lineRule="auto"/>
        <w:ind w:left="180" w:right="180" w:firstLine="0"/>
        <w:jc w:val="center"/>
        <w:rPr>
          <w:rStyle w:val="BodyTextChar"/>
          <w:b/>
          <w:sz w:val="28"/>
          <w:szCs w:val="28"/>
        </w:rPr>
      </w:pPr>
      <w:r w:rsidRPr="00931A6A">
        <w:rPr>
          <w:rStyle w:val="BodyTextChar"/>
          <w:b/>
          <w:sz w:val="28"/>
          <w:szCs w:val="28"/>
        </w:rPr>
        <w:t>CONCLUSION</w:t>
      </w:r>
    </w:p>
    <w:p w14:paraId="671C9C83" w14:textId="767425CD" w:rsidR="000F7C13" w:rsidRPr="00931A6A" w:rsidRDefault="008267FC" w:rsidP="00686245">
      <w:pPr>
        <w:pStyle w:val="Body"/>
        <w:widowControl w:val="0"/>
        <w:spacing w:line="480" w:lineRule="auto"/>
        <w:ind w:left="187" w:right="187" w:firstLine="720"/>
        <w:jc w:val="both"/>
        <w:rPr>
          <w:sz w:val="28"/>
          <w:szCs w:val="28"/>
        </w:rPr>
      </w:pPr>
      <w:r w:rsidRPr="00931A6A">
        <w:rPr>
          <w:sz w:val="28"/>
          <w:szCs w:val="28"/>
        </w:rPr>
        <w:t>F</w:t>
      </w:r>
      <w:r w:rsidR="009355DA" w:rsidRPr="00931A6A">
        <w:rPr>
          <w:sz w:val="28"/>
          <w:szCs w:val="28"/>
        </w:rPr>
        <w:t>or the reasons set forth above, t</w:t>
      </w:r>
      <w:r w:rsidR="000F7C13" w:rsidRPr="00931A6A">
        <w:rPr>
          <w:sz w:val="28"/>
          <w:szCs w:val="28"/>
        </w:rPr>
        <w:t>he State Bar</w:t>
      </w:r>
      <w:r w:rsidR="00735659" w:rsidRPr="00931A6A">
        <w:rPr>
          <w:sz w:val="28"/>
          <w:szCs w:val="28"/>
        </w:rPr>
        <w:t xml:space="preserve"> of Arizona</w:t>
      </w:r>
      <w:r w:rsidR="000F7C13" w:rsidRPr="00931A6A">
        <w:rPr>
          <w:sz w:val="28"/>
          <w:szCs w:val="28"/>
        </w:rPr>
        <w:t xml:space="preserve"> respectfully requests that </w:t>
      </w:r>
      <w:r w:rsidR="009355DA" w:rsidRPr="00931A6A">
        <w:rPr>
          <w:sz w:val="28"/>
          <w:szCs w:val="28"/>
        </w:rPr>
        <w:t>this</w:t>
      </w:r>
      <w:r w:rsidR="00813001" w:rsidRPr="00931A6A">
        <w:rPr>
          <w:sz w:val="28"/>
          <w:szCs w:val="28"/>
        </w:rPr>
        <w:t xml:space="preserve"> Court </w:t>
      </w:r>
      <w:r w:rsidR="001F0DAD" w:rsidRPr="00931A6A">
        <w:rPr>
          <w:sz w:val="28"/>
          <w:szCs w:val="28"/>
        </w:rPr>
        <w:t xml:space="preserve">amend </w:t>
      </w:r>
      <w:r w:rsidR="00F77CDE" w:rsidRPr="00931A6A">
        <w:rPr>
          <w:sz w:val="28"/>
          <w:szCs w:val="28"/>
        </w:rPr>
        <w:t xml:space="preserve">Supreme Court </w:t>
      </w:r>
      <w:r w:rsidR="00813001" w:rsidRPr="00931A6A">
        <w:rPr>
          <w:sz w:val="28"/>
          <w:szCs w:val="28"/>
        </w:rPr>
        <w:t>Rule</w:t>
      </w:r>
      <w:r w:rsidR="00F77CDE" w:rsidRPr="00931A6A">
        <w:rPr>
          <w:sz w:val="28"/>
          <w:szCs w:val="28"/>
        </w:rPr>
        <w:t>s 75 through 80, as set</w:t>
      </w:r>
      <w:r w:rsidR="009355DA" w:rsidRPr="00931A6A">
        <w:rPr>
          <w:sz w:val="28"/>
          <w:szCs w:val="28"/>
        </w:rPr>
        <w:t xml:space="preserve"> forth in </w:t>
      </w:r>
      <w:r w:rsidR="00813001" w:rsidRPr="00931A6A">
        <w:rPr>
          <w:sz w:val="28"/>
          <w:szCs w:val="28"/>
        </w:rPr>
        <w:t>the Appendi</w:t>
      </w:r>
      <w:r w:rsidR="00F77CDE" w:rsidRPr="00931A6A">
        <w:rPr>
          <w:sz w:val="28"/>
          <w:szCs w:val="28"/>
        </w:rPr>
        <w:t>ces</w:t>
      </w:r>
      <w:r w:rsidR="009355DA" w:rsidRPr="00931A6A">
        <w:rPr>
          <w:sz w:val="28"/>
          <w:szCs w:val="28"/>
        </w:rPr>
        <w:t>.</w:t>
      </w:r>
    </w:p>
    <w:p w14:paraId="51CF4FB2" w14:textId="4A1F64C5" w:rsidR="00382B6F" w:rsidRPr="00931A6A" w:rsidRDefault="00382B6F" w:rsidP="00382B6F">
      <w:pPr>
        <w:pStyle w:val="Body"/>
        <w:widowControl w:val="0"/>
        <w:tabs>
          <w:tab w:val="left" w:pos="720"/>
        </w:tabs>
        <w:ind w:firstLine="0"/>
        <w:rPr>
          <w:sz w:val="28"/>
          <w:szCs w:val="28"/>
        </w:rPr>
      </w:pPr>
      <w:r w:rsidRPr="00931A6A">
        <w:rPr>
          <w:sz w:val="28"/>
          <w:szCs w:val="28"/>
        </w:rPr>
        <w:t xml:space="preserve">       RESPECTFULLY SUBMITTED this </w:t>
      </w:r>
      <w:r w:rsidR="00931A6A" w:rsidRPr="00931A6A">
        <w:rPr>
          <w:sz w:val="28"/>
          <w:szCs w:val="28"/>
        </w:rPr>
        <w:t>8</w:t>
      </w:r>
      <w:r w:rsidR="00931A6A" w:rsidRPr="00931A6A">
        <w:rPr>
          <w:sz w:val="28"/>
          <w:szCs w:val="28"/>
          <w:vertAlign w:val="superscript"/>
        </w:rPr>
        <w:t>th</w:t>
      </w:r>
      <w:r w:rsidR="00931A6A" w:rsidRPr="00931A6A">
        <w:rPr>
          <w:sz w:val="28"/>
          <w:szCs w:val="28"/>
        </w:rPr>
        <w:t xml:space="preserve"> </w:t>
      </w:r>
      <w:r w:rsidRPr="00931A6A">
        <w:rPr>
          <w:sz w:val="28"/>
          <w:szCs w:val="28"/>
        </w:rPr>
        <w:t>day of</w:t>
      </w:r>
      <w:r w:rsidR="00CD1333" w:rsidRPr="00931A6A">
        <w:rPr>
          <w:sz w:val="28"/>
          <w:szCs w:val="28"/>
        </w:rPr>
        <w:t xml:space="preserve"> January </w:t>
      </w:r>
      <w:r w:rsidRPr="00931A6A">
        <w:rPr>
          <w:sz w:val="28"/>
          <w:szCs w:val="28"/>
        </w:rPr>
        <w:t>2021.</w:t>
      </w:r>
    </w:p>
    <w:p w14:paraId="1931469E" w14:textId="77777777" w:rsidR="00382B6F" w:rsidRPr="00931A6A" w:rsidRDefault="00382B6F" w:rsidP="00382B6F">
      <w:pPr>
        <w:pStyle w:val="Body"/>
        <w:widowControl w:val="0"/>
        <w:tabs>
          <w:tab w:val="left" w:pos="720"/>
        </w:tabs>
        <w:ind w:firstLine="0"/>
        <w:rPr>
          <w:sz w:val="28"/>
          <w:szCs w:val="28"/>
        </w:rPr>
      </w:pPr>
    </w:p>
    <w:p w14:paraId="126EE4E8" w14:textId="0BCC4D19" w:rsidR="00382B6F" w:rsidRPr="00931A6A" w:rsidRDefault="00931A6A" w:rsidP="00382B6F">
      <w:pPr>
        <w:pStyle w:val="Body"/>
        <w:widowControl w:val="0"/>
        <w:tabs>
          <w:tab w:val="left" w:pos="720"/>
        </w:tabs>
        <w:ind w:firstLine="0"/>
        <w:rPr>
          <w:sz w:val="28"/>
          <w:szCs w:val="28"/>
        </w:rPr>
      </w:pPr>
      <w:r w:rsidRPr="00931A6A">
        <w:rPr>
          <w:sz w:val="28"/>
          <w:szCs w:val="28"/>
        </w:rPr>
        <w:tab/>
      </w:r>
      <w:r w:rsidRPr="00931A6A">
        <w:rPr>
          <w:sz w:val="28"/>
          <w:szCs w:val="28"/>
        </w:rPr>
        <w:tab/>
      </w:r>
      <w:r w:rsidRPr="00931A6A">
        <w:rPr>
          <w:sz w:val="28"/>
          <w:szCs w:val="28"/>
        </w:rPr>
        <w:tab/>
      </w:r>
      <w:r w:rsidRPr="00931A6A">
        <w:rPr>
          <w:sz w:val="28"/>
          <w:szCs w:val="28"/>
        </w:rPr>
        <w:tab/>
      </w:r>
      <w:r w:rsidRPr="00931A6A">
        <w:rPr>
          <w:sz w:val="28"/>
          <w:szCs w:val="28"/>
        </w:rPr>
        <w:tab/>
      </w:r>
      <w:r w:rsidRPr="00931A6A">
        <w:rPr>
          <w:sz w:val="28"/>
          <w:szCs w:val="28"/>
        </w:rPr>
        <w:tab/>
      </w:r>
      <w:r w:rsidRPr="00931A6A">
        <w:rPr>
          <w:sz w:val="28"/>
          <w:szCs w:val="28"/>
        </w:rPr>
        <w:tab/>
        <w:t>/</w:t>
      </w:r>
      <w:r>
        <w:rPr>
          <w:sz w:val="28"/>
          <w:szCs w:val="28"/>
        </w:rPr>
        <w:t xml:space="preserve">s/ </w:t>
      </w:r>
      <w:r w:rsidRPr="00931A6A">
        <w:rPr>
          <w:rFonts w:ascii="Lucida Handwriting" w:hAnsi="Lucida Handwriting"/>
          <w:sz w:val="28"/>
          <w:szCs w:val="28"/>
        </w:rPr>
        <w:t>Lisa M. Panahi</w:t>
      </w:r>
    </w:p>
    <w:p w14:paraId="43505306" w14:textId="77777777" w:rsidR="00382B6F" w:rsidRPr="00931A6A" w:rsidRDefault="00382B6F" w:rsidP="00382B6F">
      <w:pPr>
        <w:pStyle w:val="PleadingSignature"/>
        <w:keepNext w:val="0"/>
        <w:keepLines w:val="0"/>
        <w:pBdr>
          <w:top w:val="single" w:sz="4" w:space="1" w:color="auto"/>
        </w:pBdr>
        <w:spacing w:line="240" w:lineRule="auto"/>
        <w:ind w:left="5070"/>
        <w:rPr>
          <w:sz w:val="28"/>
          <w:szCs w:val="28"/>
        </w:rPr>
      </w:pPr>
      <w:r w:rsidRPr="00931A6A">
        <w:rPr>
          <w:sz w:val="28"/>
          <w:szCs w:val="28"/>
        </w:rPr>
        <w:t>Lisa M. Panahi</w:t>
      </w:r>
    </w:p>
    <w:p w14:paraId="7B8DF69A" w14:textId="77777777" w:rsidR="00382B6F" w:rsidRPr="00931A6A" w:rsidRDefault="00382B6F" w:rsidP="00382B6F">
      <w:pPr>
        <w:pStyle w:val="PleadingSignature"/>
        <w:keepNext w:val="0"/>
        <w:keepLines w:val="0"/>
        <w:spacing w:line="240" w:lineRule="auto"/>
        <w:ind w:left="5070"/>
        <w:rPr>
          <w:sz w:val="28"/>
          <w:szCs w:val="28"/>
        </w:rPr>
      </w:pPr>
      <w:r w:rsidRPr="00931A6A">
        <w:rPr>
          <w:sz w:val="28"/>
          <w:szCs w:val="28"/>
        </w:rPr>
        <w:t>General Counsel</w:t>
      </w:r>
    </w:p>
    <w:p w14:paraId="103A6197" w14:textId="77777777" w:rsidR="00382B6F" w:rsidRPr="00931A6A" w:rsidRDefault="00382B6F" w:rsidP="00382B6F">
      <w:pPr>
        <w:pStyle w:val="PleadingSignature"/>
        <w:keepNext w:val="0"/>
        <w:keepLines w:val="0"/>
        <w:spacing w:line="240" w:lineRule="auto"/>
        <w:ind w:left="5070"/>
        <w:rPr>
          <w:sz w:val="28"/>
          <w:szCs w:val="28"/>
        </w:rPr>
      </w:pPr>
    </w:p>
    <w:p w14:paraId="2ABEAA36" w14:textId="77777777" w:rsidR="00382B6F" w:rsidRPr="00931A6A" w:rsidRDefault="00382B6F" w:rsidP="00382B6F">
      <w:pPr>
        <w:pStyle w:val="PleadingSignature"/>
        <w:keepNext w:val="0"/>
        <w:keepLines w:val="0"/>
        <w:spacing w:line="240" w:lineRule="auto"/>
        <w:ind w:left="5070"/>
        <w:rPr>
          <w:sz w:val="28"/>
          <w:szCs w:val="28"/>
        </w:rPr>
      </w:pPr>
    </w:p>
    <w:p w14:paraId="6F94909D" w14:textId="77777777" w:rsidR="00382B6F" w:rsidRPr="00931A6A" w:rsidRDefault="00382B6F" w:rsidP="00382B6F">
      <w:pPr>
        <w:widowControl w:val="0"/>
        <w:spacing w:line="240" w:lineRule="auto"/>
        <w:ind w:right="4140"/>
        <w:rPr>
          <w:sz w:val="28"/>
          <w:szCs w:val="28"/>
        </w:rPr>
      </w:pPr>
    </w:p>
    <w:p w14:paraId="317CBD50" w14:textId="77777777" w:rsidR="00382B6F" w:rsidRPr="00931A6A" w:rsidRDefault="00382B6F" w:rsidP="00382B6F">
      <w:pPr>
        <w:widowControl w:val="0"/>
        <w:spacing w:line="240" w:lineRule="auto"/>
        <w:ind w:right="4140"/>
        <w:rPr>
          <w:sz w:val="28"/>
          <w:szCs w:val="28"/>
        </w:rPr>
      </w:pPr>
      <w:bookmarkStart w:id="2" w:name="_GoBack"/>
      <w:bookmarkEnd w:id="2"/>
    </w:p>
    <w:p w14:paraId="19777DA8" w14:textId="77777777" w:rsidR="00382B6F" w:rsidRPr="00931A6A" w:rsidRDefault="00382B6F" w:rsidP="00382B6F">
      <w:pPr>
        <w:widowControl w:val="0"/>
        <w:spacing w:line="240" w:lineRule="auto"/>
        <w:ind w:right="4140"/>
        <w:rPr>
          <w:sz w:val="28"/>
          <w:szCs w:val="28"/>
        </w:rPr>
      </w:pPr>
      <w:r w:rsidRPr="00931A6A">
        <w:rPr>
          <w:sz w:val="28"/>
          <w:szCs w:val="28"/>
        </w:rPr>
        <w:t>Electronic copy filed with the</w:t>
      </w:r>
    </w:p>
    <w:p w14:paraId="181C5679" w14:textId="77777777" w:rsidR="00382B6F" w:rsidRPr="00931A6A" w:rsidRDefault="00382B6F" w:rsidP="00382B6F">
      <w:pPr>
        <w:spacing w:line="240" w:lineRule="auto"/>
        <w:ind w:right="4140"/>
        <w:rPr>
          <w:sz w:val="28"/>
          <w:szCs w:val="28"/>
        </w:rPr>
      </w:pPr>
      <w:r w:rsidRPr="00931A6A">
        <w:rPr>
          <w:sz w:val="28"/>
          <w:szCs w:val="28"/>
        </w:rPr>
        <w:t>Clerk of the Supreme Court of Arizona</w:t>
      </w:r>
    </w:p>
    <w:p w14:paraId="122E1B87" w14:textId="1DD08C39" w:rsidR="00382B6F" w:rsidRPr="00931A6A" w:rsidRDefault="00382B6F" w:rsidP="00382B6F">
      <w:pPr>
        <w:tabs>
          <w:tab w:val="left" w:pos="4836"/>
        </w:tabs>
        <w:spacing w:line="240" w:lineRule="auto"/>
        <w:ind w:right="3870"/>
        <w:rPr>
          <w:sz w:val="28"/>
          <w:szCs w:val="28"/>
        </w:rPr>
      </w:pPr>
      <w:r w:rsidRPr="00931A6A">
        <w:rPr>
          <w:sz w:val="28"/>
          <w:szCs w:val="28"/>
        </w:rPr>
        <w:t xml:space="preserve">this </w:t>
      </w:r>
      <w:r w:rsidR="00931A6A" w:rsidRPr="00931A6A">
        <w:rPr>
          <w:sz w:val="28"/>
          <w:szCs w:val="28"/>
        </w:rPr>
        <w:t>8</w:t>
      </w:r>
      <w:r w:rsidR="00931A6A" w:rsidRPr="00931A6A">
        <w:rPr>
          <w:sz w:val="28"/>
          <w:szCs w:val="28"/>
          <w:vertAlign w:val="superscript"/>
        </w:rPr>
        <w:t>th</w:t>
      </w:r>
      <w:r w:rsidR="00931A6A" w:rsidRPr="00931A6A">
        <w:rPr>
          <w:sz w:val="28"/>
          <w:szCs w:val="28"/>
        </w:rPr>
        <w:t xml:space="preserve"> </w:t>
      </w:r>
      <w:r w:rsidRPr="00931A6A">
        <w:rPr>
          <w:sz w:val="28"/>
          <w:szCs w:val="28"/>
        </w:rPr>
        <w:t xml:space="preserve">day of </w:t>
      </w:r>
      <w:r w:rsidR="00931A6A" w:rsidRPr="00931A6A">
        <w:rPr>
          <w:sz w:val="28"/>
          <w:szCs w:val="28"/>
        </w:rPr>
        <w:t>January</w:t>
      </w:r>
      <w:r w:rsidRPr="00931A6A">
        <w:rPr>
          <w:sz w:val="28"/>
          <w:szCs w:val="28"/>
        </w:rPr>
        <w:t xml:space="preserve"> 2021.</w:t>
      </w:r>
    </w:p>
    <w:p w14:paraId="0DE2CD08" w14:textId="77777777" w:rsidR="00382B6F" w:rsidRPr="00931A6A" w:rsidRDefault="00382B6F" w:rsidP="00382B6F">
      <w:pPr>
        <w:spacing w:line="240" w:lineRule="auto"/>
        <w:ind w:right="4572"/>
        <w:rPr>
          <w:sz w:val="28"/>
          <w:szCs w:val="28"/>
        </w:rPr>
      </w:pPr>
    </w:p>
    <w:p w14:paraId="50E06E38" w14:textId="0F99341C" w:rsidR="00382B6F" w:rsidRPr="00931A6A" w:rsidRDefault="00382B6F" w:rsidP="00382B6F">
      <w:pPr>
        <w:spacing w:line="240" w:lineRule="auto"/>
        <w:ind w:right="4572"/>
        <w:rPr>
          <w:sz w:val="28"/>
          <w:szCs w:val="28"/>
        </w:rPr>
      </w:pPr>
      <w:r w:rsidRPr="00931A6A">
        <w:rPr>
          <w:sz w:val="28"/>
          <w:szCs w:val="28"/>
        </w:rPr>
        <w:t>by:</w:t>
      </w:r>
      <w:r w:rsidR="00931A6A">
        <w:rPr>
          <w:sz w:val="28"/>
          <w:szCs w:val="28"/>
        </w:rPr>
        <w:t xml:space="preserve"> </w:t>
      </w:r>
      <w:r w:rsidR="00931A6A">
        <w:rPr>
          <w:sz w:val="28"/>
          <w:szCs w:val="28"/>
          <w:u w:val="single"/>
        </w:rPr>
        <w:t xml:space="preserve">/s/ </w:t>
      </w:r>
      <w:r w:rsidR="00931A6A" w:rsidRPr="00931A6A">
        <w:rPr>
          <w:rFonts w:ascii="Lucida Handwriting" w:hAnsi="Lucida Handwriting"/>
          <w:sz w:val="28"/>
          <w:szCs w:val="28"/>
          <w:u w:val="single"/>
        </w:rPr>
        <w:t>Patricia Seguin</w:t>
      </w:r>
      <w:r w:rsidR="00931A6A">
        <w:rPr>
          <w:sz w:val="28"/>
          <w:szCs w:val="28"/>
          <w:u w:val="single"/>
        </w:rPr>
        <w:tab/>
      </w:r>
      <w:r w:rsidRPr="00931A6A">
        <w:rPr>
          <w:sz w:val="28"/>
          <w:szCs w:val="28"/>
        </w:rPr>
        <w:t xml:space="preserve"> </w:t>
      </w:r>
    </w:p>
    <w:p w14:paraId="60DB22B4" w14:textId="77777777" w:rsidR="00382B6F" w:rsidRPr="00931A6A" w:rsidRDefault="00382B6F" w:rsidP="00686245">
      <w:pPr>
        <w:pStyle w:val="Body"/>
        <w:widowControl w:val="0"/>
        <w:spacing w:line="480" w:lineRule="auto"/>
        <w:ind w:left="187" w:right="187" w:firstLine="720"/>
        <w:jc w:val="both"/>
        <w:rPr>
          <w:spacing w:val="-3"/>
          <w:sz w:val="28"/>
          <w:szCs w:val="28"/>
        </w:rPr>
      </w:pPr>
    </w:p>
    <w:p w14:paraId="42B3845D" w14:textId="5126FC08" w:rsidR="003B168D" w:rsidRPr="00931A6A" w:rsidRDefault="003B168D" w:rsidP="001D7335">
      <w:pPr>
        <w:spacing w:line="240" w:lineRule="auto"/>
        <w:ind w:left="180" w:right="4572"/>
        <w:rPr>
          <w:sz w:val="28"/>
          <w:szCs w:val="28"/>
        </w:rPr>
      </w:pPr>
    </w:p>
    <w:sectPr w:rsidR="003B168D" w:rsidRPr="00931A6A" w:rsidSect="00FF2BBB">
      <w:headerReference w:type="default" r:id="rId8"/>
      <w:footerReference w:type="even" r:id="rId9"/>
      <w:footerReference w:type="default" r:id="rId10"/>
      <w:pgSz w:w="12240" w:h="15840" w:code="1"/>
      <w:pgMar w:top="216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6C9C9" w14:textId="77777777" w:rsidR="003362F0" w:rsidRDefault="003362F0">
      <w:r>
        <w:separator/>
      </w:r>
    </w:p>
  </w:endnote>
  <w:endnote w:type="continuationSeparator" w:id="0">
    <w:p w14:paraId="27B511D6" w14:textId="77777777" w:rsidR="003362F0" w:rsidRDefault="0033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75967"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FDBEFF" w14:textId="77777777" w:rsidR="007870CB" w:rsidRDefault="007870CB" w:rsidP="00861563">
    <w:pPr>
      <w:pStyle w:val="Footer"/>
      <w:ind w:right="360"/>
    </w:pPr>
  </w:p>
  <w:p w14:paraId="0A954323"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1972AB5F"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6A7C7F">
          <w:rPr>
            <w:noProof/>
            <w:sz w:val="26"/>
            <w:szCs w:val="26"/>
          </w:rPr>
          <w:t>1</w:t>
        </w:r>
        <w:r w:rsidRPr="006B4F9A">
          <w:rPr>
            <w:noProof/>
            <w:sz w:val="26"/>
            <w:szCs w:val="26"/>
          </w:rPr>
          <w:fldChar w:fldCharType="end"/>
        </w:r>
      </w:p>
    </w:sdtContent>
  </w:sdt>
  <w:p w14:paraId="5F251EB9"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38D00" w14:textId="77777777" w:rsidR="003362F0" w:rsidRDefault="003362F0">
      <w:r>
        <w:separator/>
      </w:r>
    </w:p>
  </w:footnote>
  <w:footnote w:type="continuationSeparator" w:id="0">
    <w:p w14:paraId="2C8D05DE" w14:textId="77777777" w:rsidR="003362F0" w:rsidRDefault="003362F0">
      <w:r>
        <w:continuationSeparator/>
      </w:r>
    </w:p>
  </w:footnote>
  <w:footnote w:id="1">
    <w:p w14:paraId="5C84B228" w14:textId="77777777" w:rsidR="00F77CDE" w:rsidRPr="008267FC" w:rsidRDefault="00F77CDE" w:rsidP="002D5A6D">
      <w:pPr>
        <w:pStyle w:val="FootnoteText"/>
        <w:ind w:left="180" w:right="180"/>
        <w:jc w:val="both"/>
        <w:rPr>
          <w:sz w:val="28"/>
          <w:szCs w:val="28"/>
        </w:rPr>
      </w:pPr>
      <w:r w:rsidRPr="008267FC">
        <w:rPr>
          <w:rStyle w:val="FootnoteReference"/>
          <w:sz w:val="28"/>
          <w:szCs w:val="28"/>
        </w:rPr>
        <w:footnoteRef/>
      </w:r>
      <w:r w:rsidRPr="008267FC">
        <w:rPr>
          <w:sz w:val="28"/>
          <w:szCs w:val="28"/>
        </w:rPr>
        <w:t xml:space="preserve"> </w:t>
      </w:r>
      <w:r>
        <w:rPr>
          <w:sz w:val="28"/>
          <w:szCs w:val="28"/>
        </w:rPr>
        <w:t>In legislative format, deletions are reflected with strikethroughs (</w:t>
      </w:r>
      <w:r>
        <w:rPr>
          <w:i/>
          <w:iCs/>
          <w:sz w:val="28"/>
          <w:szCs w:val="28"/>
        </w:rPr>
        <w:t>e.g.</w:t>
      </w:r>
      <w:r>
        <w:rPr>
          <w:sz w:val="28"/>
          <w:szCs w:val="28"/>
        </w:rPr>
        <w:t xml:space="preserve">, </w:t>
      </w:r>
      <w:r>
        <w:rPr>
          <w:strike/>
          <w:sz w:val="28"/>
          <w:szCs w:val="28"/>
        </w:rPr>
        <w:t>rule</w:t>
      </w:r>
      <w:r>
        <w:rPr>
          <w:sz w:val="28"/>
          <w:szCs w:val="28"/>
        </w:rPr>
        <w:t>) and additions are reflected with double underlines (</w:t>
      </w:r>
      <w:r>
        <w:rPr>
          <w:i/>
          <w:iCs/>
          <w:sz w:val="28"/>
          <w:szCs w:val="28"/>
        </w:rPr>
        <w:t>e.g.</w:t>
      </w:r>
      <w:r>
        <w:rPr>
          <w:sz w:val="28"/>
          <w:szCs w:val="28"/>
        </w:rPr>
        <w:t xml:space="preserve">, </w:t>
      </w:r>
      <w:r>
        <w:rPr>
          <w:sz w:val="28"/>
          <w:szCs w:val="28"/>
          <w:u w:val="double"/>
        </w:rPr>
        <w:t>rule</w:t>
      </w:r>
      <w:r>
        <w:rPr>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619E5"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0BCF920" wp14:editId="3CAE01E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A8B4351" wp14:editId="4BA2832B">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48EF57E" wp14:editId="6B6CB9B0">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87C413A" w14:textId="77777777" w:rsidR="007D5C49" w:rsidRDefault="00000C35">
    <w:r>
      <w:rPr>
        <w:noProof/>
      </w:rPr>
      <mc:AlternateContent>
        <mc:Choice Requires="wps">
          <w:drawing>
            <wp:anchor distT="0" distB="0" distL="114300" distR="114300" simplePos="0" relativeHeight="251659264" behindDoc="0" locked="0" layoutInCell="1" allowOverlap="1" wp14:anchorId="451C89C0" wp14:editId="6CA8DD64">
              <wp:simplePos x="0" y="0"/>
              <wp:positionH relativeFrom="margin">
                <wp:posOffset>-629107</wp:posOffset>
              </wp:positionH>
              <wp:positionV relativeFrom="margin">
                <wp:posOffset>-10973</wp:posOffset>
              </wp:positionV>
              <wp:extent cx="457200" cy="7805319"/>
              <wp:effectExtent l="0" t="0" r="0" b="5715"/>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8053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713AA1" w14:textId="77777777" w:rsidR="007870CB" w:rsidRPr="00520428" w:rsidRDefault="007870CB" w:rsidP="00520428">
                          <w:pPr>
                            <w:spacing w:line="480" w:lineRule="auto"/>
                            <w:jc w:val="right"/>
                            <w:rPr>
                              <w:sz w:val="28"/>
                              <w:szCs w:val="28"/>
                            </w:rPr>
                          </w:pPr>
                          <w:r w:rsidRPr="00520428">
                            <w:rPr>
                              <w:sz w:val="28"/>
                              <w:szCs w:val="28"/>
                            </w:rPr>
                            <w:t>1</w:t>
                          </w:r>
                        </w:p>
                        <w:p w14:paraId="19E31087" w14:textId="77777777" w:rsidR="007870CB" w:rsidRPr="00520428" w:rsidRDefault="007870CB" w:rsidP="00520428">
                          <w:pPr>
                            <w:spacing w:line="480" w:lineRule="auto"/>
                            <w:jc w:val="right"/>
                            <w:rPr>
                              <w:sz w:val="28"/>
                              <w:szCs w:val="28"/>
                            </w:rPr>
                          </w:pPr>
                          <w:r w:rsidRPr="00520428">
                            <w:rPr>
                              <w:sz w:val="28"/>
                              <w:szCs w:val="28"/>
                            </w:rPr>
                            <w:t>2</w:t>
                          </w:r>
                        </w:p>
                        <w:p w14:paraId="36FDBCF2" w14:textId="77777777" w:rsidR="007870CB" w:rsidRPr="00520428" w:rsidRDefault="007870CB" w:rsidP="00520428">
                          <w:pPr>
                            <w:spacing w:line="480" w:lineRule="auto"/>
                            <w:jc w:val="right"/>
                            <w:rPr>
                              <w:sz w:val="28"/>
                              <w:szCs w:val="28"/>
                            </w:rPr>
                          </w:pPr>
                          <w:r w:rsidRPr="00520428">
                            <w:rPr>
                              <w:sz w:val="28"/>
                              <w:szCs w:val="28"/>
                            </w:rPr>
                            <w:t>3</w:t>
                          </w:r>
                        </w:p>
                        <w:p w14:paraId="3F4668B4" w14:textId="77777777" w:rsidR="007870CB" w:rsidRPr="00520428" w:rsidRDefault="007870CB" w:rsidP="00520428">
                          <w:pPr>
                            <w:spacing w:line="480" w:lineRule="auto"/>
                            <w:jc w:val="right"/>
                            <w:rPr>
                              <w:sz w:val="28"/>
                              <w:szCs w:val="28"/>
                            </w:rPr>
                          </w:pPr>
                          <w:r w:rsidRPr="00520428">
                            <w:rPr>
                              <w:sz w:val="28"/>
                              <w:szCs w:val="28"/>
                            </w:rPr>
                            <w:t>4</w:t>
                          </w:r>
                        </w:p>
                        <w:p w14:paraId="0B2BA499" w14:textId="77777777" w:rsidR="007870CB" w:rsidRPr="00520428" w:rsidRDefault="007870CB" w:rsidP="00520428">
                          <w:pPr>
                            <w:spacing w:line="480" w:lineRule="auto"/>
                            <w:jc w:val="right"/>
                            <w:rPr>
                              <w:sz w:val="28"/>
                              <w:szCs w:val="28"/>
                            </w:rPr>
                          </w:pPr>
                          <w:r w:rsidRPr="00520428">
                            <w:rPr>
                              <w:sz w:val="28"/>
                              <w:szCs w:val="28"/>
                            </w:rPr>
                            <w:t>5</w:t>
                          </w:r>
                        </w:p>
                        <w:p w14:paraId="245647F1" w14:textId="77777777" w:rsidR="007870CB" w:rsidRPr="00520428" w:rsidRDefault="007870CB" w:rsidP="00520428">
                          <w:pPr>
                            <w:spacing w:line="480" w:lineRule="auto"/>
                            <w:jc w:val="right"/>
                            <w:rPr>
                              <w:sz w:val="28"/>
                              <w:szCs w:val="28"/>
                            </w:rPr>
                          </w:pPr>
                          <w:r w:rsidRPr="00520428">
                            <w:rPr>
                              <w:sz w:val="28"/>
                              <w:szCs w:val="28"/>
                            </w:rPr>
                            <w:t>6</w:t>
                          </w:r>
                        </w:p>
                        <w:p w14:paraId="1D12B189" w14:textId="77777777" w:rsidR="007870CB" w:rsidRPr="00520428" w:rsidRDefault="007870CB" w:rsidP="00520428">
                          <w:pPr>
                            <w:spacing w:line="480" w:lineRule="auto"/>
                            <w:jc w:val="right"/>
                            <w:rPr>
                              <w:sz w:val="28"/>
                              <w:szCs w:val="28"/>
                            </w:rPr>
                          </w:pPr>
                          <w:r w:rsidRPr="00520428">
                            <w:rPr>
                              <w:sz w:val="28"/>
                              <w:szCs w:val="28"/>
                            </w:rPr>
                            <w:t>7</w:t>
                          </w:r>
                        </w:p>
                        <w:p w14:paraId="71318518" w14:textId="77777777" w:rsidR="007870CB" w:rsidRPr="00520428" w:rsidRDefault="007870CB" w:rsidP="00520428">
                          <w:pPr>
                            <w:spacing w:line="480" w:lineRule="auto"/>
                            <w:jc w:val="right"/>
                            <w:rPr>
                              <w:sz w:val="28"/>
                              <w:szCs w:val="28"/>
                            </w:rPr>
                          </w:pPr>
                          <w:r w:rsidRPr="00520428">
                            <w:rPr>
                              <w:sz w:val="28"/>
                              <w:szCs w:val="28"/>
                            </w:rPr>
                            <w:t>8</w:t>
                          </w:r>
                        </w:p>
                        <w:p w14:paraId="13CBEFFE" w14:textId="77777777" w:rsidR="007870CB" w:rsidRPr="00520428" w:rsidRDefault="007870CB" w:rsidP="00520428">
                          <w:pPr>
                            <w:spacing w:line="480" w:lineRule="auto"/>
                            <w:jc w:val="right"/>
                            <w:rPr>
                              <w:sz w:val="28"/>
                              <w:szCs w:val="28"/>
                            </w:rPr>
                          </w:pPr>
                          <w:r w:rsidRPr="00520428">
                            <w:rPr>
                              <w:sz w:val="28"/>
                              <w:szCs w:val="28"/>
                            </w:rPr>
                            <w:t>9</w:t>
                          </w:r>
                        </w:p>
                        <w:p w14:paraId="11C2A9EF" w14:textId="77777777" w:rsidR="007870CB" w:rsidRPr="00520428" w:rsidRDefault="007870CB" w:rsidP="00520428">
                          <w:pPr>
                            <w:spacing w:line="480" w:lineRule="auto"/>
                            <w:jc w:val="right"/>
                            <w:rPr>
                              <w:sz w:val="28"/>
                              <w:szCs w:val="28"/>
                            </w:rPr>
                          </w:pPr>
                          <w:r w:rsidRPr="00520428">
                            <w:rPr>
                              <w:sz w:val="28"/>
                              <w:szCs w:val="28"/>
                            </w:rPr>
                            <w:t>10</w:t>
                          </w:r>
                        </w:p>
                        <w:p w14:paraId="73FDF450" w14:textId="77777777" w:rsidR="007870CB" w:rsidRPr="00520428" w:rsidRDefault="007870CB" w:rsidP="00520428">
                          <w:pPr>
                            <w:spacing w:line="480" w:lineRule="auto"/>
                            <w:jc w:val="right"/>
                            <w:rPr>
                              <w:sz w:val="28"/>
                              <w:szCs w:val="28"/>
                            </w:rPr>
                          </w:pPr>
                          <w:r w:rsidRPr="00520428">
                            <w:rPr>
                              <w:sz w:val="28"/>
                              <w:szCs w:val="28"/>
                            </w:rPr>
                            <w:t>11</w:t>
                          </w:r>
                        </w:p>
                        <w:p w14:paraId="70928DA2" w14:textId="77777777" w:rsidR="007870CB" w:rsidRPr="00520428" w:rsidRDefault="007870CB" w:rsidP="00520428">
                          <w:pPr>
                            <w:spacing w:line="480" w:lineRule="auto"/>
                            <w:jc w:val="right"/>
                            <w:rPr>
                              <w:sz w:val="28"/>
                              <w:szCs w:val="28"/>
                            </w:rPr>
                          </w:pPr>
                          <w:r w:rsidRPr="00520428">
                            <w:rPr>
                              <w:sz w:val="28"/>
                              <w:szCs w:val="28"/>
                            </w:rPr>
                            <w:t>12</w:t>
                          </w:r>
                        </w:p>
                        <w:p w14:paraId="41506155" w14:textId="77777777" w:rsidR="007870CB" w:rsidRPr="00520428" w:rsidRDefault="007870CB" w:rsidP="00520428">
                          <w:pPr>
                            <w:spacing w:line="480" w:lineRule="auto"/>
                            <w:jc w:val="right"/>
                            <w:rPr>
                              <w:sz w:val="28"/>
                              <w:szCs w:val="28"/>
                            </w:rPr>
                          </w:pPr>
                          <w:r w:rsidRPr="00520428">
                            <w:rPr>
                              <w:sz w:val="28"/>
                              <w:szCs w:val="28"/>
                            </w:rPr>
                            <w:t>13</w:t>
                          </w:r>
                        </w:p>
                        <w:p w14:paraId="43B2DFDB" w14:textId="77777777" w:rsidR="007870CB" w:rsidRPr="00520428" w:rsidRDefault="007870CB" w:rsidP="00520428">
                          <w:pPr>
                            <w:spacing w:line="480" w:lineRule="auto"/>
                            <w:jc w:val="right"/>
                            <w:rPr>
                              <w:sz w:val="28"/>
                              <w:szCs w:val="28"/>
                            </w:rPr>
                          </w:pPr>
                          <w:r w:rsidRPr="00520428">
                            <w:rPr>
                              <w:sz w:val="28"/>
                              <w:szCs w:val="28"/>
                            </w:rPr>
                            <w:t>14</w:t>
                          </w:r>
                        </w:p>
                        <w:p w14:paraId="4042B691" w14:textId="77777777" w:rsidR="007870CB" w:rsidRPr="00520428" w:rsidRDefault="007870CB" w:rsidP="00520428">
                          <w:pPr>
                            <w:spacing w:line="480" w:lineRule="auto"/>
                            <w:jc w:val="right"/>
                            <w:rPr>
                              <w:sz w:val="28"/>
                              <w:szCs w:val="28"/>
                            </w:rPr>
                          </w:pPr>
                          <w:r w:rsidRPr="00520428">
                            <w:rPr>
                              <w:sz w:val="28"/>
                              <w:szCs w:val="28"/>
                            </w:rPr>
                            <w:t>15</w:t>
                          </w:r>
                        </w:p>
                        <w:p w14:paraId="5A62A2A1" w14:textId="77777777" w:rsidR="007870CB" w:rsidRPr="00520428" w:rsidRDefault="007870CB" w:rsidP="00520428">
                          <w:pPr>
                            <w:spacing w:line="480" w:lineRule="auto"/>
                            <w:jc w:val="right"/>
                            <w:rPr>
                              <w:sz w:val="28"/>
                              <w:szCs w:val="28"/>
                            </w:rPr>
                          </w:pPr>
                          <w:r w:rsidRPr="00520428">
                            <w:rPr>
                              <w:sz w:val="28"/>
                              <w:szCs w:val="28"/>
                            </w:rPr>
                            <w:t>16</w:t>
                          </w:r>
                        </w:p>
                        <w:p w14:paraId="1505DF0C" w14:textId="77777777" w:rsidR="007870CB" w:rsidRPr="00520428" w:rsidRDefault="007870CB" w:rsidP="00520428">
                          <w:pPr>
                            <w:spacing w:line="480" w:lineRule="auto"/>
                            <w:jc w:val="right"/>
                            <w:rPr>
                              <w:sz w:val="28"/>
                              <w:szCs w:val="28"/>
                            </w:rPr>
                          </w:pPr>
                          <w:r w:rsidRPr="00520428">
                            <w:rPr>
                              <w:sz w:val="28"/>
                              <w:szCs w:val="28"/>
                            </w:rPr>
                            <w:t>17</w:t>
                          </w:r>
                        </w:p>
                        <w:p w14:paraId="1D4A79B2" w14:textId="77777777" w:rsidR="007870CB" w:rsidRPr="00520428" w:rsidRDefault="007870CB" w:rsidP="00520428">
                          <w:pPr>
                            <w:spacing w:line="480" w:lineRule="auto"/>
                            <w:jc w:val="right"/>
                            <w:rPr>
                              <w:sz w:val="28"/>
                              <w:szCs w:val="28"/>
                            </w:rPr>
                          </w:pPr>
                          <w:r w:rsidRPr="00520428">
                            <w:rPr>
                              <w:sz w:val="28"/>
                              <w:szCs w:val="28"/>
                            </w:rPr>
                            <w:t>18</w:t>
                          </w:r>
                        </w:p>
                        <w:p w14:paraId="4D2B6D31" w14:textId="77777777" w:rsidR="007870CB" w:rsidRPr="00520428" w:rsidRDefault="007870CB" w:rsidP="00520428">
                          <w:pPr>
                            <w:spacing w:line="480" w:lineRule="auto"/>
                            <w:jc w:val="right"/>
                            <w:rPr>
                              <w:sz w:val="28"/>
                              <w:szCs w:val="28"/>
                            </w:rPr>
                          </w:pPr>
                          <w:r w:rsidRPr="00520428">
                            <w:rPr>
                              <w:sz w:val="28"/>
                              <w:szCs w:val="28"/>
                            </w:rPr>
                            <w:t>19</w:t>
                          </w:r>
                        </w:p>
                        <w:p w14:paraId="1608CE3D" w14:textId="20F7F24E" w:rsidR="007870CB" w:rsidRPr="00520428" w:rsidRDefault="007870CB" w:rsidP="00520428">
                          <w:pPr>
                            <w:spacing w:line="480" w:lineRule="auto"/>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451C89C0" id="_x0000_t202" coordsize="21600,21600" o:spt="202" path="m,l,21600r21600,l21600,xe">
              <v:stroke joinstyle="miter"/>
              <v:path gradientshapeok="t" o:connecttype="rect"/>
            </v:shapetype>
            <v:shape id="LineNumbers" o:spid="_x0000_s1026" type="#_x0000_t202" style="position:absolute;margin-left:-49.55pt;margin-top:-.85pt;width:36pt;height:61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" stroked="f">
              <v:textbox inset="0,0,0,0">
                <w:txbxContent>
                  <w:p w14:paraId="33713AA1" w14:textId="77777777" w:rsidR="007870CB" w:rsidRPr="00520428" w:rsidRDefault="007870CB" w:rsidP="00520428">
                    <w:pPr>
                      <w:spacing w:line="480" w:lineRule="auto"/>
                      <w:jc w:val="right"/>
                      <w:rPr>
                        <w:sz w:val="28"/>
                        <w:szCs w:val="28"/>
                      </w:rPr>
                    </w:pPr>
                    <w:r w:rsidRPr="00520428">
                      <w:rPr>
                        <w:sz w:val="28"/>
                        <w:szCs w:val="28"/>
                      </w:rPr>
                      <w:t>1</w:t>
                    </w:r>
                  </w:p>
                  <w:p w14:paraId="19E31087" w14:textId="77777777" w:rsidR="007870CB" w:rsidRPr="00520428" w:rsidRDefault="007870CB" w:rsidP="00520428">
                    <w:pPr>
                      <w:spacing w:line="480" w:lineRule="auto"/>
                      <w:jc w:val="right"/>
                      <w:rPr>
                        <w:sz w:val="28"/>
                        <w:szCs w:val="28"/>
                      </w:rPr>
                    </w:pPr>
                    <w:r w:rsidRPr="00520428">
                      <w:rPr>
                        <w:sz w:val="28"/>
                        <w:szCs w:val="28"/>
                      </w:rPr>
                      <w:t>2</w:t>
                    </w:r>
                  </w:p>
                  <w:p w14:paraId="36FDBCF2" w14:textId="77777777" w:rsidR="007870CB" w:rsidRPr="00520428" w:rsidRDefault="007870CB" w:rsidP="00520428">
                    <w:pPr>
                      <w:spacing w:line="480" w:lineRule="auto"/>
                      <w:jc w:val="right"/>
                      <w:rPr>
                        <w:sz w:val="28"/>
                        <w:szCs w:val="28"/>
                      </w:rPr>
                    </w:pPr>
                    <w:r w:rsidRPr="00520428">
                      <w:rPr>
                        <w:sz w:val="28"/>
                        <w:szCs w:val="28"/>
                      </w:rPr>
                      <w:t>3</w:t>
                    </w:r>
                  </w:p>
                  <w:p w14:paraId="3F4668B4" w14:textId="77777777" w:rsidR="007870CB" w:rsidRPr="00520428" w:rsidRDefault="007870CB" w:rsidP="00520428">
                    <w:pPr>
                      <w:spacing w:line="480" w:lineRule="auto"/>
                      <w:jc w:val="right"/>
                      <w:rPr>
                        <w:sz w:val="28"/>
                        <w:szCs w:val="28"/>
                      </w:rPr>
                    </w:pPr>
                    <w:r w:rsidRPr="00520428">
                      <w:rPr>
                        <w:sz w:val="28"/>
                        <w:szCs w:val="28"/>
                      </w:rPr>
                      <w:t>4</w:t>
                    </w:r>
                  </w:p>
                  <w:p w14:paraId="0B2BA499" w14:textId="77777777" w:rsidR="007870CB" w:rsidRPr="00520428" w:rsidRDefault="007870CB" w:rsidP="00520428">
                    <w:pPr>
                      <w:spacing w:line="480" w:lineRule="auto"/>
                      <w:jc w:val="right"/>
                      <w:rPr>
                        <w:sz w:val="28"/>
                        <w:szCs w:val="28"/>
                      </w:rPr>
                    </w:pPr>
                    <w:r w:rsidRPr="00520428">
                      <w:rPr>
                        <w:sz w:val="28"/>
                        <w:szCs w:val="28"/>
                      </w:rPr>
                      <w:t>5</w:t>
                    </w:r>
                  </w:p>
                  <w:p w14:paraId="245647F1" w14:textId="77777777" w:rsidR="007870CB" w:rsidRPr="00520428" w:rsidRDefault="007870CB" w:rsidP="00520428">
                    <w:pPr>
                      <w:spacing w:line="480" w:lineRule="auto"/>
                      <w:jc w:val="right"/>
                      <w:rPr>
                        <w:sz w:val="28"/>
                        <w:szCs w:val="28"/>
                      </w:rPr>
                    </w:pPr>
                    <w:r w:rsidRPr="00520428">
                      <w:rPr>
                        <w:sz w:val="28"/>
                        <w:szCs w:val="28"/>
                      </w:rPr>
                      <w:t>6</w:t>
                    </w:r>
                  </w:p>
                  <w:p w14:paraId="1D12B189" w14:textId="77777777" w:rsidR="007870CB" w:rsidRPr="00520428" w:rsidRDefault="007870CB" w:rsidP="00520428">
                    <w:pPr>
                      <w:spacing w:line="480" w:lineRule="auto"/>
                      <w:jc w:val="right"/>
                      <w:rPr>
                        <w:sz w:val="28"/>
                        <w:szCs w:val="28"/>
                      </w:rPr>
                    </w:pPr>
                    <w:r w:rsidRPr="00520428">
                      <w:rPr>
                        <w:sz w:val="28"/>
                        <w:szCs w:val="28"/>
                      </w:rPr>
                      <w:t>7</w:t>
                    </w:r>
                  </w:p>
                  <w:p w14:paraId="71318518" w14:textId="77777777" w:rsidR="007870CB" w:rsidRPr="00520428" w:rsidRDefault="007870CB" w:rsidP="00520428">
                    <w:pPr>
                      <w:spacing w:line="480" w:lineRule="auto"/>
                      <w:jc w:val="right"/>
                      <w:rPr>
                        <w:sz w:val="28"/>
                        <w:szCs w:val="28"/>
                      </w:rPr>
                    </w:pPr>
                    <w:r w:rsidRPr="00520428">
                      <w:rPr>
                        <w:sz w:val="28"/>
                        <w:szCs w:val="28"/>
                      </w:rPr>
                      <w:t>8</w:t>
                    </w:r>
                  </w:p>
                  <w:p w14:paraId="13CBEFFE" w14:textId="77777777" w:rsidR="007870CB" w:rsidRPr="00520428" w:rsidRDefault="007870CB" w:rsidP="00520428">
                    <w:pPr>
                      <w:spacing w:line="480" w:lineRule="auto"/>
                      <w:jc w:val="right"/>
                      <w:rPr>
                        <w:sz w:val="28"/>
                        <w:szCs w:val="28"/>
                      </w:rPr>
                    </w:pPr>
                    <w:r w:rsidRPr="00520428">
                      <w:rPr>
                        <w:sz w:val="28"/>
                        <w:szCs w:val="28"/>
                      </w:rPr>
                      <w:t>9</w:t>
                    </w:r>
                  </w:p>
                  <w:p w14:paraId="11C2A9EF" w14:textId="77777777" w:rsidR="007870CB" w:rsidRPr="00520428" w:rsidRDefault="007870CB" w:rsidP="00520428">
                    <w:pPr>
                      <w:spacing w:line="480" w:lineRule="auto"/>
                      <w:jc w:val="right"/>
                      <w:rPr>
                        <w:sz w:val="28"/>
                        <w:szCs w:val="28"/>
                      </w:rPr>
                    </w:pPr>
                    <w:r w:rsidRPr="00520428">
                      <w:rPr>
                        <w:sz w:val="28"/>
                        <w:szCs w:val="28"/>
                      </w:rPr>
                      <w:t>10</w:t>
                    </w:r>
                  </w:p>
                  <w:p w14:paraId="73FDF450" w14:textId="77777777" w:rsidR="007870CB" w:rsidRPr="00520428" w:rsidRDefault="007870CB" w:rsidP="00520428">
                    <w:pPr>
                      <w:spacing w:line="480" w:lineRule="auto"/>
                      <w:jc w:val="right"/>
                      <w:rPr>
                        <w:sz w:val="28"/>
                        <w:szCs w:val="28"/>
                      </w:rPr>
                    </w:pPr>
                    <w:r w:rsidRPr="00520428">
                      <w:rPr>
                        <w:sz w:val="28"/>
                        <w:szCs w:val="28"/>
                      </w:rPr>
                      <w:t>11</w:t>
                    </w:r>
                  </w:p>
                  <w:p w14:paraId="70928DA2" w14:textId="77777777" w:rsidR="007870CB" w:rsidRPr="00520428" w:rsidRDefault="007870CB" w:rsidP="00520428">
                    <w:pPr>
                      <w:spacing w:line="480" w:lineRule="auto"/>
                      <w:jc w:val="right"/>
                      <w:rPr>
                        <w:sz w:val="28"/>
                        <w:szCs w:val="28"/>
                      </w:rPr>
                    </w:pPr>
                    <w:r w:rsidRPr="00520428">
                      <w:rPr>
                        <w:sz w:val="28"/>
                        <w:szCs w:val="28"/>
                      </w:rPr>
                      <w:t>12</w:t>
                    </w:r>
                  </w:p>
                  <w:p w14:paraId="41506155" w14:textId="77777777" w:rsidR="007870CB" w:rsidRPr="00520428" w:rsidRDefault="007870CB" w:rsidP="00520428">
                    <w:pPr>
                      <w:spacing w:line="480" w:lineRule="auto"/>
                      <w:jc w:val="right"/>
                      <w:rPr>
                        <w:sz w:val="28"/>
                        <w:szCs w:val="28"/>
                      </w:rPr>
                    </w:pPr>
                    <w:r w:rsidRPr="00520428">
                      <w:rPr>
                        <w:sz w:val="28"/>
                        <w:szCs w:val="28"/>
                      </w:rPr>
                      <w:t>13</w:t>
                    </w:r>
                  </w:p>
                  <w:p w14:paraId="43B2DFDB" w14:textId="77777777" w:rsidR="007870CB" w:rsidRPr="00520428" w:rsidRDefault="007870CB" w:rsidP="00520428">
                    <w:pPr>
                      <w:spacing w:line="480" w:lineRule="auto"/>
                      <w:jc w:val="right"/>
                      <w:rPr>
                        <w:sz w:val="28"/>
                        <w:szCs w:val="28"/>
                      </w:rPr>
                    </w:pPr>
                    <w:r w:rsidRPr="00520428">
                      <w:rPr>
                        <w:sz w:val="28"/>
                        <w:szCs w:val="28"/>
                      </w:rPr>
                      <w:t>14</w:t>
                    </w:r>
                  </w:p>
                  <w:p w14:paraId="4042B691" w14:textId="77777777" w:rsidR="007870CB" w:rsidRPr="00520428" w:rsidRDefault="007870CB" w:rsidP="00520428">
                    <w:pPr>
                      <w:spacing w:line="480" w:lineRule="auto"/>
                      <w:jc w:val="right"/>
                      <w:rPr>
                        <w:sz w:val="28"/>
                        <w:szCs w:val="28"/>
                      </w:rPr>
                    </w:pPr>
                    <w:r w:rsidRPr="00520428">
                      <w:rPr>
                        <w:sz w:val="28"/>
                        <w:szCs w:val="28"/>
                      </w:rPr>
                      <w:t>15</w:t>
                    </w:r>
                  </w:p>
                  <w:p w14:paraId="5A62A2A1" w14:textId="77777777" w:rsidR="007870CB" w:rsidRPr="00520428" w:rsidRDefault="007870CB" w:rsidP="00520428">
                    <w:pPr>
                      <w:spacing w:line="480" w:lineRule="auto"/>
                      <w:jc w:val="right"/>
                      <w:rPr>
                        <w:sz w:val="28"/>
                        <w:szCs w:val="28"/>
                      </w:rPr>
                    </w:pPr>
                    <w:r w:rsidRPr="00520428">
                      <w:rPr>
                        <w:sz w:val="28"/>
                        <w:szCs w:val="28"/>
                      </w:rPr>
                      <w:t>16</w:t>
                    </w:r>
                  </w:p>
                  <w:p w14:paraId="1505DF0C" w14:textId="77777777" w:rsidR="007870CB" w:rsidRPr="00520428" w:rsidRDefault="007870CB" w:rsidP="00520428">
                    <w:pPr>
                      <w:spacing w:line="480" w:lineRule="auto"/>
                      <w:jc w:val="right"/>
                      <w:rPr>
                        <w:sz w:val="28"/>
                        <w:szCs w:val="28"/>
                      </w:rPr>
                    </w:pPr>
                    <w:r w:rsidRPr="00520428">
                      <w:rPr>
                        <w:sz w:val="28"/>
                        <w:szCs w:val="28"/>
                      </w:rPr>
                      <w:t>17</w:t>
                    </w:r>
                  </w:p>
                  <w:p w14:paraId="1D4A79B2" w14:textId="77777777" w:rsidR="007870CB" w:rsidRPr="00520428" w:rsidRDefault="007870CB" w:rsidP="00520428">
                    <w:pPr>
                      <w:spacing w:line="480" w:lineRule="auto"/>
                      <w:jc w:val="right"/>
                      <w:rPr>
                        <w:sz w:val="28"/>
                        <w:szCs w:val="28"/>
                      </w:rPr>
                    </w:pPr>
                    <w:r w:rsidRPr="00520428">
                      <w:rPr>
                        <w:sz w:val="28"/>
                        <w:szCs w:val="28"/>
                      </w:rPr>
                      <w:t>18</w:t>
                    </w:r>
                  </w:p>
                  <w:p w14:paraId="4D2B6D31" w14:textId="77777777" w:rsidR="007870CB" w:rsidRPr="00520428" w:rsidRDefault="007870CB" w:rsidP="00520428">
                    <w:pPr>
                      <w:spacing w:line="480" w:lineRule="auto"/>
                      <w:jc w:val="right"/>
                      <w:rPr>
                        <w:sz w:val="28"/>
                        <w:szCs w:val="28"/>
                      </w:rPr>
                    </w:pPr>
                    <w:r w:rsidRPr="00520428">
                      <w:rPr>
                        <w:sz w:val="28"/>
                        <w:szCs w:val="28"/>
                      </w:rPr>
                      <w:t>19</w:t>
                    </w:r>
                  </w:p>
                  <w:p w14:paraId="1608CE3D" w14:textId="20F7F24E" w:rsidR="007870CB" w:rsidRPr="00520428" w:rsidRDefault="007870CB" w:rsidP="00520428">
                    <w:pPr>
                      <w:spacing w:line="480" w:lineRule="auto"/>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74B94"/>
    <w:rsid w:val="000914EF"/>
    <w:rsid w:val="000917C0"/>
    <w:rsid w:val="000A1D6B"/>
    <w:rsid w:val="000A777E"/>
    <w:rsid w:val="000C48A9"/>
    <w:rsid w:val="000D3531"/>
    <w:rsid w:val="000E4035"/>
    <w:rsid w:val="000F7A7F"/>
    <w:rsid w:val="000F7C13"/>
    <w:rsid w:val="00135326"/>
    <w:rsid w:val="001415D3"/>
    <w:rsid w:val="00183999"/>
    <w:rsid w:val="001A0CD9"/>
    <w:rsid w:val="001A2520"/>
    <w:rsid w:val="001B5097"/>
    <w:rsid w:val="001B7EFC"/>
    <w:rsid w:val="001C3C24"/>
    <w:rsid w:val="001D4906"/>
    <w:rsid w:val="001D7335"/>
    <w:rsid w:val="001F0DAD"/>
    <w:rsid w:val="001F591C"/>
    <w:rsid w:val="0020692A"/>
    <w:rsid w:val="00235165"/>
    <w:rsid w:val="00263892"/>
    <w:rsid w:val="00274D6A"/>
    <w:rsid w:val="002A0FF3"/>
    <w:rsid w:val="002A4CDC"/>
    <w:rsid w:val="002B39E2"/>
    <w:rsid w:val="002C1EEB"/>
    <w:rsid w:val="002D5A6D"/>
    <w:rsid w:val="002E5427"/>
    <w:rsid w:val="00326BDD"/>
    <w:rsid w:val="003362F0"/>
    <w:rsid w:val="00352347"/>
    <w:rsid w:val="003566D6"/>
    <w:rsid w:val="00357F4D"/>
    <w:rsid w:val="003617D1"/>
    <w:rsid w:val="00377199"/>
    <w:rsid w:val="00382B6F"/>
    <w:rsid w:val="0039122D"/>
    <w:rsid w:val="00394C93"/>
    <w:rsid w:val="003A28AC"/>
    <w:rsid w:val="003B0D3C"/>
    <w:rsid w:val="003B168D"/>
    <w:rsid w:val="003B6414"/>
    <w:rsid w:val="00407E2D"/>
    <w:rsid w:val="004331B2"/>
    <w:rsid w:val="00440E4C"/>
    <w:rsid w:val="004417FE"/>
    <w:rsid w:val="00457C0C"/>
    <w:rsid w:val="00461241"/>
    <w:rsid w:val="00463734"/>
    <w:rsid w:val="00472FB9"/>
    <w:rsid w:val="00494BDF"/>
    <w:rsid w:val="004979FA"/>
    <w:rsid w:val="004C3AE3"/>
    <w:rsid w:val="004D57DE"/>
    <w:rsid w:val="004E0F64"/>
    <w:rsid w:val="004E2B42"/>
    <w:rsid w:val="004E3883"/>
    <w:rsid w:val="004F0435"/>
    <w:rsid w:val="00504E1E"/>
    <w:rsid w:val="00506859"/>
    <w:rsid w:val="00512C94"/>
    <w:rsid w:val="00520428"/>
    <w:rsid w:val="00520F93"/>
    <w:rsid w:val="005255D7"/>
    <w:rsid w:val="00543D4B"/>
    <w:rsid w:val="0056547C"/>
    <w:rsid w:val="00566856"/>
    <w:rsid w:val="00572776"/>
    <w:rsid w:val="005A21B0"/>
    <w:rsid w:val="005A406D"/>
    <w:rsid w:val="005B245E"/>
    <w:rsid w:val="005B35EC"/>
    <w:rsid w:val="005B5161"/>
    <w:rsid w:val="005C35AF"/>
    <w:rsid w:val="005D6AD4"/>
    <w:rsid w:val="005E3F10"/>
    <w:rsid w:val="005F193B"/>
    <w:rsid w:val="006069D5"/>
    <w:rsid w:val="00631BF5"/>
    <w:rsid w:val="006338C1"/>
    <w:rsid w:val="00636F5E"/>
    <w:rsid w:val="00655F45"/>
    <w:rsid w:val="00665CCF"/>
    <w:rsid w:val="006666D1"/>
    <w:rsid w:val="006721EC"/>
    <w:rsid w:val="0067239E"/>
    <w:rsid w:val="006766BF"/>
    <w:rsid w:val="00686245"/>
    <w:rsid w:val="006932BA"/>
    <w:rsid w:val="00693CD9"/>
    <w:rsid w:val="006A1F41"/>
    <w:rsid w:val="006A603C"/>
    <w:rsid w:val="006A7C7F"/>
    <w:rsid w:val="006B4F9A"/>
    <w:rsid w:val="006E0D87"/>
    <w:rsid w:val="006F54B0"/>
    <w:rsid w:val="006F63FD"/>
    <w:rsid w:val="007050BD"/>
    <w:rsid w:val="00714F58"/>
    <w:rsid w:val="00732169"/>
    <w:rsid w:val="00733D62"/>
    <w:rsid w:val="00735659"/>
    <w:rsid w:val="007427C6"/>
    <w:rsid w:val="0077110E"/>
    <w:rsid w:val="00781222"/>
    <w:rsid w:val="007870CB"/>
    <w:rsid w:val="0078755A"/>
    <w:rsid w:val="007A3F0F"/>
    <w:rsid w:val="007A4708"/>
    <w:rsid w:val="007B4AA9"/>
    <w:rsid w:val="007D5C49"/>
    <w:rsid w:val="007D73FF"/>
    <w:rsid w:val="008006ED"/>
    <w:rsid w:val="00813001"/>
    <w:rsid w:val="008145C5"/>
    <w:rsid w:val="00822598"/>
    <w:rsid w:val="008267FC"/>
    <w:rsid w:val="00827955"/>
    <w:rsid w:val="00827DBD"/>
    <w:rsid w:val="008360A1"/>
    <w:rsid w:val="00861563"/>
    <w:rsid w:val="00861B89"/>
    <w:rsid w:val="00871AAA"/>
    <w:rsid w:val="00876F57"/>
    <w:rsid w:val="00891AAA"/>
    <w:rsid w:val="008942ED"/>
    <w:rsid w:val="008D2F49"/>
    <w:rsid w:val="008E068D"/>
    <w:rsid w:val="008E1588"/>
    <w:rsid w:val="008F09CF"/>
    <w:rsid w:val="00901A76"/>
    <w:rsid w:val="00906E9D"/>
    <w:rsid w:val="00931A6A"/>
    <w:rsid w:val="00933EA1"/>
    <w:rsid w:val="00934CD8"/>
    <w:rsid w:val="009355DA"/>
    <w:rsid w:val="00951416"/>
    <w:rsid w:val="00960D21"/>
    <w:rsid w:val="00963B9E"/>
    <w:rsid w:val="00967538"/>
    <w:rsid w:val="00981D29"/>
    <w:rsid w:val="00981E11"/>
    <w:rsid w:val="009826A1"/>
    <w:rsid w:val="00986F79"/>
    <w:rsid w:val="009B6091"/>
    <w:rsid w:val="009C061E"/>
    <w:rsid w:val="009D49A5"/>
    <w:rsid w:val="00A0293C"/>
    <w:rsid w:val="00A124CE"/>
    <w:rsid w:val="00A1564B"/>
    <w:rsid w:val="00A32055"/>
    <w:rsid w:val="00A5194F"/>
    <w:rsid w:val="00A871D6"/>
    <w:rsid w:val="00A93A7C"/>
    <w:rsid w:val="00A952B4"/>
    <w:rsid w:val="00AF282C"/>
    <w:rsid w:val="00AF3FF7"/>
    <w:rsid w:val="00B0096D"/>
    <w:rsid w:val="00B0551F"/>
    <w:rsid w:val="00B13A66"/>
    <w:rsid w:val="00B1491D"/>
    <w:rsid w:val="00B343F9"/>
    <w:rsid w:val="00B35B4F"/>
    <w:rsid w:val="00B47B7D"/>
    <w:rsid w:val="00B602EB"/>
    <w:rsid w:val="00B6093B"/>
    <w:rsid w:val="00BE3E93"/>
    <w:rsid w:val="00BF56F4"/>
    <w:rsid w:val="00C03E0F"/>
    <w:rsid w:val="00C52E56"/>
    <w:rsid w:val="00C5407A"/>
    <w:rsid w:val="00C662B0"/>
    <w:rsid w:val="00C67F50"/>
    <w:rsid w:val="00C84FD4"/>
    <w:rsid w:val="00C958EE"/>
    <w:rsid w:val="00CC1431"/>
    <w:rsid w:val="00CD1333"/>
    <w:rsid w:val="00CD21FB"/>
    <w:rsid w:val="00CD3B75"/>
    <w:rsid w:val="00D116D1"/>
    <w:rsid w:val="00D272C4"/>
    <w:rsid w:val="00D31CBF"/>
    <w:rsid w:val="00D423FE"/>
    <w:rsid w:val="00D442E4"/>
    <w:rsid w:val="00D80EDC"/>
    <w:rsid w:val="00D87CD6"/>
    <w:rsid w:val="00DD0ECA"/>
    <w:rsid w:val="00DF4F15"/>
    <w:rsid w:val="00E047D3"/>
    <w:rsid w:val="00E132F7"/>
    <w:rsid w:val="00E169AC"/>
    <w:rsid w:val="00E266B7"/>
    <w:rsid w:val="00E321C5"/>
    <w:rsid w:val="00E4005D"/>
    <w:rsid w:val="00E42D48"/>
    <w:rsid w:val="00E44026"/>
    <w:rsid w:val="00E52631"/>
    <w:rsid w:val="00E5772B"/>
    <w:rsid w:val="00E6731A"/>
    <w:rsid w:val="00E67511"/>
    <w:rsid w:val="00E77247"/>
    <w:rsid w:val="00E82D0F"/>
    <w:rsid w:val="00E950B5"/>
    <w:rsid w:val="00EB54F4"/>
    <w:rsid w:val="00EC3D04"/>
    <w:rsid w:val="00EF0088"/>
    <w:rsid w:val="00EF69EF"/>
    <w:rsid w:val="00F05879"/>
    <w:rsid w:val="00F06F5B"/>
    <w:rsid w:val="00F2485D"/>
    <w:rsid w:val="00F33926"/>
    <w:rsid w:val="00F4000D"/>
    <w:rsid w:val="00F43C3A"/>
    <w:rsid w:val="00F60C61"/>
    <w:rsid w:val="00F63497"/>
    <w:rsid w:val="00F64B52"/>
    <w:rsid w:val="00F77CDE"/>
    <w:rsid w:val="00F850BE"/>
    <w:rsid w:val="00FA34B3"/>
    <w:rsid w:val="00FB5291"/>
    <w:rsid w:val="00FB5E84"/>
    <w:rsid w:val="00FF2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4948B0"/>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styleId="UnresolvedMention">
    <w:name w:val="Unresolved Mention"/>
    <w:basedOn w:val="DefaultParagraphFont"/>
    <w:uiPriority w:val="99"/>
    <w:semiHidden/>
    <w:unhideWhenUsed/>
    <w:rsid w:val="005A406D"/>
    <w:rPr>
      <w:color w:val="605E5C"/>
      <w:shd w:val="clear" w:color="auto" w:fill="E1DFDD"/>
    </w:rPr>
  </w:style>
  <w:style w:type="character" w:styleId="CommentReference">
    <w:name w:val="annotation reference"/>
    <w:basedOn w:val="DefaultParagraphFont"/>
    <w:rsid w:val="00512C94"/>
    <w:rPr>
      <w:sz w:val="16"/>
      <w:szCs w:val="16"/>
    </w:rPr>
  </w:style>
  <w:style w:type="paragraph" w:styleId="CommentText">
    <w:name w:val="annotation text"/>
    <w:basedOn w:val="Normal"/>
    <w:link w:val="CommentTextChar"/>
    <w:rsid w:val="00512C94"/>
    <w:pPr>
      <w:spacing w:line="240" w:lineRule="auto"/>
    </w:pPr>
  </w:style>
  <w:style w:type="character" w:customStyle="1" w:styleId="CommentTextChar">
    <w:name w:val="Comment Text Char"/>
    <w:basedOn w:val="DefaultParagraphFont"/>
    <w:link w:val="CommentText"/>
    <w:rsid w:val="00512C94"/>
  </w:style>
  <w:style w:type="paragraph" w:styleId="CommentSubject">
    <w:name w:val="annotation subject"/>
    <w:basedOn w:val="CommentText"/>
    <w:next w:val="CommentText"/>
    <w:link w:val="CommentSubjectChar"/>
    <w:semiHidden/>
    <w:unhideWhenUsed/>
    <w:rsid w:val="00512C94"/>
    <w:rPr>
      <w:b/>
      <w:bCs/>
    </w:rPr>
  </w:style>
  <w:style w:type="character" w:customStyle="1" w:styleId="CommentSubjectChar">
    <w:name w:val="Comment Subject Char"/>
    <w:basedOn w:val="CommentTextChar"/>
    <w:link w:val="CommentSubject"/>
    <w:semiHidden/>
    <w:rsid w:val="00512C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A8D99-1D68-458B-8F88-21D4A5C08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40</TotalTime>
  <Pages>17</Pages>
  <Words>3174</Words>
  <Characters>17429</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2020-10-23T21:29:00Z</cp:lastPrinted>
  <dcterms:created xsi:type="dcterms:W3CDTF">2021-01-08T21:00:00Z</dcterms:created>
  <dcterms:modified xsi:type="dcterms:W3CDTF">2021-01-08T21:00:00Z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