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045E6" w14:textId="00D8212E" w:rsidR="00B817BD" w:rsidRPr="007D18C1" w:rsidRDefault="003D7716" w:rsidP="00BF4767">
      <w:pPr>
        <w:spacing w:after="0" w:line="240" w:lineRule="auto"/>
        <w:jc w:val="center"/>
        <w:rPr>
          <w:rFonts w:ascii="Times New Roman" w:eastAsia="MS Mincho" w:hAnsi="Times New Roman" w:cs="Times New Roman"/>
          <w:b/>
          <w:bCs/>
          <w:color w:val="000000"/>
          <w:sz w:val="28"/>
          <w:szCs w:val="28"/>
        </w:rPr>
      </w:pPr>
      <w:bookmarkStart w:id="0" w:name="_Hlk33708312"/>
      <w:r w:rsidRPr="007D18C1">
        <w:rPr>
          <w:rFonts w:ascii="Times New Roman" w:eastAsia="MS Mincho" w:hAnsi="Times New Roman" w:cs="Times New Roman"/>
          <w:b/>
          <w:bCs/>
          <w:color w:val="000000"/>
          <w:sz w:val="28"/>
          <w:szCs w:val="28"/>
        </w:rPr>
        <w:t>Appendix A</w:t>
      </w:r>
    </w:p>
    <w:p w14:paraId="689F8272" w14:textId="77777777" w:rsidR="00B817BD" w:rsidRPr="007D18C1" w:rsidRDefault="00B817BD" w:rsidP="00B817BD">
      <w:pPr>
        <w:spacing w:after="0" w:line="240" w:lineRule="auto"/>
        <w:rPr>
          <w:rFonts w:ascii="Times New Roman" w:eastAsia="MS Mincho" w:hAnsi="Times New Roman" w:cs="Times New Roman"/>
          <w:color w:val="000000"/>
          <w:sz w:val="28"/>
          <w:szCs w:val="28"/>
        </w:rPr>
      </w:pPr>
    </w:p>
    <w:p w14:paraId="64765840" w14:textId="77777777" w:rsidR="00BF4767" w:rsidRPr="00171E56" w:rsidRDefault="00BF4767" w:rsidP="00BF4767">
      <w:pPr>
        <w:jc w:val="center"/>
        <w:rPr>
          <w:rFonts w:ascii="Times New Roman" w:hAnsi="Times New Roman" w:cs="Times New Roman"/>
          <w:b/>
          <w:i/>
          <w:sz w:val="28"/>
          <w:szCs w:val="28"/>
          <w:u w:val="single"/>
        </w:rPr>
      </w:pPr>
      <w:r w:rsidRPr="00171E56">
        <w:rPr>
          <w:rFonts w:ascii="Times New Roman" w:hAnsi="Times New Roman" w:cs="Times New Roman"/>
          <w:b/>
          <w:i/>
          <w:sz w:val="28"/>
          <w:szCs w:val="28"/>
        </w:rPr>
        <w:t xml:space="preserve">(Please </w:t>
      </w:r>
      <w:proofErr w:type="gramStart"/>
      <w:r w:rsidRPr="00171E56">
        <w:rPr>
          <w:rFonts w:ascii="Times New Roman" w:hAnsi="Times New Roman" w:cs="Times New Roman"/>
          <w:b/>
          <w:i/>
          <w:sz w:val="28"/>
          <w:szCs w:val="28"/>
        </w:rPr>
        <w:t>note:</w:t>
      </w:r>
      <w:proofErr w:type="gramEnd"/>
      <w:r w:rsidRPr="00171E56">
        <w:rPr>
          <w:rFonts w:ascii="Times New Roman" w:hAnsi="Times New Roman" w:cs="Times New Roman"/>
          <w:b/>
          <w:i/>
          <w:sz w:val="28"/>
          <w:szCs w:val="28"/>
        </w:rPr>
        <w:t xml:space="preserve"> deletions are reflected by </w:t>
      </w:r>
      <w:r w:rsidRPr="00171E56">
        <w:rPr>
          <w:rFonts w:ascii="Times New Roman" w:hAnsi="Times New Roman" w:cs="Times New Roman"/>
          <w:b/>
          <w:i/>
          <w:strike/>
          <w:sz w:val="28"/>
          <w:szCs w:val="28"/>
        </w:rPr>
        <w:t>strikethrough</w:t>
      </w:r>
      <w:r w:rsidRPr="00171E56">
        <w:rPr>
          <w:rFonts w:ascii="Times New Roman" w:hAnsi="Times New Roman" w:cs="Times New Roman"/>
          <w:b/>
          <w:i/>
          <w:sz w:val="28"/>
          <w:szCs w:val="28"/>
        </w:rPr>
        <w:t xml:space="preserve"> and additions are reflected by </w:t>
      </w:r>
      <w:r w:rsidRPr="00171E56">
        <w:rPr>
          <w:rFonts w:ascii="Times New Roman" w:hAnsi="Times New Roman" w:cs="Times New Roman"/>
          <w:b/>
          <w:i/>
          <w:sz w:val="28"/>
          <w:szCs w:val="28"/>
          <w:u w:val="single"/>
        </w:rPr>
        <w:t>underline.</w:t>
      </w:r>
      <w:r w:rsidRPr="00171E56">
        <w:rPr>
          <w:rFonts w:ascii="Times New Roman" w:hAnsi="Times New Roman" w:cs="Times New Roman"/>
          <w:b/>
          <w:i/>
          <w:sz w:val="28"/>
          <w:szCs w:val="28"/>
        </w:rPr>
        <w:t>)</w:t>
      </w:r>
    </w:p>
    <w:p w14:paraId="0CE5BC52" w14:textId="77777777" w:rsidR="00BF4767" w:rsidRDefault="00BF4767" w:rsidP="00B817BD">
      <w:pPr>
        <w:spacing w:after="0" w:line="240" w:lineRule="auto"/>
        <w:rPr>
          <w:rFonts w:ascii="Times New Roman" w:eastAsia="MS Mincho" w:hAnsi="Times New Roman" w:cs="Times New Roman"/>
          <w:b/>
          <w:bCs/>
          <w:color w:val="000000"/>
          <w:sz w:val="28"/>
          <w:szCs w:val="28"/>
        </w:rPr>
      </w:pPr>
    </w:p>
    <w:p w14:paraId="3D01AA04" w14:textId="3CEDE136" w:rsidR="00BF4767" w:rsidRPr="007D18C1" w:rsidRDefault="00BF4767" w:rsidP="00B817BD">
      <w:pPr>
        <w:spacing w:after="0" w:line="240" w:lineRule="auto"/>
        <w:rPr>
          <w:rFonts w:ascii="Times New Roman" w:eastAsia="MS Mincho" w:hAnsi="Times New Roman" w:cs="Times New Roman"/>
          <w:b/>
          <w:bCs/>
          <w:color w:val="000000"/>
          <w:sz w:val="28"/>
          <w:szCs w:val="28"/>
        </w:rPr>
      </w:pPr>
      <w:r>
        <w:rPr>
          <w:rFonts w:ascii="Times New Roman" w:eastAsia="MS Mincho" w:hAnsi="Times New Roman" w:cs="Times New Roman"/>
          <w:b/>
          <w:bCs/>
          <w:color w:val="000000"/>
          <w:sz w:val="28"/>
          <w:szCs w:val="28"/>
        </w:rPr>
        <w:t>Rule 45. Mandatory Continuing Legal Education</w:t>
      </w:r>
    </w:p>
    <w:p w14:paraId="51A0DAFE" w14:textId="77777777" w:rsidR="00B817BD" w:rsidRPr="007D18C1" w:rsidRDefault="00B817BD" w:rsidP="00B817BD">
      <w:pPr>
        <w:spacing w:after="0" w:line="240" w:lineRule="auto"/>
        <w:rPr>
          <w:rFonts w:ascii="Times New Roman" w:eastAsia="MS Mincho" w:hAnsi="Times New Roman" w:cs="Times New Roman"/>
          <w:color w:val="000000"/>
          <w:sz w:val="24"/>
          <w:szCs w:val="24"/>
        </w:rPr>
      </w:pPr>
    </w:p>
    <w:p w14:paraId="1CFE173F" w14:textId="0EFABE3E" w:rsidR="00215158" w:rsidRPr="00BF4767" w:rsidRDefault="00BF4767" w:rsidP="00BF4767">
      <w:pPr>
        <w:shd w:val="clear" w:color="auto" w:fill="FFFFFF"/>
        <w:spacing w:after="0" w:line="240" w:lineRule="auto"/>
        <w:jc w:val="both"/>
        <w:rPr>
          <w:rFonts w:ascii="Times New Roman" w:eastAsia="Times New Roman" w:hAnsi="Times New Roman" w:cs="Times New Roman"/>
          <w:b/>
          <w:bCs/>
          <w:color w:val="000000"/>
          <w:sz w:val="28"/>
          <w:szCs w:val="28"/>
        </w:rPr>
      </w:pPr>
      <w:r w:rsidRPr="00BF4767">
        <w:rPr>
          <w:rFonts w:ascii="Times New Roman" w:eastAsia="MS Mincho" w:hAnsi="Times New Roman" w:cs="Times New Roman"/>
          <w:b/>
          <w:bCs/>
          <w:color w:val="000000"/>
          <w:sz w:val="28"/>
          <w:szCs w:val="28"/>
        </w:rPr>
        <w:t>(a)</w:t>
      </w:r>
      <w:r w:rsidRPr="00BF4767">
        <w:rPr>
          <w:rFonts w:ascii="Times New Roman" w:eastAsia="Times New Roman" w:hAnsi="Times New Roman" w:cs="Times New Roman"/>
          <w:b/>
          <w:bCs/>
          <w:color w:val="000000"/>
          <w:sz w:val="28"/>
          <w:szCs w:val="28"/>
        </w:rPr>
        <w:t xml:space="preserve"> </w:t>
      </w:r>
      <w:r w:rsidR="00215158" w:rsidRPr="00BF4767">
        <w:rPr>
          <w:rFonts w:ascii="Times New Roman" w:eastAsia="Times New Roman" w:hAnsi="Times New Roman" w:cs="Times New Roman"/>
          <w:b/>
          <w:bCs/>
          <w:color w:val="000000"/>
          <w:sz w:val="28"/>
          <w:szCs w:val="28"/>
        </w:rPr>
        <w:t>Continuing Legal Education Requirements.</w:t>
      </w:r>
    </w:p>
    <w:p w14:paraId="337B20EA" w14:textId="77777777" w:rsidR="00BF4767" w:rsidRDefault="00BF4767" w:rsidP="00BF4767">
      <w:pPr>
        <w:shd w:val="clear" w:color="auto" w:fill="FFFFFF"/>
        <w:spacing w:after="0" w:line="240" w:lineRule="auto"/>
        <w:ind w:right="720"/>
        <w:jc w:val="both"/>
        <w:rPr>
          <w:rFonts w:ascii="Times New Roman" w:eastAsia="Times New Roman" w:hAnsi="Times New Roman" w:cs="Times New Roman"/>
          <w:color w:val="000000"/>
          <w:sz w:val="28"/>
          <w:szCs w:val="28"/>
        </w:rPr>
      </w:pPr>
    </w:p>
    <w:p w14:paraId="3F3DE15B" w14:textId="1DD9B911" w:rsidR="00215158" w:rsidRPr="00BF4767" w:rsidRDefault="00BF4767" w:rsidP="00BF4767">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215158" w:rsidRPr="00BF4767">
        <w:rPr>
          <w:rFonts w:ascii="Times New Roman" w:eastAsia="Times New Roman" w:hAnsi="Times New Roman" w:cs="Times New Roman"/>
          <w:color w:val="000000"/>
          <w:sz w:val="28"/>
          <w:szCs w:val="28"/>
        </w:rPr>
        <w:t>Every active member of the bar, not exempted, shall complete a minimum of fifteen hours of continuing legal education activity in each educational year. An educational year shall begin on July 1 and end on the following June 30.</w:t>
      </w:r>
    </w:p>
    <w:p w14:paraId="43FB2345" w14:textId="77777777" w:rsidR="00215158" w:rsidRPr="007D18C1" w:rsidRDefault="00215158" w:rsidP="00BF4767">
      <w:pPr>
        <w:shd w:val="clear" w:color="auto" w:fill="FFFFFF"/>
        <w:spacing w:after="0" w:line="240" w:lineRule="auto"/>
        <w:ind w:left="720"/>
        <w:jc w:val="both"/>
        <w:rPr>
          <w:rFonts w:ascii="Times New Roman" w:eastAsia="Times New Roman" w:hAnsi="Times New Roman" w:cs="Times New Roman"/>
          <w:color w:val="000000"/>
          <w:sz w:val="28"/>
          <w:szCs w:val="28"/>
        </w:rPr>
      </w:pPr>
    </w:p>
    <w:p w14:paraId="4CFDF6AD" w14:textId="77777777" w:rsidR="00326B94" w:rsidRDefault="00BF4767" w:rsidP="00BF4767">
      <w:pPr>
        <w:shd w:val="clear" w:color="auto" w:fill="FFFFFF"/>
        <w:spacing w:after="0" w:line="240" w:lineRule="auto"/>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2.  </w:t>
      </w:r>
      <w:r w:rsidR="00215158" w:rsidRPr="007D18C1">
        <w:rPr>
          <w:rFonts w:ascii="Times New Roman" w:eastAsia="Times New Roman" w:hAnsi="Times New Roman" w:cs="Times New Roman"/>
          <w:iCs/>
          <w:color w:val="000000"/>
          <w:sz w:val="28"/>
          <w:szCs w:val="28"/>
        </w:rPr>
        <w:t>A minimum of three hours of continuing legal education activity each educational year shall be in the area of professional responsibility.</w:t>
      </w:r>
    </w:p>
    <w:p w14:paraId="3706D5B4" w14:textId="77777777" w:rsidR="00326B94" w:rsidRDefault="00326B94" w:rsidP="00BF4767">
      <w:pPr>
        <w:shd w:val="clear" w:color="auto" w:fill="FFFFFF"/>
        <w:spacing w:after="0" w:line="240" w:lineRule="auto"/>
        <w:jc w:val="both"/>
        <w:rPr>
          <w:rFonts w:ascii="Times New Roman" w:eastAsia="Times New Roman" w:hAnsi="Times New Roman" w:cs="Times New Roman"/>
          <w:iCs/>
          <w:color w:val="000000"/>
          <w:sz w:val="28"/>
          <w:szCs w:val="28"/>
        </w:rPr>
      </w:pPr>
    </w:p>
    <w:p w14:paraId="1484E549" w14:textId="0AC40C9C" w:rsidR="00215158" w:rsidRPr="00326B94" w:rsidRDefault="00215158" w:rsidP="00326B94">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8"/>
          <w:szCs w:val="28"/>
        </w:rPr>
      </w:pPr>
      <w:r w:rsidRPr="00326B94">
        <w:rPr>
          <w:rFonts w:ascii="Times New Roman" w:eastAsia="Times New Roman" w:hAnsi="Times New Roman" w:cs="Times New Roman"/>
          <w:color w:val="000000"/>
          <w:sz w:val="28"/>
          <w:szCs w:val="28"/>
        </w:rPr>
        <w:t>Professional responsibility includes instruction in legal and judicial ethics, professionalism, and malpractice prevention, and may include such topics as substance abuse, including causes, prevention, detection and treatment alternatives, attorneys' fees, client development, law office economics and practice, alternatives to litigation for managing conflict and resolving disputes, stress management, and the particular responsibilities of public lawyers, judges, and in-house counsel, to the extent that professional responsibility is directly addressed in connection with these topics.</w:t>
      </w:r>
    </w:p>
    <w:p w14:paraId="09C66607" w14:textId="77777777" w:rsidR="00326B94" w:rsidRDefault="00326B94" w:rsidP="00326B94">
      <w:pPr>
        <w:shd w:val="clear" w:color="auto" w:fill="FFFFFF"/>
        <w:spacing w:after="0" w:line="240" w:lineRule="auto"/>
        <w:jc w:val="both"/>
        <w:rPr>
          <w:rFonts w:ascii="Times New Roman" w:eastAsia="Times New Roman" w:hAnsi="Times New Roman" w:cs="Times New Roman"/>
          <w:color w:val="000000"/>
          <w:sz w:val="28"/>
          <w:szCs w:val="28"/>
          <w:u w:val="single"/>
        </w:rPr>
      </w:pPr>
    </w:p>
    <w:p w14:paraId="3CC7E2A1" w14:textId="1D35468B" w:rsidR="00326B94" w:rsidRPr="00326B94" w:rsidRDefault="00326B94" w:rsidP="00326B94">
      <w:pPr>
        <w:pStyle w:val="ListParagraph"/>
        <w:numPr>
          <w:ilvl w:val="0"/>
          <w:numId w:val="14"/>
        </w:numPr>
        <w:shd w:val="clear" w:color="auto" w:fill="FFFFFF"/>
        <w:spacing w:after="0" w:line="240" w:lineRule="auto"/>
        <w:jc w:val="both"/>
        <w:rPr>
          <w:rFonts w:ascii="Times New Roman" w:eastAsia="Times New Roman" w:hAnsi="Times New Roman" w:cs="Times New Roman"/>
          <w:color w:val="000000"/>
          <w:sz w:val="28"/>
          <w:szCs w:val="28"/>
          <w:u w:val="single"/>
        </w:rPr>
      </w:pPr>
      <w:r w:rsidRPr="00326B94">
        <w:rPr>
          <w:rFonts w:ascii="Times New Roman" w:eastAsia="Times New Roman" w:hAnsi="Times New Roman" w:cs="Times New Roman"/>
          <w:color w:val="000000"/>
          <w:sz w:val="28"/>
          <w:szCs w:val="28"/>
          <w:u w:val="single"/>
        </w:rPr>
        <w:t xml:space="preserve">At least </w:t>
      </w:r>
      <w:r w:rsidR="0024769B">
        <w:rPr>
          <w:rFonts w:ascii="Times New Roman" w:eastAsia="Times New Roman" w:hAnsi="Times New Roman" w:cs="Times New Roman"/>
          <w:color w:val="000000"/>
          <w:sz w:val="28"/>
          <w:szCs w:val="28"/>
          <w:u w:val="single"/>
        </w:rPr>
        <w:t>1</w:t>
      </w:r>
      <w:r w:rsidRPr="00326B94">
        <w:rPr>
          <w:rFonts w:ascii="Times New Roman" w:eastAsia="Times New Roman" w:hAnsi="Times New Roman" w:cs="Times New Roman"/>
          <w:color w:val="000000"/>
          <w:sz w:val="28"/>
          <w:szCs w:val="28"/>
          <w:u w:val="single"/>
        </w:rPr>
        <w:t xml:space="preserve"> hour of the professional responsibility requirement must address diversity and inclusion in the legal system of all persons regardless of race, ethnicity, religion, national origin, gender, sexual orientation, gender </w:t>
      </w:r>
      <w:r w:rsidR="00FC1A24" w:rsidRPr="00326B94">
        <w:rPr>
          <w:rFonts w:ascii="Times New Roman" w:eastAsia="Times New Roman" w:hAnsi="Times New Roman" w:cs="Times New Roman"/>
          <w:color w:val="000000"/>
          <w:sz w:val="28"/>
          <w:szCs w:val="28"/>
          <w:u w:val="single"/>
        </w:rPr>
        <w:t>identity</w:t>
      </w:r>
      <w:r w:rsidR="00FC1A24">
        <w:rPr>
          <w:rFonts w:ascii="Times New Roman" w:eastAsia="Times New Roman" w:hAnsi="Times New Roman" w:cs="Times New Roman"/>
          <w:color w:val="000000"/>
          <w:sz w:val="28"/>
          <w:szCs w:val="28"/>
          <w:u w:val="single"/>
        </w:rPr>
        <w:t xml:space="preserve">, </w:t>
      </w:r>
      <w:r w:rsidR="00FC1A24" w:rsidRPr="00326B94">
        <w:rPr>
          <w:rFonts w:ascii="Times New Roman" w:eastAsia="Times New Roman" w:hAnsi="Times New Roman" w:cs="Times New Roman"/>
          <w:color w:val="000000"/>
          <w:sz w:val="28"/>
          <w:szCs w:val="28"/>
          <w:u w:val="single"/>
        </w:rPr>
        <w:t>disabilities</w:t>
      </w:r>
      <w:r w:rsidR="00DF1247">
        <w:rPr>
          <w:rFonts w:ascii="Times New Roman" w:eastAsia="Times New Roman" w:hAnsi="Times New Roman" w:cs="Times New Roman"/>
          <w:color w:val="000000"/>
          <w:sz w:val="28"/>
          <w:szCs w:val="28"/>
          <w:u w:val="single"/>
        </w:rPr>
        <w:t>, age, or any other protected class</w:t>
      </w:r>
      <w:r w:rsidRPr="00326B94">
        <w:rPr>
          <w:rFonts w:ascii="Times New Roman" w:eastAsia="Times New Roman" w:hAnsi="Times New Roman" w:cs="Times New Roman"/>
          <w:color w:val="000000"/>
          <w:sz w:val="28"/>
          <w:szCs w:val="28"/>
          <w:u w:val="single"/>
        </w:rPr>
        <w:t>, as well as, the elimination of bias.</w:t>
      </w:r>
    </w:p>
    <w:p w14:paraId="495CE57B" w14:textId="77777777" w:rsidR="00215158" w:rsidRPr="007D18C1" w:rsidRDefault="00215158" w:rsidP="00215158">
      <w:pPr>
        <w:shd w:val="clear" w:color="auto" w:fill="FFFFFF"/>
        <w:spacing w:after="0" w:line="240" w:lineRule="auto"/>
        <w:ind w:left="720" w:right="720"/>
        <w:jc w:val="both"/>
        <w:rPr>
          <w:rFonts w:ascii="Times New Roman" w:eastAsia="Times New Roman" w:hAnsi="Times New Roman" w:cs="Times New Roman"/>
          <w:color w:val="000000"/>
          <w:sz w:val="28"/>
          <w:szCs w:val="28"/>
        </w:rPr>
      </w:pPr>
    </w:p>
    <w:p w14:paraId="2BCD3094" w14:textId="399AC035" w:rsidR="00BF4767" w:rsidRDefault="00BF4767" w:rsidP="0021515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 [No change in text.]</w:t>
      </w:r>
    </w:p>
    <w:p w14:paraId="00CC90CB" w14:textId="77777777" w:rsidR="00326B94" w:rsidRDefault="00326B94" w:rsidP="00215158">
      <w:pPr>
        <w:shd w:val="clear" w:color="auto" w:fill="FFFFFF"/>
        <w:spacing w:after="0" w:line="240" w:lineRule="auto"/>
        <w:jc w:val="both"/>
        <w:rPr>
          <w:rFonts w:ascii="Times New Roman" w:eastAsia="Times New Roman" w:hAnsi="Times New Roman" w:cs="Times New Roman"/>
          <w:color w:val="000000"/>
          <w:sz w:val="28"/>
          <w:szCs w:val="28"/>
        </w:rPr>
      </w:pPr>
    </w:p>
    <w:p w14:paraId="5A050BE5" w14:textId="42DB5F90" w:rsidR="00BF4767" w:rsidRDefault="00326B94" w:rsidP="0021515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(b)-(k)</w:t>
      </w:r>
      <w:r>
        <w:rPr>
          <w:rFonts w:ascii="Times New Roman" w:eastAsia="Times New Roman" w:hAnsi="Times New Roman" w:cs="Times New Roman"/>
          <w:color w:val="000000"/>
          <w:sz w:val="28"/>
          <w:szCs w:val="28"/>
        </w:rPr>
        <w:t xml:space="preserve"> [No change in text.]</w:t>
      </w:r>
    </w:p>
    <w:p w14:paraId="74EDEA68" w14:textId="77777777" w:rsidR="00326B94" w:rsidRPr="00326B94" w:rsidRDefault="00326B94" w:rsidP="00215158">
      <w:pPr>
        <w:shd w:val="clear" w:color="auto" w:fill="FFFFFF"/>
        <w:spacing w:after="0" w:line="240" w:lineRule="auto"/>
        <w:jc w:val="both"/>
        <w:rPr>
          <w:rFonts w:ascii="Times New Roman" w:eastAsia="Times New Roman" w:hAnsi="Times New Roman" w:cs="Times New Roman"/>
          <w:color w:val="000000"/>
          <w:sz w:val="28"/>
          <w:szCs w:val="28"/>
        </w:rPr>
      </w:pPr>
      <w:bookmarkStart w:id="1" w:name="_GoBack"/>
      <w:bookmarkEnd w:id="1"/>
    </w:p>
    <w:p w14:paraId="2F9812F2" w14:textId="77777777" w:rsidR="00AE3F89" w:rsidRPr="007D18C1" w:rsidRDefault="00AE3F89" w:rsidP="00AE3F89">
      <w:pPr>
        <w:shd w:val="clear" w:color="auto" w:fill="FFFFFF"/>
        <w:spacing w:after="0" w:line="240" w:lineRule="auto"/>
        <w:ind w:left="720" w:right="720"/>
        <w:jc w:val="both"/>
        <w:rPr>
          <w:rFonts w:ascii="Times New Roman" w:eastAsia="Times New Roman" w:hAnsi="Times New Roman" w:cs="Times New Roman"/>
          <w:color w:val="000000"/>
          <w:sz w:val="28"/>
          <w:szCs w:val="28"/>
        </w:rPr>
      </w:pPr>
    </w:p>
    <w:p w14:paraId="0A94DF24" w14:textId="252C18C5" w:rsidR="00B817BD" w:rsidRPr="007D18C1" w:rsidRDefault="00B817BD" w:rsidP="00B817BD">
      <w:pPr>
        <w:spacing w:after="0" w:line="240" w:lineRule="auto"/>
        <w:rPr>
          <w:rFonts w:ascii="Times New Roman" w:eastAsia="MS Mincho" w:hAnsi="Times New Roman" w:cs="Times New Roman"/>
          <w:b/>
          <w:bCs/>
          <w:color w:val="000000"/>
          <w:sz w:val="24"/>
          <w:szCs w:val="24"/>
        </w:rPr>
      </w:pPr>
    </w:p>
    <w:p w14:paraId="27BF117D" w14:textId="680EACAB" w:rsidR="00AE3F89" w:rsidRPr="007D18C1" w:rsidRDefault="00AE3F89" w:rsidP="00B817BD">
      <w:pPr>
        <w:spacing w:after="0" w:line="240" w:lineRule="auto"/>
        <w:rPr>
          <w:rFonts w:ascii="Times New Roman" w:eastAsia="MS Mincho" w:hAnsi="Times New Roman" w:cs="Times New Roman"/>
          <w:b/>
          <w:bCs/>
          <w:color w:val="000000"/>
          <w:sz w:val="24"/>
          <w:szCs w:val="24"/>
        </w:rPr>
      </w:pPr>
    </w:p>
    <w:bookmarkEnd w:id="0"/>
    <w:p w14:paraId="1C074DB0" w14:textId="00CB6A75" w:rsidR="009A1975" w:rsidRPr="007D18C1" w:rsidRDefault="009A1975" w:rsidP="009A1975">
      <w:pPr>
        <w:rPr>
          <w:rFonts w:ascii="Times New Roman" w:hAnsi="Times New Roman" w:cs="Times New Roman"/>
          <w:sz w:val="24"/>
          <w:szCs w:val="24"/>
        </w:rPr>
      </w:pPr>
    </w:p>
    <w:sectPr w:rsidR="009A1975" w:rsidRPr="007D1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1E4"/>
    <w:multiLevelType w:val="hybridMultilevel"/>
    <w:tmpl w:val="6CD0ED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85CC7"/>
    <w:multiLevelType w:val="hybridMultilevel"/>
    <w:tmpl w:val="2A60FB9E"/>
    <w:lvl w:ilvl="0" w:tplc="4EEE7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FF00E2"/>
    <w:multiLevelType w:val="hybridMultilevel"/>
    <w:tmpl w:val="5720C916"/>
    <w:lvl w:ilvl="0" w:tplc="AB0C88EC">
      <w:start w:val="1"/>
      <w:numFmt w:val="upp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474AC"/>
    <w:multiLevelType w:val="hybridMultilevel"/>
    <w:tmpl w:val="41E69672"/>
    <w:lvl w:ilvl="0" w:tplc="B1521DFA">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0C3B52"/>
    <w:multiLevelType w:val="hybridMultilevel"/>
    <w:tmpl w:val="2B76A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AB2A15"/>
    <w:multiLevelType w:val="hybridMultilevel"/>
    <w:tmpl w:val="431A9626"/>
    <w:lvl w:ilvl="0" w:tplc="68367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25D3D"/>
    <w:multiLevelType w:val="hybridMultilevel"/>
    <w:tmpl w:val="7898D322"/>
    <w:lvl w:ilvl="0" w:tplc="7EE0DFAC">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1B2706"/>
    <w:multiLevelType w:val="hybridMultilevel"/>
    <w:tmpl w:val="B2DC57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024130"/>
    <w:multiLevelType w:val="hybridMultilevel"/>
    <w:tmpl w:val="CF58F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4F7253"/>
    <w:multiLevelType w:val="hybridMultilevel"/>
    <w:tmpl w:val="2CBA4CB0"/>
    <w:lvl w:ilvl="0" w:tplc="BC06E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0F1CAA"/>
    <w:multiLevelType w:val="hybridMultilevel"/>
    <w:tmpl w:val="5086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603B1"/>
    <w:multiLevelType w:val="hybridMultilevel"/>
    <w:tmpl w:val="49E66ACE"/>
    <w:lvl w:ilvl="0" w:tplc="0DA83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983DA4"/>
    <w:multiLevelType w:val="hybridMultilevel"/>
    <w:tmpl w:val="B9A481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15627"/>
    <w:multiLevelType w:val="hybridMultilevel"/>
    <w:tmpl w:val="40F676E4"/>
    <w:lvl w:ilvl="0" w:tplc="791A5B0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10"/>
  </w:num>
  <w:num w:numId="5">
    <w:abstractNumId w:val="4"/>
  </w:num>
  <w:num w:numId="6">
    <w:abstractNumId w:val="9"/>
  </w:num>
  <w:num w:numId="7">
    <w:abstractNumId w:val="8"/>
  </w:num>
  <w:num w:numId="8">
    <w:abstractNumId w:val="11"/>
  </w:num>
  <w:num w:numId="9">
    <w:abstractNumId w:val="0"/>
  </w:num>
  <w:num w:numId="10">
    <w:abstractNumId w:val="6"/>
  </w:num>
  <w:num w:numId="11">
    <w:abstractNumId w:val="12"/>
  </w:num>
  <w:num w:numId="12">
    <w:abstractNumId w:val="7"/>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16"/>
    <w:rsid w:val="0014216F"/>
    <w:rsid w:val="00215158"/>
    <w:rsid w:val="0024769B"/>
    <w:rsid w:val="002603F0"/>
    <w:rsid w:val="002B23B0"/>
    <w:rsid w:val="00326B94"/>
    <w:rsid w:val="003D7716"/>
    <w:rsid w:val="00440808"/>
    <w:rsid w:val="004849EB"/>
    <w:rsid w:val="00541420"/>
    <w:rsid w:val="00602BD3"/>
    <w:rsid w:val="006C6792"/>
    <w:rsid w:val="00706993"/>
    <w:rsid w:val="007D18C1"/>
    <w:rsid w:val="008201BE"/>
    <w:rsid w:val="008505D9"/>
    <w:rsid w:val="00865435"/>
    <w:rsid w:val="0094712A"/>
    <w:rsid w:val="009A1975"/>
    <w:rsid w:val="009D43D0"/>
    <w:rsid w:val="00A5111B"/>
    <w:rsid w:val="00AE3F89"/>
    <w:rsid w:val="00B6004A"/>
    <w:rsid w:val="00B817BD"/>
    <w:rsid w:val="00BF4767"/>
    <w:rsid w:val="00C75D89"/>
    <w:rsid w:val="00CC208F"/>
    <w:rsid w:val="00DF1247"/>
    <w:rsid w:val="00FC1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5B03"/>
  <w15:chartTrackingRefBased/>
  <w15:docId w15:val="{0E5D2915-D349-4582-9CD2-0540456B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93"/>
    <w:pPr>
      <w:ind w:left="720"/>
      <w:contextualSpacing/>
    </w:pPr>
  </w:style>
  <w:style w:type="paragraph" w:styleId="BalloonText">
    <w:name w:val="Balloon Text"/>
    <w:basedOn w:val="Normal"/>
    <w:link w:val="BalloonTextChar"/>
    <w:uiPriority w:val="99"/>
    <w:semiHidden/>
    <w:unhideWhenUsed/>
    <w:rsid w:val="00326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 Nethers</dc:creator>
  <cp:keywords/>
  <dc:description/>
  <cp:lastModifiedBy>Patricia Seguin</cp:lastModifiedBy>
  <cp:revision>16</cp:revision>
  <cp:lastPrinted>2020-04-24T16:33:00Z</cp:lastPrinted>
  <dcterms:created xsi:type="dcterms:W3CDTF">2020-02-27T23:43:00Z</dcterms:created>
  <dcterms:modified xsi:type="dcterms:W3CDTF">2021-01-08T21:22:00Z</dcterms:modified>
</cp:coreProperties>
</file>