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99026B" w14:textId="7B36B9FD" w:rsidR="0060117B" w:rsidRPr="00C53A94" w:rsidRDefault="00C53A94" w:rsidP="0060117B">
      <w:pPr>
        <w:spacing w:line="360" w:lineRule="atLeast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Appendix C - </w:t>
      </w:r>
      <w:r w:rsidR="0060117B" w:rsidRPr="00C53A94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Rule 68 </w:t>
      </w:r>
      <w:r w:rsidR="00366091" w:rsidRPr="00C53A94">
        <w:rPr>
          <w:rFonts w:ascii="Times New Roman" w:eastAsia="Times New Roman" w:hAnsi="Times New Roman" w:cs="Times New Roman"/>
          <w:color w:val="252525"/>
          <w:sz w:val="28"/>
          <w:szCs w:val="28"/>
        </w:rPr>
        <w:t>Comment</w:t>
      </w:r>
    </w:p>
    <w:p w14:paraId="1CC94CE0" w14:textId="77777777" w:rsidR="00366091" w:rsidRPr="00C53A94" w:rsidRDefault="00366091" w:rsidP="00366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</w:pPr>
      <w:r w:rsidRPr="00C53A9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COMMENT</w:t>
      </w:r>
    </w:p>
    <w:p w14:paraId="6333C3B8" w14:textId="77777777" w:rsidR="00366091" w:rsidRPr="00C53A94" w:rsidRDefault="00366091" w:rsidP="00366091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</w:p>
    <w:p w14:paraId="7196DCF4" w14:textId="6E640470" w:rsidR="00366091" w:rsidRPr="00C53A94" w:rsidRDefault="00366091" w:rsidP="00366091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>20</w:t>
      </w:r>
      <w:r w:rsidR="0035464E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>2</w:t>
      </w:r>
      <w:r w:rsidR="005E18E4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>1</w:t>
      </w:r>
      <w:r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Amendment to Rule </w:t>
      </w:r>
      <w:r w:rsidR="0035464E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>68</w:t>
      </w:r>
      <w:r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>(</w:t>
      </w:r>
      <w:r w:rsidR="00B33547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>g</w:t>
      </w:r>
      <w:r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>)</w:t>
      </w:r>
    </w:p>
    <w:p w14:paraId="0FD78A13" w14:textId="77777777" w:rsidR="000724F9" w:rsidRPr="00C53A94" w:rsidRDefault="000724F9" w:rsidP="00366091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</w:p>
    <w:p w14:paraId="43A76398" w14:textId="10AB2C43" w:rsidR="00366091" w:rsidRPr="00C53A94" w:rsidRDefault="00366091" w:rsidP="00366091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The amendment to Rule </w:t>
      </w:r>
      <w:r w:rsidR="00B33547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>68</w:t>
      </w:r>
      <w:r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>(</w:t>
      </w:r>
      <w:r w:rsidR="00B33547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>g</w:t>
      </w:r>
      <w:r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) </w:t>
      </w:r>
      <w:r w:rsidR="00AD7810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changes </w:t>
      </w:r>
      <w:r w:rsidR="00AA5390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>how the sanction is calculated</w:t>
      </w:r>
      <w:r w:rsidR="007E0F84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. </w:t>
      </w:r>
      <w:r w:rsidR="000D185D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>The calculation is used only if the offeree does not accept an offer that turns out to be less favorable to the offeree than the subsequently-entered judgment</w:t>
      </w:r>
      <w:r w:rsidR="00B1141E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. In that event, </w:t>
      </w:r>
      <w:r w:rsidR="0018207A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>and if the action is not solely for injuncti</w:t>
      </w:r>
      <w:r w:rsidR="00436F7C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>v</w:t>
      </w:r>
      <w:r w:rsidR="0018207A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e relief, </w:t>
      </w:r>
      <w:r w:rsidR="001C339E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>then the sanction is “</w:t>
      </w:r>
      <w:r w:rsidR="00AB109E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>t</w:t>
      </w:r>
      <w:r w:rsidR="00075A24">
        <w:rPr>
          <w:rFonts w:ascii="Times New Roman" w:eastAsia="Times New Roman" w:hAnsi="Times New Roman" w:cs="Times New Roman"/>
          <w:color w:val="212121"/>
          <w:sz w:val="28"/>
          <w:szCs w:val="28"/>
        </w:rPr>
        <w:t>wenty</w:t>
      </w:r>
      <w:r w:rsidR="00AB109E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percent of the difference between the amount of the offer and the amount of the final judgment</w:t>
      </w:r>
      <w:r w:rsidR="001C339E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>,” as illustrated by the following examples.</w:t>
      </w:r>
    </w:p>
    <w:p w14:paraId="214CCB89" w14:textId="1A290FC1" w:rsidR="0059735F" w:rsidRPr="00C53A94" w:rsidRDefault="0059735F" w:rsidP="00366091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</w:p>
    <w:p w14:paraId="160DF6CA" w14:textId="168B612C" w:rsidR="005B1A6D" w:rsidRPr="00C53A94" w:rsidRDefault="005B1A6D" w:rsidP="005B1A6D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Example </w:t>
      </w:r>
      <w:r w:rsidR="006E478F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>1</w:t>
      </w:r>
      <w:r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: Defendant offers judgment of $1 to be entered against it, </w:t>
      </w:r>
      <w:r w:rsidR="00E15319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including attorney’s </w:t>
      </w:r>
      <w:r w:rsidR="00303182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>fees.  P</w:t>
      </w:r>
      <w:r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>laintiff does not accept the offer</w:t>
      </w:r>
      <w:r w:rsidR="00303182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>.  D</w:t>
      </w:r>
      <w:r w:rsidR="00012010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efendant ultimately obtains a judgment dismissing plaintiff’s complaint </w:t>
      </w:r>
      <w:r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(i.e., for plaintiff, a less favorable judgment than the offer in the amount of $1).  The sanction against plaintiff is </w:t>
      </w:r>
      <w:r w:rsidR="00271795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>t</w:t>
      </w:r>
      <w:r w:rsidR="00FC3521">
        <w:rPr>
          <w:rFonts w:ascii="Times New Roman" w:eastAsia="Times New Roman" w:hAnsi="Times New Roman" w:cs="Times New Roman"/>
          <w:color w:val="212121"/>
          <w:sz w:val="28"/>
          <w:szCs w:val="28"/>
        </w:rPr>
        <w:t>wenty</w:t>
      </w:r>
      <w:r w:rsidR="00271795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cents</w:t>
      </w:r>
      <w:r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(which is </w:t>
      </w:r>
      <w:r w:rsidR="00FC3521">
        <w:rPr>
          <w:rFonts w:ascii="Times New Roman" w:eastAsia="Times New Roman" w:hAnsi="Times New Roman" w:cs="Times New Roman"/>
          <w:color w:val="212121"/>
          <w:sz w:val="28"/>
          <w:szCs w:val="28"/>
        </w:rPr>
        <w:t>20</w:t>
      </w:r>
      <w:r w:rsidR="00DB227A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percent</w:t>
      </w:r>
      <w:r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of $1). </w:t>
      </w:r>
    </w:p>
    <w:p w14:paraId="15123A36" w14:textId="774FF7FD" w:rsidR="00796574" w:rsidRPr="00C53A94" w:rsidRDefault="00796574" w:rsidP="005B1A6D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</w:p>
    <w:p w14:paraId="38197AAD" w14:textId="2B6D9C72" w:rsidR="005061AC" w:rsidRPr="00C53A94" w:rsidRDefault="005061AC" w:rsidP="005061AC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Example 2: Defendant offers judgment of $1 to be entered against it, excluding attorney’s fees.  Plaintiff does not accept the offer.  Defendant ultimately obtains a judgment dismissing plaintiff’s complaint (i.e., for plaintiff, a less favorable judgment than the offer in the amount of $1).  The sanction against plaintiff is </w:t>
      </w:r>
      <w:r w:rsidR="00CB39F7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the same as in Example 1: </w:t>
      </w:r>
      <w:r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>t</w:t>
      </w:r>
      <w:r w:rsidR="00FC3521">
        <w:rPr>
          <w:rFonts w:ascii="Times New Roman" w:eastAsia="Times New Roman" w:hAnsi="Times New Roman" w:cs="Times New Roman"/>
          <w:color w:val="212121"/>
          <w:sz w:val="28"/>
          <w:szCs w:val="28"/>
        </w:rPr>
        <w:t>wenty</w:t>
      </w:r>
      <w:r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cents (which is </w:t>
      </w:r>
      <w:r w:rsidR="00FC3521">
        <w:rPr>
          <w:rFonts w:ascii="Times New Roman" w:eastAsia="Times New Roman" w:hAnsi="Times New Roman" w:cs="Times New Roman"/>
          <w:color w:val="212121"/>
          <w:sz w:val="28"/>
          <w:szCs w:val="28"/>
        </w:rPr>
        <w:t>20</w:t>
      </w:r>
      <w:r w:rsidR="00DB227A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percent</w:t>
      </w:r>
      <w:r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of $1). </w:t>
      </w:r>
    </w:p>
    <w:p w14:paraId="62F40E42" w14:textId="733E15E3" w:rsidR="005B1A6D" w:rsidRPr="00C53A94" w:rsidRDefault="005B1A6D" w:rsidP="00A2791B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</w:p>
    <w:p w14:paraId="41EB1DE7" w14:textId="46F97FBE" w:rsidR="002D7782" w:rsidRPr="00C53A94" w:rsidRDefault="006E478F" w:rsidP="006E478F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Example </w:t>
      </w:r>
      <w:r w:rsidR="00CB39F7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>3</w:t>
      </w:r>
      <w:r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>: Defendant offers judgment of $</w:t>
      </w:r>
      <w:r w:rsidR="00900951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>10</w:t>
      </w:r>
      <w:r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>0,000 to be entered against it,</w:t>
      </w:r>
      <w:r w:rsidR="002E1A5D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including attorney’s fees.  P</w:t>
      </w:r>
      <w:r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>laintiff does not accept the offer</w:t>
      </w:r>
      <w:r w:rsidR="002E1A5D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>.  P</w:t>
      </w:r>
      <w:r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>laintiff subsequently obtains a judgment of $</w:t>
      </w:r>
      <w:r w:rsidR="00900951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>8</w:t>
      </w:r>
      <w:r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>0,000</w:t>
      </w:r>
      <w:r w:rsidR="00EB67AE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, </w:t>
      </w:r>
      <w:r w:rsidR="00900951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>consisting of the principal amount of $50,000 plus $</w:t>
      </w:r>
      <w:r w:rsidR="00691C00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>2</w:t>
      </w:r>
      <w:r w:rsidR="00F70DC3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>8</w:t>
      </w:r>
      <w:r w:rsidR="00900951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>,000 of attorney</w:t>
      </w:r>
      <w:r w:rsidR="00F95385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>’</w:t>
      </w:r>
      <w:r w:rsidR="00900951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s fees and </w:t>
      </w:r>
      <w:r w:rsidR="00A84C3F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>$</w:t>
      </w:r>
      <w:r w:rsidR="00F70DC3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>2</w:t>
      </w:r>
      <w:r w:rsidR="00A84C3F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,000 of </w:t>
      </w:r>
      <w:r w:rsidR="00900951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costs. </w:t>
      </w:r>
      <w:r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="002D7782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As of the date of the offer, Plaintiff’s reasonable fees and costs were $20,000. </w:t>
      </w:r>
      <w:r w:rsidR="00D43F79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="002D7782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To calculate </w:t>
      </w:r>
      <w:r w:rsidR="00D43F79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the </w:t>
      </w:r>
      <w:r w:rsidR="002D7782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sanction, the court </w:t>
      </w:r>
      <w:r w:rsidR="00F839DE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adds </w:t>
      </w:r>
      <w:r w:rsidR="005D065E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the </w:t>
      </w:r>
      <w:r w:rsidR="002D7782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principal amount </w:t>
      </w:r>
      <w:r w:rsidR="00842554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($50,000) </w:t>
      </w:r>
      <w:r w:rsidR="00B80067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to </w:t>
      </w:r>
      <w:r w:rsidR="002D7782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>the fees and costs incurred as of the offer date</w:t>
      </w:r>
      <w:r w:rsidR="00B80067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(</w:t>
      </w:r>
      <w:r w:rsidR="002D7782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>$20,000</w:t>
      </w:r>
      <w:r w:rsidR="00B80067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>)</w:t>
      </w:r>
      <w:r w:rsidR="002D7782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, which </w:t>
      </w:r>
      <w:r w:rsidR="00B80067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>yields</w:t>
      </w:r>
      <w:r w:rsidR="002D7782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$70,000. </w:t>
      </w:r>
      <w:r w:rsidR="00AA5B7C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="002D7782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>The sanction is t</w:t>
      </w:r>
      <w:r w:rsidR="00F83BD8">
        <w:rPr>
          <w:rFonts w:ascii="Times New Roman" w:eastAsia="Times New Roman" w:hAnsi="Times New Roman" w:cs="Times New Roman"/>
          <w:color w:val="212121"/>
          <w:sz w:val="28"/>
          <w:szCs w:val="28"/>
        </w:rPr>
        <w:t>wenty</w:t>
      </w:r>
      <w:r w:rsidR="002D7782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percent of the difference between $100,000 and $70,000, or $</w:t>
      </w:r>
      <w:r w:rsidR="00F83BD8">
        <w:rPr>
          <w:rFonts w:ascii="Times New Roman" w:eastAsia="Times New Roman" w:hAnsi="Times New Roman" w:cs="Times New Roman"/>
          <w:color w:val="212121"/>
          <w:sz w:val="28"/>
          <w:szCs w:val="28"/>
        </w:rPr>
        <w:t>6</w:t>
      </w:r>
      <w:r w:rsidR="002D7782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>,000.</w:t>
      </w:r>
    </w:p>
    <w:p w14:paraId="5CA5A59B" w14:textId="59CF1AE0" w:rsidR="00892848" w:rsidRPr="00C53A94" w:rsidRDefault="00892848" w:rsidP="006E478F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</w:p>
    <w:p w14:paraId="2E95AB13" w14:textId="7310D065" w:rsidR="00C61515" w:rsidRPr="00C53A94" w:rsidRDefault="00C61515" w:rsidP="00C61515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Example 4: Defendant offers judgment of $100,000 to be entered against it, </w:t>
      </w:r>
      <w:r w:rsidR="004467EA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>excluding</w:t>
      </w:r>
      <w:r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attorney’s fees.  Plaintiff does not accept the offer.  Plaintiff subsequently obtains a judgment of $80,000, consisting of the principal amount of $50,000 plus $28,000 of attorney’s fees and $2,000 of costs.  As of the date of the offer, Plaintiff’s reasonable costs were $</w:t>
      </w:r>
      <w:r w:rsidR="004467EA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>1</w:t>
      </w:r>
      <w:r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,000.  To calculate the sanction, the court adds the principal amount ($50,000) to the costs incurred as of the offer date </w:t>
      </w:r>
      <w:r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lastRenderedPageBreak/>
        <w:t>($</w:t>
      </w:r>
      <w:r w:rsidR="009E086E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>1</w:t>
      </w:r>
      <w:r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>,000), which yields $</w:t>
      </w:r>
      <w:r w:rsidR="009E086E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>51</w:t>
      </w:r>
      <w:r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>,000.  The sanction is t</w:t>
      </w:r>
      <w:r w:rsidR="00C14E86">
        <w:rPr>
          <w:rFonts w:ascii="Times New Roman" w:eastAsia="Times New Roman" w:hAnsi="Times New Roman" w:cs="Times New Roman"/>
          <w:color w:val="212121"/>
          <w:sz w:val="28"/>
          <w:szCs w:val="28"/>
        </w:rPr>
        <w:t>wenty</w:t>
      </w:r>
      <w:r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percent of the difference between $100,000 and $</w:t>
      </w:r>
      <w:r w:rsidR="009E086E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>51</w:t>
      </w:r>
      <w:r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>,000, or $</w:t>
      </w:r>
      <w:r w:rsidR="00C14E86">
        <w:rPr>
          <w:rFonts w:ascii="Times New Roman" w:eastAsia="Times New Roman" w:hAnsi="Times New Roman" w:cs="Times New Roman"/>
          <w:color w:val="212121"/>
          <w:sz w:val="28"/>
          <w:szCs w:val="28"/>
        </w:rPr>
        <w:t>9,8</w:t>
      </w:r>
      <w:r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>00.</w:t>
      </w:r>
    </w:p>
    <w:p w14:paraId="7946EEF8" w14:textId="77777777" w:rsidR="00892848" w:rsidRPr="00C53A94" w:rsidRDefault="00892848" w:rsidP="006E478F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</w:p>
    <w:p w14:paraId="26869F3A" w14:textId="078AD8B1" w:rsidR="00A2791B" w:rsidRPr="00C53A94" w:rsidRDefault="00A2791B" w:rsidP="00A2791B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Example </w:t>
      </w:r>
      <w:r w:rsidR="006F1C6F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>5</w:t>
      </w:r>
      <w:r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>:</w:t>
      </w:r>
      <w:r w:rsidR="00485E4A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="007E7C0E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>Plaintiff offers judgment of $</w:t>
      </w:r>
      <w:r w:rsidR="00D40BFD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>5</w:t>
      </w:r>
      <w:r w:rsidR="007E7C0E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>0,000</w:t>
      </w:r>
      <w:r w:rsidR="00520DF6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to be entered against defendant</w:t>
      </w:r>
      <w:r w:rsidR="007E7C0E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, </w:t>
      </w:r>
      <w:r w:rsidR="0031788C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>including attorney’s fees.  Defendant</w:t>
      </w:r>
      <w:r w:rsidR="007E7C0E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does not accept </w:t>
      </w:r>
      <w:r w:rsidR="00520DF6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the </w:t>
      </w:r>
      <w:r w:rsidR="007E7C0E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>offer</w:t>
      </w:r>
      <w:r w:rsidR="00D40BFD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>.  P</w:t>
      </w:r>
      <w:r w:rsidR="007E7C0E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>laintiff subsequently obtains a judgment of $</w:t>
      </w:r>
      <w:r w:rsidR="0045782F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>10</w:t>
      </w:r>
      <w:r w:rsidR="00344298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>0,000</w:t>
      </w:r>
      <w:r w:rsidR="0045782F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>, consisting of the principal amount of $70,000</w:t>
      </w:r>
      <w:r w:rsidR="00520DF6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="00A40A86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>plus $28,000 of attorney’s fees and $2,000 of costs.  As of the date of the offer, Plaintiff’s reasonable fees and costs were $20,000.  To calculate the sanction, the court adds the principal amount ($</w:t>
      </w:r>
      <w:r w:rsidR="003818C5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>7</w:t>
      </w:r>
      <w:r w:rsidR="00A40A86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>0,000) to the fees and costs incurred as of the offer date ($20,000), which yields $</w:t>
      </w:r>
      <w:r w:rsidR="003818C5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>9</w:t>
      </w:r>
      <w:r w:rsidR="00A40A86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>0,000.  The sanction is t</w:t>
      </w:r>
      <w:r w:rsidR="002B582F">
        <w:rPr>
          <w:rFonts w:ascii="Times New Roman" w:eastAsia="Times New Roman" w:hAnsi="Times New Roman" w:cs="Times New Roman"/>
          <w:color w:val="212121"/>
          <w:sz w:val="28"/>
          <w:szCs w:val="28"/>
        </w:rPr>
        <w:t>wenty</w:t>
      </w:r>
      <w:r w:rsidR="00A40A86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percent of the difference between $</w:t>
      </w:r>
      <w:r w:rsidR="00050572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>9</w:t>
      </w:r>
      <w:r w:rsidR="00A40A86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>0,000 and $</w:t>
      </w:r>
      <w:r w:rsidR="00050572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>5</w:t>
      </w:r>
      <w:r w:rsidR="00A40A86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>0,000, or $</w:t>
      </w:r>
      <w:r w:rsidR="002B582F">
        <w:rPr>
          <w:rFonts w:ascii="Times New Roman" w:eastAsia="Times New Roman" w:hAnsi="Times New Roman" w:cs="Times New Roman"/>
          <w:color w:val="212121"/>
          <w:sz w:val="28"/>
          <w:szCs w:val="28"/>
        </w:rPr>
        <w:t>8</w:t>
      </w:r>
      <w:r w:rsidR="00A40A86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>,000.</w:t>
      </w:r>
    </w:p>
    <w:p w14:paraId="77531269" w14:textId="51B71A0E" w:rsidR="0088657A" w:rsidRPr="00C53A94" w:rsidRDefault="0088657A" w:rsidP="00A2791B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</w:p>
    <w:p w14:paraId="69F282C8" w14:textId="158E6790" w:rsidR="008D7429" w:rsidRPr="00C53A94" w:rsidRDefault="008D7429" w:rsidP="008D7429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Example 6: Plaintiff offers judgment of $50,000 to be entered against defendant, </w:t>
      </w:r>
      <w:r w:rsidR="009B6BEB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>excluding</w:t>
      </w:r>
      <w:r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attorney’s fees.  Defendant does not accept the offer.  Plaintiff subsequently obtains a judgment of $100,000, consisting of the principal amount of $70,000 plus $28,000 of attorney’s fees and $2,000 of costs.  As of the date of the offer, Plaintiff’s reasonable costs were $</w:t>
      </w:r>
      <w:r w:rsidR="009B6BEB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>1</w:t>
      </w:r>
      <w:r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>,000.  To calculate the sanction, the court adds the principal amount ($70,000) to the costs incurred as of the offer date ($</w:t>
      </w:r>
      <w:r w:rsidR="004A0F33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>1</w:t>
      </w:r>
      <w:r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>,000), which yields $</w:t>
      </w:r>
      <w:r w:rsidR="004A0F33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>71</w:t>
      </w:r>
      <w:r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>,000.  The sanction is t</w:t>
      </w:r>
      <w:r w:rsidR="00680612">
        <w:rPr>
          <w:rFonts w:ascii="Times New Roman" w:eastAsia="Times New Roman" w:hAnsi="Times New Roman" w:cs="Times New Roman"/>
          <w:color w:val="212121"/>
          <w:sz w:val="28"/>
          <w:szCs w:val="28"/>
        </w:rPr>
        <w:t>wenty</w:t>
      </w:r>
      <w:r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percent of the difference between $</w:t>
      </w:r>
      <w:r w:rsidR="004A0F33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>71</w:t>
      </w:r>
      <w:r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>,000 and $50,000, or $</w:t>
      </w:r>
      <w:r w:rsidR="00680612">
        <w:rPr>
          <w:rFonts w:ascii="Times New Roman" w:eastAsia="Times New Roman" w:hAnsi="Times New Roman" w:cs="Times New Roman"/>
          <w:color w:val="212121"/>
          <w:sz w:val="28"/>
          <w:szCs w:val="28"/>
        </w:rPr>
        <w:t>4,2</w:t>
      </w:r>
      <w:r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>00.</w:t>
      </w:r>
    </w:p>
    <w:p w14:paraId="786F763B" w14:textId="6717ABE5" w:rsidR="006F1C6F" w:rsidRPr="00C53A94" w:rsidRDefault="006F1C6F" w:rsidP="00A2791B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</w:p>
    <w:p w14:paraId="4AD7B05B" w14:textId="4DAA57E5" w:rsidR="00CA462E" w:rsidRPr="00C53A94" w:rsidRDefault="00FD4937" w:rsidP="00A2791B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Finally, pursuant to the Rule, </w:t>
      </w:r>
      <w:r w:rsidR="004F2D54" w:rsidRPr="00C53A9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a </w:t>
      </w:r>
      <w:r w:rsidR="005A1A10" w:rsidRPr="005A1A10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court may reduce or eliminate </w:t>
      </w:r>
      <w:r w:rsidR="00BA5DEE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the </w:t>
      </w:r>
      <w:r w:rsidR="005A1A10" w:rsidRPr="005A1A10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sanction only if </w:t>
      </w:r>
      <w:r w:rsidR="00BA5DEE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the court </w:t>
      </w:r>
      <w:r w:rsidR="005A1A10" w:rsidRPr="005A1A10">
        <w:rPr>
          <w:rFonts w:ascii="Times New Roman" w:eastAsia="Times New Roman" w:hAnsi="Times New Roman" w:cs="Times New Roman"/>
          <w:color w:val="212121"/>
          <w:sz w:val="28"/>
          <w:szCs w:val="28"/>
        </w:rPr>
        <w:t>finds the sanction to be manifestly unjust</w:t>
      </w:r>
      <w:r w:rsidR="00BA5DEE">
        <w:rPr>
          <w:rFonts w:ascii="Times New Roman" w:eastAsia="Times New Roman" w:hAnsi="Times New Roman" w:cs="Times New Roman"/>
          <w:color w:val="212121"/>
          <w:sz w:val="28"/>
          <w:szCs w:val="28"/>
        </w:rPr>
        <w:t>.</w:t>
      </w:r>
    </w:p>
    <w:sectPr w:rsidR="00CA462E" w:rsidRPr="00C53A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17B"/>
    <w:rsid w:val="00012010"/>
    <w:rsid w:val="0002153E"/>
    <w:rsid w:val="00050572"/>
    <w:rsid w:val="0005309D"/>
    <w:rsid w:val="000724F9"/>
    <w:rsid w:val="00075A24"/>
    <w:rsid w:val="000D185D"/>
    <w:rsid w:val="0018207A"/>
    <w:rsid w:val="00182F26"/>
    <w:rsid w:val="001C339E"/>
    <w:rsid w:val="001D26E3"/>
    <w:rsid w:val="00256271"/>
    <w:rsid w:val="00266A76"/>
    <w:rsid w:val="00271795"/>
    <w:rsid w:val="00286D88"/>
    <w:rsid w:val="002B582F"/>
    <w:rsid w:val="002D2C31"/>
    <w:rsid w:val="002D7782"/>
    <w:rsid w:val="002E1A5D"/>
    <w:rsid w:val="00303182"/>
    <w:rsid w:val="0031788C"/>
    <w:rsid w:val="00327317"/>
    <w:rsid w:val="00344298"/>
    <w:rsid w:val="0035464E"/>
    <w:rsid w:val="00365FB0"/>
    <w:rsid w:val="00366091"/>
    <w:rsid w:val="0037668F"/>
    <w:rsid w:val="003818C5"/>
    <w:rsid w:val="003F6B35"/>
    <w:rsid w:val="00403FC9"/>
    <w:rsid w:val="00412938"/>
    <w:rsid w:val="00436F7C"/>
    <w:rsid w:val="004467EA"/>
    <w:rsid w:val="004539B3"/>
    <w:rsid w:val="00454AFA"/>
    <w:rsid w:val="0045782F"/>
    <w:rsid w:val="00485E4A"/>
    <w:rsid w:val="004A0F33"/>
    <w:rsid w:val="004F2D54"/>
    <w:rsid w:val="005061AC"/>
    <w:rsid w:val="00512FCF"/>
    <w:rsid w:val="00520DF6"/>
    <w:rsid w:val="0059735F"/>
    <w:rsid w:val="005A1A10"/>
    <w:rsid w:val="005B15B2"/>
    <w:rsid w:val="005B1A6D"/>
    <w:rsid w:val="005B730E"/>
    <w:rsid w:val="005D065E"/>
    <w:rsid w:val="005E0DA9"/>
    <w:rsid w:val="005E18E4"/>
    <w:rsid w:val="005F337E"/>
    <w:rsid w:val="005F468A"/>
    <w:rsid w:val="0060117B"/>
    <w:rsid w:val="006249CA"/>
    <w:rsid w:val="00680612"/>
    <w:rsid w:val="00691C00"/>
    <w:rsid w:val="006D4E42"/>
    <w:rsid w:val="006E478F"/>
    <w:rsid w:val="006F1C6F"/>
    <w:rsid w:val="00707799"/>
    <w:rsid w:val="00734961"/>
    <w:rsid w:val="0073755A"/>
    <w:rsid w:val="00764A29"/>
    <w:rsid w:val="00796574"/>
    <w:rsid w:val="007A285E"/>
    <w:rsid w:val="007E0F84"/>
    <w:rsid w:val="007E7C0E"/>
    <w:rsid w:val="007F6DC8"/>
    <w:rsid w:val="00810AE5"/>
    <w:rsid w:val="00842554"/>
    <w:rsid w:val="0088657A"/>
    <w:rsid w:val="00892848"/>
    <w:rsid w:val="00892B8E"/>
    <w:rsid w:val="008D7429"/>
    <w:rsid w:val="00900951"/>
    <w:rsid w:val="0091476B"/>
    <w:rsid w:val="0093262B"/>
    <w:rsid w:val="00962965"/>
    <w:rsid w:val="009732BF"/>
    <w:rsid w:val="00981F58"/>
    <w:rsid w:val="00987B07"/>
    <w:rsid w:val="00994F7A"/>
    <w:rsid w:val="009B6BEB"/>
    <w:rsid w:val="009D047A"/>
    <w:rsid w:val="009E086E"/>
    <w:rsid w:val="00A2791B"/>
    <w:rsid w:val="00A32A8D"/>
    <w:rsid w:val="00A40A86"/>
    <w:rsid w:val="00A84C3F"/>
    <w:rsid w:val="00AA5390"/>
    <w:rsid w:val="00AA5B7C"/>
    <w:rsid w:val="00AB109E"/>
    <w:rsid w:val="00AC39A4"/>
    <w:rsid w:val="00AD7810"/>
    <w:rsid w:val="00B01018"/>
    <w:rsid w:val="00B1141E"/>
    <w:rsid w:val="00B220F1"/>
    <w:rsid w:val="00B33547"/>
    <w:rsid w:val="00B80067"/>
    <w:rsid w:val="00B959F9"/>
    <w:rsid w:val="00BA5DEE"/>
    <w:rsid w:val="00BD6BEB"/>
    <w:rsid w:val="00C14E86"/>
    <w:rsid w:val="00C15C71"/>
    <w:rsid w:val="00C457A3"/>
    <w:rsid w:val="00C53A94"/>
    <w:rsid w:val="00C53DFA"/>
    <w:rsid w:val="00C61515"/>
    <w:rsid w:val="00C65F78"/>
    <w:rsid w:val="00C75F19"/>
    <w:rsid w:val="00CA462E"/>
    <w:rsid w:val="00CA4C97"/>
    <w:rsid w:val="00CB39F7"/>
    <w:rsid w:val="00D40BFD"/>
    <w:rsid w:val="00D43F79"/>
    <w:rsid w:val="00D50ED6"/>
    <w:rsid w:val="00D75391"/>
    <w:rsid w:val="00D90141"/>
    <w:rsid w:val="00D914F6"/>
    <w:rsid w:val="00D94DE4"/>
    <w:rsid w:val="00D97791"/>
    <w:rsid w:val="00DB227A"/>
    <w:rsid w:val="00DB7344"/>
    <w:rsid w:val="00DF6FC5"/>
    <w:rsid w:val="00E15319"/>
    <w:rsid w:val="00E341BA"/>
    <w:rsid w:val="00E37551"/>
    <w:rsid w:val="00E651A3"/>
    <w:rsid w:val="00EB67AE"/>
    <w:rsid w:val="00EF466B"/>
    <w:rsid w:val="00F34A68"/>
    <w:rsid w:val="00F4135E"/>
    <w:rsid w:val="00F70DC3"/>
    <w:rsid w:val="00F75D03"/>
    <w:rsid w:val="00F82D1A"/>
    <w:rsid w:val="00F839DE"/>
    <w:rsid w:val="00F83BD8"/>
    <w:rsid w:val="00F95385"/>
    <w:rsid w:val="00FA0C83"/>
    <w:rsid w:val="00FB1186"/>
    <w:rsid w:val="00FC3521"/>
    <w:rsid w:val="00FD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84ADE"/>
  <w15:chartTrackingRefBased/>
  <w15:docId w15:val="{0D310706-29AB-4396-A7D2-FCDE73EC2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39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735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21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2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9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159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46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5368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2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2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77175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3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04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539502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13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77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502391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6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92837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68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46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606126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04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59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343417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257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81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8427358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6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11031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68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59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042174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6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0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195057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12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97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430101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80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7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819740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12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84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40310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01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715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902510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01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9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974249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27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986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624215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89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52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04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51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523259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72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17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792511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56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598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4370727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8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205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806086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46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482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859926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02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262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135020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554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53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49335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1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51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68414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83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27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299092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5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513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1020877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42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0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719419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509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93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222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63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606101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47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52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23388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02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95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87EC8369929049862884758560724A" ma:contentTypeVersion="13" ma:contentTypeDescription="Create a new document." ma:contentTypeScope="" ma:versionID="47bd79ca5eafd90787f79700ec6680f7">
  <xsd:schema xmlns:xsd="http://www.w3.org/2001/XMLSchema" xmlns:xs="http://www.w3.org/2001/XMLSchema" xmlns:p="http://schemas.microsoft.com/office/2006/metadata/properties" xmlns:ns3="f11fcc6d-1b3c-4183-8cc4-78263210eafe" xmlns:ns4="097086a0-0b35-4ac4-ba53-1164e3aa7e9b" targetNamespace="http://schemas.microsoft.com/office/2006/metadata/properties" ma:root="true" ma:fieldsID="1ee4ab8cd7a4088cd75be5eb58fd3923" ns3:_="" ns4:_="">
    <xsd:import namespace="f11fcc6d-1b3c-4183-8cc4-78263210eafe"/>
    <xsd:import namespace="097086a0-0b35-4ac4-ba53-1164e3aa7e9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fcc6d-1b3c-4183-8cc4-78263210eaf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086a0-0b35-4ac4-ba53-1164e3aa7e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B7853B-977D-432A-A892-503200EE0D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CCD3DC-7B1F-433C-A9DD-1F3395ECCA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5001F0-526E-4159-9AF4-99C9DCD0F1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1fcc6d-1b3c-4183-8cc4-78263210eafe"/>
    <ds:schemaRef ds:uri="097086a0-0b35-4ac4-ba53-1164e3aa7e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585</Words>
  <Characters>3338</Characters>
  <Application>Microsoft Office Word</Application>
  <DocSecurity>0</DocSecurity>
  <Lines>27</Lines>
  <Paragraphs>7</Paragraphs>
  <ScaleCrop>false</ScaleCrop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Farrell</dc:creator>
  <cp:keywords/>
  <dc:description/>
  <cp:lastModifiedBy>Michael Farrell</cp:lastModifiedBy>
  <cp:revision>11</cp:revision>
  <dcterms:created xsi:type="dcterms:W3CDTF">2020-11-09T13:24:00Z</dcterms:created>
  <dcterms:modified xsi:type="dcterms:W3CDTF">2020-11-09T13:34:00Z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0x010100DC87EC8369929049862884758560724A</vt:lpwstr>
  </property>
</Properties>
</file>