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451" w:rsidRPr="00402EF8" w:rsidRDefault="005875B0" w:rsidP="005875B0">
      <w:pPr>
        <w:pStyle w:val="BodyText"/>
        <w:jc w:val="center"/>
        <w:rPr>
          <w:b/>
          <w:sz w:val="36"/>
          <w:szCs w:val="36"/>
        </w:rPr>
      </w:pPr>
      <w:bookmarkStart w:id="0" w:name="_GoBack"/>
      <w:bookmarkEnd w:id="0"/>
      <w:r w:rsidRPr="00402EF8">
        <w:rPr>
          <w:b/>
          <w:sz w:val="36"/>
          <w:szCs w:val="36"/>
        </w:rPr>
        <w:t xml:space="preserve">Appendix </w:t>
      </w:r>
      <w:r w:rsidR="00FC651E" w:rsidRPr="00402EF8">
        <w:rPr>
          <w:b/>
          <w:sz w:val="36"/>
          <w:szCs w:val="36"/>
        </w:rPr>
        <w:t>C</w:t>
      </w:r>
      <w:r w:rsidRPr="00402EF8">
        <w:rPr>
          <w:b/>
          <w:sz w:val="36"/>
          <w:szCs w:val="36"/>
        </w:rPr>
        <w:t xml:space="preserve">: </w:t>
      </w:r>
      <w:r w:rsidR="00F62276">
        <w:rPr>
          <w:b/>
          <w:sz w:val="36"/>
          <w:szCs w:val="36"/>
        </w:rPr>
        <w:t xml:space="preserve">Bibliography </w:t>
      </w:r>
      <w:r w:rsidRPr="00402EF8">
        <w:rPr>
          <w:b/>
          <w:sz w:val="36"/>
          <w:szCs w:val="36"/>
        </w:rPr>
        <w:t>of Articles and Research Studies</w:t>
      </w:r>
    </w:p>
    <w:p w:rsidR="0089751F" w:rsidRPr="0049291F" w:rsidRDefault="00827157" w:rsidP="0089751F">
      <w:pPr>
        <w:pStyle w:val="PleadingsL1"/>
        <w:rPr>
          <w:rFonts w:ascii="Garamond" w:hAnsi="Garamond"/>
          <w:sz w:val="28"/>
          <w:szCs w:val="28"/>
        </w:rPr>
      </w:pPr>
      <w:r w:rsidRPr="0049291F">
        <w:rPr>
          <w:rFonts w:ascii="Garamond" w:hAnsi="Garamond"/>
          <w:sz w:val="28"/>
          <w:szCs w:val="28"/>
        </w:rPr>
        <w:lastRenderedPageBreak/>
        <w:t xml:space="preserve">Academic </w:t>
      </w:r>
      <w:r w:rsidR="0089751F" w:rsidRPr="0049291F">
        <w:rPr>
          <w:rFonts w:ascii="Garamond" w:hAnsi="Garamond"/>
          <w:sz w:val="28"/>
          <w:szCs w:val="28"/>
        </w:rPr>
        <w:t xml:space="preserve">Articles </w:t>
      </w:r>
      <w:r w:rsidR="003F262A" w:rsidRPr="0049291F">
        <w:rPr>
          <w:rFonts w:ascii="Garamond" w:hAnsi="Garamond"/>
          <w:sz w:val="28"/>
          <w:szCs w:val="28"/>
        </w:rPr>
        <w:t xml:space="preserve">and Studies </w:t>
      </w:r>
      <w:r w:rsidR="0089751F" w:rsidRPr="0049291F">
        <w:rPr>
          <w:rFonts w:ascii="Garamond" w:hAnsi="Garamond"/>
          <w:sz w:val="28"/>
          <w:szCs w:val="28"/>
        </w:rPr>
        <w:t xml:space="preserve">Addressing </w:t>
      </w:r>
      <w:r w:rsidR="0089751F" w:rsidRPr="0049291F">
        <w:rPr>
          <w:rFonts w:ascii="Garamond" w:hAnsi="Garamond"/>
          <w:i/>
          <w:sz w:val="28"/>
          <w:szCs w:val="28"/>
        </w:rPr>
        <w:t>Batson v. Kentucky</w:t>
      </w:r>
    </w:p>
    <w:p w:rsidR="003F262A" w:rsidRPr="0049291F" w:rsidRDefault="00762C75" w:rsidP="00FC44BC">
      <w:pPr>
        <w:pStyle w:val="PleadingsL3"/>
        <w:jc w:val="both"/>
        <w:rPr>
          <w:rFonts w:ascii="Garamond" w:hAnsi="Garamond"/>
          <w:sz w:val="28"/>
          <w:szCs w:val="28"/>
        </w:rPr>
      </w:pPr>
      <w:r w:rsidRPr="0049291F">
        <w:rPr>
          <w:rFonts w:ascii="Garamond" w:hAnsi="Garamond"/>
          <w:sz w:val="28"/>
          <w:szCs w:val="28"/>
        </w:rPr>
        <w:t xml:space="preserve">Semel et al., Berkeley Law Death Penalty Clinic, </w:t>
      </w:r>
      <w:r w:rsidRPr="0049291F">
        <w:rPr>
          <w:rFonts w:ascii="Garamond" w:hAnsi="Garamond"/>
          <w:i/>
          <w:sz w:val="28"/>
          <w:szCs w:val="28"/>
        </w:rPr>
        <w:t>Whitewashing the Jury Box: How California Perpetuates the Discriminatory Exclusion of Black and Latinx Jurors</w:t>
      </w:r>
      <w:r w:rsidRPr="0049291F">
        <w:rPr>
          <w:rFonts w:ascii="Garamond" w:hAnsi="Garamond"/>
          <w:sz w:val="28"/>
          <w:szCs w:val="28"/>
        </w:rPr>
        <w:t xml:space="preserve"> at vii-viii (June 2020) (</w:t>
      </w:r>
      <w:r w:rsidR="0049291F">
        <w:rPr>
          <w:rFonts w:ascii="Garamond" w:hAnsi="Garamond"/>
          <w:sz w:val="28"/>
          <w:szCs w:val="28"/>
        </w:rPr>
        <w:t xml:space="preserve">finding </w:t>
      </w:r>
      <w:r w:rsidRPr="0049291F">
        <w:rPr>
          <w:rFonts w:ascii="Garamond" w:hAnsi="Garamond"/>
          <w:sz w:val="28"/>
          <w:szCs w:val="28"/>
        </w:rPr>
        <w:t xml:space="preserve">“in...30 years, the California Supreme Court has reviewed 142 cases involving </w:t>
      </w:r>
      <w:r w:rsidRPr="00565B89">
        <w:rPr>
          <w:rFonts w:ascii="Garamond" w:hAnsi="Garamond"/>
          <w:i/>
          <w:sz w:val="28"/>
          <w:szCs w:val="28"/>
        </w:rPr>
        <w:t>Batson</w:t>
      </w:r>
      <w:r w:rsidRPr="0049291F">
        <w:rPr>
          <w:rFonts w:ascii="Garamond" w:hAnsi="Garamond"/>
          <w:sz w:val="28"/>
          <w:szCs w:val="28"/>
        </w:rPr>
        <w:t xml:space="preserve"> claims and found a </w:t>
      </w:r>
      <w:r w:rsidRPr="00565B89">
        <w:rPr>
          <w:rFonts w:ascii="Garamond" w:hAnsi="Garamond"/>
          <w:i/>
          <w:sz w:val="28"/>
          <w:szCs w:val="28"/>
        </w:rPr>
        <w:t>Batson</w:t>
      </w:r>
      <w:r w:rsidRPr="0049291F">
        <w:rPr>
          <w:rFonts w:ascii="Garamond" w:hAnsi="Garamond"/>
          <w:sz w:val="28"/>
          <w:szCs w:val="28"/>
        </w:rPr>
        <w:t xml:space="preserve"> violation only three times (2.1%)”; California courts of appeal “found error in just 18 out of 683 decisions” from 2006 through 2018</w:t>
      </w:r>
      <w:r w:rsidR="0049291F">
        <w:rPr>
          <w:rFonts w:ascii="Garamond" w:hAnsi="Garamond"/>
          <w:sz w:val="28"/>
          <w:szCs w:val="28"/>
        </w:rPr>
        <w:t xml:space="preserve"> and concluding </w:t>
      </w:r>
      <w:r w:rsidR="003F262A" w:rsidRPr="0049291F">
        <w:rPr>
          <w:rFonts w:ascii="Garamond" w:hAnsi="Garamond"/>
          <w:sz w:val="28"/>
          <w:szCs w:val="28"/>
        </w:rPr>
        <w:t>that“[r]acial discrimination is an ever-present feature of jury selection in California” and that “prosecutors most often relied on demeanor to strike Black jurors,” explaining that these demeanor-based reasons “correlate with racial stereotypes of African Americans”).</w:t>
      </w:r>
    </w:p>
    <w:p w:rsidR="0089751F" w:rsidRPr="0049291F" w:rsidRDefault="0089751F" w:rsidP="00FC44BC">
      <w:pPr>
        <w:pStyle w:val="PleadingsL3"/>
        <w:jc w:val="both"/>
        <w:rPr>
          <w:rFonts w:ascii="Garamond" w:hAnsi="Garamond"/>
          <w:sz w:val="28"/>
          <w:szCs w:val="28"/>
        </w:rPr>
      </w:pPr>
      <w:r w:rsidRPr="0049291F">
        <w:rPr>
          <w:rFonts w:ascii="Garamond" w:hAnsi="Garamond"/>
          <w:sz w:val="28"/>
          <w:szCs w:val="28"/>
        </w:rPr>
        <w:t>Sloan,</w:t>
      </w:r>
      <w:r w:rsidR="001650D7" w:rsidRPr="0049291F">
        <w:rPr>
          <w:rFonts w:ascii="Garamond" w:hAnsi="Garamond"/>
          <w:sz w:val="28"/>
          <w:szCs w:val="28"/>
        </w:rPr>
        <w:t xml:space="preserve"> A.,</w:t>
      </w:r>
      <w:r w:rsidRPr="0049291F">
        <w:rPr>
          <w:rFonts w:ascii="Garamond" w:hAnsi="Garamond"/>
          <w:sz w:val="28"/>
          <w:szCs w:val="28"/>
        </w:rPr>
        <w:t xml:space="preserve"> </w:t>
      </w:r>
      <w:r w:rsidRPr="0049291F">
        <w:rPr>
          <w:rFonts w:ascii="Garamond" w:hAnsi="Garamond"/>
          <w:i/>
          <w:iCs/>
          <w:sz w:val="28"/>
          <w:szCs w:val="28"/>
        </w:rPr>
        <w:t>“What to do About</w:t>
      </w:r>
      <w:r w:rsidRPr="0049291F">
        <w:rPr>
          <w:rFonts w:ascii="Garamond" w:hAnsi="Garamond"/>
          <w:sz w:val="28"/>
          <w:szCs w:val="28"/>
        </w:rPr>
        <w:t xml:space="preserve"> Batson</w:t>
      </w:r>
      <w:r w:rsidRPr="0049291F">
        <w:rPr>
          <w:rFonts w:ascii="Garamond" w:hAnsi="Garamond"/>
          <w:i/>
          <w:iCs/>
          <w:sz w:val="28"/>
          <w:szCs w:val="28"/>
        </w:rPr>
        <w:t>?”: Using a Court Rule to Address Implicit Bias in Jury Selection</w:t>
      </w:r>
      <w:r w:rsidRPr="0049291F">
        <w:rPr>
          <w:rFonts w:ascii="Garamond" w:hAnsi="Garamond"/>
          <w:sz w:val="28"/>
          <w:szCs w:val="28"/>
        </w:rPr>
        <w:t xml:space="preserve">, </w:t>
      </w:r>
      <w:r w:rsidRPr="0049291F">
        <w:rPr>
          <w:rFonts w:ascii="Garamond" w:hAnsi="Garamond"/>
          <w:smallCaps/>
          <w:sz w:val="28"/>
          <w:szCs w:val="28"/>
        </w:rPr>
        <w:t>108 Calif. L. Rev. 233</w:t>
      </w:r>
      <w:r w:rsidRPr="0049291F">
        <w:rPr>
          <w:rFonts w:ascii="Garamond" w:hAnsi="Garamond"/>
          <w:sz w:val="28"/>
          <w:szCs w:val="28"/>
        </w:rPr>
        <w:t xml:space="preserve"> (Feb. 2020) (describing the practice of excluding jurors from service on the basis of their contact with the legal system as “doubly discriminatory” because African Americans typically have more contact with the criminal justice system, but then are consequently excluded from jury service and equal participation in the other side of the criminal process).</w:t>
      </w:r>
    </w:p>
    <w:p w:rsidR="00263531" w:rsidRPr="0049291F" w:rsidRDefault="00263531" w:rsidP="00FC44BC">
      <w:pPr>
        <w:pStyle w:val="PleadingsL3"/>
        <w:jc w:val="both"/>
        <w:rPr>
          <w:rFonts w:ascii="Garamond" w:hAnsi="Garamond"/>
          <w:sz w:val="28"/>
          <w:szCs w:val="28"/>
        </w:rPr>
      </w:pPr>
      <w:r w:rsidRPr="0049291F">
        <w:rPr>
          <w:rFonts w:ascii="Garamond" w:hAnsi="Garamond"/>
          <w:sz w:val="28"/>
          <w:szCs w:val="28"/>
        </w:rPr>
        <w:t xml:space="preserve">Wright, R.F., Chavis, K., &amp; Parks, G.S., </w:t>
      </w:r>
      <w:r w:rsidRPr="0049291F">
        <w:rPr>
          <w:rFonts w:ascii="Garamond" w:hAnsi="Garamond"/>
          <w:i/>
          <w:sz w:val="28"/>
          <w:szCs w:val="28"/>
        </w:rPr>
        <w:t>The Jury Sunshine Project:  Jury Selection Data as a Political Issue</w:t>
      </w:r>
      <w:r w:rsidRPr="0049291F">
        <w:rPr>
          <w:rFonts w:ascii="Garamond" w:hAnsi="Garamond"/>
          <w:sz w:val="28"/>
          <w:szCs w:val="28"/>
        </w:rPr>
        <w:t>, 2018 U. Ill. L. Rev. 1407 (2018)</w:t>
      </w:r>
      <w:r w:rsidR="0049291F">
        <w:rPr>
          <w:rFonts w:ascii="Garamond" w:hAnsi="Garamond"/>
          <w:sz w:val="28"/>
          <w:szCs w:val="28"/>
        </w:rPr>
        <w:t xml:space="preserve"> (finding that prosecutors “excluded black jurors at more than twice the rate that they excluded white jurors,” while defense attorneys “excluded black jurors less than half as often as they excluded white jurors,” and finding overall that “black jurors and other nonwhite jurors serve on juries at a slightly lower rate than white jurors”)</w:t>
      </w:r>
      <w:r w:rsidR="00EB2F3A" w:rsidRPr="0049291F">
        <w:rPr>
          <w:rFonts w:ascii="Garamond" w:hAnsi="Garamond"/>
          <w:sz w:val="28"/>
          <w:szCs w:val="28"/>
        </w:rPr>
        <w:t>.</w:t>
      </w:r>
      <w:r w:rsidRPr="0049291F">
        <w:rPr>
          <w:rFonts w:ascii="Garamond" w:hAnsi="Garamond"/>
          <w:sz w:val="28"/>
          <w:szCs w:val="28"/>
        </w:rPr>
        <w:t xml:space="preserve"> </w:t>
      </w:r>
    </w:p>
    <w:p w:rsidR="001650D7" w:rsidRPr="0049291F" w:rsidRDefault="001650D7" w:rsidP="00FC44BC">
      <w:pPr>
        <w:pStyle w:val="PleadingsL3"/>
        <w:jc w:val="both"/>
        <w:rPr>
          <w:rFonts w:ascii="Garamond" w:hAnsi="Garamond"/>
          <w:sz w:val="28"/>
          <w:szCs w:val="28"/>
        </w:rPr>
      </w:pPr>
      <w:r w:rsidRPr="0049291F">
        <w:rPr>
          <w:rFonts w:ascii="Garamond" w:hAnsi="Garamond"/>
          <w:sz w:val="28"/>
          <w:szCs w:val="28"/>
        </w:rPr>
        <w:t xml:space="preserve">Abel, J., </w:t>
      </w:r>
      <w:r w:rsidRPr="0049291F">
        <w:rPr>
          <w:rFonts w:ascii="Garamond" w:hAnsi="Garamond"/>
          <w:i/>
          <w:sz w:val="28"/>
          <w:szCs w:val="28"/>
        </w:rPr>
        <w:t>Batson’s</w:t>
      </w:r>
      <w:r w:rsidRPr="0049291F">
        <w:rPr>
          <w:rFonts w:ascii="Garamond" w:hAnsi="Garamond"/>
          <w:sz w:val="28"/>
          <w:szCs w:val="28"/>
        </w:rPr>
        <w:t xml:space="preserve"> </w:t>
      </w:r>
      <w:r w:rsidRPr="0049291F">
        <w:rPr>
          <w:rFonts w:ascii="Garamond" w:hAnsi="Garamond"/>
          <w:i/>
          <w:sz w:val="28"/>
          <w:szCs w:val="28"/>
        </w:rPr>
        <w:t>Appellate Appeal and Trial Tribulations</w:t>
      </w:r>
      <w:r w:rsidRPr="0049291F">
        <w:rPr>
          <w:rFonts w:ascii="Garamond" w:hAnsi="Garamond"/>
          <w:sz w:val="28"/>
          <w:szCs w:val="28"/>
        </w:rPr>
        <w:t>, 118 Colum. L. Rev. 713, 713 (Apr. 2018) (</w:t>
      </w:r>
      <w:r w:rsidR="00762C75" w:rsidRPr="0049291F">
        <w:rPr>
          <w:rFonts w:ascii="Garamond" w:hAnsi="Garamond"/>
          <w:sz w:val="28"/>
          <w:szCs w:val="28"/>
        </w:rPr>
        <w:t xml:space="preserve">discussing </w:t>
      </w:r>
      <w:r w:rsidR="00B232B5" w:rsidRPr="0049291F">
        <w:rPr>
          <w:rFonts w:ascii="Garamond" w:hAnsi="Garamond"/>
          <w:i/>
          <w:sz w:val="28"/>
          <w:szCs w:val="28"/>
        </w:rPr>
        <w:t xml:space="preserve">Batson </w:t>
      </w:r>
      <w:r w:rsidR="00B232B5" w:rsidRPr="0049291F">
        <w:rPr>
          <w:rFonts w:ascii="Garamond" w:hAnsi="Garamond"/>
          <w:sz w:val="28"/>
          <w:szCs w:val="28"/>
        </w:rPr>
        <w:t xml:space="preserve">criticisms and </w:t>
      </w:r>
      <w:r w:rsidR="005545C0" w:rsidRPr="0049291F">
        <w:rPr>
          <w:rFonts w:ascii="Garamond" w:hAnsi="Garamond"/>
          <w:sz w:val="28"/>
          <w:szCs w:val="28"/>
        </w:rPr>
        <w:t>review</w:t>
      </w:r>
      <w:r w:rsidR="00762C75" w:rsidRPr="0049291F">
        <w:rPr>
          <w:rFonts w:ascii="Garamond" w:hAnsi="Garamond"/>
          <w:sz w:val="28"/>
          <w:szCs w:val="28"/>
        </w:rPr>
        <w:t>ing</w:t>
      </w:r>
      <w:r w:rsidR="005545C0" w:rsidRPr="0049291F">
        <w:rPr>
          <w:rFonts w:ascii="Garamond" w:hAnsi="Garamond"/>
          <w:sz w:val="28"/>
          <w:szCs w:val="28"/>
        </w:rPr>
        <w:t xml:space="preserve"> appellate case law applying the doctrine</w:t>
      </w:r>
      <w:r w:rsidR="0049291F">
        <w:rPr>
          <w:rFonts w:ascii="Garamond" w:hAnsi="Garamond"/>
          <w:sz w:val="28"/>
          <w:szCs w:val="28"/>
        </w:rPr>
        <w:t xml:space="preserve">; proposing </w:t>
      </w:r>
      <w:r w:rsidR="005545C0" w:rsidRPr="0049291F">
        <w:rPr>
          <w:rFonts w:ascii="Garamond" w:hAnsi="Garamond"/>
          <w:sz w:val="28"/>
          <w:szCs w:val="28"/>
        </w:rPr>
        <w:t xml:space="preserve">that </w:t>
      </w:r>
      <w:r w:rsidR="00762C75" w:rsidRPr="0049291F">
        <w:rPr>
          <w:rFonts w:ascii="Garamond" w:hAnsi="Garamond"/>
          <w:i/>
          <w:sz w:val="28"/>
          <w:szCs w:val="28"/>
        </w:rPr>
        <w:t xml:space="preserve">Batson </w:t>
      </w:r>
      <w:r w:rsidR="00762C75" w:rsidRPr="0049291F">
        <w:rPr>
          <w:rFonts w:ascii="Garamond" w:hAnsi="Garamond"/>
          <w:sz w:val="28"/>
          <w:szCs w:val="28"/>
        </w:rPr>
        <w:t xml:space="preserve">is more effective on appeal than at the trial court level and </w:t>
      </w:r>
      <w:r w:rsidR="0049291F">
        <w:rPr>
          <w:rFonts w:ascii="Garamond" w:hAnsi="Garamond"/>
          <w:sz w:val="28"/>
          <w:szCs w:val="28"/>
        </w:rPr>
        <w:t xml:space="preserve">arguing </w:t>
      </w:r>
      <w:r w:rsidR="00762C75" w:rsidRPr="0049291F">
        <w:rPr>
          <w:rFonts w:ascii="Garamond" w:hAnsi="Garamond"/>
          <w:sz w:val="28"/>
          <w:szCs w:val="28"/>
        </w:rPr>
        <w:t xml:space="preserve">that </w:t>
      </w:r>
      <w:r w:rsidR="005545C0" w:rsidRPr="0049291F">
        <w:rPr>
          <w:rFonts w:ascii="Garamond" w:hAnsi="Garamond"/>
          <w:sz w:val="28"/>
          <w:szCs w:val="28"/>
        </w:rPr>
        <w:t xml:space="preserve">appellate courts have an opportunity to apply </w:t>
      </w:r>
      <w:r w:rsidR="005545C0" w:rsidRPr="0049291F">
        <w:rPr>
          <w:rFonts w:ascii="Garamond" w:hAnsi="Garamond"/>
          <w:i/>
          <w:sz w:val="28"/>
          <w:szCs w:val="28"/>
        </w:rPr>
        <w:t xml:space="preserve">Batson </w:t>
      </w:r>
      <w:r w:rsidR="005545C0" w:rsidRPr="0049291F">
        <w:rPr>
          <w:rFonts w:ascii="Garamond" w:hAnsi="Garamond"/>
          <w:sz w:val="28"/>
          <w:szCs w:val="28"/>
        </w:rPr>
        <w:t xml:space="preserve">in a more rigorous fashion to address racial discrimination than do trial courts). </w:t>
      </w:r>
    </w:p>
    <w:p w:rsidR="00762C75" w:rsidRPr="0049291F" w:rsidRDefault="00762C75" w:rsidP="00FC44BC">
      <w:pPr>
        <w:pStyle w:val="PleadingsL3"/>
        <w:jc w:val="both"/>
        <w:rPr>
          <w:rFonts w:ascii="Garamond" w:hAnsi="Garamond"/>
          <w:sz w:val="28"/>
          <w:szCs w:val="28"/>
        </w:rPr>
      </w:pPr>
      <w:r w:rsidRPr="0049291F">
        <w:rPr>
          <w:rFonts w:ascii="Garamond" w:hAnsi="Garamond"/>
          <w:sz w:val="28"/>
          <w:szCs w:val="28"/>
        </w:rPr>
        <w:t xml:space="preserve">Pollitt, D., &amp; Warren, B., </w:t>
      </w:r>
      <w:r w:rsidRPr="0049291F">
        <w:rPr>
          <w:rFonts w:ascii="Garamond" w:hAnsi="Garamond"/>
          <w:i/>
          <w:sz w:val="28"/>
          <w:szCs w:val="28"/>
        </w:rPr>
        <w:t>Thirty Years of Disappointment: North Carolina’s Remarkable Appellate Batson Record</w:t>
      </w:r>
      <w:r w:rsidRPr="0049291F">
        <w:rPr>
          <w:rFonts w:ascii="Garamond" w:hAnsi="Garamond"/>
          <w:sz w:val="28"/>
          <w:szCs w:val="28"/>
        </w:rPr>
        <w:t>, 94 N.C. L. Rev. 1957, 1957 (Sept. 2016) (</w:t>
      </w:r>
      <w:r w:rsidR="0049291F">
        <w:rPr>
          <w:rFonts w:ascii="Garamond" w:hAnsi="Garamond"/>
          <w:sz w:val="28"/>
          <w:szCs w:val="28"/>
        </w:rPr>
        <w:t xml:space="preserve">finding that </w:t>
      </w:r>
      <w:r w:rsidRPr="0049291F">
        <w:rPr>
          <w:rFonts w:ascii="Garamond" w:hAnsi="Garamond"/>
          <w:sz w:val="28"/>
          <w:szCs w:val="28"/>
        </w:rPr>
        <w:t>“</w:t>
      </w:r>
      <w:r w:rsidR="0049291F">
        <w:rPr>
          <w:rFonts w:ascii="Garamond" w:hAnsi="Garamond"/>
          <w:sz w:val="28"/>
          <w:szCs w:val="28"/>
        </w:rPr>
        <w:t>[i]</w:t>
      </w:r>
      <w:r w:rsidRPr="0049291F">
        <w:rPr>
          <w:rFonts w:ascii="Garamond" w:hAnsi="Garamond"/>
          <w:sz w:val="28"/>
          <w:szCs w:val="28"/>
        </w:rPr>
        <w:t xml:space="preserve">n the 114 cases decided on the merits by North Carolina appellate courts, the courts have never found a substantive </w:t>
      </w:r>
      <w:r w:rsidRPr="00565B89">
        <w:rPr>
          <w:rFonts w:ascii="Garamond" w:hAnsi="Garamond"/>
          <w:i/>
          <w:sz w:val="28"/>
          <w:szCs w:val="28"/>
        </w:rPr>
        <w:t>Batson</w:t>
      </w:r>
      <w:r w:rsidRPr="0049291F">
        <w:rPr>
          <w:rFonts w:ascii="Garamond" w:hAnsi="Garamond"/>
          <w:sz w:val="28"/>
          <w:szCs w:val="28"/>
        </w:rPr>
        <w:t xml:space="preserve"> violation where a prosecutor has articulated a reason for the peremptory challenge of a minority juror”).</w:t>
      </w:r>
    </w:p>
    <w:p w:rsidR="001650D7" w:rsidRPr="0049291F" w:rsidRDefault="001650D7" w:rsidP="00FC44BC">
      <w:pPr>
        <w:pStyle w:val="PleadingsL3"/>
        <w:jc w:val="both"/>
        <w:rPr>
          <w:rFonts w:ascii="Garamond" w:hAnsi="Garamond"/>
          <w:sz w:val="28"/>
          <w:szCs w:val="28"/>
        </w:rPr>
      </w:pPr>
      <w:r w:rsidRPr="0049291F">
        <w:rPr>
          <w:rFonts w:ascii="Garamond" w:hAnsi="Garamond"/>
          <w:sz w:val="28"/>
          <w:szCs w:val="28"/>
        </w:rPr>
        <w:lastRenderedPageBreak/>
        <w:t xml:space="preserve">Johnson, V.B., </w:t>
      </w:r>
      <w:r w:rsidRPr="0049291F">
        <w:rPr>
          <w:rFonts w:ascii="Garamond" w:hAnsi="Garamond"/>
          <w:i/>
          <w:iCs/>
          <w:sz w:val="28"/>
          <w:szCs w:val="28"/>
        </w:rPr>
        <w:t xml:space="preserve">Arresting </w:t>
      </w:r>
      <w:r w:rsidRPr="0049291F">
        <w:rPr>
          <w:rFonts w:ascii="Garamond" w:hAnsi="Garamond"/>
          <w:sz w:val="28"/>
          <w:szCs w:val="28"/>
        </w:rPr>
        <w:t>Batson</w:t>
      </w:r>
      <w:r w:rsidRPr="0049291F">
        <w:rPr>
          <w:rFonts w:ascii="Garamond" w:hAnsi="Garamond"/>
          <w:i/>
          <w:iCs/>
          <w:sz w:val="28"/>
          <w:szCs w:val="28"/>
        </w:rPr>
        <w:t>, How Striking Jurors Based on Arrest Records Violates</w:t>
      </w:r>
      <w:r w:rsidRPr="0049291F">
        <w:rPr>
          <w:rFonts w:ascii="Garamond" w:hAnsi="Garamond"/>
          <w:sz w:val="28"/>
          <w:szCs w:val="28"/>
        </w:rPr>
        <w:t xml:space="preserve"> Batson, </w:t>
      </w:r>
      <w:r w:rsidRPr="0049291F">
        <w:rPr>
          <w:rFonts w:ascii="Garamond" w:hAnsi="Garamond"/>
          <w:smallCaps/>
          <w:sz w:val="28"/>
          <w:szCs w:val="28"/>
        </w:rPr>
        <w:t>34 Yale L. &amp; Pol’y Rev. 387</w:t>
      </w:r>
      <w:r w:rsidRPr="0049291F">
        <w:rPr>
          <w:rFonts w:ascii="Garamond" w:hAnsi="Garamond"/>
          <w:sz w:val="28"/>
          <w:szCs w:val="28"/>
        </w:rPr>
        <w:t xml:space="preserve"> (2016) (citing empirical data to show the existence of racial disparities throughout the criminal justice system, including in “policing, arrests, prosecution, plea offers, trial outcomes, and sentencing outcomes” and arguing that allowing  peremptory strikes based on the nominally race-neutral justifications of prior contact with law enforcement or distrust of law enforcement, </w:t>
      </w:r>
      <w:r w:rsidRPr="0049291F">
        <w:rPr>
          <w:rFonts w:ascii="Garamond" w:hAnsi="Garamond"/>
          <w:sz w:val="28"/>
          <w:szCs w:val="28"/>
          <w:shd w:val="clear" w:color="auto" w:fill="FFFFFF"/>
        </w:rPr>
        <w:t>lets a proxy for race taint the jury selection process and “necessarily leads to whiter juries”).</w:t>
      </w:r>
    </w:p>
    <w:p w:rsidR="001650D7" w:rsidRPr="0049291F" w:rsidRDefault="001650D7" w:rsidP="00FC44BC">
      <w:pPr>
        <w:pStyle w:val="PleadingsL3"/>
        <w:jc w:val="both"/>
        <w:rPr>
          <w:rFonts w:ascii="Garamond" w:hAnsi="Garamond"/>
          <w:sz w:val="28"/>
          <w:szCs w:val="28"/>
        </w:rPr>
      </w:pPr>
      <w:r w:rsidRPr="0049291F">
        <w:rPr>
          <w:rFonts w:ascii="Garamond" w:hAnsi="Garamond"/>
          <w:sz w:val="28"/>
          <w:szCs w:val="28"/>
        </w:rPr>
        <w:t xml:space="preserve">Grasso, C.M. &amp; O’Brien, B., </w:t>
      </w:r>
      <w:r w:rsidRPr="0049291F">
        <w:rPr>
          <w:rFonts w:ascii="Garamond" w:hAnsi="Garamond"/>
          <w:i/>
          <w:iCs/>
          <w:sz w:val="28"/>
          <w:szCs w:val="28"/>
        </w:rPr>
        <w:t xml:space="preserve">A Stubborn Legacy: The Overwhelming Importance </w:t>
      </w:r>
      <w:r w:rsidRPr="0049291F">
        <w:rPr>
          <w:rFonts w:ascii="Garamond" w:hAnsi="Garamond"/>
          <w:color w:val="000000"/>
          <w:sz w:val="28"/>
          <w:szCs w:val="28"/>
          <w:shd w:val="clear" w:color="auto" w:fill="FFFFFF"/>
        </w:rPr>
        <w:t>of</w:t>
      </w:r>
      <w:r w:rsidRPr="0049291F">
        <w:rPr>
          <w:rFonts w:ascii="Garamond" w:hAnsi="Garamond"/>
          <w:i/>
          <w:iCs/>
          <w:sz w:val="28"/>
          <w:szCs w:val="28"/>
        </w:rPr>
        <w:t xml:space="preserve"> Race in Jury Selection in 173 Post-</w:t>
      </w:r>
      <w:r w:rsidRPr="0049291F">
        <w:rPr>
          <w:rFonts w:ascii="Garamond" w:hAnsi="Garamond"/>
          <w:sz w:val="28"/>
          <w:szCs w:val="28"/>
        </w:rPr>
        <w:t xml:space="preserve">Batson </w:t>
      </w:r>
      <w:r w:rsidRPr="0049291F">
        <w:rPr>
          <w:rFonts w:ascii="Garamond" w:hAnsi="Garamond"/>
          <w:i/>
          <w:iCs/>
          <w:sz w:val="28"/>
          <w:szCs w:val="28"/>
        </w:rPr>
        <w:t>North Carolina Capital Jury Trials</w:t>
      </w:r>
      <w:r w:rsidRPr="0049291F">
        <w:rPr>
          <w:rFonts w:ascii="Garamond" w:hAnsi="Garamond"/>
          <w:sz w:val="28"/>
          <w:szCs w:val="28"/>
        </w:rPr>
        <w:t>, 97 Iowa. L. Rev. 1531 (2012) (reviewing cases in which a state claim for relief was raised under the North Carolina Racial Justice Act of 2009 when capital defendants alleged “</w:t>
      </w:r>
      <w:r w:rsidRPr="0049291F">
        <w:rPr>
          <w:rFonts w:ascii="Garamond" w:hAnsi="Garamond"/>
          <w:color w:val="000000"/>
          <w:sz w:val="28"/>
          <w:szCs w:val="28"/>
          <w:shd w:val="clear" w:color="auto" w:fill="FFFFFF"/>
        </w:rPr>
        <w:t>race was a significant factor in the exercise of peremptory challenges in their cases” and finding that over a twenty-year period “prosecutors struck eligible black venire members at about 2.5 times the rate they struck eligible venire members who were not black” after controlling “for information about venire members that potentially bore on the decision to strike them, such as views on the death penalty or prior experience with crime”).</w:t>
      </w:r>
    </w:p>
    <w:p w:rsidR="00EB2F3A" w:rsidRPr="0049291F" w:rsidRDefault="00EB2F3A" w:rsidP="00EB2F3A">
      <w:pPr>
        <w:pStyle w:val="PleadingsL3"/>
        <w:jc w:val="both"/>
        <w:rPr>
          <w:rFonts w:ascii="Garamond" w:hAnsi="Garamond"/>
          <w:sz w:val="28"/>
          <w:szCs w:val="28"/>
        </w:rPr>
      </w:pPr>
      <w:r w:rsidRPr="0049291F">
        <w:rPr>
          <w:rFonts w:ascii="Garamond" w:hAnsi="Garamond"/>
          <w:sz w:val="28"/>
          <w:szCs w:val="28"/>
        </w:rPr>
        <w:t xml:space="preserve">Burke, </w:t>
      </w:r>
      <w:r w:rsidR="00620B49" w:rsidRPr="0049291F">
        <w:rPr>
          <w:rFonts w:ascii="Garamond" w:hAnsi="Garamond"/>
          <w:sz w:val="28"/>
          <w:szCs w:val="28"/>
        </w:rPr>
        <w:t xml:space="preserve">A.S., </w:t>
      </w:r>
      <w:hyperlink r:id="rId7" w:history="1">
        <w:r w:rsidRPr="0049291F">
          <w:rPr>
            <w:rStyle w:val="Hyperlink"/>
            <w:rFonts w:ascii="Garamond" w:hAnsi="Garamond"/>
            <w:i/>
            <w:iCs/>
            <w:color w:val="auto"/>
            <w:sz w:val="28"/>
            <w:szCs w:val="28"/>
            <w:u w:val="none"/>
          </w:rPr>
          <w:t>Prosecutors and Peremptories</w:t>
        </w:r>
        <w:r w:rsidRPr="0049291F">
          <w:rPr>
            <w:rStyle w:val="Hyperlink"/>
            <w:rFonts w:ascii="Garamond" w:hAnsi="Garamond"/>
            <w:color w:val="auto"/>
            <w:sz w:val="28"/>
            <w:szCs w:val="28"/>
            <w:u w:val="none"/>
          </w:rPr>
          <w:t>, 97 Iowa L. Rev. 1467, 1476 (2012)</w:t>
        </w:r>
      </w:hyperlink>
      <w:r w:rsidRPr="0049291F">
        <w:rPr>
          <w:rFonts w:ascii="Garamond" w:hAnsi="Garamond"/>
          <w:sz w:val="28"/>
          <w:szCs w:val="28"/>
        </w:rPr>
        <w:t xml:space="preserve"> (</w:t>
      </w:r>
      <w:r w:rsidR="00620B49" w:rsidRPr="0049291F">
        <w:rPr>
          <w:rFonts w:ascii="Garamond" w:hAnsi="Garamond"/>
          <w:sz w:val="28"/>
          <w:szCs w:val="28"/>
        </w:rPr>
        <w:t xml:space="preserve">asserting that prosecutors should support the elimination of bias in jury selection; citing studies that “people are more likely to comply with legal authority when they perceive it to be legitimate. . . [and that p]eople are also more likely to cooperate with law enforcement when they perceive law enforcement's authority as legitimate.”). </w:t>
      </w:r>
    </w:p>
    <w:p w:rsidR="001650D7" w:rsidRPr="0049291F" w:rsidRDefault="00263531" w:rsidP="00FC44BC">
      <w:pPr>
        <w:pStyle w:val="PleadingsL3"/>
        <w:jc w:val="both"/>
        <w:rPr>
          <w:rFonts w:ascii="Garamond" w:hAnsi="Garamond"/>
          <w:sz w:val="28"/>
          <w:szCs w:val="28"/>
        </w:rPr>
      </w:pPr>
      <w:r w:rsidRPr="0049291F">
        <w:rPr>
          <w:rFonts w:ascii="Garamond" w:hAnsi="Garamond"/>
          <w:noProof/>
          <w:sz w:val="28"/>
          <w:szCs w:val="28"/>
        </w:rPr>
        <w:t xml:space="preserve">Bellin, J. </w:t>
      </w:r>
      <w:r w:rsidR="001650D7" w:rsidRPr="0049291F">
        <w:rPr>
          <w:rFonts w:ascii="Garamond" w:hAnsi="Garamond"/>
          <w:noProof/>
          <w:sz w:val="28"/>
          <w:szCs w:val="28"/>
        </w:rPr>
        <w:t xml:space="preserve">&amp; Semitsu, </w:t>
      </w:r>
      <w:r w:rsidRPr="0049291F">
        <w:rPr>
          <w:rFonts w:ascii="Garamond" w:hAnsi="Garamond"/>
          <w:noProof/>
          <w:sz w:val="28"/>
          <w:szCs w:val="28"/>
        </w:rPr>
        <w:t xml:space="preserve">J.P., </w:t>
      </w:r>
      <w:r w:rsidR="001650D7" w:rsidRPr="0049291F">
        <w:rPr>
          <w:rFonts w:ascii="Garamond" w:hAnsi="Garamond"/>
          <w:i/>
          <w:iCs/>
          <w:noProof/>
          <w:sz w:val="28"/>
          <w:szCs w:val="28"/>
        </w:rPr>
        <w:t>Widening Batson’s Net to Ensnare More Than the Unapologetically Bigoted or Painfully Unimaginative Attorney</w:t>
      </w:r>
      <w:r w:rsidR="001650D7" w:rsidRPr="0049291F">
        <w:rPr>
          <w:rFonts w:ascii="Garamond" w:hAnsi="Garamond"/>
          <w:noProof/>
          <w:sz w:val="28"/>
          <w:szCs w:val="28"/>
        </w:rPr>
        <w:t>, 96 Cornell L. Rev. 1092 (2011) (reviewing “</w:t>
      </w:r>
      <w:r w:rsidR="001650D7" w:rsidRPr="0049291F">
        <w:rPr>
          <w:rFonts w:ascii="Garamond" w:hAnsi="Garamond"/>
          <w:sz w:val="28"/>
          <w:szCs w:val="28"/>
        </w:rPr>
        <w:t xml:space="preserve">all opinions and orders between January 1, 2000 and December 31, 2009 in which a federal court evaluated a race-based </w:t>
      </w:r>
      <w:r w:rsidR="001650D7" w:rsidRPr="0049291F">
        <w:rPr>
          <w:rFonts w:ascii="Garamond" w:hAnsi="Garamond"/>
          <w:i/>
          <w:sz w:val="28"/>
          <w:szCs w:val="28"/>
        </w:rPr>
        <w:t>B</w:t>
      </w:r>
      <w:bookmarkStart w:id="1" w:name="_BA_Cite_1740C8_000572"/>
      <w:bookmarkEnd w:id="1"/>
      <w:r w:rsidR="001650D7" w:rsidRPr="0049291F">
        <w:rPr>
          <w:rFonts w:ascii="Garamond" w:hAnsi="Garamond"/>
          <w:i/>
          <w:sz w:val="28"/>
          <w:szCs w:val="28"/>
        </w:rPr>
        <w:t>atson</w:t>
      </w:r>
      <w:r w:rsidR="001650D7" w:rsidRPr="0049291F">
        <w:rPr>
          <w:rFonts w:ascii="Garamond" w:hAnsi="Garamond"/>
          <w:sz w:val="28"/>
          <w:szCs w:val="28"/>
        </w:rPr>
        <w:t xml:space="preserve"> challenge in either a civil or criminal case … unearth[ing] 269 federal decisions” and concluding that federal courts provide “little relief to </w:t>
      </w:r>
      <w:r w:rsidR="001650D7" w:rsidRPr="0049291F">
        <w:rPr>
          <w:rFonts w:ascii="Garamond" w:hAnsi="Garamond"/>
          <w:i/>
          <w:sz w:val="28"/>
          <w:szCs w:val="28"/>
        </w:rPr>
        <w:t>B</w:t>
      </w:r>
      <w:bookmarkStart w:id="2" w:name="_BA_Cite_1740C8_000573"/>
      <w:bookmarkEnd w:id="2"/>
      <w:r w:rsidR="001650D7" w:rsidRPr="0049291F">
        <w:rPr>
          <w:rFonts w:ascii="Garamond" w:hAnsi="Garamond"/>
          <w:i/>
          <w:sz w:val="28"/>
          <w:szCs w:val="28"/>
        </w:rPr>
        <w:t>atson</w:t>
      </w:r>
      <w:r w:rsidR="001650D7" w:rsidRPr="0049291F">
        <w:rPr>
          <w:rFonts w:ascii="Garamond" w:hAnsi="Garamond"/>
          <w:sz w:val="28"/>
          <w:szCs w:val="28"/>
        </w:rPr>
        <w:t xml:space="preserve"> claimants”).</w:t>
      </w:r>
    </w:p>
    <w:p w:rsidR="00781FDD" w:rsidRPr="0049291F" w:rsidRDefault="00781FDD" w:rsidP="00FC44BC">
      <w:pPr>
        <w:pStyle w:val="PleadingsL3"/>
        <w:jc w:val="both"/>
        <w:rPr>
          <w:rFonts w:ascii="Garamond" w:hAnsi="Garamond"/>
          <w:sz w:val="28"/>
          <w:szCs w:val="28"/>
        </w:rPr>
      </w:pPr>
      <w:r w:rsidRPr="0049291F">
        <w:rPr>
          <w:rFonts w:ascii="Garamond" w:hAnsi="Garamond"/>
          <w:sz w:val="28"/>
          <w:szCs w:val="28"/>
        </w:rPr>
        <w:t xml:space="preserve">Page, A., </w:t>
      </w:r>
      <w:r w:rsidRPr="0049291F">
        <w:rPr>
          <w:rFonts w:ascii="Garamond" w:hAnsi="Garamond"/>
          <w:i/>
          <w:sz w:val="28"/>
          <w:szCs w:val="28"/>
        </w:rPr>
        <w:t>Batson’s Blind Spot: Unconscious Stereotyping and the Peremptory Challenge</w:t>
      </w:r>
      <w:r w:rsidRPr="0049291F">
        <w:rPr>
          <w:rFonts w:ascii="Garamond" w:hAnsi="Garamond"/>
          <w:sz w:val="28"/>
          <w:szCs w:val="28"/>
        </w:rPr>
        <w:t>, 85 B.U. L. Rev. 155, 209-10 (2005) (discussing unconscious bias and its impact on jury selection).</w:t>
      </w:r>
    </w:p>
    <w:p w:rsidR="00762C75" w:rsidRPr="0049291F" w:rsidRDefault="00762C75" w:rsidP="00FC44BC">
      <w:pPr>
        <w:pStyle w:val="PleadingsL3"/>
        <w:jc w:val="both"/>
        <w:rPr>
          <w:rFonts w:ascii="Garamond" w:hAnsi="Garamond"/>
          <w:sz w:val="28"/>
          <w:szCs w:val="28"/>
        </w:rPr>
      </w:pPr>
      <w:r w:rsidRPr="0049291F">
        <w:rPr>
          <w:rFonts w:ascii="Garamond" w:hAnsi="Garamond"/>
          <w:noProof/>
          <w:sz w:val="28"/>
          <w:szCs w:val="28"/>
        </w:rPr>
        <w:t xml:space="preserve">Cavise, L., </w:t>
      </w:r>
      <w:r w:rsidRPr="0049291F">
        <w:rPr>
          <w:rFonts w:ascii="Garamond" w:hAnsi="Garamond"/>
          <w:i/>
          <w:noProof/>
          <w:sz w:val="28"/>
          <w:szCs w:val="28"/>
        </w:rPr>
        <w:t>The Batson Doctrine: The Supreme Court's Utter Failure to Meet the Challenge of Discrimination in Jury Selection</w:t>
      </w:r>
      <w:r w:rsidRPr="0049291F">
        <w:rPr>
          <w:rFonts w:ascii="Garamond" w:hAnsi="Garamond"/>
          <w:noProof/>
          <w:sz w:val="28"/>
          <w:szCs w:val="28"/>
        </w:rPr>
        <w:t>, 1999 Wis. L. Rev. 501, 532 (1999) (</w:t>
      </w:r>
      <w:r w:rsidR="0049291F">
        <w:rPr>
          <w:rFonts w:ascii="Garamond" w:hAnsi="Garamond"/>
          <w:noProof/>
          <w:sz w:val="28"/>
          <w:szCs w:val="28"/>
        </w:rPr>
        <w:t xml:space="preserve">discussing </w:t>
      </w:r>
      <w:r w:rsidR="006D395D" w:rsidRPr="0049291F">
        <w:rPr>
          <w:rFonts w:ascii="Garamond" w:hAnsi="Garamond"/>
          <w:i/>
          <w:noProof/>
          <w:sz w:val="28"/>
          <w:szCs w:val="28"/>
        </w:rPr>
        <w:t xml:space="preserve">Batson </w:t>
      </w:r>
      <w:r w:rsidR="006D395D" w:rsidRPr="0049291F">
        <w:rPr>
          <w:rFonts w:ascii="Garamond" w:hAnsi="Garamond"/>
          <w:noProof/>
          <w:sz w:val="28"/>
          <w:szCs w:val="28"/>
        </w:rPr>
        <w:t xml:space="preserve">weaknesses after </w:t>
      </w:r>
      <w:r w:rsidR="006D395D" w:rsidRPr="0049291F">
        <w:rPr>
          <w:rFonts w:ascii="Garamond" w:hAnsi="Garamond"/>
          <w:i/>
          <w:noProof/>
          <w:sz w:val="28"/>
          <w:szCs w:val="28"/>
        </w:rPr>
        <w:t xml:space="preserve">Purkett, </w:t>
      </w:r>
      <w:r w:rsidR="00D044E7" w:rsidRPr="00D044E7">
        <w:rPr>
          <w:rFonts w:ascii="Garamond" w:hAnsi="Garamond"/>
          <w:noProof/>
          <w:sz w:val="28"/>
          <w:szCs w:val="28"/>
        </w:rPr>
        <w:t>and</w:t>
      </w:r>
      <w:r w:rsidR="00D044E7">
        <w:rPr>
          <w:rFonts w:ascii="Garamond" w:hAnsi="Garamond"/>
          <w:i/>
          <w:noProof/>
          <w:sz w:val="28"/>
          <w:szCs w:val="28"/>
        </w:rPr>
        <w:t xml:space="preserve"> </w:t>
      </w:r>
      <w:r w:rsidR="006D395D" w:rsidRPr="0049291F">
        <w:rPr>
          <w:rFonts w:ascii="Garamond" w:hAnsi="Garamond"/>
          <w:noProof/>
          <w:sz w:val="28"/>
          <w:szCs w:val="28"/>
        </w:rPr>
        <w:t>noting that returning to pre-</w:t>
      </w:r>
      <w:r w:rsidR="006D395D" w:rsidRPr="0049291F">
        <w:rPr>
          <w:rFonts w:ascii="Garamond" w:hAnsi="Garamond"/>
          <w:i/>
          <w:noProof/>
          <w:sz w:val="28"/>
          <w:szCs w:val="28"/>
        </w:rPr>
        <w:t xml:space="preserve">Purkett </w:t>
      </w:r>
      <w:r w:rsidR="006D395D" w:rsidRPr="0049291F">
        <w:rPr>
          <w:rFonts w:ascii="Garamond" w:hAnsi="Garamond"/>
          <w:noProof/>
          <w:sz w:val="28"/>
          <w:szCs w:val="28"/>
        </w:rPr>
        <w:t xml:space="preserve">law would strengthen the doctrine and that “little else is possible at this point without asking state trial and appellate courts to fashion their own </w:t>
      </w:r>
      <w:r w:rsidR="006D395D" w:rsidRPr="0049291F">
        <w:rPr>
          <w:rFonts w:ascii="Garamond" w:hAnsi="Garamond"/>
          <w:i/>
          <w:noProof/>
          <w:sz w:val="28"/>
          <w:szCs w:val="28"/>
        </w:rPr>
        <w:t xml:space="preserve">Batson </w:t>
      </w:r>
      <w:r w:rsidR="006D395D" w:rsidRPr="0049291F">
        <w:rPr>
          <w:rFonts w:ascii="Garamond" w:hAnsi="Garamond"/>
          <w:noProof/>
          <w:sz w:val="28"/>
          <w:szCs w:val="28"/>
        </w:rPr>
        <w:t>remedies”).</w:t>
      </w:r>
      <w:r w:rsidRPr="0049291F">
        <w:rPr>
          <w:rFonts w:ascii="Garamond" w:hAnsi="Garamond"/>
          <w:noProof/>
          <w:sz w:val="28"/>
          <w:szCs w:val="28"/>
        </w:rPr>
        <w:t xml:space="preserve">  </w:t>
      </w:r>
    </w:p>
    <w:p w:rsidR="00D044E7" w:rsidRPr="00D044E7" w:rsidRDefault="00D044E7" w:rsidP="00D044E7">
      <w:pPr>
        <w:pStyle w:val="PleadingsL3"/>
        <w:jc w:val="both"/>
        <w:rPr>
          <w:rFonts w:ascii="Garamond" w:hAnsi="Garamond"/>
          <w:sz w:val="28"/>
          <w:szCs w:val="28"/>
        </w:rPr>
      </w:pPr>
      <w:r w:rsidRPr="00D044E7">
        <w:rPr>
          <w:rFonts w:ascii="Garamond" w:hAnsi="Garamond"/>
          <w:sz w:val="28"/>
          <w:szCs w:val="28"/>
        </w:rPr>
        <w:t>Jean Montoya, J., </w:t>
      </w:r>
      <w:r w:rsidRPr="00D044E7">
        <w:rPr>
          <w:rFonts w:ascii="Garamond" w:hAnsi="Garamond"/>
          <w:i/>
          <w:iCs/>
          <w:sz w:val="28"/>
          <w:szCs w:val="28"/>
        </w:rPr>
        <w:t>What’s So Magic[al] About Black Women?: Peremptory Challenges as the Intersection of Race and Gender</w:t>
      </w:r>
      <w:r w:rsidRPr="00D044E7">
        <w:rPr>
          <w:rFonts w:ascii="Garamond" w:hAnsi="Garamond"/>
          <w:sz w:val="28"/>
          <w:szCs w:val="28"/>
        </w:rPr>
        <w:t xml:space="preserve">, 3 Mich. J. Gender &amp; L. 369 (1996) (suggesting that </w:t>
      </w:r>
      <w:r w:rsidRPr="00565B89">
        <w:rPr>
          <w:rFonts w:ascii="Garamond" w:hAnsi="Garamond"/>
          <w:i/>
          <w:iCs/>
          <w:sz w:val="28"/>
          <w:szCs w:val="28"/>
        </w:rPr>
        <w:t>Batson</w:t>
      </w:r>
      <w:r w:rsidRPr="00D044E7">
        <w:rPr>
          <w:rFonts w:ascii="Garamond" w:hAnsi="Garamond"/>
          <w:sz w:val="28"/>
          <w:szCs w:val="28"/>
        </w:rPr>
        <w:t xml:space="preserve"> alone has at times failed to work to prevent the apparent targeting of black women and Latino men with peremptory challenges).</w:t>
      </w:r>
    </w:p>
    <w:p w:rsidR="00263531" w:rsidRPr="0049291F" w:rsidRDefault="00263531" w:rsidP="00FC44BC">
      <w:pPr>
        <w:pStyle w:val="PleadingsL3"/>
        <w:jc w:val="both"/>
        <w:rPr>
          <w:rFonts w:ascii="Garamond" w:hAnsi="Garamond"/>
          <w:sz w:val="28"/>
          <w:szCs w:val="28"/>
        </w:rPr>
      </w:pPr>
      <w:r w:rsidRPr="0049291F">
        <w:rPr>
          <w:rFonts w:ascii="Garamond" w:hAnsi="Garamond"/>
          <w:noProof/>
          <w:sz w:val="28"/>
          <w:szCs w:val="28"/>
        </w:rPr>
        <w:t xml:space="preserve">Frasher, P., </w:t>
      </w:r>
      <w:r w:rsidRPr="0049291F">
        <w:rPr>
          <w:rFonts w:ascii="Garamond" w:hAnsi="Garamond"/>
          <w:i/>
          <w:noProof/>
          <w:sz w:val="28"/>
          <w:szCs w:val="28"/>
        </w:rPr>
        <w:t>Fulfilling Batson and Its Progeny: A Proposed Amendment to Rule 24 of the Federal Rules of Criminal Procedure to Attain a More Race- and Gender-Neutral Jury Selection Process</w:t>
      </w:r>
      <w:r w:rsidRPr="0049291F">
        <w:rPr>
          <w:rFonts w:ascii="Garamond" w:hAnsi="Garamond"/>
          <w:noProof/>
          <w:sz w:val="28"/>
          <w:szCs w:val="28"/>
        </w:rPr>
        <w:t>, 80 Iowa L. Rev. 1327, 1340 (July 1995) (</w:t>
      </w:r>
      <w:r w:rsidR="00D044E7">
        <w:rPr>
          <w:rFonts w:ascii="Garamond" w:hAnsi="Garamond"/>
          <w:noProof/>
          <w:sz w:val="28"/>
          <w:szCs w:val="28"/>
        </w:rPr>
        <w:t xml:space="preserve">concluding that </w:t>
      </w:r>
      <w:r w:rsidRPr="0049291F">
        <w:rPr>
          <w:rFonts w:ascii="Garamond" w:hAnsi="Garamond"/>
          <w:noProof/>
          <w:sz w:val="28"/>
          <w:szCs w:val="28"/>
        </w:rPr>
        <w:t>“</w:t>
      </w:r>
      <w:r w:rsidRPr="00565B89">
        <w:rPr>
          <w:rFonts w:ascii="Garamond" w:hAnsi="Garamond"/>
          <w:i/>
          <w:noProof/>
          <w:sz w:val="28"/>
          <w:szCs w:val="28"/>
        </w:rPr>
        <w:t>Batson</w:t>
      </w:r>
      <w:r w:rsidRPr="0049291F">
        <w:rPr>
          <w:rFonts w:ascii="Garamond" w:hAnsi="Garamond"/>
          <w:noProof/>
          <w:sz w:val="28"/>
          <w:szCs w:val="28"/>
        </w:rPr>
        <w:t xml:space="preserve"> arguably will afford little or no protection against discrimination by parties if the Supreme Court mandates merely a superficial inquiry into the racial and gender neutrality of a justification presented by the striking party”).</w:t>
      </w:r>
    </w:p>
    <w:p w:rsidR="001650D7" w:rsidRPr="0049291F" w:rsidRDefault="001650D7" w:rsidP="00FC44BC">
      <w:pPr>
        <w:pStyle w:val="PleadingsL3"/>
        <w:jc w:val="both"/>
        <w:rPr>
          <w:rFonts w:ascii="Garamond" w:hAnsi="Garamond"/>
          <w:sz w:val="28"/>
          <w:szCs w:val="28"/>
        </w:rPr>
      </w:pPr>
      <w:r w:rsidRPr="0049291F">
        <w:rPr>
          <w:rFonts w:ascii="Garamond" w:hAnsi="Garamond"/>
          <w:noProof/>
          <w:sz w:val="28"/>
          <w:szCs w:val="28"/>
        </w:rPr>
        <w:t>Raphael</w:t>
      </w:r>
      <w:r w:rsidR="00FC44BC" w:rsidRPr="0049291F">
        <w:rPr>
          <w:rFonts w:ascii="Garamond" w:hAnsi="Garamond"/>
          <w:noProof/>
          <w:sz w:val="28"/>
          <w:szCs w:val="28"/>
        </w:rPr>
        <w:t>, M.</w:t>
      </w:r>
      <w:r w:rsidRPr="0049291F">
        <w:rPr>
          <w:rFonts w:ascii="Garamond" w:hAnsi="Garamond"/>
          <w:noProof/>
          <w:sz w:val="28"/>
          <w:szCs w:val="28"/>
        </w:rPr>
        <w:t xml:space="preserve"> &amp; Ungvarsky, </w:t>
      </w:r>
      <w:r w:rsidR="00FC44BC" w:rsidRPr="0049291F">
        <w:rPr>
          <w:rFonts w:ascii="Garamond" w:hAnsi="Garamond"/>
          <w:noProof/>
          <w:sz w:val="28"/>
          <w:szCs w:val="28"/>
        </w:rPr>
        <w:t xml:space="preserve">E., </w:t>
      </w:r>
      <w:r w:rsidRPr="0049291F">
        <w:rPr>
          <w:rFonts w:ascii="Garamond" w:hAnsi="Garamond"/>
          <w:i/>
          <w:iCs/>
          <w:noProof/>
          <w:sz w:val="28"/>
          <w:szCs w:val="28"/>
        </w:rPr>
        <w:t>Excuses, Excuses: Neutral Explanations Under</w:t>
      </w:r>
      <w:r w:rsidRPr="0049291F">
        <w:rPr>
          <w:rFonts w:ascii="Garamond" w:hAnsi="Garamond"/>
          <w:sz w:val="28"/>
          <w:szCs w:val="28"/>
        </w:rPr>
        <w:t xml:space="preserve"> Batson v. Kentucky, 27 U. Mich. J. L. Ref. 237 (1993) (reviewing 800 </w:t>
      </w:r>
      <w:r w:rsidRPr="0049291F">
        <w:rPr>
          <w:rFonts w:ascii="Garamond" w:hAnsi="Garamond"/>
          <w:i/>
          <w:iCs/>
          <w:sz w:val="28"/>
          <w:szCs w:val="28"/>
        </w:rPr>
        <w:t xml:space="preserve">Batson </w:t>
      </w:r>
      <w:r w:rsidRPr="0049291F">
        <w:rPr>
          <w:rFonts w:ascii="Garamond" w:hAnsi="Garamond"/>
          <w:sz w:val="28"/>
          <w:szCs w:val="28"/>
        </w:rPr>
        <w:t>cases and concluding that “given the current case law, a prosecutor who wishes to offer a pretext for a race-based strike is unlikely to encounter difficulty in crafting a neutral explanation”).</w:t>
      </w:r>
    </w:p>
    <w:p w:rsidR="00263531" w:rsidRPr="0049291F" w:rsidRDefault="00263531" w:rsidP="00FC44BC">
      <w:pPr>
        <w:pStyle w:val="PleadingsL1"/>
        <w:jc w:val="both"/>
        <w:rPr>
          <w:rFonts w:ascii="Garamond" w:hAnsi="Garamond"/>
          <w:sz w:val="28"/>
          <w:szCs w:val="28"/>
        </w:rPr>
      </w:pPr>
      <w:r w:rsidRPr="0049291F">
        <w:rPr>
          <w:rFonts w:ascii="Garamond" w:hAnsi="Garamond"/>
          <w:sz w:val="28"/>
          <w:szCs w:val="28"/>
        </w:rPr>
        <w:t xml:space="preserve">Articles Addressing </w:t>
      </w:r>
      <w:r w:rsidR="003F262A" w:rsidRPr="0049291F">
        <w:rPr>
          <w:rFonts w:ascii="Garamond" w:hAnsi="Garamond"/>
          <w:sz w:val="28"/>
          <w:szCs w:val="28"/>
        </w:rPr>
        <w:t>Gender, Age, Disability</w:t>
      </w:r>
      <w:r w:rsidR="00D044E7">
        <w:rPr>
          <w:rFonts w:ascii="Garamond" w:hAnsi="Garamond"/>
          <w:sz w:val="28"/>
          <w:szCs w:val="28"/>
        </w:rPr>
        <w:t xml:space="preserve">, and Sexual Orientation </w:t>
      </w:r>
      <w:r w:rsidR="003F262A" w:rsidRPr="0049291F">
        <w:rPr>
          <w:rFonts w:ascii="Garamond" w:hAnsi="Garamond"/>
          <w:sz w:val="28"/>
          <w:szCs w:val="28"/>
        </w:rPr>
        <w:t>in Jury Selection</w:t>
      </w:r>
    </w:p>
    <w:p w:rsidR="003F262A" w:rsidRPr="0049291F" w:rsidRDefault="003F262A" w:rsidP="00FC44BC">
      <w:pPr>
        <w:pStyle w:val="PleadingsL3"/>
        <w:jc w:val="both"/>
        <w:rPr>
          <w:rFonts w:ascii="Garamond" w:hAnsi="Garamond"/>
          <w:sz w:val="28"/>
          <w:szCs w:val="28"/>
        </w:rPr>
      </w:pPr>
      <w:r w:rsidRPr="0049291F">
        <w:rPr>
          <w:rFonts w:ascii="Garamond" w:hAnsi="Garamond"/>
          <w:sz w:val="28"/>
          <w:szCs w:val="28"/>
        </w:rPr>
        <w:t xml:space="preserve">Flanagan, F., </w:t>
      </w:r>
      <w:r w:rsidRPr="0049291F">
        <w:rPr>
          <w:rFonts w:ascii="Garamond" w:hAnsi="Garamond"/>
          <w:i/>
          <w:sz w:val="28"/>
          <w:szCs w:val="28"/>
        </w:rPr>
        <w:t>Race, Gender, and Juries: Evidence from North Carolina</w:t>
      </w:r>
      <w:r w:rsidRPr="0049291F">
        <w:rPr>
          <w:rFonts w:ascii="Garamond" w:hAnsi="Garamond"/>
          <w:sz w:val="28"/>
          <w:szCs w:val="28"/>
        </w:rPr>
        <w:t>, 61 J.L. &amp; Econ. 189 (May 2018) (</w:t>
      </w:r>
      <w:r w:rsidR="00D044E7">
        <w:rPr>
          <w:rFonts w:ascii="Garamond" w:hAnsi="Garamond"/>
          <w:sz w:val="28"/>
          <w:szCs w:val="28"/>
        </w:rPr>
        <w:t xml:space="preserve">explaining that </w:t>
      </w:r>
      <w:r w:rsidRPr="0049291F">
        <w:rPr>
          <w:rFonts w:ascii="Garamond" w:hAnsi="Garamond"/>
          <w:sz w:val="28"/>
          <w:szCs w:val="28"/>
        </w:rPr>
        <w:t xml:space="preserve">race and gender composition of randomly selected jury pool has significant effect on probability of conviction).  </w:t>
      </w:r>
    </w:p>
    <w:p w:rsidR="003F262A" w:rsidRPr="0049291F" w:rsidRDefault="003F262A" w:rsidP="00FC44BC">
      <w:pPr>
        <w:pStyle w:val="PleadingsL3"/>
        <w:jc w:val="both"/>
        <w:rPr>
          <w:rFonts w:ascii="Garamond" w:hAnsi="Garamond"/>
          <w:sz w:val="28"/>
          <w:szCs w:val="28"/>
        </w:rPr>
      </w:pPr>
      <w:r w:rsidRPr="0049291F">
        <w:rPr>
          <w:rFonts w:ascii="Garamond" w:hAnsi="Garamond"/>
          <w:sz w:val="28"/>
          <w:szCs w:val="28"/>
        </w:rPr>
        <w:t xml:space="preserve">McNamarah, C., </w:t>
      </w:r>
      <w:r w:rsidRPr="0049291F">
        <w:rPr>
          <w:rFonts w:ascii="Garamond" w:hAnsi="Garamond"/>
          <w:i/>
          <w:sz w:val="28"/>
          <w:szCs w:val="28"/>
        </w:rPr>
        <w:t>Sexuality on Trial: Expanding Peña-Rodriguez to Combat Juror Queerphobia</w:t>
      </w:r>
      <w:r w:rsidRPr="0049291F">
        <w:rPr>
          <w:rFonts w:ascii="Garamond" w:hAnsi="Garamond"/>
          <w:sz w:val="28"/>
          <w:szCs w:val="28"/>
        </w:rPr>
        <w:t>, 17 Dukeminier Awards J. Sexual Orientation &amp; Gender Identity L. 393, 400 (2018) (summarizing studies</w:t>
      </w:r>
      <w:r w:rsidR="00D044E7">
        <w:rPr>
          <w:rFonts w:ascii="Garamond" w:hAnsi="Garamond"/>
          <w:sz w:val="28"/>
          <w:szCs w:val="28"/>
        </w:rPr>
        <w:t xml:space="preserve"> that concluded, </w:t>
      </w:r>
      <w:r w:rsidRPr="0049291F">
        <w:rPr>
          <w:rFonts w:ascii="Garamond" w:hAnsi="Garamond"/>
          <w:sz w:val="28"/>
          <w:szCs w:val="28"/>
        </w:rPr>
        <w:t>in one,</w:t>
      </w:r>
      <w:r w:rsidR="00D044E7">
        <w:rPr>
          <w:rFonts w:ascii="Garamond" w:hAnsi="Garamond"/>
          <w:sz w:val="28"/>
          <w:szCs w:val="28"/>
        </w:rPr>
        <w:t xml:space="preserve"> that</w:t>
      </w:r>
      <w:r w:rsidRPr="0049291F">
        <w:rPr>
          <w:rFonts w:ascii="Garamond" w:hAnsi="Garamond"/>
          <w:sz w:val="28"/>
          <w:szCs w:val="28"/>
        </w:rPr>
        <w:t xml:space="preserve"> 17% of jurors said they could not be fair to a gay defendant; in another, 12%; in another, “[t]hree-and-a-half times more people said that they could not be fair and impartial if a party to a case was gay than said that they could not be fair if a party was female, black, or Latino.”).</w:t>
      </w:r>
    </w:p>
    <w:p w:rsidR="007227E3" w:rsidRPr="0049291F" w:rsidRDefault="007227E3" w:rsidP="00FC44BC">
      <w:pPr>
        <w:pStyle w:val="PleadingsL3"/>
        <w:jc w:val="both"/>
        <w:rPr>
          <w:rFonts w:ascii="Garamond" w:hAnsi="Garamond"/>
          <w:sz w:val="28"/>
          <w:szCs w:val="28"/>
        </w:rPr>
      </w:pPr>
      <w:r w:rsidRPr="0049291F">
        <w:rPr>
          <w:rFonts w:ascii="Garamond" w:hAnsi="Garamond"/>
          <w:sz w:val="28"/>
          <w:szCs w:val="28"/>
        </w:rPr>
        <w:t xml:space="preserve">Eisenberg, A., </w:t>
      </w:r>
      <w:r w:rsidRPr="0049291F">
        <w:rPr>
          <w:rFonts w:ascii="Garamond" w:hAnsi="Garamond"/>
          <w:i/>
          <w:sz w:val="28"/>
          <w:szCs w:val="28"/>
        </w:rPr>
        <w:t>Removal of Women and African Americans in Jury Selection in South Carolina Capital Cases</w:t>
      </w:r>
      <w:r w:rsidRPr="0049291F">
        <w:rPr>
          <w:rFonts w:ascii="Garamond" w:hAnsi="Garamond"/>
          <w:sz w:val="28"/>
          <w:szCs w:val="28"/>
        </w:rPr>
        <w:t xml:space="preserve">, 1997-2012, 9 Ne. U. L. Rev. 299 (Summer 2017) (finding both defense and prosecution exercised strikes on </w:t>
      </w:r>
      <w:r w:rsidR="00D044E7">
        <w:rPr>
          <w:rFonts w:ascii="Garamond" w:hAnsi="Garamond"/>
          <w:sz w:val="28"/>
          <w:szCs w:val="28"/>
        </w:rPr>
        <w:t xml:space="preserve">the </w:t>
      </w:r>
      <w:r w:rsidRPr="0049291F">
        <w:rPr>
          <w:rFonts w:ascii="Garamond" w:hAnsi="Garamond"/>
          <w:sz w:val="28"/>
          <w:szCs w:val="28"/>
        </w:rPr>
        <w:t>basis of gender, suggesting</w:t>
      </w:r>
      <w:r w:rsidR="00D044E7">
        <w:rPr>
          <w:rFonts w:ascii="Garamond" w:hAnsi="Garamond"/>
          <w:sz w:val="28"/>
          <w:szCs w:val="28"/>
        </w:rPr>
        <w:t xml:space="preserve"> </w:t>
      </w:r>
      <w:r w:rsidRPr="0049291F">
        <w:rPr>
          <w:rFonts w:ascii="Garamond" w:hAnsi="Garamond"/>
          <w:sz w:val="28"/>
          <w:szCs w:val="28"/>
        </w:rPr>
        <w:t xml:space="preserve">the use of gender as proxy for decisional bias).  </w:t>
      </w:r>
    </w:p>
    <w:p w:rsidR="007227E3" w:rsidRPr="0049291F" w:rsidRDefault="007227E3" w:rsidP="00FC44BC">
      <w:pPr>
        <w:pStyle w:val="PleadingsL3"/>
        <w:jc w:val="both"/>
        <w:rPr>
          <w:rFonts w:ascii="Garamond" w:hAnsi="Garamond"/>
          <w:sz w:val="28"/>
          <w:szCs w:val="28"/>
        </w:rPr>
      </w:pPr>
      <w:r w:rsidRPr="0049291F">
        <w:rPr>
          <w:rFonts w:ascii="Garamond" w:hAnsi="Garamond"/>
          <w:sz w:val="28"/>
          <w:szCs w:val="28"/>
        </w:rPr>
        <w:t xml:space="preserve">Berryessa et al., </w:t>
      </w:r>
      <w:r w:rsidRPr="0049291F">
        <w:rPr>
          <w:rFonts w:ascii="Garamond" w:hAnsi="Garamond"/>
          <w:i/>
          <w:sz w:val="28"/>
          <w:szCs w:val="28"/>
        </w:rPr>
        <w:t>Impact of Psychiatric Information on Potential Jurors in Evaluating High-Functioning Autism Spectrum Disorder</w:t>
      </w:r>
      <w:r w:rsidRPr="0049291F">
        <w:rPr>
          <w:rFonts w:ascii="Garamond" w:hAnsi="Garamond"/>
          <w:sz w:val="28"/>
          <w:szCs w:val="28"/>
        </w:rPr>
        <w:t xml:space="preserve"> (hfASD), 8 J. Ment. Health Res. Intellect. Disabil. 140 (July 1, 2015) (discussing importance of allowing jurors with non-incapacitating mental disorders to serve). </w:t>
      </w:r>
    </w:p>
    <w:p w:rsidR="008C4A98" w:rsidRDefault="008C4A98" w:rsidP="00FC44BC">
      <w:pPr>
        <w:pStyle w:val="PleadingsL3"/>
        <w:jc w:val="both"/>
        <w:rPr>
          <w:rFonts w:ascii="Garamond" w:hAnsi="Garamond"/>
          <w:sz w:val="28"/>
          <w:szCs w:val="28"/>
        </w:rPr>
      </w:pPr>
      <w:r w:rsidRPr="0049291F">
        <w:rPr>
          <w:rFonts w:ascii="Garamond" w:hAnsi="Garamond"/>
          <w:sz w:val="28"/>
          <w:szCs w:val="28"/>
        </w:rPr>
        <w:t xml:space="preserve">Anwar et. al., </w:t>
      </w:r>
      <w:r w:rsidRPr="0049291F">
        <w:rPr>
          <w:rFonts w:ascii="Garamond" w:hAnsi="Garamond"/>
          <w:i/>
          <w:sz w:val="28"/>
          <w:szCs w:val="28"/>
        </w:rPr>
        <w:t>The Role of Age in Jury Selection and Trial Outcomes</w:t>
      </w:r>
      <w:r w:rsidRPr="0049291F">
        <w:rPr>
          <w:rFonts w:ascii="Garamond" w:hAnsi="Garamond"/>
          <w:sz w:val="28"/>
          <w:szCs w:val="28"/>
        </w:rPr>
        <w:t>, 57 J.L. &amp; Econ. 1001 (Nov. 2014) (discussing that age discrimination is common in jury selection).</w:t>
      </w:r>
    </w:p>
    <w:p w:rsidR="008C4A98" w:rsidRDefault="008C4A98" w:rsidP="008C4A98">
      <w:pPr>
        <w:pStyle w:val="PleadingsL3"/>
        <w:jc w:val="both"/>
        <w:rPr>
          <w:rFonts w:ascii="Garamond" w:hAnsi="Garamond"/>
          <w:sz w:val="28"/>
          <w:szCs w:val="28"/>
        </w:rPr>
      </w:pPr>
      <w:r w:rsidRPr="008C4A98">
        <w:rPr>
          <w:rFonts w:ascii="Garamond" w:hAnsi="Garamond"/>
          <w:sz w:val="28"/>
          <w:szCs w:val="28"/>
        </w:rPr>
        <w:t>Shay G., </w:t>
      </w:r>
      <w:r w:rsidRPr="008C4A98">
        <w:rPr>
          <w:rFonts w:ascii="Garamond" w:hAnsi="Garamond"/>
          <w:i/>
          <w:iCs/>
          <w:sz w:val="28"/>
          <w:szCs w:val="28"/>
        </w:rPr>
        <w:t>In the Box: Voir Dire on LGBT Issues in Changing Times</w:t>
      </w:r>
      <w:r w:rsidRPr="008C4A98">
        <w:rPr>
          <w:rFonts w:ascii="Garamond" w:hAnsi="Garamond"/>
          <w:sz w:val="28"/>
          <w:szCs w:val="28"/>
        </w:rPr>
        <w:t xml:space="preserve">, 37 Harv. J.L. &amp; Gender 407 (2014) (discussing range of negative attitudes expressed by potential jurors to LGBT issues, the complexities of questioning prospective jurors on these issues, and suggesting best practices for </w:t>
      </w:r>
      <w:r w:rsidRPr="008C4A98">
        <w:rPr>
          <w:rFonts w:ascii="Garamond" w:hAnsi="Garamond"/>
          <w:i/>
          <w:iCs/>
          <w:sz w:val="28"/>
          <w:szCs w:val="28"/>
        </w:rPr>
        <w:t>voir dire</w:t>
      </w:r>
      <w:r w:rsidRPr="008C4A98">
        <w:rPr>
          <w:rFonts w:ascii="Garamond" w:hAnsi="Garamond"/>
          <w:sz w:val="28"/>
          <w:szCs w:val="28"/>
        </w:rPr>
        <w:t>).</w:t>
      </w:r>
    </w:p>
    <w:p w:rsidR="008C4A98" w:rsidRPr="008C4A98" w:rsidRDefault="008C4A98" w:rsidP="008C4A98">
      <w:pPr>
        <w:pStyle w:val="PleadingsL3"/>
        <w:jc w:val="both"/>
        <w:rPr>
          <w:rFonts w:ascii="Garamond" w:hAnsi="Garamond"/>
          <w:sz w:val="28"/>
          <w:szCs w:val="28"/>
        </w:rPr>
      </w:pPr>
      <w:r w:rsidRPr="008C4A98">
        <w:rPr>
          <w:rFonts w:ascii="Garamond" w:hAnsi="Garamond"/>
          <w:sz w:val="28"/>
          <w:szCs w:val="28"/>
        </w:rPr>
        <w:t>Hightower, S. </w:t>
      </w:r>
      <w:r w:rsidRPr="008C4A98">
        <w:rPr>
          <w:rFonts w:ascii="Garamond" w:hAnsi="Garamond"/>
          <w:i/>
          <w:iCs/>
          <w:sz w:val="28"/>
          <w:szCs w:val="28"/>
        </w:rPr>
        <w:t>Sex and the Peremptory Strike: An Empirical Analysis of J.E.B. v. Alabama’s First Five Years</w:t>
      </w:r>
      <w:r w:rsidRPr="008C4A98">
        <w:rPr>
          <w:rFonts w:ascii="Garamond" w:hAnsi="Garamond"/>
          <w:sz w:val="28"/>
          <w:szCs w:val="28"/>
        </w:rPr>
        <w:t xml:space="preserve">, 52 Stan. L. Rev. 895 (April 2000) (studying cases during the five years after the United States Supreme Court decided </w:t>
      </w:r>
      <w:r w:rsidRPr="008C4A98">
        <w:rPr>
          <w:rFonts w:ascii="Garamond" w:hAnsi="Garamond"/>
          <w:i/>
          <w:iCs/>
          <w:sz w:val="28"/>
          <w:szCs w:val="28"/>
        </w:rPr>
        <w:t>J.E.B. v. Alabama</w:t>
      </w:r>
      <w:r w:rsidRPr="008C4A98">
        <w:rPr>
          <w:rFonts w:ascii="Garamond" w:hAnsi="Garamond"/>
          <w:sz w:val="28"/>
          <w:szCs w:val="28"/>
        </w:rPr>
        <w:t xml:space="preserve"> and finding that </w:t>
      </w:r>
      <w:r w:rsidRPr="008C4A98">
        <w:rPr>
          <w:rFonts w:ascii="Garamond" w:hAnsi="Garamond"/>
          <w:i/>
          <w:iCs/>
          <w:sz w:val="28"/>
          <w:szCs w:val="28"/>
        </w:rPr>
        <w:t>J.E.B.</w:t>
      </w:r>
      <w:r w:rsidRPr="008C4A98">
        <w:rPr>
          <w:rFonts w:ascii="Garamond" w:hAnsi="Garamond"/>
          <w:sz w:val="28"/>
          <w:szCs w:val="28"/>
        </w:rPr>
        <w:t>-based challenges to the use of peremptory strikes were most common in murder cases, not gender-sensitive cases and that</w:t>
      </w:r>
      <w:r>
        <w:rPr>
          <w:rFonts w:ascii="Garamond" w:hAnsi="Garamond"/>
          <w:sz w:val="28"/>
          <w:szCs w:val="28"/>
        </w:rPr>
        <w:t xml:space="preserve"> </w:t>
      </w:r>
      <w:r w:rsidRPr="008C4A98">
        <w:rPr>
          <w:rFonts w:ascii="Garamond" w:hAnsi="Garamond"/>
          <w:sz w:val="28"/>
          <w:szCs w:val="28"/>
        </w:rPr>
        <w:t xml:space="preserve">most </w:t>
      </w:r>
      <w:r w:rsidRPr="008C4A98">
        <w:rPr>
          <w:rFonts w:ascii="Garamond" w:hAnsi="Garamond"/>
          <w:i/>
          <w:iCs/>
          <w:sz w:val="28"/>
          <w:szCs w:val="28"/>
        </w:rPr>
        <w:t>J.E.B.</w:t>
      </w:r>
      <w:r w:rsidRPr="008C4A98">
        <w:rPr>
          <w:rFonts w:ascii="Garamond" w:hAnsi="Garamond"/>
          <w:sz w:val="28"/>
          <w:szCs w:val="28"/>
        </w:rPr>
        <w:t>-based challenges were made in criminal cases, with 87% of death penalty cases involving claims that the prosecutor was improperly striking women).</w:t>
      </w:r>
    </w:p>
    <w:p w:rsidR="008C4A98" w:rsidRPr="008C4A98" w:rsidRDefault="008C4A98" w:rsidP="008C4A98">
      <w:pPr>
        <w:pStyle w:val="PleadingsL3"/>
        <w:jc w:val="both"/>
        <w:rPr>
          <w:rFonts w:ascii="Garamond" w:hAnsi="Garamond"/>
          <w:color w:val="212121"/>
          <w:sz w:val="28"/>
          <w:szCs w:val="28"/>
        </w:rPr>
      </w:pPr>
      <w:r w:rsidRPr="008C4A98">
        <w:rPr>
          <w:rFonts w:ascii="Garamond" w:hAnsi="Garamond"/>
          <w:sz w:val="28"/>
          <w:szCs w:val="28"/>
        </w:rPr>
        <w:t xml:space="preserve">Wagner, S., </w:t>
      </w:r>
      <w:r w:rsidRPr="008C4A98">
        <w:rPr>
          <w:rFonts w:ascii="Garamond" w:hAnsi="Garamond"/>
          <w:i/>
          <w:sz w:val="28"/>
          <w:szCs w:val="28"/>
        </w:rPr>
        <w:t>Annotation, Examination and Challenge of State Case Jurors on Basis of Attitudes Toward Homosexuality</w:t>
      </w:r>
      <w:r w:rsidRPr="008C4A98">
        <w:rPr>
          <w:rFonts w:ascii="Garamond" w:hAnsi="Garamond"/>
          <w:sz w:val="28"/>
          <w:szCs w:val="28"/>
        </w:rPr>
        <w:t xml:space="preserve">, 80 A.L.R.5th 469 (2000) (collecting cases that have discussed </w:t>
      </w:r>
      <w:r w:rsidRPr="008C4A98">
        <w:rPr>
          <w:rFonts w:ascii="Garamond" w:hAnsi="Garamond"/>
          <w:i/>
          <w:iCs/>
          <w:sz w:val="28"/>
          <w:szCs w:val="28"/>
        </w:rPr>
        <w:t>voir dire</w:t>
      </w:r>
      <w:r w:rsidRPr="008C4A98">
        <w:rPr>
          <w:rFonts w:ascii="Garamond" w:hAnsi="Garamond"/>
          <w:sz w:val="28"/>
          <w:szCs w:val="28"/>
        </w:rPr>
        <w:t xml:space="preserve"> of jurors for prejudice against same-sex sexuality and developing rules about juror questioning on this issue).</w:t>
      </w:r>
    </w:p>
    <w:p w:rsidR="008C4A98" w:rsidRPr="008C4A98" w:rsidRDefault="008C4A98" w:rsidP="008C4A98">
      <w:pPr>
        <w:pStyle w:val="BodyText"/>
      </w:pPr>
    </w:p>
    <w:p w:rsidR="0089751F" w:rsidRPr="0049291F" w:rsidRDefault="003F262A" w:rsidP="00FC44BC">
      <w:pPr>
        <w:pStyle w:val="PleadingsL1"/>
        <w:jc w:val="both"/>
        <w:rPr>
          <w:rFonts w:ascii="Garamond" w:hAnsi="Garamond"/>
          <w:sz w:val="28"/>
          <w:szCs w:val="28"/>
        </w:rPr>
      </w:pPr>
      <w:r w:rsidRPr="0049291F">
        <w:rPr>
          <w:rFonts w:ascii="Garamond" w:hAnsi="Garamond"/>
          <w:sz w:val="28"/>
          <w:szCs w:val="28"/>
        </w:rPr>
        <w:t xml:space="preserve">Articles and </w:t>
      </w:r>
      <w:r w:rsidR="0089751F" w:rsidRPr="0049291F">
        <w:rPr>
          <w:rFonts w:ascii="Garamond" w:hAnsi="Garamond"/>
          <w:sz w:val="28"/>
          <w:szCs w:val="28"/>
        </w:rPr>
        <w:t>Research Studies</w:t>
      </w:r>
      <w:r w:rsidRPr="0049291F">
        <w:rPr>
          <w:rFonts w:ascii="Garamond" w:hAnsi="Garamond"/>
          <w:sz w:val="28"/>
          <w:szCs w:val="28"/>
        </w:rPr>
        <w:t xml:space="preserve"> on Criminal Justice System </w:t>
      </w:r>
    </w:p>
    <w:p w:rsidR="001650D7" w:rsidRPr="0049291F" w:rsidRDefault="001650D7" w:rsidP="00FC44BC">
      <w:pPr>
        <w:pStyle w:val="PleadingsL3"/>
        <w:jc w:val="both"/>
        <w:rPr>
          <w:rFonts w:ascii="Garamond" w:hAnsi="Garamond"/>
          <w:sz w:val="28"/>
          <w:szCs w:val="28"/>
        </w:rPr>
      </w:pPr>
      <w:r w:rsidRPr="0049291F">
        <w:rPr>
          <w:rFonts w:ascii="Garamond" w:hAnsi="Garamond"/>
          <w:sz w:val="28"/>
          <w:szCs w:val="28"/>
        </w:rPr>
        <w:t xml:space="preserve">Santhanam, </w:t>
      </w:r>
      <w:r w:rsidR="00FC44BC" w:rsidRPr="0049291F">
        <w:rPr>
          <w:rFonts w:ascii="Garamond" w:hAnsi="Garamond"/>
          <w:sz w:val="28"/>
          <w:szCs w:val="28"/>
        </w:rPr>
        <w:t xml:space="preserve">L., </w:t>
      </w:r>
      <w:r w:rsidRPr="0049291F">
        <w:rPr>
          <w:rFonts w:ascii="Garamond" w:hAnsi="Garamond"/>
          <w:i/>
          <w:iCs/>
          <w:sz w:val="28"/>
          <w:szCs w:val="28"/>
        </w:rPr>
        <w:t>Two-thirds of black American don’t trust the police to treat them equally. Most white Americans do</w:t>
      </w:r>
      <w:r w:rsidRPr="0049291F">
        <w:rPr>
          <w:rFonts w:ascii="Garamond" w:hAnsi="Garamond"/>
          <w:sz w:val="28"/>
          <w:szCs w:val="28"/>
        </w:rPr>
        <w:t xml:space="preserve">, </w:t>
      </w:r>
      <w:r w:rsidRPr="0049291F">
        <w:rPr>
          <w:rFonts w:ascii="Garamond" w:hAnsi="Garamond"/>
          <w:smallCaps/>
          <w:sz w:val="28"/>
          <w:szCs w:val="28"/>
        </w:rPr>
        <w:t>PBS News Hour,</w:t>
      </w:r>
      <w:r w:rsidRPr="0049291F">
        <w:rPr>
          <w:rFonts w:ascii="Garamond" w:hAnsi="Garamond"/>
          <w:sz w:val="28"/>
          <w:szCs w:val="28"/>
        </w:rPr>
        <w:t xml:space="preserve"> (June 5, 2020) (citing the latest PBS NewsHour-NPR-Marist poll, which found that “[n]early half of black Americans have very little or no confidence that police officers in their community treat people with different skin colors the same,” while overall “only 18 percent of Americans take that view” and concluding “that people of different races are living different realities in the United States”), </w:t>
      </w:r>
      <w:r w:rsidRPr="0049291F">
        <w:rPr>
          <w:rFonts w:ascii="Garamond" w:hAnsi="Garamond"/>
          <w:i/>
          <w:iCs/>
          <w:sz w:val="28"/>
          <w:szCs w:val="28"/>
        </w:rPr>
        <w:t>available at</w:t>
      </w:r>
      <w:r w:rsidRPr="0049291F">
        <w:rPr>
          <w:rFonts w:ascii="Garamond" w:hAnsi="Garamond"/>
          <w:sz w:val="28"/>
          <w:szCs w:val="28"/>
        </w:rPr>
        <w:t xml:space="preserve">: </w:t>
      </w:r>
      <w:hyperlink r:id="rId8" w:history="1">
        <w:r w:rsidRPr="0049291F">
          <w:rPr>
            <w:rStyle w:val="Hyperlink"/>
            <w:rFonts w:ascii="Garamond" w:hAnsi="Garamond"/>
            <w:sz w:val="28"/>
            <w:szCs w:val="28"/>
          </w:rPr>
          <w:t>https://www.pbs.org/newshour/politics/two-thirds-of-black-americans-dont-trust-the-police-to-treat-them-equally-most-white-americans-do</w:t>
        </w:r>
      </w:hyperlink>
      <w:r w:rsidRPr="0049291F">
        <w:rPr>
          <w:rFonts w:ascii="Garamond" w:hAnsi="Garamond"/>
          <w:sz w:val="28"/>
          <w:szCs w:val="28"/>
        </w:rPr>
        <w:t>.</w:t>
      </w:r>
    </w:p>
    <w:p w:rsidR="0089751F" w:rsidRPr="0049291F" w:rsidRDefault="0089751F" w:rsidP="00FC44BC">
      <w:pPr>
        <w:pStyle w:val="PleadingsL3"/>
        <w:jc w:val="both"/>
        <w:rPr>
          <w:rFonts w:ascii="Garamond" w:hAnsi="Garamond"/>
          <w:sz w:val="28"/>
          <w:szCs w:val="28"/>
        </w:rPr>
      </w:pPr>
      <w:r w:rsidRPr="0049291F">
        <w:rPr>
          <w:rFonts w:ascii="Garamond" w:hAnsi="Garamond"/>
          <w:sz w:val="28"/>
          <w:szCs w:val="28"/>
        </w:rPr>
        <w:t>Morin</w:t>
      </w:r>
      <w:r w:rsidR="00FC44BC" w:rsidRPr="0049291F">
        <w:rPr>
          <w:rFonts w:ascii="Garamond" w:hAnsi="Garamond"/>
          <w:sz w:val="28"/>
          <w:szCs w:val="28"/>
        </w:rPr>
        <w:t>, R.</w:t>
      </w:r>
      <w:r w:rsidRPr="0049291F">
        <w:rPr>
          <w:rFonts w:ascii="Garamond" w:hAnsi="Garamond"/>
          <w:sz w:val="28"/>
          <w:szCs w:val="28"/>
        </w:rPr>
        <w:t xml:space="preserve"> &amp; Stapler, </w:t>
      </w:r>
      <w:r w:rsidR="00FC44BC" w:rsidRPr="0049291F">
        <w:rPr>
          <w:rFonts w:ascii="Garamond" w:hAnsi="Garamond"/>
          <w:sz w:val="28"/>
          <w:szCs w:val="28"/>
        </w:rPr>
        <w:t xml:space="preserve">R., </w:t>
      </w:r>
      <w:r w:rsidRPr="0049291F">
        <w:rPr>
          <w:rFonts w:ascii="Garamond" w:hAnsi="Garamond"/>
          <w:i/>
          <w:iCs/>
          <w:sz w:val="28"/>
          <w:szCs w:val="28"/>
        </w:rPr>
        <w:t>The Racial Confidence Gap in Police Performance</w:t>
      </w:r>
      <w:r w:rsidRPr="0049291F">
        <w:rPr>
          <w:rFonts w:ascii="Garamond" w:hAnsi="Garamond"/>
          <w:sz w:val="28"/>
          <w:szCs w:val="28"/>
        </w:rPr>
        <w:t xml:space="preserve">, </w:t>
      </w:r>
      <w:r w:rsidRPr="0049291F">
        <w:rPr>
          <w:rFonts w:ascii="Garamond" w:hAnsi="Garamond"/>
          <w:smallCaps/>
          <w:sz w:val="28"/>
          <w:szCs w:val="28"/>
        </w:rPr>
        <w:t>Pew Research Ctr.</w:t>
      </w:r>
      <w:r w:rsidRPr="0049291F">
        <w:rPr>
          <w:rFonts w:ascii="Garamond" w:hAnsi="Garamond"/>
          <w:sz w:val="28"/>
          <w:szCs w:val="28"/>
        </w:rPr>
        <w:t xml:space="preserve"> (Sept. 29, 2016) (finding that while 36% of Americans have “a lot of confidence in their police department,” that figure split sharply along racial lines with white Americans three times as likely as Black Americans to have “a lot of confidence in police” – 42% to 14% – and, similarly, while only 6% of white Americans had no confidence at all in their local police, 24%—almost a quarter—of Black Americans had no such confidence”), </w:t>
      </w:r>
      <w:r w:rsidRPr="0049291F">
        <w:rPr>
          <w:rFonts w:ascii="Garamond" w:hAnsi="Garamond"/>
          <w:i/>
          <w:iCs/>
          <w:sz w:val="28"/>
          <w:szCs w:val="28"/>
        </w:rPr>
        <w:t>available at</w:t>
      </w:r>
      <w:r w:rsidRPr="0049291F">
        <w:rPr>
          <w:rFonts w:ascii="Garamond" w:hAnsi="Garamond"/>
          <w:sz w:val="28"/>
          <w:szCs w:val="28"/>
        </w:rPr>
        <w:t xml:space="preserve">: </w:t>
      </w:r>
      <w:hyperlink r:id="rId9" w:anchor="fn-22079-1" w:history="1">
        <w:r w:rsidRPr="0049291F">
          <w:rPr>
            <w:rStyle w:val="Hyperlink"/>
            <w:rFonts w:ascii="Garamond" w:hAnsi="Garamond"/>
            <w:sz w:val="28"/>
            <w:szCs w:val="28"/>
          </w:rPr>
          <w:t>https://www.pewsocialtrends.org/2016/09/29/the-racial-confidence-gap-in-police-performance/#fn-22079-1</w:t>
        </w:r>
      </w:hyperlink>
      <w:r w:rsidRPr="0049291F">
        <w:rPr>
          <w:rFonts w:ascii="Garamond" w:hAnsi="Garamond"/>
          <w:sz w:val="28"/>
          <w:szCs w:val="28"/>
        </w:rPr>
        <w:t xml:space="preserve">. </w:t>
      </w:r>
    </w:p>
    <w:p w:rsidR="0089751F" w:rsidRPr="0049291F" w:rsidRDefault="0089751F" w:rsidP="00FC44BC">
      <w:pPr>
        <w:pStyle w:val="PleadingsL3"/>
        <w:jc w:val="both"/>
        <w:rPr>
          <w:rFonts w:ascii="Garamond" w:hAnsi="Garamond"/>
          <w:sz w:val="28"/>
          <w:szCs w:val="28"/>
        </w:rPr>
      </w:pPr>
      <w:r w:rsidRPr="0049291F">
        <w:rPr>
          <w:rFonts w:ascii="Garamond" w:hAnsi="Garamond"/>
          <w:sz w:val="28"/>
          <w:szCs w:val="28"/>
        </w:rPr>
        <w:t xml:space="preserve">New York Civil Liberties Union, </w:t>
      </w:r>
      <w:r w:rsidRPr="0049291F">
        <w:rPr>
          <w:rFonts w:ascii="Garamond" w:hAnsi="Garamond"/>
          <w:i/>
          <w:iCs/>
          <w:sz w:val="28"/>
          <w:szCs w:val="28"/>
        </w:rPr>
        <w:t>Stop-and-Frisk in the de Blasio Era</w:t>
      </w:r>
      <w:r w:rsidRPr="0049291F">
        <w:rPr>
          <w:rFonts w:ascii="Garamond" w:hAnsi="Garamond"/>
          <w:sz w:val="28"/>
          <w:szCs w:val="28"/>
        </w:rPr>
        <w:t xml:space="preserve">, (March 2019) (finding that despite a drastic decline in the number of New York Police Department stops since 2011, “[f]our out of every five reported stops were of black or Latino people” and noting that “[w]hile they account for five percent of the city’s population, black and Latino males between the ages of 14 and 24 accounted for 38 percent of reported stops between 2014 and 2017”), </w:t>
      </w:r>
      <w:r w:rsidRPr="0049291F">
        <w:rPr>
          <w:rFonts w:ascii="Garamond" w:hAnsi="Garamond"/>
          <w:i/>
          <w:iCs/>
          <w:sz w:val="28"/>
          <w:szCs w:val="28"/>
        </w:rPr>
        <w:t>available at</w:t>
      </w:r>
      <w:r w:rsidRPr="0049291F">
        <w:rPr>
          <w:rFonts w:ascii="Garamond" w:hAnsi="Garamond"/>
          <w:sz w:val="28"/>
          <w:szCs w:val="28"/>
        </w:rPr>
        <w:t xml:space="preserve">: </w:t>
      </w:r>
      <w:hyperlink r:id="rId10" w:history="1">
        <w:r w:rsidRPr="0049291F">
          <w:rPr>
            <w:rStyle w:val="Hyperlink"/>
            <w:rFonts w:ascii="Garamond" w:hAnsi="Garamond"/>
            <w:sz w:val="28"/>
            <w:szCs w:val="28"/>
          </w:rPr>
          <w:t>https://www.nyclu.org/sites/default/files/field_documents/20190314_nyclu_stopfrisk_singles.pdf</w:t>
        </w:r>
      </w:hyperlink>
      <w:r w:rsidRPr="0049291F">
        <w:rPr>
          <w:rFonts w:ascii="Garamond" w:hAnsi="Garamond"/>
          <w:sz w:val="28"/>
          <w:szCs w:val="28"/>
        </w:rPr>
        <w:t>.</w:t>
      </w:r>
    </w:p>
    <w:p w:rsidR="00827157" w:rsidRPr="0049291F" w:rsidRDefault="00827157" w:rsidP="00FC44BC">
      <w:pPr>
        <w:pStyle w:val="PleadingsL3"/>
        <w:jc w:val="both"/>
        <w:rPr>
          <w:rFonts w:ascii="Garamond" w:hAnsi="Garamond"/>
          <w:sz w:val="28"/>
          <w:szCs w:val="28"/>
        </w:rPr>
      </w:pPr>
      <w:r w:rsidRPr="0049291F">
        <w:rPr>
          <w:rFonts w:ascii="Garamond" w:hAnsi="Garamond"/>
          <w:sz w:val="28"/>
          <w:szCs w:val="28"/>
        </w:rPr>
        <w:t>Carbado</w:t>
      </w:r>
      <w:r w:rsidR="00C3562C" w:rsidRPr="0049291F">
        <w:rPr>
          <w:rFonts w:ascii="Garamond" w:hAnsi="Garamond"/>
          <w:sz w:val="28"/>
          <w:szCs w:val="28"/>
        </w:rPr>
        <w:t>, V.W.</w:t>
      </w:r>
      <w:r w:rsidRPr="0049291F">
        <w:rPr>
          <w:rFonts w:ascii="Garamond" w:hAnsi="Garamond"/>
          <w:sz w:val="28"/>
          <w:szCs w:val="28"/>
        </w:rPr>
        <w:t xml:space="preserve"> &amp; Rock, </w:t>
      </w:r>
      <w:r w:rsidR="00C3562C" w:rsidRPr="0049291F">
        <w:rPr>
          <w:rFonts w:ascii="Garamond" w:hAnsi="Garamond"/>
          <w:sz w:val="28"/>
          <w:szCs w:val="28"/>
        </w:rPr>
        <w:t xml:space="preserve">P., </w:t>
      </w:r>
      <w:r w:rsidRPr="0049291F">
        <w:rPr>
          <w:rFonts w:ascii="Garamond" w:hAnsi="Garamond"/>
          <w:i/>
          <w:iCs/>
          <w:sz w:val="28"/>
          <w:szCs w:val="28"/>
        </w:rPr>
        <w:t>What Exposes African Americans to Police Violence?</w:t>
      </w:r>
      <w:r w:rsidRPr="0049291F">
        <w:rPr>
          <w:rFonts w:ascii="Garamond" w:hAnsi="Garamond"/>
          <w:sz w:val="28"/>
          <w:szCs w:val="28"/>
        </w:rPr>
        <w:t xml:space="preserve">, </w:t>
      </w:r>
      <w:r w:rsidRPr="0049291F">
        <w:rPr>
          <w:rFonts w:ascii="Garamond" w:hAnsi="Garamond"/>
          <w:smallCaps/>
          <w:sz w:val="28"/>
          <w:szCs w:val="28"/>
        </w:rPr>
        <w:t>51 Harv. Civ. Rights-Civ. Lib. L. Rev. 159</w:t>
      </w:r>
      <w:r w:rsidRPr="0049291F">
        <w:rPr>
          <w:rFonts w:ascii="Garamond" w:hAnsi="Garamond"/>
          <w:sz w:val="28"/>
          <w:szCs w:val="28"/>
        </w:rPr>
        <w:t xml:space="preserve"> (2016) (explaining why police violence disproportionately affects African Americans and concluding that the combination of (1) aggressive masculinity in both policing and black communities and (2) the experience of being repeatedly stopped by police, which engenders resistance to police authority, as driving forces of aggressive policing of African Americans and mutual distrust).</w:t>
      </w:r>
    </w:p>
    <w:p w:rsidR="00781FDD" w:rsidRPr="0049291F" w:rsidRDefault="00781FDD" w:rsidP="00FC44BC">
      <w:pPr>
        <w:pStyle w:val="PleadingsL3"/>
        <w:jc w:val="both"/>
        <w:rPr>
          <w:rFonts w:ascii="Garamond" w:hAnsi="Garamond"/>
          <w:sz w:val="28"/>
          <w:szCs w:val="28"/>
          <w:shd w:val="clear" w:color="auto" w:fill="FFFFFF"/>
        </w:rPr>
      </w:pPr>
      <w:r w:rsidRPr="0049291F">
        <w:rPr>
          <w:rFonts w:ascii="Garamond" w:hAnsi="Garamond"/>
          <w:sz w:val="28"/>
          <w:szCs w:val="28"/>
          <w:shd w:val="clear" w:color="auto" w:fill="FFFFFF"/>
        </w:rPr>
        <w:t xml:space="preserve">Flaherty, </w:t>
      </w:r>
      <w:r w:rsidR="00FC44BC" w:rsidRPr="0049291F">
        <w:rPr>
          <w:rFonts w:ascii="Garamond" w:hAnsi="Garamond"/>
          <w:sz w:val="28"/>
          <w:szCs w:val="28"/>
          <w:shd w:val="clear" w:color="auto" w:fill="FFFFFF"/>
        </w:rPr>
        <w:t xml:space="preserve">J., </w:t>
      </w:r>
      <w:r w:rsidRPr="0049291F">
        <w:rPr>
          <w:rFonts w:ascii="Garamond" w:hAnsi="Garamond"/>
          <w:i/>
          <w:iCs/>
          <w:sz w:val="28"/>
          <w:szCs w:val="28"/>
          <w:shd w:val="clear" w:color="auto" w:fill="FFFFFF"/>
        </w:rPr>
        <w:t xml:space="preserve">It Wasn’t Just Sherriff Joe: DPS Troopers Are More Likely to Search Latino, Black Drivers, </w:t>
      </w:r>
      <w:r w:rsidRPr="0049291F">
        <w:rPr>
          <w:rFonts w:ascii="Garamond" w:hAnsi="Garamond"/>
          <w:sz w:val="28"/>
          <w:szCs w:val="28"/>
          <w:shd w:val="clear" w:color="auto" w:fill="FFFFFF"/>
        </w:rPr>
        <w:t>New Times</w:t>
      </w:r>
      <w:r w:rsidRPr="0049291F">
        <w:rPr>
          <w:rFonts w:ascii="Garamond" w:hAnsi="Garamond"/>
          <w:i/>
          <w:iCs/>
          <w:sz w:val="28"/>
          <w:szCs w:val="28"/>
          <w:shd w:val="clear" w:color="auto" w:fill="FFFFFF"/>
        </w:rPr>
        <w:t xml:space="preserve"> Finds</w:t>
      </w:r>
      <w:r w:rsidRPr="0049291F">
        <w:rPr>
          <w:rFonts w:ascii="Garamond" w:hAnsi="Garamond"/>
          <w:sz w:val="28"/>
          <w:szCs w:val="28"/>
          <w:shd w:val="clear" w:color="auto" w:fill="FFFFFF"/>
        </w:rPr>
        <w:t xml:space="preserve">, </w:t>
      </w:r>
      <w:r w:rsidRPr="0049291F">
        <w:rPr>
          <w:rFonts w:ascii="Garamond" w:hAnsi="Garamond"/>
          <w:smallCaps/>
          <w:sz w:val="28"/>
          <w:szCs w:val="28"/>
          <w:shd w:val="clear" w:color="auto" w:fill="FFFFFF"/>
        </w:rPr>
        <w:t>Phoenix New Times,</w:t>
      </w:r>
      <w:r w:rsidRPr="0049291F">
        <w:rPr>
          <w:rFonts w:ascii="Garamond" w:hAnsi="Garamond"/>
          <w:sz w:val="28"/>
          <w:szCs w:val="28"/>
          <w:shd w:val="clear" w:color="auto" w:fill="FFFFFF"/>
        </w:rPr>
        <w:t xml:space="preserve"> (Aug. 14, 2007) (reviewing the Arizona-specific data comp</w:t>
      </w:r>
      <w:r w:rsidR="008C4A98">
        <w:rPr>
          <w:rFonts w:ascii="Garamond" w:hAnsi="Garamond"/>
          <w:sz w:val="28"/>
          <w:szCs w:val="28"/>
          <w:shd w:val="clear" w:color="auto" w:fill="FFFFFF"/>
        </w:rPr>
        <w:t>iled</w:t>
      </w:r>
      <w:r w:rsidRPr="0049291F">
        <w:rPr>
          <w:rFonts w:ascii="Garamond" w:hAnsi="Garamond"/>
          <w:sz w:val="28"/>
          <w:szCs w:val="28"/>
          <w:shd w:val="clear" w:color="auto" w:fill="FFFFFF"/>
        </w:rPr>
        <w:t xml:space="preserve"> by the Stanford Open Policing Project and finding that Hispanic drivers in Arizona who were stopped by Department of Public Safety (DPS) officers were 2.5 times more likely to be searched than white drivers despite a lower rate of contraband being found among those Hispanic drivers as compared to white drivers who were searched), </w:t>
      </w:r>
      <w:r w:rsidRPr="0049291F">
        <w:rPr>
          <w:rFonts w:ascii="Garamond" w:hAnsi="Garamond"/>
          <w:i/>
          <w:iCs/>
          <w:sz w:val="28"/>
          <w:szCs w:val="28"/>
          <w:shd w:val="clear" w:color="auto" w:fill="FFFFFF"/>
        </w:rPr>
        <w:t>available at</w:t>
      </w:r>
      <w:r w:rsidRPr="0049291F">
        <w:rPr>
          <w:rFonts w:ascii="Garamond" w:hAnsi="Garamond"/>
          <w:sz w:val="28"/>
          <w:szCs w:val="28"/>
          <w:shd w:val="clear" w:color="auto" w:fill="FFFFFF"/>
        </w:rPr>
        <w:t xml:space="preserve">: </w:t>
      </w:r>
      <w:hyperlink r:id="rId11" w:history="1">
        <w:r w:rsidRPr="0049291F">
          <w:rPr>
            <w:rStyle w:val="Hyperlink"/>
            <w:rFonts w:ascii="Garamond" w:hAnsi="Garamond"/>
            <w:color w:val="4472C4" w:themeColor="accent5"/>
            <w:sz w:val="28"/>
            <w:szCs w:val="28"/>
            <w:shd w:val="clear" w:color="auto" w:fill="FFFFFF"/>
          </w:rPr>
          <w:t>https://www.phoenixnewtimes.com/news/black-latino-drivers-in-arizona-more-likely-searched-by-troopers-9570746</w:t>
        </w:r>
      </w:hyperlink>
      <w:r w:rsidRPr="0049291F">
        <w:rPr>
          <w:rFonts w:ascii="Garamond" w:hAnsi="Garamond"/>
          <w:sz w:val="28"/>
          <w:szCs w:val="28"/>
          <w:shd w:val="clear" w:color="auto" w:fill="FFFFFF"/>
        </w:rPr>
        <w:t>.</w:t>
      </w:r>
    </w:p>
    <w:p w:rsidR="00827157" w:rsidRPr="008C4A98" w:rsidRDefault="00781FDD" w:rsidP="0026361A">
      <w:pPr>
        <w:pStyle w:val="PleadingsL3"/>
        <w:jc w:val="both"/>
        <w:rPr>
          <w:rFonts w:ascii="Garamond" w:hAnsi="Garamond"/>
          <w:sz w:val="28"/>
          <w:szCs w:val="28"/>
        </w:rPr>
      </w:pPr>
      <w:r w:rsidRPr="008C4A98">
        <w:rPr>
          <w:rFonts w:ascii="Garamond" w:hAnsi="Garamond"/>
          <w:sz w:val="28"/>
          <w:szCs w:val="28"/>
          <w:shd w:val="clear" w:color="auto" w:fill="FFFFFF"/>
        </w:rPr>
        <w:t xml:space="preserve">Leipold, A., </w:t>
      </w:r>
      <w:r w:rsidRPr="008C4A98">
        <w:rPr>
          <w:rFonts w:ascii="Garamond" w:hAnsi="Garamond"/>
          <w:i/>
          <w:sz w:val="28"/>
          <w:szCs w:val="28"/>
          <w:shd w:val="clear" w:color="auto" w:fill="FFFFFF"/>
        </w:rPr>
        <w:t>Objective Tests and Subjective Bias: Some Problems of Discriminatory Intent in the Criminal Law</w:t>
      </w:r>
      <w:r w:rsidRPr="008C4A98">
        <w:rPr>
          <w:rFonts w:ascii="Garamond" w:hAnsi="Garamond"/>
          <w:sz w:val="28"/>
          <w:szCs w:val="28"/>
          <w:shd w:val="clear" w:color="auto" w:fill="FFFFFF"/>
        </w:rPr>
        <w:t>, 73 Chi.-Kent L. Rev. 559, 561 (1998) (</w:t>
      </w:r>
      <w:r w:rsidR="008C4A98" w:rsidRPr="008C4A98">
        <w:rPr>
          <w:rFonts w:ascii="Garamond" w:hAnsi="Garamond"/>
          <w:sz w:val="28"/>
          <w:szCs w:val="28"/>
          <w:shd w:val="clear" w:color="auto" w:fill="FFFFFF"/>
        </w:rPr>
        <w:t xml:space="preserve">noting </w:t>
      </w:r>
      <w:r w:rsidRPr="008C4A98">
        <w:rPr>
          <w:rFonts w:ascii="Garamond" w:hAnsi="Garamond"/>
          <w:sz w:val="28"/>
          <w:szCs w:val="28"/>
          <w:shd w:val="clear" w:color="auto" w:fill="FFFFFF"/>
        </w:rPr>
        <w:t>“</w:t>
      </w:r>
      <w:r w:rsidR="008C4A98" w:rsidRPr="008C4A98">
        <w:rPr>
          <w:rFonts w:ascii="Garamond" w:hAnsi="Garamond"/>
          <w:sz w:val="28"/>
          <w:szCs w:val="28"/>
          <w:shd w:val="clear" w:color="auto" w:fill="FFFFFF"/>
        </w:rPr>
        <w:t>t</w:t>
      </w:r>
      <w:r w:rsidRPr="008C4A98">
        <w:rPr>
          <w:rFonts w:ascii="Garamond" w:hAnsi="Garamond"/>
          <w:sz w:val="28"/>
          <w:szCs w:val="28"/>
          <w:shd w:val="clear" w:color="auto" w:fill="FFFFFF"/>
        </w:rPr>
        <w:t>here is plenty of statistical evidence that a disproportionate number of African Americans are arrested, charged, and convicted for crimes. . . .”).</w:t>
      </w:r>
    </w:p>
    <w:p w:rsidR="0089751F" w:rsidRPr="0049291F" w:rsidRDefault="0089751F" w:rsidP="00FC44BC">
      <w:pPr>
        <w:pStyle w:val="PleadingsL3"/>
        <w:jc w:val="both"/>
        <w:rPr>
          <w:rFonts w:ascii="Garamond" w:hAnsi="Garamond"/>
          <w:sz w:val="28"/>
          <w:szCs w:val="28"/>
          <w:shd w:val="clear" w:color="auto" w:fill="FFFFFF"/>
        </w:rPr>
      </w:pPr>
      <w:r w:rsidRPr="0049291F">
        <w:rPr>
          <w:rFonts w:ascii="Garamond" w:hAnsi="Garamond"/>
          <w:sz w:val="28"/>
          <w:szCs w:val="28"/>
        </w:rPr>
        <w:t xml:space="preserve">Analise Ortiz &amp; Melissa Kovacs, </w:t>
      </w:r>
      <w:r w:rsidRPr="0049291F">
        <w:rPr>
          <w:rFonts w:ascii="Garamond" w:hAnsi="Garamond"/>
          <w:i/>
          <w:iCs/>
          <w:sz w:val="28"/>
          <w:szCs w:val="28"/>
        </w:rPr>
        <w:t>The Racial Divide of Prosecutions in the Maricopa County Attorney’s Office</w:t>
      </w:r>
      <w:r w:rsidRPr="0049291F">
        <w:rPr>
          <w:rFonts w:ascii="Garamond" w:hAnsi="Garamond"/>
          <w:sz w:val="28"/>
          <w:szCs w:val="28"/>
        </w:rPr>
        <w:t xml:space="preserve">, ACLU of Arizona (2020) (finding that (1) “Black and Hispanic people prosecuted by the Maricopa County Attorney’s Office spend significantly more time incarcerated than white people”; (2) “[w]hen prosecuted for simple marijuana possession, Hispanic people are sentenced to significantly longer jail and prison sentences than their white and Black counterparts”; (3) “[w]hen prosecuted for personal possession of drug paraphernalia, Black people consistently receive longer prison, jail and probation sentences than white or Hispanic people”; (4) “[w]hite people are more likely to have cases dismissed or not filed than individuals of any other race”; and (5) “[w]hen ordered to pay a fine, Hispanic people pay significantly higher fines than white people”)., </w:t>
      </w:r>
      <w:r w:rsidRPr="0049291F">
        <w:rPr>
          <w:rFonts w:ascii="Garamond" w:hAnsi="Garamond"/>
          <w:i/>
          <w:iCs/>
          <w:sz w:val="28"/>
          <w:szCs w:val="28"/>
        </w:rPr>
        <w:t>available at</w:t>
      </w:r>
      <w:r w:rsidRPr="0049291F">
        <w:rPr>
          <w:rFonts w:ascii="Garamond" w:hAnsi="Garamond"/>
          <w:sz w:val="28"/>
          <w:szCs w:val="28"/>
        </w:rPr>
        <w:t xml:space="preserve">: </w:t>
      </w:r>
      <w:hyperlink r:id="rId12" w:history="1">
        <w:r w:rsidRPr="0049291F">
          <w:rPr>
            <w:rStyle w:val="Hyperlink"/>
            <w:rFonts w:ascii="Garamond" w:hAnsi="Garamond"/>
            <w:sz w:val="28"/>
            <w:szCs w:val="28"/>
          </w:rPr>
          <w:t>https://www.acluaz.org/sites/default/files/7.16embargofinal_the_racial_divide_2020.pdf</w:t>
        </w:r>
      </w:hyperlink>
      <w:r w:rsidRPr="0049291F">
        <w:rPr>
          <w:rFonts w:ascii="Garamond" w:hAnsi="Garamond"/>
          <w:sz w:val="28"/>
          <w:szCs w:val="28"/>
        </w:rPr>
        <w:t xml:space="preserve">. </w:t>
      </w:r>
    </w:p>
    <w:p w:rsidR="0089751F" w:rsidRPr="0049291F" w:rsidRDefault="0089751F" w:rsidP="00FC44BC">
      <w:pPr>
        <w:pStyle w:val="PleadingsL3"/>
        <w:jc w:val="both"/>
        <w:rPr>
          <w:rFonts w:ascii="Garamond" w:hAnsi="Garamond"/>
          <w:sz w:val="28"/>
          <w:szCs w:val="28"/>
          <w:shd w:val="clear" w:color="auto" w:fill="FFFFFF"/>
        </w:rPr>
      </w:pPr>
      <w:r w:rsidRPr="0049291F">
        <w:rPr>
          <w:rFonts w:ascii="Garamond" w:hAnsi="Garamond"/>
          <w:smallCaps/>
          <w:sz w:val="28"/>
          <w:szCs w:val="28"/>
        </w:rPr>
        <w:t xml:space="preserve">Stanford Open Policing Project, </w:t>
      </w:r>
      <w:r w:rsidRPr="0049291F">
        <w:rPr>
          <w:rFonts w:ascii="Garamond" w:hAnsi="Garamond"/>
          <w:i/>
          <w:iCs/>
          <w:sz w:val="28"/>
          <w:szCs w:val="28"/>
        </w:rPr>
        <w:t>Findings: The Results of our National Analysis of Traffic Stops and Searches</w:t>
      </w:r>
      <w:r w:rsidRPr="0049291F">
        <w:rPr>
          <w:rFonts w:ascii="Garamond" w:hAnsi="Garamond"/>
          <w:sz w:val="28"/>
          <w:szCs w:val="28"/>
        </w:rPr>
        <w:t xml:space="preserve"> (2020) (reviewing</w:t>
      </w:r>
      <w:r w:rsidRPr="0049291F">
        <w:rPr>
          <w:rFonts w:ascii="Garamond" w:hAnsi="Garamond"/>
          <w:sz w:val="28"/>
          <w:szCs w:val="28"/>
          <w:shd w:val="clear" w:color="auto" w:fill="FFFFFF"/>
        </w:rPr>
        <w:t xml:space="preserve"> nearly 100 million traffic stops from across the country and finding “significant racial disparities in policing,” including “that officers generally stop black drivers at higher rates than white drivers” and that “[i]n nearly every jurisdiction stopped black and Hispanic drivers are searched more often than white drivers.” Also finding in Arizona that both Black and Hispanic drivers were searched at 2.5 times the rate at which white drivers were searched), </w:t>
      </w:r>
      <w:r w:rsidRPr="0049291F">
        <w:rPr>
          <w:rFonts w:ascii="Garamond" w:hAnsi="Garamond"/>
          <w:i/>
          <w:iCs/>
          <w:sz w:val="28"/>
          <w:szCs w:val="28"/>
          <w:shd w:val="clear" w:color="auto" w:fill="FFFFFF"/>
        </w:rPr>
        <w:t>available at</w:t>
      </w:r>
      <w:r w:rsidRPr="0049291F">
        <w:rPr>
          <w:rFonts w:ascii="Garamond" w:hAnsi="Garamond"/>
          <w:sz w:val="28"/>
          <w:szCs w:val="28"/>
          <w:shd w:val="clear" w:color="auto" w:fill="FFFFFF"/>
        </w:rPr>
        <w:t xml:space="preserve">: </w:t>
      </w:r>
      <w:hyperlink r:id="rId13" w:history="1">
        <w:r w:rsidRPr="0049291F">
          <w:rPr>
            <w:rStyle w:val="Hyperlink"/>
            <w:rFonts w:ascii="Garamond" w:hAnsi="Garamond"/>
            <w:sz w:val="28"/>
            <w:szCs w:val="28"/>
            <w:shd w:val="clear" w:color="auto" w:fill="FFFFFF"/>
          </w:rPr>
          <w:t>https://openpolicing.stanford.edu/findings/</w:t>
        </w:r>
      </w:hyperlink>
      <w:r w:rsidRPr="0049291F">
        <w:rPr>
          <w:rFonts w:ascii="Garamond" w:hAnsi="Garamond"/>
          <w:sz w:val="28"/>
          <w:szCs w:val="28"/>
          <w:shd w:val="clear" w:color="auto" w:fill="FFFFFF"/>
        </w:rPr>
        <w:t>.</w:t>
      </w:r>
    </w:p>
    <w:p w:rsidR="0089751F" w:rsidRPr="0049291F" w:rsidRDefault="0089751F" w:rsidP="00FC44BC">
      <w:pPr>
        <w:pStyle w:val="PleadingsL3"/>
        <w:jc w:val="both"/>
        <w:rPr>
          <w:rFonts w:ascii="Garamond" w:hAnsi="Garamond"/>
          <w:sz w:val="28"/>
          <w:szCs w:val="28"/>
        </w:rPr>
      </w:pPr>
      <w:r w:rsidRPr="0049291F">
        <w:rPr>
          <w:rFonts w:ascii="Garamond" w:hAnsi="Garamond"/>
          <w:sz w:val="28"/>
          <w:szCs w:val="28"/>
        </w:rPr>
        <w:t xml:space="preserve">United States Sentencing Commission, “Demographic Differences in Sentencing: An Update to the 2012 </w:t>
      </w:r>
      <w:r w:rsidRPr="0049291F">
        <w:rPr>
          <w:rFonts w:ascii="Garamond" w:hAnsi="Garamond"/>
          <w:i/>
          <w:iCs/>
          <w:sz w:val="28"/>
          <w:szCs w:val="28"/>
        </w:rPr>
        <w:t>B</w:t>
      </w:r>
      <w:bookmarkStart w:id="3" w:name="_BA_Cite_1740C8_000522"/>
      <w:bookmarkEnd w:id="3"/>
      <w:r w:rsidRPr="0049291F">
        <w:rPr>
          <w:rFonts w:ascii="Garamond" w:hAnsi="Garamond"/>
          <w:i/>
          <w:iCs/>
          <w:sz w:val="28"/>
          <w:szCs w:val="28"/>
        </w:rPr>
        <w:t xml:space="preserve">ooker </w:t>
      </w:r>
      <w:r w:rsidRPr="0049291F">
        <w:rPr>
          <w:rFonts w:ascii="Garamond" w:hAnsi="Garamond"/>
          <w:sz w:val="28"/>
          <w:szCs w:val="28"/>
        </w:rPr>
        <w:t xml:space="preserve">Report, Nov. 2017 (finding that when black men and white men commit the same crime, black men on average receive a sentence almost 20 percent longer after controlling for variables such as age and prior criminal history), </w:t>
      </w:r>
      <w:r w:rsidRPr="0049291F">
        <w:rPr>
          <w:rFonts w:ascii="Garamond" w:hAnsi="Garamond"/>
          <w:i/>
          <w:iCs/>
          <w:sz w:val="28"/>
          <w:szCs w:val="28"/>
        </w:rPr>
        <w:t>a</w:t>
      </w:r>
      <w:bookmarkStart w:id="4" w:name="_BA_Cite_1740C8_000542"/>
      <w:bookmarkEnd w:id="4"/>
      <w:r w:rsidRPr="0049291F">
        <w:rPr>
          <w:rFonts w:ascii="Garamond" w:hAnsi="Garamond"/>
          <w:i/>
          <w:iCs/>
          <w:sz w:val="28"/>
          <w:szCs w:val="28"/>
        </w:rPr>
        <w:t>vailable at</w:t>
      </w:r>
      <w:r w:rsidRPr="0049291F">
        <w:rPr>
          <w:rFonts w:ascii="Garamond" w:hAnsi="Garamond"/>
          <w:sz w:val="28"/>
          <w:szCs w:val="28"/>
        </w:rPr>
        <w:t xml:space="preserve">: </w:t>
      </w:r>
      <w:hyperlink r:id="rId14" w:history="1">
        <w:r w:rsidRPr="0049291F">
          <w:rPr>
            <w:rStyle w:val="Hyperlink"/>
            <w:rFonts w:ascii="Garamond" w:hAnsi="Garamond"/>
            <w:sz w:val="28"/>
            <w:szCs w:val="28"/>
          </w:rPr>
          <w:t>https://www.ussc.gov/sites/default/files/pdf/research-and-publications/research-publications/2017/20171114_Demographics.pdf</w:t>
        </w:r>
      </w:hyperlink>
      <w:r w:rsidRPr="0049291F">
        <w:rPr>
          <w:rFonts w:ascii="Garamond" w:hAnsi="Garamond"/>
          <w:noProof/>
          <w:sz w:val="28"/>
          <w:szCs w:val="28"/>
        </w:rPr>
        <w:t>.</w:t>
      </w:r>
    </w:p>
    <w:p w:rsidR="0089751F" w:rsidRPr="0049291F" w:rsidRDefault="0089751F" w:rsidP="00FC44BC">
      <w:pPr>
        <w:pStyle w:val="BodyText"/>
        <w:ind w:firstLine="720"/>
        <w:jc w:val="both"/>
        <w:rPr>
          <w:rFonts w:ascii="Garamond" w:hAnsi="Garamond"/>
          <w:sz w:val="28"/>
          <w:szCs w:val="28"/>
        </w:rPr>
      </w:pPr>
    </w:p>
    <w:p w:rsidR="0089751F" w:rsidRPr="0049291F" w:rsidRDefault="0089751F" w:rsidP="00FC44BC">
      <w:pPr>
        <w:pStyle w:val="BodyText"/>
        <w:jc w:val="both"/>
        <w:rPr>
          <w:rFonts w:ascii="Garamond" w:hAnsi="Garamond"/>
          <w:sz w:val="28"/>
          <w:szCs w:val="28"/>
        </w:rPr>
      </w:pPr>
    </w:p>
    <w:p w:rsidR="00942C2E" w:rsidRDefault="00942C2E" w:rsidP="00FC44BC">
      <w:pPr>
        <w:pStyle w:val="BodyText"/>
        <w:ind w:firstLine="720"/>
        <w:jc w:val="both"/>
        <w:rPr>
          <w:rFonts w:ascii="Garamond" w:hAnsi="Garamond"/>
          <w:sz w:val="28"/>
          <w:szCs w:val="28"/>
        </w:rPr>
      </w:pPr>
    </w:p>
    <w:p w:rsidR="00524F30" w:rsidRDefault="00524F30" w:rsidP="00524F30">
      <w:pPr>
        <w:spacing w:line="200" w:lineRule="exact"/>
      </w:pPr>
      <w:r w:rsidRPr="00524F30">
        <w:rPr>
          <w:rStyle w:val="zzmpTrailerItem"/>
        </w:rPr>
        <w:t>50757-0013/32319282.1</w:t>
      </w:r>
      <w:r w:rsidRPr="00524F30">
        <w:t xml:space="preserve"> </w:t>
      </w:r>
    </w:p>
    <w:sectPr w:rsidR="00524F30" w:rsidSect="008E44C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FB0" w:rsidRDefault="00086FB0">
      <w:r>
        <w:separator/>
      </w:r>
    </w:p>
  </w:endnote>
  <w:endnote w:type="continuationSeparator" w:id="0">
    <w:p w:rsidR="00086FB0" w:rsidRDefault="0008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22A" w:rsidRDefault="00D6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830060"/>
      <w:docPartObj>
        <w:docPartGallery w:val="Page Numbers (Bottom of Page)"/>
        <w:docPartUnique/>
      </w:docPartObj>
    </w:sdtPr>
    <w:sdtEndPr>
      <w:rPr>
        <w:noProof/>
      </w:rPr>
    </w:sdtEndPr>
    <w:sdtContent>
      <w:p w:rsidR="00FC40CD" w:rsidRDefault="000313F1" w:rsidP="00FC40CD">
        <w:pPr>
          <w:pStyle w:val="Footer"/>
          <w:jc w:val="center"/>
          <w:rPr>
            <w:noProof/>
          </w:rP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22A" w:rsidRDefault="00D6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FB0" w:rsidRDefault="00086FB0">
      <w:r>
        <w:separator/>
      </w:r>
    </w:p>
  </w:footnote>
  <w:footnote w:type="continuationSeparator" w:id="0">
    <w:p w:rsidR="00086FB0" w:rsidRDefault="0008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22A" w:rsidRDefault="00D63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22A" w:rsidRDefault="00D63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22A" w:rsidRDefault="00D63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F3C25"/>
    <w:multiLevelType w:val="multilevel"/>
    <w:tmpl w:val="1FE01BE6"/>
    <w:name w:val="zzmpPleadings||Pleadings|2|1|1|1|10|33||1|12|33||1|12|32||1|12|33||1|12|33||1|12|33||1|12|33||1|12|33||1|12|33||"/>
    <w:lvl w:ilvl="0">
      <w:start w:val="1"/>
      <w:numFmt w:val="upperRoman"/>
      <w:pStyle w:val="PleadingsL1"/>
      <w:lvlText w:val="%1."/>
      <w:lvlJc w:val="left"/>
      <w:pPr>
        <w:tabs>
          <w:tab w:val="num" w:pos="720"/>
        </w:tabs>
        <w:ind w:left="0" w:firstLine="0"/>
      </w:pPr>
      <w:rPr>
        <w:b/>
        <w:i w:val="0"/>
        <w:caps w:val="0"/>
        <w:u w:val="none"/>
      </w:rPr>
    </w:lvl>
    <w:lvl w:ilvl="1">
      <w:start w:val="1"/>
      <w:numFmt w:val="upperLetter"/>
      <w:pStyle w:val="PleadingsL2"/>
      <w:lvlText w:val="%2."/>
      <w:lvlJc w:val="left"/>
      <w:pPr>
        <w:tabs>
          <w:tab w:val="num" w:pos="720"/>
        </w:tabs>
        <w:ind w:left="720" w:hanging="720"/>
      </w:pPr>
      <w:rPr>
        <w:b/>
        <w:i w:val="0"/>
        <w:caps w:val="0"/>
        <w:u w:val="none"/>
      </w:rPr>
    </w:lvl>
    <w:lvl w:ilvl="2">
      <w:start w:val="1"/>
      <w:numFmt w:val="decimal"/>
      <w:pStyle w:val="PleadingsL3"/>
      <w:lvlText w:val="%3."/>
      <w:lvlJc w:val="left"/>
      <w:pPr>
        <w:tabs>
          <w:tab w:val="num" w:pos="1440"/>
        </w:tabs>
        <w:ind w:left="1440" w:hanging="720"/>
      </w:pPr>
      <w:rPr>
        <w:b w:val="0"/>
        <w:i w:val="0"/>
        <w:caps w:val="0"/>
        <w:u w:val="none"/>
      </w:rPr>
    </w:lvl>
    <w:lvl w:ilvl="3">
      <w:start w:val="1"/>
      <w:numFmt w:val="lowerLetter"/>
      <w:pStyle w:val="PleadingsL4"/>
      <w:lvlText w:val="%4."/>
      <w:lvlJc w:val="left"/>
      <w:pPr>
        <w:tabs>
          <w:tab w:val="num" w:pos="2160"/>
        </w:tabs>
        <w:ind w:left="2160" w:hanging="720"/>
      </w:pPr>
      <w:rPr>
        <w:b/>
        <w:i w:val="0"/>
        <w:caps w:val="0"/>
        <w:u w:val="none"/>
      </w:rPr>
    </w:lvl>
    <w:lvl w:ilvl="4">
      <w:start w:val="1"/>
      <w:numFmt w:val="lowerRoman"/>
      <w:pStyle w:val="PleadingsL5"/>
      <w:lvlText w:val="(%5)"/>
      <w:lvlJc w:val="left"/>
      <w:pPr>
        <w:tabs>
          <w:tab w:val="num" w:pos="2880"/>
        </w:tabs>
        <w:ind w:left="2880" w:hanging="720"/>
      </w:pPr>
      <w:rPr>
        <w:b/>
        <w:i w:val="0"/>
        <w:caps w:val="0"/>
        <w:u w:val="none"/>
      </w:rPr>
    </w:lvl>
    <w:lvl w:ilvl="5">
      <w:start w:val="1"/>
      <w:numFmt w:val="lowerLetter"/>
      <w:pStyle w:val="PleadingsL6"/>
      <w:lvlText w:val="(%6)"/>
      <w:lvlJc w:val="left"/>
      <w:pPr>
        <w:tabs>
          <w:tab w:val="num" w:pos="3600"/>
        </w:tabs>
        <w:ind w:left="3600" w:hanging="720"/>
      </w:pPr>
      <w:rPr>
        <w:b/>
        <w:i w:val="0"/>
        <w:caps w:val="0"/>
        <w:u w:val="none"/>
      </w:rPr>
    </w:lvl>
    <w:lvl w:ilvl="6">
      <w:start w:val="1"/>
      <w:numFmt w:val="lowerRoman"/>
      <w:pStyle w:val="PleadingsL7"/>
      <w:lvlText w:val="%7."/>
      <w:lvlJc w:val="left"/>
      <w:pPr>
        <w:tabs>
          <w:tab w:val="num" w:pos="4320"/>
        </w:tabs>
        <w:ind w:left="4320" w:hanging="720"/>
      </w:pPr>
      <w:rPr>
        <w:b/>
        <w:i w:val="0"/>
        <w:caps w:val="0"/>
        <w:u w:val="none"/>
      </w:rPr>
    </w:lvl>
    <w:lvl w:ilvl="7">
      <w:start w:val="1"/>
      <w:numFmt w:val="lowerLetter"/>
      <w:pStyle w:val="PleadingsL8"/>
      <w:lvlText w:val="%8)"/>
      <w:lvlJc w:val="left"/>
      <w:pPr>
        <w:tabs>
          <w:tab w:val="num" w:pos="5040"/>
        </w:tabs>
        <w:ind w:left="5040" w:hanging="720"/>
      </w:pPr>
      <w:rPr>
        <w:b/>
        <w:i w:val="0"/>
        <w:caps w:val="0"/>
        <w:u w:val="none"/>
      </w:rPr>
    </w:lvl>
    <w:lvl w:ilvl="8">
      <w:start w:val="1"/>
      <w:numFmt w:val="lowerRoman"/>
      <w:pStyle w:val="PleadingsL9"/>
      <w:lvlText w:val="%9)"/>
      <w:lvlJc w:val="left"/>
      <w:pPr>
        <w:tabs>
          <w:tab w:val="num" w:pos="5760"/>
        </w:tabs>
        <w:ind w:left="5760" w:hanging="720"/>
      </w:pPr>
      <w:rPr>
        <w:b/>
        <w:i w:val="0"/>
        <w:caps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B0"/>
    <w:rsid w:val="000267CA"/>
    <w:rsid w:val="000313F1"/>
    <w:rsid w:val="00086FB0"/>
    <w:rsid w:val="00150669"/>
    <w:rsid w:val="001650D7"/>
    <w:rsid w:val="001D4EED"/>
    <w:rsid w:val="0024606E"/>
    <w:rsid w:val="00263531"/>
    <w:rsid w:val="0033001F"/>
    <w:rsid w:val="003F262A"/>
    <w:rsid w:val="00402EF8"/>
    <w:rsid w:val="0049291F"/>
    <w:rsid w:val="00524F30"/>
    <w:rsid w:val="005545C0"/>
    <w:rsid w:val="00565B89"/>
    <w:rsid w:val="005875B0"/>
    <w:rsid w:val="005E63DE"/>
    <w:rsid w:val="00620B49"/>
    <w:rsid w:val="0067081D"/>
    <w:rsid w:val="00671B76"/>
    <w:rsid w:val="006D395D"/>
    <w:rsid w:val="007227E3"/>
    <w:rsid w:val="00762C75"/>
    <w:rsid w:val="00781FDD"/>
    <w:rsid w:val="0079392E"/>
    <w:rsid w:val="007B6451"/>
    <w:rsid w:val="007C6DC6"/>
    <w:rsid w:val="00827157"/>
    <w:rsid w:val="008366A4"/>
    <w:rsid w:val="0089751F"/>
    <w:rsid w:val="008C4A98"/>
    <w:rsid w:val="008E44CB"/>
    <w:rsid w:val="00913D6F"/>
    <w:rsid w:val="00942C2E"/>
    <w:rsid w:val="00B232B5"/>
    <w:rsid w:val="00BF7C04"/>
    <w:rsid w:val="00C3562C"/>
    <w:rsid w:val="00D044E7"/>
    <w:rsid w:val="00D6322A"/>
    <w:rsid w:val="00D65AF5"/>
    <w:rsid w:val="00DD0D6D"/>
    <w:rsid w:val="00E117C0"/>
    <w:rsid w:val="00E6087A"/>
    <w:rsid w:val="00EB2F3A"/>
    <w:rsid w:val="00EF2915"/>
    <w:rsid w:val="00F62276"/>
    <w:rsid w:val="00FC44BC"/>
    <w:rsid w:val="00FC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7F69ED-AC1A-4686-A965-10FCC852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24"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iPriority="14"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4"/>
    <w:qFormat/>
    <w:rsid w:val="000313F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rsid w:val="000313F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rsid w:val="000313F1"/>
    <w:pPr>
      <w:keepNext/>
      <w:keepLines/>
      <w:spacing w:before="200"/>
      <w:outlineLvl w:val="1"/>
    </w:pPr>
    <w:rPr>
      <w:rFonts w:eastAsia="Times New Roman" w:cs="Times New Roman"/>
      <w:b/>
      <w:bCs/>
      <w:color w:val="5B9BD5" w:themeColor="accent1"/>
      <w:sz w:val="26"/>
      <w:szCs w:val="26"/>
    </w:rPr>
  </w:style>
  <w:style w:type="paragraph" w:styleId="Heading3">
    <w:name w:val="heading 3"/>
    <w:basedOn w:val="Normal"/>
    <w:next w:val="Normal"/>
    <w:link w:val="Heading3Char"/>
    <w:uiPriority w:val="99"/>
    <w:rsid w:val="000313F1"/>
    <w:pPr>
      <w:keepNext/>
      <w:keepLines/>
      <w:spacing w:before="200"/>
      <w:outlineLvl w:val="2"/>
    </w:pPr>
    <w:rPr>
      <w:rFonts w:eastAsia="Times New Roman" w:cs="Times New Roman"/>
      <w:b/>
      <w:bCs/>
      <w:color w:val="5B9BD5" w:themeColor="accent1"/>
    </w:rPr>
  </w:style>
  <w:style w:type="paragraph" w:styleId="Heading4">
    <w:name w:val="heading 4"/>
    <w:basedOn w:val="Normal"/>
    <w:next w:val="Normal"/>
    <w:link w:val="Heading4Char"/>
    <w:uiPriority w:val="99"/>
    <w:rsid w:val="000313F1"/>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rsid w:val="000313F1"/>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rsid w:val="000313F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9"/>
    <w:rsid w:val="000313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0313F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031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0313F1"/>
    <w:pPr>
      <w:spacing w:after="240"/>
    </w:pPr>
    <w:rPr>
      <w:rFonts w:eastAsia="Times New Roman" w:cs="Times New Roman"/>
    </w:rPr>
  </w:style>
  <w:style w:type="character" w:customStyle="1" w:styleId="BodyTextChar">
    <w:name w:val="Body Text Char"/>
    <w:basedOn w:val="DefaultParagraphFont"/>
    <w:link w:val="BodyText"/>
    <w:uiPriority w:val="4"/>
    <w:rsid w:val="000313F1"/>
    <w:rPr>
      <w:rFonts w:ascii="Times New Roman" w:eastAsia="Times New Roman" w:hAnsi="Times New Roman" w:cs="Times New Roman"/>
      <w:sz w:val="24"/>
      <w:szCs w:val="24"/>
    </w:rPr>
  </w:style>
  <w:style w:type="paragraph" w:styleId="Footer">
    <w:name w:val="footer"/>
    <w:basedOn w:val="Normal"/>
    <w:link w:val="FooterChar"/>
    <w:uiPriority w:val="99"/>
    <w:rsid w:val="000313F1"/>
    <w:pPr>
      <w:tabs>
        <w:tab w:val="center" w:pos="4680"/>
        <w:tab w:val="right" w:pos="9360"/>
      </w:tabs>
    </w:pPr>
  </w:style>
  <w:style w:type="character" w:customStyle="1" w:styleId="FooterChar">
    <w:name w:val="Footer Char"/>
    <w:basedOn w:val="DefaultParagraphFont"/>
    <w:link w:val="Footer"/>
    <w:uiPriority w:val="99"/>
    <w:rsid w:val="000313F1"/>
    <w:rPr>
      <w:rFonts w:ascii="Times New Roman" w:hAnsi="Times New Roman"/>
      <w:sz w:val="24"/>
      <w:szCs w:val="24"/>
    </w:rPr>
  </w:style>
  <w:style w:type="character" w:customStyle="1" w:styleId="Heading1Char">
    <w:name w:val="Heading 1 Char"/>
    <w:basedOn w:val="DefaultParagraphFont"/>
    <w:link w:val="Heading1"/>
    <w:uiPriority w:val="99"/>
    <w:rsid w:val="000313F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rsid w:val="000313F1"/>
    <w:rPr>
      <w:rFonts w:ascii="Times New Roman" w:eastAsia="Times New Roman" w:hAnsi="Times New Roman" w:cs="Times New Roman"/>
      <w:b/>
      <w:bCs/>
      <w:color w:val="5B9BD5" w:themeColor="accent1"/>
      <w:sz w:val="26"/>
      <w:szCs w:val="26"/>
    </w:rPr>
  </w:style>
  <w:style w:type="character" w:customStyle="1" w:styleId="Heading3Char">
    <w:name w:val="Heading 3 Char"/>
    <w:basedOn w:val="DefaultParagraphFont"/>
    <w:link w:val="Heading3"/>
    <w:uiPriority w:val="99"/>
    <w:rsid w:val="000313F1"/>
    <w:rPr>
      <w:rFonts w:ascii="Times New Roman" w:eastAsia="Times New Roman" w:hAnsi="Times New Roman" w:cs="Times New Roman"/>
      <w:b/>
      <w:bCs/>
      <w:color w:val="5B9BD5" w:themeColor="accent1"/>
      <w:sz w:val="24"/>
      <w:szCs w:val="24"/>
    </w:rPr>
  </w:style>
  <w:style w:type="character" w:customStyle="1" w:styleId="Heading4Char">
    <w:name w:val="Heading 4 Char"/>
    <w:basedOn w:val="DefaultParagraphFont"/>
    <w:link w:val="Heading4"/>
    <w:uiPriority w:val="99"/>
    <w:rsid w:val="000313F1"/>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9"/>
    <w:rsid w:val="000313F1"/>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9"/>
    <w:rsid w:val="000313F1"/>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9"/>
    <w:rsid w:val="000313F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0313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0313F1"/>
    <w:rPr>
      <w:rFonts w:asciiTheme="majorHAnsi" w:eastAsiaTheme="majorEastAsia" w:hAnsiTheme="majorHAnsi" w:cstheme="majorBidi"/>
      <w:i/>
      <w:iCs/>
      <w:color w:val="404040" w:themeColor="text1" w:themeTint="BF"/>
      <w:sz w:val="20"/>
      <w:szCs w:val="20"/>
    </w:rPr>
  </w:style>
  <w:style w:type="paragraph" w:customStyle="1" w:styleId="BodyTextContinued">
    <w:name w:val="Body Text Continued"/>
    <w:basedOn w:val="BodyText"/>
    <w:next w:val="BodyText"/>
    <w:uiPriority w:val="14"/>
    <w:qFormat/>
    <w:rsid w:val="000313F1"/>
    <w:rPr>
      <w:szCs w:val="20"/>
    </w:rPr>
  </w:style>
  <w:style w:type="paragraph" w:customStyle="1" w:styleId="BTIndent">
    <w:name w:val="BT Indent"/>
    <w:basedOn w:val="BodyText"/>
    <w:uiPriority w:val="99"/>
    <w:rsid w:val="000313F1"/>
    <w:pPr>
      <w:ind w:left="720"/>
    </w:pPr>
  </w:style>
  <w:style w:type="paragraph" w:customStyle="1" w:styleId="Table">
    <w:name w:val="Table"/>
    <w:basedOn w:val="Normal"/>
    <w:uiPriority w:val="24"/>
    <w:qFormat/>
    <w:rsid w:val="000313F1"/>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0313F1"/>
    <w:pPr>
      <w:spacing w:after="240"/>
      <w:ind w:left="1440" w:right="1440"/>
    </w:pPr>
    <w:rPr>
      <w:szCs w:val="20"/>
    </w:rPr>
  </w:style>
  <w:style w:type="character" w:customStyle="1" w:styleId="QuoteChar">
    <w:name w:val="Quote Char"/>
    <w:basedOn w:val="DefaultParagraphFont"/>
    <w:link w:val="Quote"/>
    <w:uiPriority w:val="9"/>
    <w:rsid w:val="000313F1"/>
    <w:rPr>
      <w:rFonts w:ascii="Times New Roman" w:hAnsi="Times New Roman"/>
      <w:sz w:val="24"/>
      <w:szCs w:val="20"/>
    </w:rPr>
  </w:style>
  <w:style w:type="paragraph" w:customStyle="1" w:styleId="ResH1">
    <w:name w:val="Res H1"/>
    <w:basedOn w:val="Heading2"/>
    <w:uiPriority w:val="34"/>
    <w:rsid w:val="000313F1"/>
    <w:pPr>
      <w:tabs>
        <w:tab w:val="left" w:pos="720"/>
      </w:tabs>
      <w:spacing w:before="0" w:line="240" w:lineRule="atLeast"/>
      <w:ind w:left="720" w:right="720" w:hanging="720"/>
    </w:pPr>
    <w:rPr>
      <w:bCs w:val="0"/>
      <w:i/>
      <w:caps/>
      <w:color w:val="auto"/>
      <w:szCs w:val="20"/>
      <w:lang w:eastAsia="zh-CN"/>
    </w:rPr>
  </w:style>
  <w:style w:type="paragraph" w:customStyle="1" w:styleId="ResH2">
    <w:name w:val="Res H2"/>
    <w:basedOn w:val="Heading3"/>
    <w:uiPriority w:val="34"/>
    <w:rsid w:val="000313F1"/>
    <w:pPr>
      <w:spacing w:before="0" w:line="240" w:lineRule="atLeast"/>
      <w:ind w:left="1440" w:right="720" w:hanging="720"/>
    </w:pPr>
    <w:rPr>
      <w:bCs w:val="0"/>
      <w:color w:val="auto"/>
      <w:szCs w:val="20"/>
      <w:u w:val="single"/>
      <w:lang w:eastAsia="zh-CN"/>
    </w:rPr>
  </w:style>
  <w:style w:type="paragraph" w:customStyle="1" w:styleId="Resolution">
    <w:name w:val="Resolution"/>
    <w:basedOn w:val="NormalIndent"/>
    <w:uiPriority w:val="29"/>
    <w:rsid w:val="000313F1"/>
    <w:pPr>
      <w:spacing w:before="240" w:line="240" w:lineRule="atLeast"/>
      <w:ind w:right="720"/>
    </w:pPr>
    <w:rPr>
      <w:sz w:val="26"/>
      <w:szCs w:val="20"/>
    </w:rPr>
  </w:style>
  <w:style w:type="paragraph" w:styleId="NormalIndent">
    <w:name w:val="Normal Indent"/>
    <w:basedOn w:val="Normal"/>
    <w:uiPriority w:val="99"/>
    <w:unhideWhenUsed/>
    <w:rsid w:val="000313F1"/>
    <w:pPr>
      <w:ind w:left="720"/>
    </w:pPr>
  </w:style>
  <w:style w:type="paragraph" w:styleId="Title">
    <w:name w:val="Title"/>
    <w:basedOn w:val="BodyText"/>
    <w:next w:val="BodyText"/>
    <w:link w:val="TitleChar"/>
    <w:uiPriority w:val="39"/>
    <w:rsid w:val="000313F1"/>
    <w:pPr>
      <w:jc w:val="center"/>
      <w:outlineLvl w:val="0"/>
    </w:pPr>
    <w:rPr>
      <w:rFonts w:cs="Arial"/>
      <w:b/>
      <w:bCs/>
      <w:szCs w:val="32"/>
    </w:rPr>
  </w:style>
  <w:style w:type="character" w:customStyle="1" w:styleId="TitleChar">
    <w:name w:val="Title Char"/>
    <w:basedOn w:val="DefaultParagraphFont"/>
    <w:link w:val="Title"/>
    <w:uiPriority w:val="39"/>
    <w:rsid w:val="000313F1"/>
    <w:rPr>
      <w:rFonts w:ascii="Times New Roman" w:eastAsia="Times New Roman" w:hAnsi="Times New Roman" w:cs="Arial"/>
      <w:b/>
      <w:bCs/>
      <w:sz w:val="24"/>
      <w:szCs w:val="32"/>
    </w:rPr>
  </w:style>
  <w:style w:type="paragraph" w:styleId="Header">
    <w:name w:val="header"/>
    <w:basedOn w:val="Normal"/>
    <w:link w:val="HeaderChar"/>
    <w:uiPriority w:val="99"/>
    <w:rsid w:val="000313F1"/>
    <w:pPr>
      <w:tabs>
        <w:tab w:val="center" w:pos="4680"/>
        <w:tab w:val="right" w:pos="9360"/>
      </w:tabs>
    </w:pPr>
  </w:style>
  <w:style w:type="character" w:customStyle="1" w:styleId="HeaderChar">
    <w:name w:val="Header Char"/>
    <w:basedOn w:val="DefaultParagraphFont"/>
    <w:link w:val="Header"/>
    <w:uiPriority w:val="99"/>
    <w:rsid w:val="000313F1"/>
    <w:rPr>
      <w:rFonts w:ascii="Times New Roman" w:hAnsi="Times New Roman"/>
      <w:sz w:val="24"/>
      <w:szCs w:val="24"/>
    </w:rPr>
  </w:style>
  <w:style w:type="paragraph" w:styleId="BodyTextIndent">
    <w:name w:val="Body Text Indent"/>
    <w:basedOn w:val="BodyText"/>
    <w:link w:val="BodyTextIndentChar"/>
    <w:uiPriority w:val="14"/>
    <w:qFormat/>
    <w:rsid w:val="000313F1"/>
    <w:pPr>
      <w:ind w:left="720"/>
    </w:pPr>
  </w:style>
  <w:style w:type="character" w:customStyle="1" w:styleId="BodyTextIndentChar">
    <w:name w:val="Body Text Indent Char"/>
    <w:basedOn w:val="DefaultParagraphFont"/>
    <w:link w:val="BodyTextIndent"/>
    <w:uiPriority w:val="14"/>
    <w:rsid w:val="000313F1"/>
    <w:rPr>
      <w:rFonts w:ascii="Times New Roman" w:eastAsia="Times New Roman" w:hAnsi="Times New Roman" w:cs="Times New Roman"/>
      <w:sz w:val="24"/>
      <w:szCs w:val="24"/>
    </w:rPr>
  </w:style>
  <w:style w:type="character" w:styleId="Emphasis">
    <w:name w:val="Emphasis"/>
    <w:basedOn w:val="DefaultParagraphFont"/>
    <w:uiPriority w:val="99"/>
    <w:unhideWhenUsed/>
    <w:rsid w:val="000313F1"/>
    <w:rPr>
      <w:i/>
      <w:iCs/>
    </w:rPr>
  </w:style>
  <w:style w:type="character" w:styleId="IntenseEmphasis">
    <w:name w:val="Intense Emphasis"/>
    <w:basedOn w:val="DefaultParagraphFont"/>
    <w:uiPriority w:val="99"/>
    <w:unhideWhenUsed/>
    <w:rsid w:val="000313F1"/>
    <w:rPr>
      <w:b/>
      <w:bCs/>
      <w:i/>
      <w:iCs/>
      <w:color w:val="5B9BD5" w:themeColor="accent1"/>
    </w:rPr>
  </w:style>
  <w:style w:type="paragraph" w:styleId="IntenseQuote">
    <w:name w:val="Intense Quote"/>
    <w:basedOn w:val="Normal"/>
    <w:next w:val="Normal"/>
    <w:link w:val="IntenseQuoteChar"/>
    <w:uiPriority w:val="99"/>
    <w:unhideWhenUsed/>
    <w:rsid w:val="000313F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rsid w:val="000313F1"/>
    <w:rPr>
      <w:rFonts w:ascii="Times New Roman" w:hAnsi="Times New Roman"/>
      <w:b/>
      <w:bCs/>
      <w:i/>
      <w:iCs/>
      <w:color w:val="5B9BD5" w:themeColor="accent1"/>
      <w:sz w:val="24"/>
      <w:szCs w:val="24"/>
    </w:rPr>
  </w:style>
  <w:style w:type="character" w:styleId="IntenseReference">
    <w:name w:val="Intense Reference"/>
    <w:basedOn w:val="DefaultParagraphFont"/>
    <w:uiPriority w:val="99"/>
    <w:unhideWhenUsed/>
    <w:rsid w:val="000313F1"/>
    <w:rPr>
      <w:b/>
      <w:bCs/>
      <w:smallCaps/>
      <w:color w:val="ED7D31" w:themeColor="accent2"/>
      <w:spacing w:val="5"/>
      <w:u w:val="single"/>
    </w:rPr>
  </w:style>
  <w:style w:type="character" w:styleId="Strong">
    <w:name w:val="Strong"/>
    <w:basedOn w:val="DefaultParagraphFont"/>
    <w:uiPriority w:val="99"/>
    <w:unhideWhenUsed/>
    <w:rsid w:val="000313F1"/>
    <w:rPr>
      <w:b/>
      <w:bCs/>
    </w:rPr>
  </w:style>
  <w:style w:type="paragraph" w:styleId="Subtitle">
    <w:name w:val="Subtitle"/>
    <w:basedOn w:val="Normal"/>
    <w:next w:val="Normal"/>
    <w:link w:val="SubtitleChar"/>
    <w:uiPriority w:val="40"/>
    <w:unhideWhenUsed/>
    <w:rsid w:val="000313F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40"/>
    <w:rsid w:val="000313F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unhideWhenUsed/>
    <w:rsid w:val="000313F1"/>
    <w:rPr>
      <w:i/>
      <w:iCs/>
      <w:color w:val="808080" w:themeColor="text1" w:themeTint="7F"/>
    </w:rPr>
  </w:style>
  <w:style w:type="character" w:styleId="SubtleReference">
    <w:name w:val="Subtle Reference"/>
    <w:basedOn w:val="DefaultParagraphFont"/>
    <w:uiPriority w:val="99"/>
    <w:unhideWhenUsed/>
    <w:rsid w:val="000313F1"/>
    <w:rPr>
      <w:smallCaps/>
      <w:color w:val="ED7D31" w:themeColor="accent2"/>
      <w:u w:val="single"/>
    </w:rPr>
  </w:style>
  <w:style w:type="paragraph" w:styleId="ListParagraph">
    <w:name w:val="List Paragraph"/>
    <w:basedOn w:val="Normal"/>
    <w:uiPriority w:val="35"/>
    <w:unhideWhenUsed/>
    <w:rsid w:val="000313F1"/>
    <w:pPr>
      <w:ind w:left="720"/>
      <w:contextualSpacing/>
    </w:pPr>
  </w:style>
  <w:style w:type="character" w:styleId="BookTitle">
    <w:name w:val="Book Title"/>
    <w:basedOn w:val="DefaultParagraphFont"/>
    <w:uiPriority w:val="99"/>
    <w:unhideWhenUsed/>
    <w:rsid w:val="000313F1"/>
    <w:rPr>
      <w:b/>
      <w:bCs/>
      <w:smallCaps/>
      <w:spacing w:val="5"/>
    </w:rPr>
  </w:style>
  <w:style w:type="paragraph" w:styleId="NoSpacing">
    <w:name w:val="No Spacing"/>
    <w:uiPriority w:val="24"/>
    <w:unhideWhenUsed/>
    <w:rsid w:val="000313F1"/>
    <w:pPr>
      <w:spacing w:after="0" w:line="240" w:lineRule="auto"/>
    </w:pPr>
    <w:rPr>
      <w:rFonts w:ascii="Times New Roman" w:hAnsi="Times New Roman"/>
      <w:sz w:val="24"/>
      <w:szCs w:val="24"/>
    </w:rPr>
  </w:style>
  <w:style w:type="paragraph" w:customStyle="1" w:styleId="PleadingsCont1">
    <w:name w:val="Pleadings Cont 1"/>
    <w:basedOn w:val="Normal"/>
    <w:link w:val="PleadingsCont1Char"/>
    <w:rsid w:val="005875B0"/>
    <w:pPr>
      <w:widowControl w:val="0"/>
      <w:spacing w:after="240"/>
    </w:pPr>
    <w:rPr>
      <w:rFonts w:eastAsia="Times New Roman" w:cs="Times New Roman"/>
      <w:szCs w:val="20"/>
    </w:rPr>
  </w:style>
  <w:style w:type="character" w:customStyle="1" w:styleId="PleadingsCont1Char">
    <w:name w:val="Pleadings Cont 1 Char"/>
    <w:basedOn w:val="BodyTextChar"/>
    <w:link w:val="PleadingsCont1"/>
    <w:rsid w:val="005875B0"/>
    <w:rPr>
      <w:rFonts w:ascii="Times New Roman" w:eastAsia="Times New Roman" w:hAnsi="Times New Roman" w:cs="Times New Roman"/>
      <w:sz w:val="24"/>
      <w:szCs w:val="20"/>
    </w:rPr>
  </w:style>
  <w:style w:type="paragraph" w:customStyle="1" w:styleId="PleadingsCont2">
    <w:name w:val="Pleadings Cont 2"/>
    <w:basedOn w:val="PleadingsCont1"/>
    <w:link w:val="PleadingsCont2Char"/>
    <w:rsid w:val="005875B0"/>
    <w:pPr>
      <w:widowControl/>
      <w:ind w:left="720"/>
    </w:pPr>
  </w:style>
  <w:style w:type="character" w:customStyle="1" w:styleId="PleadingsCont2Char">
    <w:name w:val="Pleadings Cont 2 Char"/>
    <w:basedOn w:val="BodyTextChar"/>
    <w:link w:val="PleadingsCont2"/>
    <w:rsid w:val="005875B0"/>
    <w:rPr>
      <w:rFonts w:ascii="Times New Roman" w:eastAsia="Times New Roman" w:hAnsi="Times New Roman" w:cs="Times New Roman"/>
      <w:sz w:val="24"/>
      <w:szCs w:val="20"/>
    </w:rPr>
  </w:style>
  <w:style w:type="paragraph" w:customStyle="1" w:styleId="PleadingsCont3">
    <w:name w:val="Pleadings Cont 3"/>
    <w:basedOn w:val="PleadingsCont2"/>
    <w:link w:val="PleadingsCont3Char"/>
    <w:rsid w:val="005875B0"/>
    <w:pPr>
      <w:ind w:left="1440"/>
    </w:pPr>
  </w:style>
  <w:style w:type="character" w:customStyle="1" w:styleId="PleadingsCont3Char">
    <w:name w:val="Pleadings Cont 3 Char"/>
    <w:basedOn w:val="BodyTextChar"/>
    <w:link w:val="PleadingsCont3"/>
    <w:rsid w:val="005875B0"/>
    <w:rPr>
      <w:rFonts w:ascii="Times New Roman" w:eastAsia="Times New Roman" w:hAnsi="Times New Roman" w:cs="Times New Roman"/>
      <w:sz w:val="24"/>
      <w:szCs w:val="20"/>
    </w:rPr>
  </w:style>
  <w:style w:type="paragraph" w:customStyle="1" w:styleId="PleadingsCont4">
    <w:name w:val="Pleadings Cont 4"/>
    <w:basedOn w:val="PleadingsCont3"/>
    <w:link w:val="PleadingsCont4Char"/>
    <w:rsid w:val="005875B0"/>
    <w:pPr>
      <w:ind w:left="2160"/>
    </w:pPr>
  </w:style>
  <w:style w:type="character" w:customStyle="1" w:styleId="PleadingsCont4Char">
    <w:name w:val="Pleadings Cont 4 Char"/>
    <w:basedOn w:val="BodyTextChar"/>
    <w:link w:val="PleadingsCont4"/>
    <w:rsid w:val="005875B0"/>
    <w:rPr>
      <w:rFonts w:ascii="Times New Roman" w:eastAsia="Times New Roman" w:hAnsi="Times New Roman" w:cs="Times New Roman"/>
      <w:sz w:val="24"/>
      <w:szCs w:val="20"/>
    </w:rPr>
  </w:style>
  <w:style w:type="paragraph" w:customStyle="1" w:styleId="PleadingsCont5">
    <w:name w:val="Pleadings Cont 5"/>
    <w:basedOn w:val="PleadingsCont4"/>
    <w:link w:val="PleadingsCont5Char"/>
    <w:rsid w:val="005875B0"/>
    <w:pPr>
      <w:ind w:left="2880"/>
    </w:pPr>
  </w:style>
  <w:style w:type="character" w:customStyle="1" w:styleId="PleadingsCont5Char">
    <w:name w:val="Pleadings Cont 5 Char"/>
    <w:basedOn w:val="BodyTextChar"/>
    <w:link w:val="PleadingsCont5"/>
    <w:rsid w:val="005875B0"/>
    <w:rPr>
      <w:rFonts w:ascii="Times New Roman" w:eastAsia="Times New Roman" w:hAnsi="Times New Roman" w:cs="Times New Roman"/>
      <w:sz w:val="24"/>
      <w:szCs w:val="20"/>
    </w:rPr>
  </w:style>
  <w:style w:type="paragraph" w:customStyle="1" w:styleId="PleadingsCont6">
    <w:name w:val="Pleadings Cont 6"/>
    <w:basedOn w:val="PleadingsCont5"/>
    <w:link w:val="PleadingsCont6Char"/>
    <w:rsid w:val="005875B0"/>
    <w:pPr>
      <w:ind w:left="3600"/>
    </w:pPr>
  </w:style>
  <w:style w:type="character" w:customStyle="1" w:styleId="PleadingsCont6Char">
    <w:name w:val="Pleadings Cont 6 Char"/>
    <w:basedOn w:val="BodyTextChar"/>
    <w:link w:val="PleadingsCont6"/>
    <w:rsid w:val="005875B0"/>
    <w:rPr>
      <w:rFonts w:ascii="Times New Roman" w:eastAsia="Times New Roman" w:hAnsi="Times New Roman" w:cs="Times New Roman"/>
      <w:sz w:val="24"/>
      <w:szCs w:val="20"/>
    </w:rPr>
  </w:style>
  <w:style w:type="paragraph" w:customStyle="1" w:styleId="PleadingsCont7">
    <w:name w:val="Pleadings Cont 7"/>
    <w:basedOn w:val="PleadingsCont6"/>
    <w:link w:val="PleadingsCont7Char"/>
    <w:rsid w:val="005875B0"/>
    <w:pPr>
      <w:ind w:left="4320"/>
    </w:pPr>
  </w:style>
  <w:style w:type="character" w:customStyle="1" w:styleId="PleadingsCont7Char">
    <w:name w:val="Pleadings Cont 7 Char"/>
    <w:basedOn w:val="BodyTextChar"/>
    <w:link w:val="PleadingsCont7"/>
    <w:rsid w:val="005875B0"/>
    <w:rPr>
      <w:rFonts w:ascii="Times New Roman" w:eastAsia="Times New Roman" w:hAnsi="Times New Roman" w:cs="Times New Roman"/>
      <w:sz w:val="24"/>
      <w:szCs w:val="20"/>
    </w:rPr>
  </w:style>
  <w:style w:type="paragraph" w:customStyle="1" w:styleId="PleadingsCont8">
    <w:name w:val="Pleadings Cont 8"/>
    <w:basedOn w:val="PleadingsCont7"/>
    <w:link w:val="PleadingsCont8Char"/>
    <w:rsid w:val="005875B0"/>
    <w:pPr>
      <w:ind w:left="5040"/>
    </w:pPr>
  </w:style>
  <w:style w:type="character" w:customStyle="1" w:styleId="PleadingsCont8Char">
    <w:name w:val="Pleadings Cont 8 Char"/>
    <w:basedOn w:val="BodyTextChar"/>
    <w:link w:val="PleadingsCont8"/>
    <w:rsid w:val="005875B0"/>
    <w:rPr>
      <w:rFonts w:ascii="Times New Roman" w:eastAsia="Times New Roman" w:hAnsi="Times New Roman" w:cs="Times New Roman"/>
      <w:sz w:val="24"/>
      <w:szCs w:val="20"/>
    </w:rPr>
  </w:style>
  <w:style w:type="paragraph" w:customStyle="1" w:styleId="PleadingsCont9">
    <w:name w:val="Pleadings Cont 9"/>
    <w:basedOn w:val="PleadingsCont8"/>
    <w:link w:val="PleadingsCont9Char"/>
    <w:rsid w:val="005875B0"/>
    <w:pPr>
      <w:ind w:left="5760"/>
    </w:pPr>
  </w:style>
  <w:style w:type="character" w:customStyle="1" w:styleId="PleadingsCont9Char">
    <w:name w:val="Pleadings Cont 9 Char"/>
    <w:basedOn w:val="BodyTextChar"/>
    <w:link w:val="PleadingsCont9"/>
    <w:rsid w:val="005875B0"/>
    <w:rPr>
      <w:rFonts w:ascii="Times New Roman" w:eastAsia="Times New Roman" w:hAnsi="Times New Roman" w:cs="Times New Roman"/>
      <w:sz w:val="24"/>
      <w:szCs w:val="20"/>
    </w:rPr>
  </w:style>
  <w:style w:type="paragraph" w:customStyle="1" w:styleId="PleadingsL1">
    <w:name w:val="Pleadings_L1"/>
    <w:basedOn w:val="Normal"/>
    <w:next w:val="BodyText"/>
    <w:link w:val="PleadingsL1Char"/>
    <w:rsid w:val="005875B0"/>
    <w:pPr>
      <w:keepNext/>
      <w:keepLines/>
      <w:numPr>
        <w:numId w:val="1"/>
      </w:numPr>
      <w:spacing w:after="240"/>
      <w:outlineLvl w:val="0"/>
    </w:pPr>
    <w:rPr>
      <w:rFonts w:eastAsia="Times New Roman" w:cs="Times New Roman"/>
      <w:b/>
      <w:szCs w:val="20"/>
    </w:rPr>
  </w:style>
  <w:style w:type="character" w:customStyle="1" w:styleId="PleadingsL1Char">
    <w:name w:val="Pleadings_L1 Char"/>
    <w:basedOn w:val="BodyTextChar"/>
    <w:link w:val="PleadingsL1"/>
    <w:rsid w:val="005875B0"/>
    <w:rPr>
      <w:rFonts w:ascii="Times New Roman" w:eastAsia="Times New Roman" w:hAnsi="Times New Roman" w:cs="Times New Roman"/>
      <w:b/>
      <w:sz w:val="24"/>
      <w:szCs w:val="20"/>
    </w:rPr>
  </w:style>
  <w:style w:type="paragraph" w:customStyle="1" w:styleId="PleadingsL2">
    <w:name w:val="Pleadings_L2"/>
    <w:basedOn w:val="PleadingsL1"/>
    <w:next w:val="BodyText"/>
    <w:link w:val="PleadingsL2Char"/>
    <w:rsid w:val="005875B0"/>
    <w:pPr>
      <w:numPr>
        <w:ilvl w:val="1"/>
      </w:numPr>
      <w:outlineLvl w:val="1"/>
    </w:pPr>
  </w:style>
  <w:style w:type="character" w:customStyle="1" w:styleId="PleadingsL2Char">
    <w:name w:val="Pleadings_L2 Char"/>
    <w:basedOn w:val="BodyTextChar"/>
    <w:link w:val="PleadingsL2"/>
    <w:rsid w:val="005875B0"/>
    <w:rPr>
      <w:rFonts w:ascii="Times New Roman" w:eastAsia="Times New Roman" w:hAnsi="Times New Roman" w:cs="Times New Roman"/>
      <w:b/>
      <w:sz w:val="24"/>
      <w:szCs w:val="20"/>
    </w:rPr>
  </w:style>
  <w:style w:type="paragraph" w:customStyle="1" w:styleId="PleadingsL3">
    <w:name w:val="Pleadings_L3"/>
    <w:basedOn w:val="PleadingsL2"/>
    <w:next w:val="BodyText"/>
    <w:link w:val="PleadingsL3Char"/>
    <w:rsid w:val="005875B0"/>
    <w:pPr>
      <w:numPr>
        <w:ilvl w:val="2"/>
      </w:numPr>
      <w:outlineLvl w:val="2"/>
    </w:pPr>
    <w:rPr>
      <w:b w:val="0"/>
    </w:rPr>
  </w:style>
  <w:style w:type="character" w:customStyle="1" w:styleId="PleadingsL3Char">
    <w:name w:val="Pleadings_L3 Char"/>
    <w:basedOn w:val="BodyTextChar"/>
    <w:link w:val="PleadingsL3"/>
    <w:rsid w:val="005875B0"/>
    <w:rPr>
      <w:rFonts w:ascii="Times New Roman" w:eastAsia="Times New Roman" w:hAnsi="Times New Roman" w:cs="Times New Roman"/>
      <w:sz w:val="24"/>
      <w:szCs w:val="20"/>
    </w:rPr>
  </w:style>
  <w:style w:type="paragraph" w:customStyle="1" w:styleId="PleadingsL4">
    <w:name w:val="Pleadings_L4"/>
    <w:basedOn w:val="PleadingsL3"/>
    <w:next w:val="BodyText"/>
    <w:link w:val="PleadingsL4Char"/>
    <w:rsid w:val="005875B0"/>
    <w:pPr>
      <w:numPr>
        <w:ilvl w:val="3"/>
      </w:numPr>
      <w:outlineLvl w:val="3"/>
    </w:pPr>
    <w:rPr>
      <w:b/>
    </w:rPr>
  </w:style>
  <w:style w:type="character" w:customStyle="1" w:styleId="PleadingsL4Char">
    <w:name w:val="Pleadings_L4 Char"/>
    <w:basedOn w:val="BodyTextChar"/>
    <w:link w:val="PleadingsL4"/>
    <w:rsid w:val="005875B0"/>
    <w:rPr>
      <w:rFonts w:ascii="Times New Roman" w:eastAsia="Times New Roman" w:hAnsi="Times New Roman" w:cs="Times New Roman"/>
      <w:b/>
      <w:sz w:val="24"/>
      <w:szCs w:val="20"/>
    </w:rPr>
  </w:style>
  <w:style w:type="paragraph" w:customStyle="1" w:styleId="PleadingsL5">
    <w:name w:val="Pleadings_L5"/>
    <w:basedOn w:val="PleadingsL4"/>
    <w:next w:val="BodyText"/>
    <w:link w:val="PleadingsL5Char"/>
    <w:rsid w:val="005875B0"/>
    <w:pPr>
      <w:numPr>
        <w:ilvl w:val="4"/>
      </w:numPr>
      <w:outlineLvl w:val="4"/>
    </w:pPr>
  </w:style>
  <w:style w:type="character" w:customStyle="1" w:styleId="PleadingsL5Char">
    <w:name w:val="Pleadings_L5 Char"/>
    <w:basedOn w:val="BodyTextChar"/>
    <w:link w:val="PleadingsL5"/>
    <w:rsid w:val="005875B0"/>
    <w:rPr>
      <w:rFonts w:ascii="Times New Roman" w:eastAsia="Times New Roman" w:hAnsi="Times New Roman" w:cs="Times New Roman"/>
      <w:b/>
      <w:sz w:val="24"/>
      <w:szCs w:val="20"/>
    </w:rPr>
  </w:style>
  <w:style w:type="paragraph" w:customStyle="1" w:styleId="PleadingsL6">
    <w:name w:val="Pleadings_L6"/>
    <w:basedOn w:val="PleadingsL5"/>
    <w:next w:val="BodyText"/>
    <w:link w:val="PleadingsL6Char"/>
    <w:rsid w:val="005875B0"/>
    <w:pPr>
      <w:numPr>
        <w:ilvl w:val="5"/>
      </w:numPr>
      <w:outlineLvl w:val="5"/>
    </w:pPr>
  </w:style>
  <w:style w:type="character" w:customStyle="1" w:styleId="PleadingsL6Char">
    <w:name w:val="Pleadings_L6 Char"/>
    <w:basedOn w:val="BodyTextChar"/>
    <w:link w:val="PleadingsL6"/>
    <w:rsid w:val="005875B0"/>
    <w:rPr>
      <w:rFonts w:ascii="Times New Roman" w:eastAsia="Times New Roman" w:hAnsi="Times New Roman" w:cs="Times New Roman"/>
      <w:b/>
      <w:sz w:val="24"/>
      <w:szCs w:val="20"/>
    </w:rPr>
  </w:style>
  <w:style w:type="paragraph" w:customStyle="1" w:styleId="PleadingsL7">
    <w:name w:val="Pleadings_L7"/>
    <w:basedOn w:val="PleadingsL6"/>
    <w:next w:val="BodyText"/>
    <w:link w:val="PleadingsL7Char"/>
    <w:rsid w:val="005875B0"/>
    <w:pPr>
      <w:numPr>
        <w:ilvl w:val="6"/>
      </w:numPr>
      <w:outlineLvl w:val="6"/>
    </w:pPr>
  </w:style>
  <w:style w:type="character" w:customStyle="1" w:styleId="PleadingsL7Char">
    <w:name w:val="Pleadings_L7 Char"/>
    <w:basedOn w:val="BodyTextChar"/>
    <w:link w:val="PleadingsL7"/>
    <w:rsid w:val="005875B0"/>
    <w:rPr>
      <w:rFonts w:ascii="Times New Roman" w:eastAsia="Times New Roman" w:hAnsi="Times New Roman" w:cs="Times New Roman"/>
      <w:b/>
      <w:sz w:val="24"/>
      <w:szCs w:val="20"/>
    </w:rPr>
  </w:style>
  <w:style w:type="paragraph" w:customStyle="1" w:styleId="PleadingsL8">
    <w:name w:val="Pleadings_L8"/>
    <w:basedOn w:val="PleadingsL7"/>
    <w:next w:val="BodyText"/>
    <w:link w:val="PleadingsL8Char"/>
    <w:rsid w:val="005875B0"/>
    <w:pPr>
      <w:numPr>
        <w:ilvl w:val="7"/>
      </w:numPr>
      <w:outlineLvl w:val="7"/>
    </w:pPr>
  </w:style>
  <w:style w:type="character" w:customStyle="1" w:styleId="PleadingsL8Char">
    <w:name w:val="Pleadings_L8 Char"/>
    <w:basedOn w:val="BodyTextChar"/>
    <w:link w:val="PleadingsL8"/>
    <w:rsid w:val="005875B0"/>
    <w:rPr>
      <w:rFonts w:ascii="Times New Roman" w:eastAsia="Times New Roman" w:hAnsi="Times New Roman" w:cs="Times New Roman"/>
      <w:b/>
      <w:sz w:val="24"/>
      <w:szCs w:val="20"/>
    </w:rPr>
  </w:style>
  <w:style w:type="paragraph" w:customStyle="1" w:styleId="PleadingsL9">
    <w:name w:val="Pleadings_L9"/>
    <w:basedOn w:val="PleadingsL8"/>
    <w:next w:val="BodyText"/>
    <w:link w:val="PleadingsL9Char"/>
    <w:rsid w:val="005875B0"/>
    <w:pPr>
      <w:numPr>
        <w:ilvl w:val="8"/>
      </w:numPr>
      <w:outlineLvl w:val="8"/>
    </w:pPr>
  </w:style>
  <w:style w:type="character" w:customStyle="1" w:styleId="PleadingsL9Char">
    <w:name w:val="Pleadings_L9 Char"/>
    <w:basedOn w:val="BodyTextChar"/>
    <w:link w:val="PleadingsL9"/>
    <w:rsid w:val="005875B0"/>
    <w:rPr>
      <w:rFonts w:ascii="Times New Roman" w:eastAsia="Times New Roman" w:hAnsi="Times New Roman" w:cs="Times New Roman"/>
      <w:b/>
      <w:sz w:val="24"/>
      <w:szCs w:val="20"/>
    </w:rPr>
  </w:style>
  <w:style w:type="character" w:customStyle="1" w:styleId="zzmpTrailerItem">
    <w:name w:val="zzmpTrailerItem"/>
    <w:rsid w:val="00524F30"/>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89751F"/>
    <w:rPr>
      <w:color w:val="0563C1" w:themeColor="hyperlink"/>
      <w:u w:val="single"/>
    </w:rPr>
  </w:style>
  <w:style w:type="character" w:styleId="CommentReference">
    <w:name w:val="annotation reference"/>
    <w:basedOn w:val="DefaultParagraphFont"/>
    <w:uiPriority w:val="99"/>
    <w:semiHidden/>
    <w:unhideWhenUsed/>
    <w:rsid w:val="008C4A98"/>
    <w:rPr>
      <w:sz w:val="16"/>
      <w:szCs w:val="16"/>
    </w:rPr>
  </w:style>
  <w:style w:type="paragraph" w:styleId="CommentText">
    <w:name w:val="annotation text"/>
    <w:basedOn w:val="Normal"/>
    <w:link w:val="CommentTextChar"/>
    <w:uiPriority w:val="99"/>
    <w:semiHidden/>
    <w:unhideWhenUsed/>
    <w:rsid w:val="008C4A98"/>
    <w:rPr>
      <w:sz w:val="20"/>
      <w:szCs w:val="20"/>
    </w:rPr>
  </w:style>
  <w:style w:type="character" w:customStyle="1" w:styleId="CommentTextChar">
    <w:name w:val="Comment Text Char"/>
    <w:basedOn w:val="DefaultParagraphFont"/>
    <w:link w:val="CommentText"/>
    <w:uiPriority w:val="99"/>
    <w:semiHidden/>
    <w:rsid w:val="008C4A9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9351">
      <w:bodyDiv w:val="1"/>
      <w:marLeft w:val="0"/>
      <w:marRight w:val="0"/>
      <w:marTop w:val="0"/>
      <w:marBottom w:val="0"/>
      <w:divBdr>
        <w:top w:val="none" w:sz="0" w:space="0" w:color="auto"/>
        <w:left w:val="none" w:sz="0" w:space="0" w:color="auto"/>
        <w:bottom w:val="none" w:sz="0" w:space="0" w:color="auto"/>
        <w:right w:val="none" w:sz="0" w:space="0" w:color="auto"/>
      </w:divBdr>
    </w:div>
    <w:div w:id="893466650">
      <w:bodyDiv w:val="1"/>
      <w:marLeft w:val="0"/>
      <w:marRight w:val="0"/>
      <w:marTop w:val="0"/>
      <w:marBottom w:val="0"/>
      <w:divBdr>
        <w:top w:val="none" w:sz="0" w:space="0" w:color="auto"/>
        <w:left w:val="none" w:sz="0" w:space="0" w:color="auto"/>
        <w:bottom w:val="none" w:sz="0" w:space="0" w:color="auto"/>
        <w:right w:val="none" w:sz="0" w:space="0" w:color="auto"/>
      </w:divBdr>
    </w:div>
    <w:div w:id="154930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www.pbs.org/newshour/politics/two-thirds-of-black-americans-dont-trust-the-police-to-treat-them-equally-most-white-americans-do" TargetMode="External" />
  <Relationship Id="rId13" Type="http://schemas.openxmlformats.org/officeDocument/2006/relationships/hyperlink" Target="https://openpolicing.stanford.edu/findings/" TargetMode="External" />
  <Relationship Id="rId18" Type="http://schemas.openxmlformats.org/officeDocument/2006/relationships/footer" Target="footer2.xml" />
  <Relationship Id="rId3" Type="http://schemas.openxmlformats.org/officeDocument/2006/relationships/settings" Target="settings.xml" />
  <Relationship Id="rId21" Type="http://schemas.openxmlformats.org/officeDocument/2006/relationships/fontTable" Target="fontTable.xml" />
  <Relationship Id="rId7" Type="http://schemas.openxmlformats.org/officeDocument/2006/relationships/hyperlink" Target="https://urldefense.proofpoint.com/v2/url?u=https-3A__1.next.westlaw.com_Link_Document_FullText-3FfindType-3DY-26serNum-3D0374174896-26pubNum-3D0001168-26originatingDoc-3DIe134f4f4a4da11e98c309ebae4bf89b2-26refType-3DLR-26fi-3Dco-5Fpp-5Fsp-5F1168-5F1475-26originationContext-3Ddocument-26transitionType-3DDocumentItem-26contextData-3D-28sc.Search-29-23co-5Fpp-5Fsp-5F1168-5F1475&amp;d=DwMFAg&amp;c=XRWvQHnpdBDRh-yzrHjqLpXuHNC_9nanQc6pPG_SpT0&amp;r=dEzK8Hjc17MceEQw9JTjpUkF2VhywazrUcX3LqPUOww&amp;m=DsKZfhLB-d1YJhik66UkIAqpimr0OI2e7tzs-CL1pMo&amp;s=2Diq4rukzvRiL-HuKdlQ3xtIlC_3Gx5e9cLgDPAhz5w&amp;e=" TargetMode="External" />
  <Relationship Id="rId12" Type="http://schemas.openxmlformats.org/officeDocument/2006/relationships/hyperlink" Target="https://www.acluaz.org/sites/default/files/7.16embargofinal_the_racial_divide_2020.pdf" TargetMode="External" />
  <Relationship Id="rId17" Type="http://schemas.openxmlformats.org/officeDocument/2006/relationships/footer" Target="footer1.xml" />
  <Relationship Id="rId2" Type="http://schemas.openxmlformats.org/officeDocument/2006/relationships/styles" Target="styles.xml" />
  <Relationship Id="rId16" Type="http://schemas.openxmlformats.org/officeDocument/2006/relationships/header" Target="header2.xml" />
  <Relationship Id="rId20" Type="http://schemas.openxmlformats.org/officeDocument/2006/relationships/footer" Target="footer3.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yperlink" Target="https://www.phoenixnewtimes.com/news/black-latino-drivers-in-arizona-more-likely-searched-by-troopers-9570746" TargetMode="External" />
  <Relationship Id="rId5" Type="http://schemas.openxmlformats.org/officeDocument/2006/relationships/footnotes" Target="footnotes.xml" />
  <Relationship Id="rId15" Type="http://schemas.openxmlformats.org/officeDocument/2006/relationships/header" Target="header1.xml" />
  <Relationship Id="rId10" Type="http://schemas.openxmlformats.org/officeDocument/2006/relationships/hyperlink" Target="https://www.nyclu.org/sites/default/files/field_documents/20190314_nyclu_stopfrisk_singles.pdf" TargetMode="External" />
  <Relationship Id="rId19" Type="http://schemas.openxmlformats.org/officeDocument/2006/relationships/header" Target="header3.xml" />
  <Relationship Id="rId4" Type="http://schemas.openxmlformats.org/officeDocument/2006/relationships/webSettings" Target="webSettings.xml" />
  <Relationship Id="rId9" Type="http://schemas.openxmlformats.org/officeDocument/2006/relationships/hyperlink" Target="https://www.pewsocialtrends.org/2016/09/29/the-racial-confidence-gap-in-police-performance/" TargetMode="External" />
  <Relationship Id="rId14" Type="http://schemas.openxmlformats.org/officeDocument/2006/relationships/hyperlink" Target="https://www.ussc.gov/sites/default/files/pdf/research-and-publications/research-publications/2017/20171114_Demographics.pdf" TargetMode="External" />
  <Relationship Id="rId22" Type="http://schemas.openxmlformats.org/officeDocument/2006/relationships/theme" Target="theme/theme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ublic\Documents\MacPac\Templates\PerkinsBlank.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3</Pages>
  <Words>2227</Words>
  <Characters>12754</Characters>
  <Application>Microsoft Office Word</Application>
  <DocSecurity>0</DocSecurity>
  <Lines>226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