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customXml/itemProps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4E30" w:rsidRPr="00C41A27" w:rsidRDefault="00DB4E30" w:rsidP="00C41A27">
      <w:pPr>
        <w:pStyle w:val="ListParagraph"/>
        <w:spacing w:line="480" w:lineRule="auto"/>
        <w:ind w:left="0"/>
        <w:jc w:val="center"/>
        <w:rPr>
          <w:rFonts w:eastAsia="Times New Roman"/>
          <w:b/>
          <w:snapToGrid/>
          <w:sz w:val="36"/>
          <w:szCs w:val="36"/>
          <w:vertAlign w:val="baseline"/>
        </w:rPr>
      </w:pPr>
      <w:bookmarkStart w:id="0" w:name="_GoBack"/>
      <w:bookmarkEnd w:id="0"/>
      <w:r w:rsidRPr="00C41A27">
        <w:rPr>
          <w:rFonts w:eastAsia="Times New Roman"/>
          <w:b/>
          <w:snapToGrid/>
          <w:sz w:val="36"/>
          <w:szCs w:val="36"/>
          <w:vertAlign w:val="baseline"/>
        </w:rPr>
        <w:t>Appendix A:  Proposed Supreme Court Rule 24</w:t>
      </w:r>
    </w:p>
    <w:p w:rsidR="00DB4E30" w:rsidRDefault="00DB4E30">
      <w:pPr>
        <w:rPr>
          <w:rFonts w:eastAsia="Times New Roman"/>
          <w:b/>
          <w:snapToGrid/>
          <w:sz w:val="28"/>
          <w:szCs w:val="28"/>
          <w:vertAlign w:val="baseline"/>
        </w:rPr>
        <w:sectPr w:rsidR="00DB4E30" w:rsidSect="00DB4E30">
          <w:pgSz w:w="12240" w:h="15840"/>
          <w:pgMar w:top="1440" w:right="1440" w:bottom="1440" w:left="1440" w:header="720" w:footer="720" w:gutter="0"/>
          <w:pgNumType w:start="0"/>
          <w:cols w:space="720"/>
          <w:docGrid w:linePitch="360"/>
        </w:sectPr>
      </w:pPr>
    </w:p>
    <w:p w:rsidR="00DB4E30" w:rsidRDefault="00DB4E30">
      <w:pPr>
        <w:rPr>
          <w:rFonts w:eastAsia="Times New Roman"/>
          <w:b/>
          <w:snapToGrid/>
          <w:sz w:val="28"/>
          <w:szCs w:val="28"/>
          <w:vertAlign w:val="baseline"/>
        </w:rPr>
      </w:pPr>
    </w:p>
    <w:p w:rsidR="006000DD" w:rsidRDefault="000C5B23" w:rsidP="000C5B23">
      <w:pPr>
        <w:pStyle w:val="ListParagraph"/>
        <w:spacing w:line="480" w:lineRule="auto"/>
        <w:ind w:left="1440"/>
        <w:jc w:val="center"/>
        <w:rPr>
          <w:rFonts w:eastAsia="Times New Roman"/>
          <w:b/>
          <w:snapToGrid/>
          <w:sz w:val="28"/>
          <w:szCs w:val="28"/>
          <w:vertAlign w:val="baseline"/>
        </w:rPr>
      </w:pPr>
      <w:r>
        <w:rPr>
          <w:rFonts w:eastAsia="Times New Roman"/>
          <w:b/>
          <w:snapToGrid/>
          <w:sz w:val="28"/>
          <w:szCs w:val="28"/>
          <w:vertAlign w:val="baseline"/>
        </w:rPr>
        <w:t>Appendix A:  Proposed Supreme Court Rule 24</w:t>
      </w:r>
    </w:p>
    <w:p w:rsidR="00594152" w:rsidRDefault="008C3768" w:rsidP="00594152">
      <w:pPr>
        <w:pStyle w:val="ListParagraph"/>
        <w:spacing w:line="480" w:lineRule="auto"/>
        <w:ind w:left="1440"/>
        <w:jc w:val="both"/>
        <w:rPr>
          <w:rFonts w:eastAsia="Times New Roman"/>
          <w:b/>
          <w:snapToGrid/>
          <w:sz w:val="28"/>
          <w:szCs w:val="28"/>
          <w:vertAlign w:val="baseline"/>
        </w:rPr>
      </w:pPr>
      <w:r>
        <w:rPr>
          <w:rFonts w:eastAsia="Times New Roman"/>
          <w:b/>
          <w:snapToGrid/>
          <w:sz w:val="28"/>
          <w:szCs w:val="28"/>
          <w:vertAlign w:val="baseline"/>
        </w:rPr>
        <w:t xml:space="preserve"> </w:t>
      </w:r>
    </w:p>
    <w:p w:rsidR="003E04D5" w:rsidRPr="00126B34" w:rsidRDefault="003E04D5" w:rsidP="004718D4">
      <w:pPr>
        <w:spacing w:line="480" w:lineRule="auto"/>
        <w:ind w:left="1440"/>
        <w:jc w:val="both"/>
        <w:rPr>
          <w:rFonts w:eastAsia="Times New Roman"/>
          <w:b/>
          <w:bCs/>
          <w:snapToGrid/>
          <w:sz w:val="28"/>
          <w:szCs w:val="28"/>
          <w:vertAlign w:val="baseline"/>
        </w:rPr>
      </w:pPr>
      <w:r w:rsidRPr="00126B34">
        <w:rPr>
          <w:rFonts w:eastAsia="Times New Roman"/>
          <w:b/>
          <w:bCs/>
          <w:snapToGrid/>
          <w:sz w:val="28"/>
          <w:szCs w:val="28"/>
          <w:vertAlign w:val="baseline"/>
        </w:rPr>
        <w:t xml:space="preserve">Rules of the Supreme Court of Arizona: Rule </w:t>
      </w:r>
      <w:r>
        <w:rPr>
          <w:rFonts w:eastAsia="Times New Roman"/>
          <w:b/>
          <w:bCs/>
          <w:snapToGrid/>
          <w:sz w:val="28"/>
          <w:szCs w:val="28"/>
          <w:vertAlign w:val="baseline"/>
        </w:rPr>
        <w:t>24</w:t>
      </w:r>
    </w:p>
    <w:p w:rsidR="003E04D5" w:rsidRPr="00F33AF2" w:rsidRDefault="003E04D5" w:rsidP="0065567B">
      <w:pPr>
        <w:numPr>
          <w:ilvl w:val="0"/>
          <w:numId w:val="2"/>
        </w:numPr>
        <w:spacing w:line="480" w:lineRule="auto"/>
        <w:ind w:left="1440" w:firstLine="0"/>
        <w:jc w:val="both"/>
        <w:rPr>
          <w:rFonts w:eastAsia="Times New Roman"/>
          <w:snapToGrid/>
          <w:sz w:val="28"/>
          <w:szCs w:val="28"/>
          <w:vertAlign w:val="baseline"/>
        </w:rPr>
      </w:pPr>
      <w:r w:rsidRPr="00126B34">
        <w:rPr>
          <w:rFonts w:eastAsia="Times New Roman"/>
          <w:b/>
          <w:bCs/>
          <w:snapToGrid/>
          <w:sz w:val="28"/>
          <w:szCs w:val="28"/>
          <w:vertAlign w:val="baseline"/>
        </w:rPr>
        <w:t>Policy and Purpose.</w:t>
      </w:r>
      <w:r w:rsidRPr="00126B34">
        <w:rPr>
          <w:rFonts w:eastAsia="Times New Roman"/>
          <w:snapToGrid/>
          <w:sz w:val="28"/>
          <w:szCs w:val="28"/>
          <w:vertAlign w:val="baseline"/>
        </w:rPr>
        <w:t xml:space="preserve"> </w:t>
      </w:r>
      <w:r w:rsidR="00471C2C" w:rsidRPr="00CB7E07">
        <w:rPr>
          <w:rFonts w:eastAsia="Times New Roman"/>
          <w:snapToGrid/>
          <w:sz w:val="28"/>
          <w:szCs w:val="28"/>
          <w:vertAlign w:val="baseline"/>
        </w:rPr>
        <w:t xml:space="preserve">Because implicit, institutional, and unconscious biases, in addition to purposeful discrimination, have resulted in the unfair exclusion of potential jurors, this rule’s </w:t>
      </w:r>
      <w:r w:rsidR="005E452C">
        <w:rPr>
          <w:rFonts w:eastAsia="Times New Roman"/>
          <w:snapToGrid/>
          <w:sz w:val="28"/>
          <w:szCs w:val="28"/>
          <w:vertAlign w:val="baseline"/>
        </w:rPr>
        <w:t xml:space="preserve">purpose is to eliminate the unfair exclusion of potential jurors based </w:t>
      </w:r>
      <w:r w:rsidRPr="00126B34">
        <w:rPr>
          <w:rFonts w:eastAsia="Times New Roman"/>
          <w:snapToGrid/>
          <w:sz w:val="28"/>
          <w:szCs w:val="28"/>
          <w:vertAlign w:val="baseline"/>
        </w:rPr>
        <w:t>on race</w:t>
      </w:r>
      <w:r w:rsidR="009544CA">
        <w:rPr>
          <w:rFonts w:eastAsia="Times New Roman"/>
          <w:snapToGrid/>
          <w:sz w:val="28"/>
          <w:szCs w:val="28"/>
          <w:vertAlign w:val="baseline"/>
        </w:rPr>
        <w:t xml:space="preserve">, </w:t>
      </w:r>
      <w:r w:rsidR="009544CA" w:rsidRPr="008C3768">
        <w:rPr>
          <w:rFonts w:eastAsia="Times New Roman"/>
          <w:snapToGrid/>
          <w:sz w:val="28"/>
          <w:szCs w:val="28"/>
          <w:vertAlign w:val="baseline"/>
        </w:rPr>
        <w:t xml:space="preserve">sex, gender, religion, national origin, </w:t>
      </w:r>
      <w:r w:rsidRPr="008C3768">
        <w:rPr>
          <w:rFonts w:eastAsia="Times New Roman"/>
          <w:snapToGrid/>
          <w:sz w:val="28"/>
          <w:szCs w:val="28"/>
          <w:vertAlign w:val="baseline"/>
        </w:rPr>
        <w:t>ethnicity</w:t>
      </w:r>
      <w:r w:rsidR="009544CA" w:rsidRPr="008C3768">
        <w:rPr>
          <w:rFonts w:eastAsia="Times New Roman"/>
          <w:snapToGrid/>
          <w:sz w:val="28"/>
          <w:szCs w:val="28"/>
          <w:vertAlign w:val="baseline"/>
        </w:rPr>
        <w:t>, disability, age, and sexual orientation</w:t>
      </w:r>
      <w:r w:rsidR="00F3471D" w:rsidRPr="008C3768">
        <w:rPr>
          <w:rFonts w:eastAsia="Times New Roman"/>
          <w:snapToGrid/>
          <w:sz w:val="28"/>
          <w:szCs w:val="28"/>
          <w:vertAlign w:val="baseline"/>
        </w:rPr>
        <w:t xml:space="preserve">, whether based on conscious or unconscious bias. </w:t>
      </w:r>
    </w:p>
    <w:p w:rsidR="00D17A18" w:rsidRPr="00F33AF2" w:rsidRDefault="003E04D5" w:rsidP="0065567B">
      <w:pPr>
        <w:numPr>
          <w:ilvl w:val="0"/>
          <w:numId w:val="2"/>
        </w:numPr>
        <w:spacing w:line="480" w:lineRule="auto"/>
        <w:ind w:left="1440" w:firstLine="0"/>
        <w:jc w:val="both"/>
        <w:rPr>
          <w:rFonts w:eastAsia="Times New Roman"/>
          <w:snapToGrid/>
          <w:sz w:val="28"/>
          <w:szCs w:val="28"/>
          <w:vertAlign w:val="baseline"/>
        </w:rPr>
      </w:pPr>
      <w:r w:rsidRPr="00126B34">
        <w:rPr>
          <w:rFonts w:eastAsia="Times New Roman"/>
          <w:b/>
          <w:bCs/>
          <w:snapToGrid/>
          <w:sz w:val="28"/>
          <w:szCs w:val="28"/>
          <w:vertAlign w:val="baseline"/>
        </w:rPr>
        <w:t>Scope.</w:t>
      </w:r>
      <w:r w:rsidRPr="00126B34">
        <w:rPr>
          <w:rFonts w:eastAsia="Times New Roman"/>
          <w:snapToGrid/>
          <w:sz w:val="28"/>
          <w:szCs w:val="28"/>
          <w:vertAlign w:val="baseline"/>
        </w:rPr>
        <w:t xml:space="preserve"> This rule applies in all jury trials.</w:t>
      </w:r>
    </w:p>
    <w:p w:rsidR="003E04D5" w:rsidRPr="005E10EC" w:rsidRDefault="003E04D5" w:rsidP="0065567B">
      <w:pPr>
        <w:numPr>
          <w:ilvl w:val="0"/>
          <w:numId w:val="2"/>
        </w:numPr>
        <w:spacing w:line="480" w:lineRule="auto"/>
        <w:ind w:left="1440" w:firstLine="0"/>
        <w:jc w:val="both"/>
        <w:rPr>
          <w:rFonts w:eastAsia="Times New Roman"/>
          <w:i/>
          <w:snapToGrid/>
          <w:sz w:val="28"/>
          <w:szCs w:val="28"/>
          <w:u w:val="single"/>
          <w:vertAlign w:val="baseline"/>
        </w:rPr>
      </w:pPr>
      <w:r w:rsidRPr="00126B34">
        <w:rPr>
          <w:rFonts w:eastAsia="Times New Roman"/>
          <w:b/>
          <w:bCs/>
          <w:snapToGrid/>
          <w:sz w:val="28"/>
          <w:szCs w:val="28"/>
          <w:vertAlign w:val="baseline"/>
        </w:rPr>
        <w:t>Objection.</w:t>
      </w:r>
      <w:r w:rsidRPr="00126B34">
        <w:rPr>
          <w:rFonts w:eastAsia="Times New Roman"/>
          <w:snapToGrid/>
          <w:sz w:val="28"/>
          <w:szCs w:val="28"/>
          <w:vertAlign w:val="baseline"/>
        </w:rPr>
        <w:t xml:space="preserve"> A party may object to </w:t>
      </w:r>
      <w:r w:rsidR="003119E4" w:rsidRPr="0000770C">
        <w:rPr>
          <w:rFonts w:eastAsia="Times New Roman"/>
          <w:snapToGrid/>
          <w:sz w:val="28"/>
          <w:szCs w:val="28"/>
          <w:vertAlign w:val="baseline"/>
        </w:rPr>
        <w:t xml:space="preserve">the </w:t>
      </w:r>
      <w:r w:rsidR="0056590E">
        <w:rPr>
          <w:rFonts w:eastAsia="Times New Roman"/>
          <w:snapToGrid/>
          <w:sz w:val="28"/>
          <w:szCs w:val="28"/>
          <w:vertAlign w:val="baseline"/>
        </w:rPr>
        <w:t xml:space="preserve">use </w:t>
      </w:r>
      <w:r w:rsidR="003119E4" w:rsidRPr="0000770C">
        <w:rPr>
          <w:rFonts w:eastAsia="Times New Roman"/>
          <w:snapToGrid/>
          <w:sz w:val="28"/>
          <w:szCs w:val="28"/>
          <w:vertAlign w:val="baseline"/>
        </w:rPr>
        <w:t>or waiver of</w:t>
      </w:r>
      <w:r w:rsidR="003119E4">
        <w:rPr>
          <w:rFonts w:eastAsia="Times New Roman"/>
          <w:i/>
          <w:snapToGrid/>
          <w:sz w:val="28"/>
          <w:szCs w:val="28"/>
          <w:vertAlign w:val="baseline"/>
        </w:rPr>
        <w:t xml:space="preserve"> </w:t>
      </w:r>
      <w:r w:rsidRPr="003119E4">
        <w:rPr>
          <w:rFonts w:eastAsia="Times New Roman"/>
          <w:snapToGrid/>
          <w:sz w:val="28"/>
          <w:szCs w:val="28"/>
          <w:vertAlign w:val="baseline"/>
        </w:rPr>
        <w:t>a</w:t>
      </w:r>
      <w:r w:rsidRPr="00126B34">
        <w:rPr>
          <w:rFonts w:eastAsia="Times New Roman"/>
          <w:snapToGrid/>
          <w:sz w:val="28"/>
          <w:szCs w:val="28"/>
          <w:vertAlign w:val="baseline"/>
        </w:rPr>
        <w:t xml:space="preserve"> peremptory challenge </w:t>
      </w:r>
      <w:r w:rsidR="00521491" w:rsidRPr="008C3768">
        <w:rPr>
          <w:rFonts w:eastAsia="Times New Roman"/>
          <w:snapToGrid/>
          <w:sz w:val="28"/>
          <w:szCs w:val="28"/>
          <w:vertAlign w:val="baseline"/>
        </w:rPr>
        <w:t>on the basis of</w:t>
      </w:r>
      <w:r w:rsidR="00521491" w:rsidRPr="00550DA9">
        <w:rPr>
          <w:rFonts w:eastAsia="Times New Roman"/>
          <w:snapToGrid/>
          <w:sz w:val="28"/>
          <w:szCs w:val="28"/>
          <w:vertAlign w:val="baseline"/>
        </w:rPr>
        <w:t xml:space="preserve"> </w:t>
      </w:r>
      <w:r w:rsidRPr="00126B34">
        <w:rPr>
          <w:rFonts w:eastAsia="Times New Roman"/>
          <w:snapToGrid/>
          <w:sz w:val="28"/>
          <w:szCs w:val="28"/>
          <w:vertAlign w:val="baseline"/>
        </w:rPr>
        <w:t xml:space="preserve">improper bias. The court may also raise this objection on its own. The objection </w:t>
      </w:r>
      <w:r w:rsidR="008C3768">
        <w:rPr>
          <w:rFonts w:eastAsia="Times New Roman"/>
          <w:snapToGrid/>
          <w:sz w:val="28"/>
          <w:szCs w:val="28"/>
          <w:vertAlign w:val="baseline"/>
        </w:rPr>
        <w:t xml:space="preserve">must </w:t>
      </w:r>
      <w:r w:rsidRPr="00126B34">
        <w:rPr>
          <w:rFonts w:eastAsia="Times New Roman"/>
          <w:snapToGrid/>
          <w:sz w:val="28"/>
          <w:szCs w:val="28"/>
          <w:vertAlign w:val="baseline"/>
        </w:rPr>
        <w:t xml:space="preserve">be made by simple citation to this rule, and any further discussion </w:t>
      </w:r>
      <w:r w:rsidR="00521491" w:rsidRPr="008C3768">
        <w:rPr>
          <w:rFonts w:eastAsia="Times New Roman"/>
          <w:snapToGrid/>
          <w:sz w:val="28"/>
          <w:szCs w:val="28"/>
          <w:vertAlign w:val="baseline"/>
        </w:rPr>
        <w:t>must</w:t>
      </w:r>
      <w:r w:rsidR="00521491">
        <w:rPr>
          <w:rFonts w:eastAsia="Times New Roman"/>
          <w:snapToGrid/>
          <w:sz w:val="28"/>
          <w:szCs w:val="28"/>
          <w:vertAlign w:val="baseline"/>
        </w:rPr>
        <w:t xml:space="preserve"> </w:t>
      </w:r>
      <w:r w:rsidRPr="00126B34">
        <w:rPr>
          <w:rFonts w:eastAsia="Times New Roman"/>
          <w:snapToGrid/>
          <w:sz w:val="28"/>
          <w:szCs w:val="28"/>
          <w:vertAlign w:val="baseline"/>
        </w:rPr>
        <w:t xml:space="preserve">be conducted outside the presence of the </w:t>
      </w:r>
      <w:r w:rsidR="00D17A18" w:rsidRPr="008C3768">
        <w:rPr>
          <w:rFonts w:eastAsia="Times New Roman"/>
          <w:snapToGrid/>
          <w:sz w:val="28"/>
          <w:szCs w:val="28"/>
          <w:vertAlign w:val="baseline"/>
        </w:rPr>
        <w:t>jury</w:t>
      </w:r>
      <w:r w:rsidR="00D17A18" w:rsidRPr="00D17A18">
        <w:rPr>
          <w:rFonts w:eastAsia="Times New Roman"/>
          <w:snapToGrid/>
          <w:sz w:val="28"/>
          <w:szCs w:val="28"/>
          <w:vertAlign w:val="baseline"/>
        </w:rPr>
        <w:t xml:space="preserve"> </w:t>
      </w:r>
      <w:r w:rsidRPr="00126B34">
        <w:rPr>
          <w:rFonts w:eastAsia="Times New Roman"/>
          <w:snapToGrid/>
          <w:sz w:val="28"/>
          <w:szCs w:val="28"/>
          <w:vertAlign w:val="baseline"/>
        </w:rPr>
        <w:t xml:space="preserve">panel. </w:t>
      </w:r>
      <w:r w:rsidR="00BE7855">
        <w:rPr>
          <w:rFonts w:eastAsia="Times New Roman"/>
          <w:snapToGrid/>
          <w:sz w:val="28"/>
          <w:szCs w:val="28"/>
          <w:vertAlign w:val="baseline"/>
        </w:rPr>
        <w:t xml:space="preserve">The court </w:t>
      </w:r>
      <w:r w:rsidR="0000770C">
        <w:rPr>
          <w:rFonts w:eastAsia="Times New Roman"/>
          <w:snapToGrid/>
          <w:sz w:val="28"/>
          <w:szCs w:val="28"/>
          <w:vertAlign w:val="baseline"/>
        </w:rPr>
        <w:t xml:space="preserve">must </w:t>
      </w:r>
      <w:r w:rsidR="00BE7855">
        <w:rPr>
          <w:rFonts w:eastAsia="Times New Roman"/>
          <w:snapToGrid/>
          <w:sz w:val="28"/>
          <w:szCs w:val="28"/>
          <w:vertAlign w:val="baseline"/>
        </w:rPr>
        <w:t xml:space="preserve">not excuse any potential jurors who have been the subject of a peremptory challenge or who have been removed from the panel due to the waiver of a peremptory challenge and who are the subject of an objection made pursuant to this rule until all peremptory challenges have been </w:t>
      </w:r>
      <w:r w:rsidR="0056590E">
        <w:rPr>
          <w:rFonts w:eastAsia="Times New Roman"/>
          <w:snapToGrid/>
          <w:sz w:val="28"/>
          <w:szCs w:val="28"/>
          <w:vertAlign w:val="baseline"/>
        </w:rPr>
        <w:t xml:space="preserve">used </w:t>
      </w:r>
      <w:r w:rsidR="00BE7855">
        <w:rPr>
          <w:rFonts w:eastAsia="Times New Roman"/>
          <w:snapToGrid/>
          <w:sz w:val="28"/>
          <w:szCs w:val="28"/>
          <w:vertAlign w:val="baseline"/>
        </w:rPr>
        <w:t xml:space="preserve">or waived and any objections have been ruled upon. </w:t>
      </w:r>
      <w:r w:rsidR="0000770C">
        <w:rPr>
          <w:rFonts w:eastAsia="Times New Roman"/>
          <w:snapToGrid/>
          <w:sz w:val="28"/>
          <w:szCs w:val="28"/>
          <w:vertAlign w:val="baseline"/>
        </w:rPr>
        <w:t xml:space="preserve">The objection must </w:t>
      </w:r>
      <w:r w:rsidR="0000770C">
        <w:rPr>
          <w:rFonts w:eastAsia="Times New Roman"/>
          <w:snapToGrid/>
          <w:sz w:val="28"/>
          <w:szCs w:val="28"/>
          <w:vertAlign w:val="baseline"/>
        </w:rPr>
        <w:lastRenderedPageBreak/>
        <w:t xml:space="preserve">be made before the jury is empaneled, unless information becomes known that could not reasonably have been known before the jury was empaneled. </w:t>
      </w:r>
      <w:bookmarkStart w:id="1" w:name="_Hlk52360569"/>
    </w:p>
    <w:bookmarkEnd w:id="1"/>
    <w:p w:rsidR="003E04D5" w:rsidRPr="00C74A11" w:rsidRDefault="003E04D5" w:rsidP="0065567B">
      <w:pPr>
        <w:numPr>
          <w:ilvl w:val="0"/>
          <w:numId w:val="2"/>
        </w:numPr>
        <w:spacing w:line="480" w:lineRule="auto"/>
        <w:ind w:left="1440" w:firstLine="0"/>
        <w:jc w:val="both"/>
        <w:rPr>
          <w:rFonts w:eastAsia="Times New Roman"/>
          <w:snapToGrid/>
          <w:sz w:val="28"/>
          <w:szCs w:val="28"/>
          <w:vertAlign w:val="baseline"/>
        </w:rPr>
      </w:pPr>
      <w:r w:rsidRPr="00126B34">
        <w:rPr>
          <w:rFonts w:eastAsia="Times New Roman"/>
          <w:b/>
          <w:bCs/>
          <w:snapToGrid/>
          <w:sz w:val="28"/>
          <w:szCs w:val="28"/>
          <w:vertAlign w:val="baseline"/>
        </w:rPr>
        <w:t>Response.</w:t>
      </w:r>
      <w:r w:rsidRPr="00126B34">
        <w:rPr>
          <w:rFonts w:eastAsia="Times New Roman"/>
          <w:snapToGrid/>
          <w:sz w:val="28"/>
          <w:szCs w:val="28"/>
          <w:vertAlign w:val="baseline"/>
        </w:rPr>
        <w:t xml:space="preserve"> </w:t>
      </w:r>
      <w:r w:rsidR="00F3471D" w:rsidRPr="00EC78BA">
        <w:rPr>
          <w:rFonts w:eastAsia="Times New Roman"/>
          <w:snapToGrid/>
          <w:sz w:val="28"/>
          <w:szCs w:val="28"/>
          <w:vertAlign w:val="baseline"/>
        </w:rPr>
        <w:t>On</w:t>
      </w:r>
      <w:r w:rsidR="00F3471D">
        <w:rPr>
          <w:rFonts w:eastAsia="Times New Roman"/>
          <w:snapToGrid/>
          <w:sz w:val="28"/>
          <w:szCs w:val="28"/>
          <w:vertAlign w:val="baseline"/>
        </w:rPr>
        <w:t xml:space="preserve"> </w:t>
      </w:r>
      <w:r w:rsidRPr="00126B34">
        <w:rPr>
          <w:rFonts w:eastAsia="Times New Roman"/>
          <w:snapToGrid/>
          <w:sz w:val="28"/>
          <w:szCs w:val="28"/>
          <w:vertAlign w:val="baseline"/>
        </w:rPr>
        <w:t xml:space="preserve">objection to the </w:t>
      </w:r>
      <w:r w:rsidR="0056590E">
        <w:rPr>
          <w:rFonts w:eastAsia="Times New Roman"/>
          <w:snapToGrid/>
          <w:sz w:val="28"/>
          <w:szCs w:val="28"/>
          <w:vertAlign w:val="baseline"/>
        </w:rPr>
        <w:t xml:space="preserve">use or </w:t>
      </w:r>
      <w:r w:rsidR="00550DA9" w:rsidRPr="00C74A11">
        <w:rPr>
          <w:rFonts w:eastAsia="Times New Roman"/>
          <w:snapToGrid/>
          <w:sz w:val="28"/>
          <w:szCs w:val="28"/>
          <w:vertAlign w:val="baseline"/>
        </w:rPr>
        <w:t xml:space="preserve">waiver </w:t>
      </w:r>
      <w:r w:rsidRPr="00C74A11">
        <w:rPr>
          <w:rFonts w:eastAsia="Times New Roman"/>
          <w:snapToGrid/>
          <w:sz w:val="28"/>
          <w:szCs w:val="28"/>
          <w:vertAlign w:val="baseline"/>
        </w:rPr>
        <w:t xml:space="preserve">of a peremptory challenge pursuant to this rule, the party </w:t>
      </w:r>
      <w:r w:rsidR="0056590E">
        <w:rPr>
          <w:rFonts w:eastAsia="Times New Roman"/>
          <w:snapToGrid/>
          <w:sz w:val="28"/>
          <w:szCs w:val="28"/>
          <w:vertAlign w:val="baseline"/>
        </w:rPr>
        <w:t xml:space="preserve">making </w:t>
      </w:r>
      <w:r w:rsidR="00550DA9" w:rsidRPr="00C74A11">
        <w:rPr>
          <w:rFonts w:eastAsia="Times New Roman"/>
          <w:snapToGrid/>
          <w:sz w:val="28"/>
          <w:szCs w:val="28"/>
          <w:vertAlign w:val="baseline"/>
        </w:rPr>
        <w:t xml:space="preserve">or waiving </w:t>
      </w:r>
      <w:r w:rsidRPr="00C74A11">
        <w:rPr>
          <w:rFonts w:eastAsia="Times New Roman"/>
          <w:snapToGrid/>
          <w:sz w:val="28"/>
          <w:szCs w:val="28"/>
          <w:vertAlign w:val="baseline"/>
        </w:rPr>
        <w:t xml:space="preserve">the peremptory challenge </w:t>
      </w:r>
      <w:r w:rsidR="00F3471D" w:rsidRPr="00C74A11">
        <w:rPr>
          <w:rFonts w:eastAsia="Times New Roman"/>
          <w:snapToGrid/>
          <w:sz w:val="28"/>
          <w:szCs w:val="28"/>
          <w:vertAlign w:val="baseline"/>
        </w:rPr>
        <w:t xml:space="preserve">must state </w:t>
      </w:r>
      <w:r w:rsidRPr="00C74A11">
        <w:rPr>
          <w:rFonts w:eastAsia="Times New Roman"/>
          <w:snapToGrid/>
          <w:sz w:val="28"/>
          <w:szCs w:val="28"/>
          <w:vertAlign w:val="baseline"/>
        </w:rPr>
        <w:t xml:space="preserve">the reasons that the peremptory challenge has been </w:t>
      </w:r>
      <w:r w:rsidR="0056590E">
        <w:rPr>
          <w:rFonts w:eastAsia="Times New Roman"/>
          <w:snapToGrid/>
          <w:sz w:val="28"/>
          <w:szCs w:val="28"/>
          <w:vertAlign w:val="baseline"/>
        </w:rPr>
        <w:t xml:space="preserve">made </w:t>
      </w:r>
      <w:r w:rsidR="00550DA9" w:rsidRPr="00C74A11">
        <w:rPr>
          <w:rFonts w:eastAsia="Times New Roman"/>
          <w:snapToGrid/>
          <w:sz w:val="28"/>
          <w:szCs w:val="28"/>
          <w:vertAlign w:val="baseline"/>
        </w:rPr>
        <w:t>or waived</w:t>
      </w:r>
      <w:r w:rsidRPr="00C74A11">
        <w:rPr>
          <w:rFonts w:eastAsia="Times New Roman"/>
          <w:snapToGrid/>
          <w:sz w:val="28"/>
          <w:szCs w:val="28"/>
          <w:vertAlign w:val="baseline"/>
        </w:rPr>
        <w:t>.</w:t>
      </w:r>
    </w:p>
    <w:p w:rsidR="003E04D5" w:rsidRPr="00EC78BA" w:rsidRDefault="003E04D5" w:rsidP="0065567B">
      <w:pPr>
        <w:numPr>
          <w:ilvl w:val="0"/>
          <w:numId w:val="2"/>
        </w:numPr>
        <w:spacing w:line="480" w:lineRule="auto"/>
        <w:ind w:left="1440" w:firstLine="0"/>
        <w:jc w:val="both"/>
        <w:rPr>
          <w:rFonts w:eastAsia="Times New Roman"/>
          <w:snapToGrid/>
          <w:sz w:val="28"/>
          <w:szCs w:val="28"/>
          <w:vertAlign w:val="baseline"/>
        </w:rPr>
      </w:pPr>
      <w:r w:rsidRPr="00126B34">
        <w:rPr>
          <w:rFonts w:eastAsia="Times New Roman"/>
          <w:b/>
          <w:bCs/>
          <w:snapToGrid/>
          <w:sz w:val="28"/>
          <w:szCs w:val="28"/>
          <w:vertAlign w:val="baseline"/>
        </w:rPr>
        <w:t>Determination.</w:t>
      </w:r>
      <w:r w:rsidRPr="00126B34">
        <w:rPr>
          <w:rFonts w:eastAsia="Times New Roman"/>
          <w:snapToGrid/>
          <w:sz w:val="28"/>
          <w:szCs w:val="28"/>
          <w:vertAlign w:val="baseline"/>
        </w:rPr>
        <w:t xml:space="preserve"> The court</w:t>
      </w:r>
      <w:r w:rsidR="00F3471D">
        <w:rPr>
          <w:rFonts w:eastAsia="Times New Roman"/>
          <w:snapToGrid/>
          <w:sz w:val="28"/>
          <w:szCs w:val="28"/>
          <w:vertAlign w:val="baseline"/>
        </w:rPr>
        <w:t xml:space="preserve"> </w:t>
      </w:r>
      <w:r w:rsidR="007F1F3B" w:rsidRPr="00EC78BA">
        <w:rPr>
          <w:rFonts w:eastAsia="Times New Roman"/>
          <w:snapToGrid/>
          <w:sz w:val="28"/>
          <w:szCs w:val="28"/>
          <w:vertAlign w:val="baseline"/>
        </w:rPr>
        <w:t>must</w:t>
      </w:r>
      <w:r w:rsidRPr="00126B34">
        <w:rPr>
          <w:rFonts w:eastAsia="Times New Roman"/>
          <w:snapToGrid/>
          <w:sz w:val="28"/>
          <w:szCs w:val="28"/>
          <w:vertAlign w:val="baseline"/>
        </w:rPr>
        <w:t xml:space="preserve"> then evaluate the reasons given to justify the peremptory challe</w:t>
      </w:r>
      <w:r w:rsidRPr="00C74A11">
        <w:rPr>
          <w:rFonts w:eastAsia="Times New Roman"/>
          <w:snapToGrid/>
          <w:sz w:val="28"/>
          <w:szCs w:val="28"/>
          <w:vertAlign w:val="baseline"/>
        </w:rPr>
        <w:t xml:space="preserve">nge </w:t>
      </w:r>
      <w:r w:rsidR="00550DA9" w:rsidRPr="00C74A11">
        <w:rPr>
          <w:rFonts w:eastAsia="Times New Roman"/>
          <w:snapToGrid/>
          <w:sz w:val="28"/>
          <w:szCs w:val="28"/>
          <w:vertAlign w:val="baseline"/>
        </w:rPr>
        <w:t xml:space="preserve">or waiver </w:t>
      </w:r>
      <w:r w:rsidRPr="00C74A11">
        <w:rPr>
          <w:rFonts w:eastAsia="Times New Roman"/>
          <w:snapToGrid/>
          <w:sz w:val="28"/>
          <w:szCs w:val="28"/>
          <w:vertAlign w:val="baseline"/>
        </w:rPr>
        <w:t>in</w:t>
      </w:r>
      <w:r w:rsidRPr="00126B34">
        <w:rPr>
          <w:rFonts w:eastAsia="Times New Roman"/>
          <w:snapToGrid/>
          <w:sz w:val="28"/>
          <w:szCs w:val="28"/>
          <w:vertAlign w:val="baseline"/>
        </w:rPr>
        <w:t xml:space="preserve"> light of the totality of circumstances. If the court determines that an</w:t>
      </w:r>
      <w:r w:rsidR="00471C2C" w:rsidRPr="00415F17">
        <w:rPr>
          <w:rFonts w:eastAsia="Times New Roman"/>
          <w:snapToGrid/>
          <w:sz w:val="28"/>
          <w:szCs w:val="28"/>
          <w:vertAlign w:val="baseline"/>
        </w:rPr>
        <w:t>y reasonable person</w:t>
      </w:r>
      <w:r w:rsidR="00415F17">
        <w:rPr>
          <w:rFonts w:eastAsia="Times New Roman"/>
          <w:i/>
          <w:snapToGrid/>
          <w:sz w:val="28"/>
          <w:szCs w:val="28"/>
          <w:vertAlign w:val="baseline"/>
        </w:rPr>
        <w:t xml:space="preserve"> </w:t>
      </w:r>
      <w:r w:rsidR="00EC78BA">
        <w:rPr>
          <w:rFonts w:eastAsia="Times New Roman"/>
          <w:snapToGrid/>
          <w:sz w:val="28"/>
          <w:szCs w:val="28"/>
          <w:vertAlign w:val="baseline"/>
        </w:rPr>
        <w:t xml:space="preserve">could </w:t>
      </w:r>
      <w:r w:rsidRPr="00126B34">
        <w:rPr>
          <w:rFonts w:eastAsia="Times New Roman"/>
          <w:snapToGrid/>
          <w:sz w:val="28"/>
          <w:szCs w:val="28"/>
          <w:vertAlign w:val="baseline"/>
        </w:rPr>
        <w:t>view</w:t>
      </w:r>
      <w:r w:rsidRPr="00415F17">
        <w:rPr>
          <w:rFonts w:eastAsia="Times New Roman"/>
          <w:snapToGrid/>
          <w:sz w:val="28"/>
          <w:szCs w:val="28"/>
          <w:vertAlign w:val="baseline"/>
        </w:rPr>
        <w:t xml:space="preserve"> </w:t>
      </w:r>
      <w:r w:rsidR="00471C2C" w:rsidRPr="00415F17">
        <w:rPr>
          <w:rFonts w:eastAsia="Times New Roman"/>
          <w:snapToGrid/>
          <w:sz w:val="28"/>
          <w:szCs w:val="28"/>
          <w:vertAlign w:val="baseline"/>
        </w:rPr>
        <w:t>any of</w:t>
      </w:r>
      <w:r w:rsidR="00471C2C">
        <w:rPr>
          <w:rFonts w:eastAsia="Times New Roman"/>
          <w:i/>
          <w:snapToGrid/>
          <w:sz w:val="28"/>
          <w:szCs w:val="28"/>
          <w:vertAlign w:val="baseline"/>
        </w:rPr>
        <w:t xml:space="preserve"> </w:t>
      </w:r>
      <w:r w:rsidRPr="00471C2C">
        <w:rPr>
          <w:rFonts w:eastAsia="Times New Roman"/>
          <w:snapToGrid/>
          <w:sz w:val="28"/>
          <w:szCs w:val="28"/>
          <w:vertAlign w:val="baseline"/>
        </w:rPr>
        <w:t>race</w:t>
      </w:r>
      <w:r w:rsidR="000726DF" w:rsidRPr="00EC78BA">
        <w:rPr>
          <w:rFonts w:eastAsia="Times New Roman"/>
          <w:snapToGrid/>
          <w:sz w:val="28"/>
          <w:szCs w:val="28"/>
          <w:vertAlign w:val="baseline"/>
        </w:rPr>
        <w:t>, sex, gender, religion, national origin, ethnicity, disability, age, or sexual orientation</w:t>
      </w:r>
      <w:r w:rsidR="00EC78BA" w:rsidRPr="00EC78BA">
        <w:rPr>
          <w:rFonts w:eastAsia="Times New Roman"/>
          <w:snapToGrid/>
          <w:sz w:val="28"/>
          <w:szCs w:val="28"/>
          <w:vertAlign w:val="baseline"/>
        </w:rPr>
        <w:t>,</w:t>
      </w:r>
      <w:r w:rsidRPr="00EC78BA">
        <w:rPr>
          <w:rFonts w:eastAsia="Times New Roman"/>
          <w:snapToGrid/>
          <w:sz w:val="28"/>
          <w:szCs w:val="28"/>
          <w:vertAlign w:val="baseline"/>
        </w:rPr>
        <w:t xml:space="preserve"> as a </w:t>
      </w:r>
      <w:r w:rsidR="00415F17">
        <w:rPr>
          <w:rFonts w:eastAsia="Times New Roman"/>
          <w:snapToGrid/>
          <w:sz w:val="28"/>
          <w:szCs w:val="28"/>
          <w:vertAlign w:val="baseline"/>
        </w:rPr>
        <w:t xml:space="preserve">conscious or unconscious </w:t>
      </w:r>
      <w:r w:rsidRPr="00EC78BA">
        <w:rPr>
          <w:rFonts w:eastAsia="Times New Roman"/>
          <w:snapToGrid/>
          <w:sz w:val="28"/>
          <w:szCs w:val="28"/>
          <w:vertAlign w:val="baseline"/>
        </w:rPr>
        <w:t xml:space="preserve">factor in the </w:t>
      </w:r>
      <w:r w:rsidR="0056590E">
        <w:rPr>
          <w:rFonts w:eastAsia="Times New Roman"/>
          <w:snapToGrid/>
          <w:sz w:val="28"/>
          <w:szCs w:val="28"/>
          <w:vertAlign w:val="baseline"/>
        </w:rPr>
        <w:t xml:space="preserve">use </w:t>
      </w:r>
      <w:r w:rsidR="00550DA9" w:rsidRPr="00C74A11">
        <w:rPr>
          <w:rFonts w:eastAsia="Times New Roman"/>
          <w:snapToGrid/>
          <w:sz w:val="28"/>
          <w:szCs w:val="28"/>
          <w:vertAlign w:val="baseline"/>
        </w:rPr>
        <w:t>or waiver</w:t>
      </w:r>
      <w:r w:rsidR="00550DA9" w:rsidRPr="00550DA9">
        <w:rPr>
          <w:rFonts w:eastAsia="Times New Roman"/>
          <w:i/>
          <w:snapToGrid/>
          <w:sz w:val="28"/>
          <w:szCs w:val="28"/>
          <w:vertAlign w:val="baseline"/>
        </w:rPr>
        <w:t xml:space="preserve"> </w:t>
      </w:r>
      <w:r w:rsidRPr="00EC78BA">
        <w:rPr>
          <w:rFonts w:eastAsia="Times New Roman"/>
          <w:snapToGrid/>
          <w:sz w:val="28"/>
          <w:szCs w:val="28"/>
          <w:vertAlign w:val="baseline"/>
        </w:rPr>
        <w:t xml:space="preserve">of </w:t>
      </w:r>
      <w:r w:rsidR="00C74A11">
        <w:rPr>
          <w:rFonts w:eastAsia="Times New Roman"/>
          <w:snapToGrid/>
          <w:sz w:val="28"/>
          <w:szCs w:val="28"/>
          <w:vertAlign w:val="baseline"/>
        </w:rPr>
        <w:t>a</w:t>
      </w:r>
      <w:r w:rsidRPr="00EC78BA">
        <w:rPr>
          <w:rFonts w:eastAsia="Times New Roman"/>
          <w:snapToGrid/>
          <w:sz w:val="28"/>
          <w:szCs w:val="28"/>
          <w:vertAlign w:val="baseline"/>
        </w:rPr>
        <w:t xml:space="preserve"> peremptory challenge, then the </w:t>
      </w:r>
      <w:r w:rsidR="009E6536" w:rsidRPr="00EC78BA">
        <w:rPr>
          <w:rFonts w:eastAsia="Times New Roman"/>
          <w:snapToGrid/>
          <w:sz w:val="28"/>
          <w:szCs w:val="28"/>
          <w:vertAlign w:val="baseline"/>
        </w:rPr>
        <w:t>objection must be sustained</w:t>
      </w:r>
      <w:r w:rsidR="00471C2C">
        <w:rPr>
          <w:rFonts w:eastAsia="Times New Roman"/>
          <w:snapToGrid/>
          <w:sz w:val="28"/>
          <w:szCs w:val="28"/>
          <w:vertAlign w:val="baseline"/>
        </w:rPr>
        <w:t>, even if other valid reasons are offered</w:t>
      </w:r>
      <w:r w:rsidR="009E6536" w:rsidRPr="00EC78BA">
        <w:rPr>
          <w:rFonts w:eastAsia="Times New Roman"/>
          <w:snapToGrid/>
          <w:sz w:val="28"/>
          <w:szCs w:val="28"/>
          <w:vertAlign w:val="baseline"/>
        </w:rPr>
        <w:t xml:space="preserve">. </w:t>
      </w:r>
      <w:r w:rsidRPr="00EC78BA">
        <w:rPr>
          <w:rFonts w:eastAsia="Times New Roman"/>
          <w:snapToGrid/>
          <w:sz w:val="28"/>
          <w:szCs w:val="28"/>
          <w:vertAlign w:val="baseline"/>
        </w:rPr>
        <w:t xml:space="preserve">The court need not find purposeful discrimination to </w:t>
      </w:r>
      <w:r w:rsidR="009E6536" w:rsidRPr="00EC78BA">
        <w:rPr>
          <w:rFonts w:eastAsia="Times New Roman"/>
          <w:snapToGrid/>
          <w:sz w:val="28"/>
          <w:szCs w:val="28"/>
          <w:vertAlign w:val="baseline"/>
        </w:rPr>
        <w:t>sustain the objection.</w:t>
      </w:r>
      <w:r w:rsidR="009E6536" w:rsidRPr="00550DA9">
        <w:rPr>
          <w:rFonts w:eastAsia="Times New Roman"/>
          <w:snapToGrid/>
          <w:sz w:val="28"/>
          <w:szCs w:val="28"/>
          <w:vertAlign w:val="baseline"/>
        </w:rPr>
        <w:t xml:space="preserve"> </w:t>
      </w:r>
      <w:r w:rsidRPr="00EC78BA">
        <w:rPr>
          <w:rFonts w:eastAsia="Times New Roman"/>
          <w:snapToGrid/>
          <w:sz w:val="28"/>
          <w:szCs w:val="28"/>
          <w:vertAlign w:val="baseline"/>
        </w:rPr>
        <w:t xml:space="preserve">The court </w:t>
      </w:r>
      <w:r w:rsidR="009E6536" w:rsidRPr="00EC78BA">
        <w:rPr>
          <w:rFonts w:eastAsia="Times New Roman"/>
          <w:snapToGrid/>
          <w:sz w:val="28"/>
          <w:szCs w:val="28"/>
          <w:vertAlign w:val="baseline"/>
        </w:rPr>
        <w:t xml:space="preserve">must </w:t>
      </w:r>
      <w:r w:rsidRPr="00EC78BA">
        <w:rPr>
          <w:rFonts w:eastAsia="Times New Roman"/>
          <w:snapToGrid/>
          <w:sz w:val="28"/>
          <w:szCs w:val="28"/>
          <w:vertAlign w:val="baseline"/>
        </w:rPr>
        <w:t>explain its ruling on the record.</w:t>
      </w:r>
    </w:p>
    <w:p w:rsidR="00620E85" w:rsidRPr="00620E85" w:rsidRDefault="003E04D5" w:rsidP="0065567B">
      <w:pPr>
        <w:numPr>
          <w:ilvl w:val="0"/>
          <w:numId w:val="2"/>
        </w:numPr>
        <w:spacing w:line="480" w:lineRule="auto"/>
        <w:ind w:left="1440" w:firstLine="0"/>
        <w:jc w:val="both"/>
        <w:rPr>
          <w:rFonts w:eastAsia="Times New Roman"/>
          <w:snapToGrid/>
          <w:sz w:val="28"/>
          <w:szCs w:val="28"/>
          <w:vertAlign w:val="baseline"/>
        </w:rPr>
      </w:pPr>
      <w:r w:rsidRPr="00126B34">
        <w:rPr>
          <w:rFonts w:eastAsia="Times New Roman"/>
          <w:b/>
          <w:bCs/>
          <w:snapToGrid/>
          <w:sz w:val="28"/>
          <w:szCs w:val="28"/>
          <w:vertAlign w:val="baseline"/>
        </w:rPr>
        <w:t>Circumstances Considered.</w:t>
      </w:r>
      <w:r w:rsidRPr="00126B34">
        <w:rPr>
          <w:rFonts w:eastAsia="Times New Roman"/>
          <w:snapToGrid/>
          <w:sz w:val="28"/>
          <w:szCs w:val="28"/>
          <w:vertAlign w:val="baseline"/>
        </w:rPr>
        <w:t xml:space="preserve"> </w:t>
      </w:r>
      <w:r w:rsidR="00E568B6" w:rsidRPr="00E568B6">
        <w:rPr>
          <w:rFonts w:eastAsia="Times New Roman"/>
          <w:snapToGrid/>
          <w:sz w:val="28"/>
          <w:szCs w:val="28"/>
          <w:vertAlign w:val="baseline"/>
        </w:rPr>
        <w:t xml:space="preserve">In ruling on an objection or waiver, the court may receive argument or information from the parties, and </w:t>
      </w:r>
      <w:r w:rsidR="00E568B6">
        <w:rPr>
          <w:rFonts w:eastAsia="Times New Roman"/>
          <w:snapToGrid/>
          <w:sz w:val="28"/>
          <w:szCs w:val="28"/>
          <w:vertAlign w:val="baseline"/>
        </w:rPr>
        <w:t xml:space="preserve">may </w:t>
      </w:r>
      <w:r w:rsidR="00E568B6" w:rsidRPr="00E568B6">
        <w:rPr>
          <w:rFonts w:eastAsia="Times New Roman"/>
          <w:snapToGrid/>
          <w:sz w:val="28"/>
          <w:szCs w:val="28"/>
          <w:vertAlign w:val="baseline"/>
        </w:rPr>
        <w:t xml:space="preserve">consider circumstances including, but not limited to: </w:t>
      </w:r>
    </w:p>
    <w:p w:rsidR="00E568B6" w:rsidRPr="00E568B6" w:rsidRDefault="00E568B6" w:rsidP="0065567B">
      <w:pPr>
        <w:spacing w:before="240" w:line="480" w:lineRule="auto"/>
        <w:ind w:left="2160"/>
        <w:jc w:val="both"/>
        <w:rPr>
          <w:rFonts w:eastAsia="Times New Roman"/>
          <w:snapToGrid/>
          <w:sz w:val="28"/>
          <w:szCs w:val="28"/>
          <w:vertAlign w:val="baseline"/>
        </w:rPr>
      </w:pPr>
      <w:r w:rsidRPr="00E568B6">
        <w:rPr>
          <w:rFonts w:eastAsia="Times New Roman"/>
          <w:snapToGrid/>
          <w:sz w:val="28"/>
          <w:szCs w:val="28"/>
          <w:vertAlign w:val="baseline"/>
        </w:rPr>
        <w:t>(i)</w:t>
      </w:r>
      <w:r w:rsidR="00620E85">
        <w:rPr>
          <w:rFonts w:eastAsia="Times New Roman"/>
          <w:snapToGrid/>
          <w:sz w:val="28"/>
          <w:szCs w:val="28"/>
          <w:vertAlign w:val="baseline"/>
        </w:rPr>
        <w:tab/>
      </w:r>
      <w:r w:rsidRPr="00E568B6">
        <w:rPr>
          <w:rFonts w:eastAsia="Times New Roman"/>
          <w:snapToGrid/>
          <w:sz w:val="28"/>
          <w:szCs w:val="28"/>
          <w:vertAlign w:val="baseline"/>
        </w:rPr>
        <w:t>the number and types of questions posed to the prospective juror or the panel by the party exercising or waiving the peremptory challenge, which may include:</w:t>
      </w:r>
    </w:p>
    <w:p w:rsidR="00E568B6" w:rsidRPr="00E568B6" w:rsidRDefault="00E568B6" w:rsidP="0065567B">
      <w:pPr>
        <w:spacing w:line="480" w:lineRule="auto"/>
        <w:ind w:left="2880"/>
        <w:jc w:val="both"/>
        <w:rPr>
          <w:rFonts w:eastAsia="Times New Roman"/>
          <w:snapToGrid/>
          <w:sz w:val="28"/>
          <w:szCs w:val="28"/>
          <w:vertAlign w:val="baseline"/>
        </w:rPr>
      </w:pPr>
      <w:r w:rsidRPr="00E568B6">
        <w:rPr>
          <w:rFonts w:eastAsia="Times New Roman"/>
          <w:snapToGrid/>
          <w:sz w:val="28"/>
          <w:szCs w:val="28"/>
          <w:vertAlign w:val="baseline"/>
        </w:rPr>
        <w:t>a.</w:t>
      </w:r>
      <w:r w:rsidR="00AF1E64">
        <w:rPr>
          <w:rFonts w:eastAsia="Times New Roman"/>
          <w:snapToGrid/>
          <w:sz w:val="28"/>
          <w:szCs w:val="28"/>
          <w:vertAlign w:val="baseline"/>
        </w:rPr>
        <w:tab/>
      </w:r>
      <w:r w:rsidRPr="00E568B6">
        <w:rPr>
          <w:rFonts w:eastAsia="Times New Roman"/>
          <w:snapToGrid/>
          <w:sz w:val="28"/>
          <w:szCs w:val="28"/>
          <w:vertAlign w:val="baseline"/>
        </w:rPr>
        <w:t xml:space="preserve">failing to question the challenged juror about the stated reason for the challenge; </w:t>
      </w:r>
    </w:p>
    <w:p w:rsidR="00E568B6" w:rsidRPr="00E568B6" w:rsidRDefault="00E568B6" w:rsidP="0065567B">
      <w:pPr>
        <w:spacing w:line="480" w:lineRule="auto"/>
        <w:ind w:left="2880"/>
        <w:jc w:val="both"/>
        <w:rPr>
          <w:rFonts w:eastAsia="Times New Roman"/>
          <w:snapToGrid/>
          <w:sz w:val="28"/>
          <w:szCs w:val="28"/>
          <w:vertAlign w:val="baseline"/>
        </w:rPr>
      </w:pPr>
      <w:r w:rsidRPr="00E568B6">
        <w:rPr>
          <w:rFonts w:eastAsia="Times New Roman"/>
          <w:snapToGrid/>
          <w:sz w:val="28"/>
          <w:szCs w:val="28"/>
          <w:vertAlign w:val="baseline"/>
        </w:rPr>
        <w:t>b.</w:t>
      </w:r>
      <w:r w:rsidR="00AF1E64">
        <w:rPr>
          <w:rFonts w:eastAsia="Times New Roman"/>
          <w:snapToGrid/>
          <w:sz w:val="28"/>
          <w:szCs w:val="28"/>
          <w:vertAlign w:val="baseline"/>
        </w:rPr>
        <w:tab/>
      </w:r>
      <w:r w:rsidRPr="00E568B6">
        <w:rPr>
          <w:rFonts w:eastAsia="Times New Roman"/>
          <w:snapToGrid/>
          <w:sz w:val="28"/>
          <w:szCs w:val="28"/>
          <w:vertAlign w:val="baseline"/>
        </w:rPr>
        <w:t xml:space="preserve">failing to question the jurors who were not challenged about the stated reason for the challenge; </w:t>
      </w:r>
    </w:p>
    <w:p w:rsidR="00E568B6" w:rsidRPr="00E568B6" w:rsidRDefault="00E568B6" w:rsidP="0065567B">
      <w:pPr>
        <w:spacing w:line="480" w:lineRule="auto"/>
        <w:ind w:left="2880"/>
        <w:jc w:val="both"/>
        <w:rPr>
          <w:rFonts w:eastAsia="Times New Roman"/>
          <w:snapToGrid/>
          <w:sz w:val="28"/>
          <w:szCs w:val="28"/>
          <w:vertAlign w:val="baseline"/>
        </w:rPr>
      </w:pPr>
      <w:r w:rsidRPr="00E568B6">
        <w:rPr>
          <w:rFonts w:eastAsia="Times New Roman"/>
          <w:snapToGrid/>
          <w:sz w:val="28"/>
          <w:szCs w:val="28"/>
          <w:vertAlign w:val="baseline"/>
        </w:rPr>
        <w:t>c.</w:t>
      </w:r>
      <w:r w:rsidR="00AF1E64">
        <w:rPr>
          <w:rFonts w:eastAsia="Times New Roman"/>
          <w:snapToGrid/>
          <w:sz w:val="28"/>
          <w:szCs w:val="28"/>
          <w:vertAlign w:val="baseline"/>
        </w:rPr>
        <w:tab/>
      </w:r>
      <w:r w:rsidRPr="00E568B6">
        <w:rPr>
          <w:rFonts w:eastAsia="Times New Roman"/>
          <w:snapToGrid/>
          <w:sz w:val="28"/>
          <w:szCs w:val="28"/>
          <w:vertAlign w:val="baseline"/>
        </w:rPr>
        <w:t>asking significantly more or different questions of the challenged juror as opposed to other jurors</w:t>
      </w:r>
      <w:r>
        <w:rPr>
          <w:rFonts w:eastAsia="Times New Roman"/>
          <w:snapToGrid/>
          <w:sz w:val="28"/>
          <w:szCs w:val="28"/>
          <w:vertAlign w:val="baseline"/>
        </w:rPr>
        <w:t>; and</w:t>
      </w:r>
    </w:p>
    <w:p w:rsidR="00E568B6" w:rsidRPr="00E568B6" w:rsidRDefault="00E568B6" w:rsidP="0065567B">
      <w:pPr>
        <w:spacing w:line="480" w:lineRule="auto"/>
        <w:ind w:left="2880"/>
        <w:jc w:val="both"/>
        <w:rPr>
          <w:rFonts w:eastAsia="Times New Roman"/>
          <w:snapToGrid/>
          <w:sz w:val="28"/>
          <w:szCs w:val="28"/>
          <w:vertAlign w:val="baseline"/>
        </w:rPr>
      </w:pPr>
      <w:r w:rsidRPr="00E568B6">
        <w:rPr>
          <w:rFonts w:eastAsia="Times New Roman"/>
          <w:snapToGrid/>
          <w:sz w:val="28"/>
          <w:szCs w:val="28"/>
          <w:vertAlign w:val="baseline"/>
        </w:rPr>
        <w:t>d.</w:t>
      </w:r>
      <w:r w:rsidR="00AF1E64">
        <w:rPr>
          <w:rFonts w:eastAsia="Times New Roman"/>
          <w:snapToGrid/>
          <w:sz w:val="28"/>
          <w:szCs w:val="28"/>
          <w:vertAlign w:val="baseline"/>
        </w:rPr>
        <w:tab/>
      </w:r>
      <w:r w:rsidRPr="00E568B6">
        <w:rPr>
          <w:rFonts w:eastAsia="Times New Roman"/>
          <w:snapToGrid/>
          <w:sz w:val="28"/>
          <w:szCs w:val="28"/>
          <w:vertAlign w:val="baseline"/>
        </w:rPr>
        <w:t xml:space="preserve">the types of questions asked of the challenged juror or the panel about the stated reason for the challenge. </w:t>
      </w:r>
    </w:p>
    <w:p w:rsidR="00E568B6" w:rsidRPr="00E568B6" w:rsidRDefault="00E568B6" w:rsidP="0065567B">
      <w:pPr>
        <w:spacing w:line="480" w:lineRule="auto"/>
        <w:ind w:left="2160"/>
        <w:jc w:val="both"/>
        <w:rPr>
          <w:rFonts w:eastAsia="Times New Roman"/>
          <w:snapToGrid/>
          <w:sz w:val="28"/>
          <w:szCs w:val="28"/>
          <w:vertAlign w:val="baseline"/>
        </w:rPr>
      </w:pPr>
      <w:r w:rsidRPr="00E568B6">
        <w:rPr>
          <w:rFonts w:eastAsia="Times New Roman"/>
          <w:snapToGrid/>
          <w:sz w:val="28"/>
          <w:szCs w:val="28"/>
          <w:vertAlign w:val="baseline"/>
        </w:rPr>
        <w:t>(ii)</w:t>
      </w:r>
      <w:r w:rsidR="00AF1E64">
        <w:rPr>
          <w:rFonts w:eastAsia="Times New Roman"/>
          <w:snapToGrid/>
          <w:sz w:val="28"/>
          <w:szCs w:val="28"/>
          <w:vertAlign w:val="baseline"/>
        </w:rPr>
        <w:tab/>
      </w:r>
      <w:r w:rsidRPr="00E568B6">
        <w:rPr>
          <w:rFonts w:eastAsia="Times New Roman"/>
          <w:snapToGrid/>
          <w:sz w:val="28"/>
          <w:szCs w:val="28"/>
          <w:vertAlign w:val="baseline"/>
        </w:rPr>
        <w:t>whether other prospective jurors provided similar answers to written or oral questions but were not the subject of a peremptory challenge or to removal by waiver by that party;</w:t>
      </w:r>
    </w:p>
    <w:p w:rsidR="00E568B6" w:rsidRPr="00E568B6" w:rsidRDefault="00E568B6" w:rsidP="0065567B">
      <w:pPr>
        <w:spacing w:line="480" w:lineRule="auto"/>
        <w:ind w:left="2160"/>
        <w:jc w:val="both"/>
        <w:rPr>
          <w:rFonts w:eastAsia="Times New Roman"/>
          <w:snapToGrid/>
          <w:sz w:val="28"/>
          <w:szCs w:val="28"/>
          <w:vertAlign w:val="baseline"/>
        </w:rPr>
      </w:pPr>
      <w:r w:rsidRPr="00E568B6">
        <w:rPr>
          <w:rFonts w:eastAsia="Times New Roman"/>
          <w:snapToGrid/>
          <w:sz w:val="28"/>
          <w:szCs w:val="28"/>
          <w:vertAlign w:val="baseline"/>
        </w:rPr>
        <w:t>(iii)</w:t>
      </w:r>
      <w:r w:rsidR="00AF1E64">
        <w:rPr>
          <w:rFonts w:eastAsia="Times New Roman"/>
          <w:snapToGrid/>
          <w:sz w:val="28"/>
          <w:szCs w:val="28"/>
          <w:vertAlign w:val="baseline"/>
        </w:rPr>
        <w:tab/>
      </w:r>
      <w:r w:rsidRPr="00E568B6">
        <w:rPr>
          <w:rFonts w:eastAsia="Times New Roman"/>
          <w:snapToGrid/>
          <w:sz w:val="28"/>
          <w:szCs w:val="28"/>
          <w:vertAlign w:val="baseline"/>
        </w:rPr>
        <w:t>whether a stated reason for exercising or waiving the peremptory challenge also applies to similarly situated jurors who were not the subject of the challenge or waiver;</w:t>
      </w:r>
    </w:p>
    <w:p w:rsidR="00E568B6" w:rsidRPr="00E568B6" w:rsidRDefault="00E568B6" w:rsidP="0065567B">
      <w:pPr>
        <w:spacing w:line="480" w:lineRule="auto"/>
        <w:ind w:left="2160"/>
        <w:jc w:val="both"/>
        <w:rPr>
          <w:rFonts w:eastAsia="Times New Roman"/>
          <w:snapToGrid/>
          <w:sz w:val="28"/>
          <w:szCs w:val="28"/>
          <w:vertAlign w:val="baseline"/>
        </w:rPr>
      </w:pPr>
      <w:r w:rsidRPr="00E568B6">
        <w:rPr>
          <w:rFonts w:eastAsia="Times New Roman"/>
          <w:snapToGrid/>
          <w:sz w:val="28"/>
          <w:szCs w:val="28"/>
          <w:vertAlign w:val="baseline"/>
        </w:rPr>
        <w:t>(iv)</w:t>
      </w:r>
      <w:r w:rsidR="00AF1E64">
        <w:rPr>
          <w:rFonts w:eastAsia="Times New Roman"/>
          <w:snapToGrid/>
          <w:sz w:val="28"/>
          <w:szCs w:val="28"/>
          <w:vertAlign w:val="baseline"/>
        </w:rPr>
        <w:tab/>
      </w:r>
      <w:r w:rsidRPr="00E568B6">
        <w:rPr>
          <w:rFonts w:eastAsia="Times New Roman"/>
          <w:snapToGrid/>
          <w:sz w:val="28"/>
          <w:szCs w:val="28"/>
          <w:vertAlign w:val="baseline"/>
        </w:rPr>
        <w:t>whether a reason might be disproportionately associated with race, sex, gender, religion, national origin, ethnicity, disability, age, or sexual orientation or ethnicity; and</w:t>
      </w:r>
    </w:p>
    <w:p w:rsidR="00E568B6" w:rsidRPr="00E568B6" w:rsidRDefault="00E568B6" w:rsidP="0065567B">
      <w:pPr>
        <w:spacing w:line="480" w:lineRule="auto"/>
        <w:ind w:left="2160"/>
        <w:jc w:val="both"/>
        <w:rPr>
          <w:rFonts w:eastAsia="Times New Roman"/>
          <w:snapToGrid/>
          <w:sz w:val="28"/>
          <w:szCs w:val="28"/>
          <w:vertAlign w:val="baseline"/>
        </w:rPr>
      </w:pPr>
      <w:r w:rsidRPr="00E568B6">
        <w:rPr>
          <w:rFonts w:eastAsia="Times New Roman"/>
          <w:snapToGrid/>
          <w:sz w:val="28"/>
          <w:szCs w:val="28"/>
          <w:vertAlign w:val="baseline"/>
        </w:rPr>
        <w:t>(v)</w:t>
      </w:r>
      <w:r w:rsidR="00AF1E64">
        <w:rPr>
          <w:rFonts w:eastAsia="Times New Roman"/>
          <w:snapToGrid/>
          <w:sz w:val="28"/>
          <w:szCs w:val="28"/>
          <w:vertAlign w:val="baseline"/>
        </w:rPr>
        <w:tab/>
      </w:r>
      <w:r>
        <w:rPr>
          <w:rFonts w:eastAsia="Times New Roman"/>
          <w:snapToGrid/>
          <w:sz w:val="28"/>
          <w:szCs w:val="28"/>
          <w:vertAlign w:val="baseline"/>
        </w:rPr>
        <w:t xml:space="preserve">any relevant history concerning the use or waiver of peremptory challenges disproportionately against the </w:t>
      </w:r>
      <w:r w:rsidRPr="00E568B6">
        <w:rPr>
          <w:rFonts w:eastAsia="Times New Roman"/>
          <w:snapToGrid/>
          <w:sz w:val="28"/>
          <w:szCs w:val="28"/>
          <w:vertAlign w:val="baseline"/>
        </w:rPr>
        <w:t>race</w:t>
      </w:r>
      <w:r>
        <w:rPr>
          <w:rFonts w:eastAsia="Times New Roman"/>
          <w:snapToGrid/>
          <w:sz w:val="28"/>
          <w:szCs w:val="28"/>
          <w:vertAlign w:val="baseline"/>
        </w:rPr>
        <w:t>,</w:t>
      </w:r>
      <w:r w:rsidRPr="00E568B6">
        <w:rPr>
          <w:rFonts w:eastAsia="Times New Roman"/>
          <w:snapToGrid/>
          <w:sz w:val="28"/>
          <w:szCs w:val="28"/>
          <w:vertAlign w:val="baseline"/>
        </w:rPr>
        <w:t xml:space="preserve"> sex, gender, religion, national origin, ethnicity, disability, age, or sexual orientation that is the subject of the challenge or waiver, in the present case or in past cases.</w:t>
      </w:r>
    </w:p>
    <w:p w:rsidR="003E04D5" w:rsidRDefault="003E04D5" w:rsidP="0065567B">
      <w:pPr>
        <w:numPr>
          <w:ilvl w:val="0"/>
          <w:numId w:val="2"/>
        </w:numPr>
        <w:spacing w:line="480" w:lineRule="auto"/>
        <w:ind w:left="1440" w:firstLine="0"/>
        <w:jc w:val="both"/>
        <w:rPr>
          <w:rFonts w:eastAsia="Times New Roman"/>
          <w:snapToGrid/>
          <w:sz w:val="28"/>
          <w:szCs w:val="28"/>
          <w:vertAlign w:val="baseline"/>
        </w:rPr>
      </w:pPr>
      <w:r w:rsidRPr="00126B34">
        <w:rPr>
          <w:rFonts w:eastAsia="Times New Roman"/>
          <w:b/>
          <w:bCs/>
          <w:snapToGrid/>
          <w:sz w:val="28"/>
          <w:szCs w:val="28"/>
          <w:vertAlign w:val="baseline"/>
        </w:rPr>
        <w:t>Reasons Presumptively Invalid.</w:t>
      </w:r>
      <w:r w:rsidRPr="00126B34">
        <w:rPr>
          <w:rFonts w:eastAsia="Times New Roman"/>
          <w:snapToGrid/>
          <w:sz w:val="28"/>
          <w:szCs w:val="28"/>
          <w:vertAlign w:val="baseline"/>
        </w:rPr>
        <w:t xml:space="preserve"> Because historically the following reasons for peremptory challenges have been associated with improper discrimination in jury selection, the following are presumptively invalid reasons for a peremptory challenge</w:t>
      </w:r>
      <w:r w:rsidR="005C7AA5">
        <w:rPr>
          <w:rFonts w:eastAsia="Times New Roman"/>
          <w:snapToGrid/>
          <w:sz w:val="28"/>
          <w:szCs w:val="28"/>
          <w:vertAlign w:val="baseline"/>
        </w:rPr>
        <w:t>:</w:t>
      </w:r>
    </w:p>
    <w:p w:rsidR="003E04D5" w:rsidRPr="00126B34" w:rsidRDefault="003E04D5" w:rsidP="0065567B">
      <w:pPr>
        <w:spacing w:before="240" w:line="480" w:lineRule="auto"/>
        <w:ind w:left="2160"/>
        <w:jc w:val="both"/>
        <w:rPr>
          <w:rFonts w:eastAsia="Times New Roman"/>
          <w:snapToGrid/>
          <w:sz w:val="28"/>
          <w:szCs w:val="28"/>
          <w:vertAlign w:val="baseline"/>
        </w:rPr>
      </w:pPr>
      <w:r w:rsidRPr="00126B34">
        <w:rPr>
          <w:rFonts w:eastAsia="Times New Roman"/>
          <w:snapToGrid/>
          <w:sz w:val="28"/>
          <w:szCs w:val="28"/>
          <w:vertAlign w:val="baseline"/>
        </w:rPr>
        <w:t>(i)</w:t>
      </w:r>
      <w:r w:rsidR="00AF1E64">
        <w:rPr>
          <w:rFonts w:eastAsia="Times New Roman"/>
          <w:snapToGrid/>
          <w:sz w:val="28"/>
          <w:szCs w:val="28"/>
          <w:vertAlign w:val="baseline"/>
        </w:rPr>
        <w:tab/>
      </w:r>
      <w:r w:rsidRPr="00126B34">
        <w:rPr>
          <w:rFonts w:eastAsia="Times New Roman"/>
          <w:snapToGrid/>
          <w:sz w:val="28"/>
          <w:szCs w:val="28"/>
          <w:vertAlign w:val="baseline"/>
        </w:rPr>
        <w:t xml:space="preserve">having </w:t>
      </w:r>
      <w:r w:rsidR="006000DD" w:rsidRPr="00096921">
        <w:rPr>
          <w:rFonts w:eastAsia="Times New Roman"/>
          <w:snapToGrid/>
          <w:sz w:val="28"/>
          <w:szCs w:val="28"/>
          <w:vertAlign w:val="baseline"/>
        </w:rPr>
        <w:t>past unfavorable experiences</w:t>
      </w:r>
      <w:r w:rsidR="006000DD">
        <w:rPr>
          <w:rFonts w:eastAsia="Times New Roman"/>
          <w:snapToGrid/>
          <w:sz w:val="28"/>
          <w:szCs w:val="28"/>
          <w:vertAlign w:val="baseline"/>
        </w:rPr>
        <w:t xml:space="preserve"> </w:t>
      </w:r>
      <w:r w:rsidRPr="00126B34">
        <w:rPr>
          <w:rFonts w:eastAsia="Times New Roman"/>
          <w:snapToGrid/>
          <w:sz w:val="28"/>
          <w:szCs w:val="28"/>
          <w:vertAlign w:val="baseline"/>
        </w:rPr>
        <w:t>with law enforcement officers;</w:t>
      </w:r>
    </w:p>
    <w:p w:rsidR="003E04D5" w:rsidRPr="00126B34" w:rsidRDefault="003E04D5" w:rsidP="0065567B">
      <w:pPr>
        <w:spacing w:line="480" w:lineRule="auto"/>
        <w:ind w:left="2160"/>
        <w:jc w:val="both"/>
        <w:rPr>
          <w:rFonts w:eastAsia="Times New Roman"/>
          <w:snapToGrid/>
          <w:sz w:val="28"/>
          <w:szCs w:val="28"/>
          <w:vertAlign w:val="baseline"/>
        </w:rPr>
      </w:pPr>
      <w:r w:rsidRPr="00126B34">
        <w:rPr>
          <w:rFonts w:eastAsia="Times New Roman"/>
          <w:snapToGrid/>
          <w:sz w:val="28"/>
          <w:szCs w:val="28"/>
          <w:vertAlign w:val="baseline"/>
        </w:rPr>
        <w:t>(ii)</w:t>
      </w:r>
      <w:r w:rsidR="00AF1E64">
        <w:rPr>
          <w:rFonts w:eastAsia="Times New Roman"/>
          <w:snapToGrid/>
          <w:sz w:val="28"/>
          <w:szCs w:val="28"/>
          <w:vertAlign w:val="baseline"/>
        </w:rPr>
        <w:tab/>
      </w:r>
      <w:r w:rsidRPr="00126B34">
        <w:rPr>
          <w:rFonts w:eastAsia="Times New Roman"/>
          <w:snapToGrid/>
          <w:sz w:val="28"/>
          <w:szCs w:val="28"/>
          <w:vertAlign w:val="baseline"/>
        </w:rPr>
        <w:t>having a close relationship with people who have been stopped, arrested, or convicted of a crime;</w:t>
      </w:r>
    </w:p>
    <w:p w:rsidR="003E04D5" w:rsidRPr="00126B34" w:rsidRDefault="003E04D5" w:rsidP="0065567B">
      <w:pPr>
        <w:spacing w:line="480" w:lineRule="auto"/>
        <w:ind w:left="2160"/>
        <w:jc w:val="both"/>
        <w:rPr>
          <w:rFonts w:eastAsia="Times New Roman"/>
          <w:snapToGrid/>
          <w:sz w:val="28"/>
          <w:szCs w:val="28"/>
          <w:vertAlign w:val="baseline"/>
        </w:rPr>
      </w:pPr>
      <w:r w:rsidRPr="00126B34">
        <w:rPr>
          <w:rFonts w:eastAsia="Times New Roman"/>
          <w:snapToGrid/>
          <w:sz w:val="28"/>
          <w:szCs w:val="28"/>
          <w:vertAlign w:val="baseline"/>
        </w:rPr>
        <w:t>(</w:t>
      </w:r>
      <w:r w:rsidRPr="000C5B23">
        <w:rPr>
          <w:rFonts w:eastAsia="Times New Roman"/>
          <w:snapToGrid/>
          <w:sz w:val="28"/>
          <w:szCs w:val="28"/>
          <w:vertAlign w:val="baseline"/>
        </w:rPr>
        <w:t>i</w:t>
      </w:r>
      <w:r w:rsidR="006000DD" w:rsidRPr="000C5B23">
        <w:rPr>
          <w:rFonts w:eastAsia="Times New Roman"/>
          <w:snapToGrid/>
          <w:sz w:val="28"/>
          <w:szCs w:val="28"/>
          <w:vertAlign w:val="baseline"/>
        </w:rPr>
        <w:t>ii</w:t>
      </w:r>
      <w:r w:rsidRPr="00126B34">
        <w:rPr>
          <w:rFonts w:eastAsia="Times New Roman"/>
          <w:snapToGrid/>
          <w:sz w:val="28"/>
          <w:szCs w:val="28"/>
          <w:vertAlign w:val="baseline"/>
        </w:rPr>
        <w:t>)</w:t>
      </w:r>
      <w:r w:rsidR="00AF1E64">
        <w:rPr>
          <w:rFonts w:eastAsia="Times New Roman"/>
          <w:snapToGrid/>
          <w:sz w:val="28"/>
          <w:szCs w:val="28"/>
          <w:vertAlign w:val="baseline"/>
        </w:rPr>
        <w:tab/>
      </w:r>
      <w:r w:rsidRPr="00126B34">
        <w:rPr>
          <w:rFonts w:eastAsia="Times New Roman"/>
          <w:snapToGrid/>
          <w:sz w:val="28"/>
          <w:szCs w:val="28"/>
          <w:vertAlign w:val="baseline"/>
        </w:rPr>
        <w:t>living in a high-crime neighborhood;</w:t>
      </w:r>
    </w:p>
    <w:p w:rsidR="003E04D5" w:rsidRPr="00126B34" w:rsidRDefault="003E04D5" w:rsidP="0065567B">
      <w:pPr>
        <w:spacing w:line="480" w:lineRule="auto"/>
        <w:ind w:left="2160"/>
        <w:jc w:val="both"/>
        <w:rPr>
          <w:rFonts w:eastAsia="Times New Roman"/>
          <w:snapToGrid/>
          <w:sz w:val="28"/>
          <w:szCs w:val="28"/>
          <w:vertAlign w:val="baseline"/>
        </w:rPr>
      </w:pPr>
      <w:r w:rsidRPr="00126B34">
        <w:rPr>
          <w:rFonts w:eastAsia="Times New Roman"/>
          <w:snapToGrid/>
          <w:sz w:val="28"/>
          <w:szCs w:val="28"/>
          <w:vertAlign w:val="baseline"/>
        </w:rPr>
        <w:t>(</w:t>
      </w:r>
      <w:r w:rsidR="000C5B23">
        <w:rPr>
          <w:rFonts w:eastAsia="Times New Roman"/>
          <w:snapToGrid/>
          <w:sz w:val="28"/>
          <w:szCs w:val="28"/>
          <w:vertAlign w:val="baseline"/>
        </w:rPr>
        <w:t>i</w:t>
      </w:r>
      <w:r w:rsidRPr="00126B34">
        <w:rPr>
          <w:rFonts w:eastAsia="Times New Roman"/>
          <w:snapToGrid/>
          <w:sz w:val="28"/>
          <w:szCs w:val="28"/>
          <w:vertAlign w:val="baseline"/>
        </w:rPr>
        <w:t>v)</w:t>
      </w:r>
      <w:r w:rsidR="00AF1E64">
        <w:rPr>
          <w:rFonts w:eastAsia="Times New Roman"/>
          <w:snapToGrid/>
          <w:sz w:val="28"/>
          <w:szCs w:val="28"/>
          <w:vertAlign w:val="baseline"/>
        </w:rPr>
        <w:tab/>
      </w:r>
      <w:r w:rsidRPr="00126B34">
        <w:rPr>
          <w:rFonts w:eastAsia="Times New Roman"/>
          <w:snapToGrid/>
          <w:sz w:val="28"/>
          <w:szCs w:val="28"/>
          <w:vertAlign w:val="baseline"/>
        </w:rPr>
        <w:t>having a child outside of marriage;</w:t>
      </w:r>
    </w:p>
    <w:p w:rsidR="003E04D5" w:rsidRPr="00126B34" w:rsidRDefault="003E04D5" w:rsidP="0065567B">
      <w:pPr>
        <w:spacing w:line="480" w:lineRule="auto"/>
        <w:ind w:left="2160"/>
        <w:jc w:val="both"/>
        <w:rPr>
          <w:rFonts w:eastAsia="Times New Roman"/>
          <w:snapToGrid/>
          <w:sz w:val="28"/>
          <w:szCs w:val="28"/>
          <w:vertAlign w:val="baseline"/>
        </w:rPr>
      </w:pPr>
      <w:r w:rsidRPr="00126B34">
        <w:rPr>
          <w:rFonts w:eastAsia="Times New Roman"/>
          <w:snapToGrid/>
          <w:sz w:val="28"/>
          <w:szCs w:val="28"/>
          <w:vertAlign w:val="baseline"/>
        </w:rPr>
        <w:t>(v)</w:t>
      </w:r>
      <w:r w:rsidR="00AF1E64">
        <w:rPr>
          <w:rFonts w:eastAsia="Times New Roman"/>
          <w:snapToGrid/>
          <w:sz w:val="28"/>
          <w:szCs w:val="28"/>
          <w:vertAlign w:val="baseline"/>
        </w:rPr>
        <w:tab/>
      </w:r>
      <w:r w:rsidRPr="00126B34">
        <w:rPr>
          <w:rFonts w:eastAsia="Times New Roman"/>
          <w:snapToGrid/>
          <w:sz w:val="28"/>
          <w:szCs w:val="28"/>
          <w:vertAlign w:val="baseline"/>
        </w:rPr>
        <w:t>receiving state benefits; and</w:t>
      </w:r>
    </w:p>
    <w:p w:rsidR="006000DD" w:rsidRDefault="003E04D5" w:rsidP="0065567B">
      <w:pPr>
        <w:spacing w:line="480" w:lineRule="auto"/>
        <w:ind w:left="2160"/>
        <w:jc w:val="both"/>
        <w:rPr>
          <w:rFonts w:eastAsia="Times New Roman"/>
          <w:snapToGrid/>
          <w:sz w:val="28"/>
          <w:szCs w:val="28"/>
          <w:vertAlign w:val="baseline"/>
        </w:rPr>
      </w:pPr>
      <w:r w:rsidRPr="00126B34">
        <w:rPr>
          <w:rFonts w:eastAsia="Times New Roman"/>
          <w:snapToGrid/>
          <w:sz w:val="28"/>
          <w:szCs w:val="28"/>
          <w:vertAlign w:val="baseline"/>
        </w:rPr>
        <w:t>(vi)</w:t>
      </w:r>
      <w:r w:rsidR="00AF1E64">
        <w:rPr>
          <w:rFonts w:eastAsia="Times New Roman"/>
          <w:snapToGrid/>
          <w:sz w:val="28"/>
          <w:szCs w:val="28"/>
          <w:vertAlign w:val="baseline"/>
        </w:rPr>
        <w:tab/>
      </w:r>
      <w:r w:rsidRPr="00126B34">
        <w:rPr>
          <w:rFonts w:eastAsia="Times New Roman"/>
          <w:snapToGrid/>
          <w:sz w:val="28"/>
          <w:szCs w:val="28"/>
          <w:vertAlign w:val="baseline"/>
        </w:rPr>
        <w:t>not being a native English speaker.</w:t>
      </w:r>
    </w:p>
    <w:p w:rsidR="005C7AA5" w:rsidRPr="00096921" w:rsidRDefault="005C7AA5" w:rsidP="0065567B">
      <w:pPr>
        <w:spacing w:line="480" w:lineRule="auto"/>
        <w:ind w:left="1440"/>
        <w:jc w:val="both"/>
        <w:rPr>
          <w:rFonts w:eastAsia="Times New Roman"/>
          <w:snapToGrid/>
          <w:sz w:val="28"/>
          <w:szCs w:val="28"/>
          <w:vertAlign w:val="baseline"/>
        </w:rPr>
      </w:pPr>
      <w:r w:rsidRPr="00096921">
        <w:rPr>
          <w:rFonts w:eastAsia="Times New Roman"/>
          <w:snapToGrid/>
          <w:sz w:val="28"/>
          <w:szCs w:val="28"/>
          <w:vertAlign w:val="baseline"/>
        </w:rPr>
        <w:t xml:space="preserve">The </w:t>
      </w:r>
      <w:r w:rsidR="00055C9B" w:rsidRPr="00096921">
        <w:rPr>
          <w:rFonts w:eastAsia="Times New Roman"/>
          <w:snapToGrid/>
          <w:sz w:val="28"/>
          <w:szCs w:val="28"/>
          <w:vertAlign w:val="baseline"/>
        </w:rPr>
        <w:t>presumption may be rebutted by clear and convincing evidence that the reason for the challenge is unrelated to a prospective juror’s race, sex, gender, religion, national origin, ethnicity, disability, age, or sexual orientation.</w:t>
      </w:r>
    </w:p>
    <w:p w:rsidR="003E04D5" w:rsidRDefault="003E04D5" w:rsidP="0065567B">
      <w:pPr>
        <w:numPr>
          <w:ilvl w:val="0"/>
          <w:numId w:val="2"/>
        </w:numPr>
        <w:spacing w:line="480" w:lineRule="auto"/>
        <w:ind w:left="1440" w:firstLine="0"/>
        <w:jc w:val="both"/>
        <w:rPr>
          <w:rFonts w:eastAsia="Times New Roman"/>
          <w:snapToGrid/>
          <w:sz w:val="28"/>
          <w:szCs w:val="28"/>
          <w:vertAlign w:val="baseline"/>
        </w:rPr>
      </w:pPr>
      <w:r w:rsidRPr="00126B34">
        <w:rPr>
          <w:rFonts w:eastAsia="Times New Roman"/>
          <w:b/>
          <w:bCs/>
          <w:snapToGrid/>
          <w:sz w:val="28"/>
          <w:szCs w:val="28"/>
          <w:vertAlign w:val="baseline"/>
        </w:rPr>
        <w:t>Reliance on Conduct.</w:t>
      </w:r>
      <w:r w:rsidRPr="00126B34">
        <w:rPr>
          <w:rFonts w:eastAsia="Times New Roman"/>
          <w:snapToGrid/>
          <w:sz w:val="28"/>
          <w:szCs w:val="28"/>
          <w:vertAlign w:val="baseline"/>
        </w:rPr>
        <w:t xml:space="preserve"> The following reasons for peremptory challenges also have historically been associated with improper discrimination in jury selection: allegations that the prospective juror was sleeping, inattentive, or staring or failing to make eye contact; exhibited a problematic attitude, body language, or demeanor; or provided unintelligent or confused answers. If any party intends to offer one of these reasons or a similar reason as the justification for a peremptory challenge, that party must provide reasonable notice to the court and the other parties so the behavior can be verified and addressed in a timely manner. A lack of corroboration by the judge or opposing counsel verifying the behavior shall invalidate the given reason for the peremptory challenge.</w:t>
      </w:r>
    </w:p>
    <w:p w:rsidR="00517C16" w:rsidRDefault="00517C16" w:rsidP="0065567B">
      <w:pPr>
        <w:numPr>
          <w:ilvl w:val="0"/>
          <w:numId w:val="2"/>
        </w:numPr>
        <w:spacing w:line="480" w:lineRule="auto"/>
        <w:ind w:left="1440" w:firstLine="0"/>
        <w:jc w:val="both"/>
        <w:rPr>
          <w:rFonts w:eastAsia="Times New Roman"/>
          <w:snapToGrid/>
          <w:sz w:val="28"/>
          <w:szCs w:val="28"/>
          <w:vertAlign w:val="baseline"/>
        </w:rPr>
      </w:pPr>
      <w:bookmarkStart w:id="2" w:name="_Hlk60832268"/>
      <w:r w:rsidRPr="00F33AF2">
        <w:rPr>
          <w:rFonts w:eastAsia="Times New Roman"/>
          <w:b/>
          <w:snapToGrid/>
          <w:sz w:val="28"/>
          <w:szCs w:val="28"/>
          <w:vertAlign w:val="baseline"/>
        </w:rPr>
        <w:t xml:space="preserve">Preserving </w:t>
      </w:r>
      <w:r w:rsidR="00643429">
        <w:rPr>
          <w:rFonts w:eastAsia="Times New Roman"/>
          <w:b/>
          <w:snapToGrid/>
          <w:sz w:val="28"/>
          <w:szCs w:val="28"/>
          <w:vertAlign w:val="baseline"/>
        </w:rPr>
        <w:t xml:space="preserve">Existing Law. </w:t>
      </w:r>
      <w:r w:rsidRPr="00EC78BA">
        <w:rPr>
          <w:rFonts w:eastAsia="Times New Roman"/>
          <w:snapToGrid/>
          <w:sz w:val="28"/>
          <w:szCs w:val="28"/>
          <w:vertAlign w:val="baseline"/>
        </w:rPr>
        <w:t>This rule does not alter any statutory ground for excusing potential jurors</w:t>
      </w:r>
      <w:r w:rsidR="00643429">
        <w:rPr>
          <w:rFonts w:eastAsia="Times New Roman"/>
          <w:snapToGrid/>
          <w:sz w:val="28"/>
          <w:szCs w:val="28"/>
          <w:vertAlign w:val="baseline"/>
        </w:rPr>
        <w:t xml:space="preserve">. Nor does it alter procedures for objecting to the use or waiver of a peremptory challenge on the basis of purposeful discrimination under the United States and Arizona Constitutions, which objections must be separately stated and established. </w:t>
      </w:r>
    </w:p>
    <w:bookmarkEnd w:id="2"/>
    <w:p w:rsidR="000065F3" w:rsidRDefault="000065F3" w:rsidP="0065567B">
      <w:pPr>
        <w:spacing w:line="480" w:lineRule="auto"/>
        <w:rPr>
          <w:rFonts w:eastAsia="Times New Roman"/>
          <w:snapToGrid/>
          <w:sz w:val="28"/>
          <w:szCs w:val="28"/>
          <w:vertAlign w:val="baseline"/>
        </w:rPr>
      </w:pPr>
    </w:p>
    <w:p w:rsidR="002557BE" w:rsidRPr="00D06F86" w:rsidRDefault="002557BE" w:rsidP="0065567B">
      <w:pPr>
        <w:spacing w:line="480" w:lineRule="auto"/>
        <w:ind w:left="1440"/>
        <w:jc w:val="center"/>
        <w:rPr>
          <w:rFonts w:eastAsia="Times New Roman"/>
          <w:b/>
          <w:snapToGrid/>
          <w:sz w:val="28"/>
          <w:szCs w:val="28"/>
          <w:vertAlign w:val="baseline"/>
        </w:rPr>
      </w:pPr>
      <w:r w:rsidRPr="00D06F86">
        <w:rPr>
          <w:rFonts w:eastAsia="Times New Roman"/>
          <w:b/>
          <w:snapToGrid/>
          <w:sz w:val="28"/>
          <w:szCs w:val="28"/>
          <w:vertAlign w:val="baseline"/>
        </w:rPr>
        <w:t>Comment</w:t>
      </w:r>
    </w:p>
    <w:p w:rsidR="002557BE" w:rsidRPr="00651F03" w:rsidRDefault="002F0C6E" w:rsidP="0065567B">
      <w:pPr>
        <w:spacing w:line="480" w:lineRule="auto"/>
        <w:ind w:left="1440"/>
        <w:jc w:val="both"/>
        <w:rPr>
          <w:rFonts w:eastAsia="Times New Roman"/>
          <w:snapToGrid/>
          <w:sz w:val="28"/>
          <w:szCs w:val="28"/>
          <w:vertAlign w:val="baseline"/>
        </w:rPr>
      </w:pPr>
      <w:r>
        <w:rPr>
          <w:rFonts w:eastAsia="Times New Roman"/>
          <w:snapToGrid/>
          <w:sz w:val="28"/>
          <w:szCs w:val="28"/>
          <w:vertAlign w:val="baseline"/>
        </w:rPr>
        <w:tab/>
      </w:r>
      <w:r w:rsidR="002557BE" w:rsidRPr="00651F03">
        <w:rPr>
          <w:rFonts w:eastAsia="Times New Roman"/>
          <w:snapToGrid/>
          <w:sz w:val="28"/>
          <w:szCs w:val="28"/>
          <w:vertAlign w:val="baseline"/>
        </w:rPr>
        <w:t xml:space="preserve">Historically, peremptory challenges have been used to exclude potential jurors from serving based on their race, ethnicity, sex, gender, religion, national origin, disability, age, and sexual orientation. The United States and Arizona Constitutions already prohibit </w:t>
      </w:r>
      <w:r w:rsidR="00451535" w:rsidRPr="00651F03">
        <w:rPr>
          <w:rFonts w:eastAsia="Times New Roman"/>
          <w:snapToGrid/>
          <w:sz w:val="28"/>
          <w:szCs w:val="28"/>
          <w:vertAlign w:val="baseline"/>
        </w:rPr>
        <w:t xml:space="preserve">some of </w:t>
      </w:r>
      <w:r w:rsidR="002557BE" w:rsidRPr="00651F03">
        <w:rPr>
          <w:rFonts w:eastAsia="Times New Roman"/>
          <w:snapToGrid/>
          <w:sz w:val="28"/>
          <w:szCs w:val="28"/>
          <w:vertAlign w:val="baseline"/>
        </w:rPr>
        <w:t>these forms of discrimination</w:t>
      </w:r>
      <w:r w:rsidR="00451535" w:rsidRPr="00651F03">
        <w:rPr>
          <w:rFonts w:eastAsia="Times New Roman"/>
          <w:snapToGrid/>
          <w:sz w:val="28"/>
          <w:szCs w:val="28"/>
          <w:vertAlign w:val="baseline"/>
        </w:rPr>
        <w:t>,</w:t>
      </w:r>
      <w:r w:rsidR="002557BE" w:rsidRPr="00651F03">
        <w:rPr>
          <w:rFonts w:eastAsia="Times New Roman"/>
          <w:snapToGrid/>
          <w:sz w:val="28"/>
          <w:szCs w:val="28"/>
          <w:vertAlign w:val="baseline"/>
        </w:rPr>
        <w:t xml:space="preserve"> </w:t>
      </w:r>
      <w:r w:rsidR="00451535" w:rsidRPr="00651F03">
        <w:rPr>
          <w:rFonts w:eastAsia="Times New Roman"/>
          <w:snapToGrid/>
          <w:sz w:val="28"/>
          <w:szCs w:val="28"/>
          <w:vertAlign w:val="baseline"/>
        </w:rPr>
        <w:t>a</w:t>
      </w:r>
      <w:r w:rsidR="002557BE" w:rsidRPr="00651F03">
        <w:rPr>
          <w:rFonts w:eastAsia="Times New Roman"/>
          <w:snapToGrid/>
          <w:sz w:val="28"/>
          <w:szCs w:val="28"/>
          <w:vertAlign w:val="baseline"/>
        </w:rPr>
        <w:t xml:space="preserve">nd Arizona’s Code of Judicial Conduct bars all of them. Yet, existing court procedures under </w:t>
      </w:r>
      <w:r w:rsidR="002557BE" w:rsidRPr="00651F03">
        <w:rPr>
          <w:rFonts w:eastAsia="Times New Roman"/>
          <w:i/>
          <w:snapToGrid/>
          <w:sz w:val="28"/>
          <w:szCs w:val="28"/>
          <w:vertAlign w:val="baseline"/>
        </w:rPr>
        <w:t>Batson v. Kentucky</w:t>
      </w:r>
      <w:r w:rsidR="002557BE" w:rsidRPr="00651F03">
        <w:rPr>
          <w:rFonts w:eastAsia="Times New Roman"/>
          <w:snapToGrid/>
          <w:sz w:val="28"/>
          <w:szCs w:val="28"/>
          <w:vertAlign w:val="baseline"/>
        </w:rPr>
        <w:t xml:space="preserve">, 476 U.S. 79 (1986) are almost never successfully invoked and have failed to eliminate improper bias in the exercise of peremptory challenges. </w:t>
      </w:r>
    </w:p>
    <w:p w:rsidR="008A46F7" w:rsidRPr="00651F03" w:rsidRDefault="002557BE" w:rsidP="0065567B">
      <w:pPr>
        <w:spacing w:line="480" w:lineRule="auto"/>
        <w:ind w:left="1440"/>
        <w:jc w:val="both"/>
        <w:rPr>
          <w:rFonts w:eastAsia="Times New Roman"/>
          <w:snapToGrid/>
          <w:sz w:val="28"/>
          <w:szCs w:val="28"/>
          <w:vertAlign w:val="baseline"/>
        </w:rPr>
      </w:pPr>
      <w:r w:rsidRPr="00651F03">
        <w:rPr>
          <w:rFonts w:eastAsia="Times New Roman"/>
          <w:snapToGrid/>
          <w:sz w:val="28"/>
          <w:szCs w:val="28"/>
          <w:vertAlign w:val="baseline"/>
        </w:rPr>
        <w:tab/>
      </w:r>
      <w:r w:rsidR="000065F3" w:rsidRPr="00651F03">
        <w:rPr>
          <w:rFonts w:eastAsia="Times New Roman"/>
          <w:snapToGrid/>
          <w:sz w:val="28"/>
          <w:szCs w:val="28"/>
          <w:vertAlign w:val="baseline"/>
        </w:rPr>
        <w:t xml:space="preserve">As the United States Supreme Court has recognized, </w:t>
      </w:r>
      <w:r w:rsidR="000065F3" w:rsidRPr="005325A2">
        <w:rPr>
          <w:rFonts w:eastAsia="Times New Roman"/>
          <w:i/>
          <w:snapToGrid/>
          <w:sz w:val="28"/>
          <w:szCs w:val="28"/>
          <w:vertAlign w:val="baseline"/>
        </w:rPr>
        <w:t>Batson</w:t>
      </w:r>
      <w:r w:rsidR="000065F3" w:rsidRPr="00651F03">
        <w:rPr>
          <w:rFonts w:eastAsia="Times New Roman"/>
          <w:snapToGrid/>
          <w:sz w:val="28"/>
          <w:szCs w:val="28"/>
          <w:vertAlign w:val="baseline"/>
        </w:rPr>
        <w:t xml:space="preserve"> sets a minimum </w:t>
      </w:r>
      <w:r w:rsidR="008A46F7" w:rsidRPr="00651F03">
        <w:rPr>
          <w:rFonts w:eastAsia="Times New Roman"/>
          <w:snapToGrid/>
          <w:sz w:val="28"/>
          <w:szCs w:val="28"/>
          <w:vertAlign w:val="baseline"/>
        </w:rPr>
        <w:t xml:space="preserve">standard under the United States Constitution, but states are free to </w:t>
      </w:r>
      <w:r w:rsidR="000065F3" w:rsidRPr="00651F03">
        <w:rPr>
          <w:rFonts w:eastAsia="Times New Roman"/>
          <w:snapToGrid/>
          <w:sz w:val="28"/>
          <w:szCs w:val="28"/>
          <w:vertAlign w:val="baseline"/>
        </w:rPr>
        <w:t xml:space="preserve">adopt more robust procedures and standards to combat improper discrimination in jury selection. </w:t>
      </w:r>
      <w:r w:rsidR="000065F3" w:rsidRPr="00651F03">
        <w:rPr>
          <w:rFonts w:eastAsia="Times New Roman"/>
          <w:i/>
          <w:snapToGrid/>
          <w:sz w:val="28"/>
          <w:szCs w:val="28"/>
          <w:vertAlign w:val="baseline"/>
        </w:rPr>
        <w:t xml:space="preserve"> </w:t>
      </w:r>
      <w:r w:rsidR="008A46F7" w:rsidRPr="00651F03">
        <w:rPr>
          <w:rFonts w:eastAsia="Times New Roman"/>
          <w:i/>
          <w:snapToGrid/>
          <w:sz w:val="28"/>
          <w:szCs w:val="28"/>
          <w:vertAlign w:val="baseline"/>
        </w:rPr>
        <w:t xml:space="preserve">See </w:t>
      </w:r>
      <w:r w:rsidR="000065F3" w:rsidRPr="00651F03">
        <w:rPr>
          <w:rFonts w:eastAsia="Times New Roman"/>
          <w:i/>
          <w:snapToGrid/>
          <w:sz w:val="28"/>
          <w:szCs w:val="28"/>
          <w:vertAlign w:val="baseline"/>
        </w:rPr>
        <w:t>Johnson v. California</w:t>
      </w:r>
      <w:r w:rsidR="000065F3" w:rsidRPr="00651F03">
        <w:rPr>
          <w:rFonts w:eastAsia="Times New Roman"/>
          <w:snapToGrid/>
          <w:sz w:val="28"/>
          <w:szCs w:val="28"/>
          <w:vertAlign w:val="baseline"/>
        </w:rPr>
        <w:t xml:space="preserve">, </w:t>
      </w:r>
      <w:r w:rsidR="000333A2">
        <w:rPr>
          <w:rFonts w:eastAsia="Times New Roman"/>
          <w:snapToGrid/>
          <w:sz w:val="28"/>
          <w:szCs w:val="28"/>
          <w:vertAlign w:val="baseline"/>
        </w:rPr>
        <w:t xml:space="preserve">545 U.S. </w:t>
      </w:r>
      <w:r w:rsidR="00984A26">
        <w:rPr>
          <w:rFonts w:eastAsia="Times New Roman"/>
          <w:snapToGrid/>
          <w:sz w:val="28"/>
          <w:szCs w:val="28"/>
          <w:vertAlign w:val="baseline"/>
        </w:rPr>
        <w:t>162</w:t>
      </w:r>
      <w:r w:rsidR="00451535" w:rsidRPr="00651F03">
        <w:rPr>
          <w:rFonts w:eastAsia="Times New Roman"/>
          <w:snapToGrid/>
          <w:sz w:val="28"/>
          <w:szCs w:val="28"/>
          <w:vertAlign w:val="baseline"/>
        </w:rPr>
        <w:t xml:space="preserve"> </w:t>
      </w:r>
      <w:r w:rsidR="000065F3" w:rsidRPr="00651F03">
        <w:rPr>
          <w:rFonts w:eastAsia="Times New Roman"/>
          <w:snapToGrid/>
          <w:sz w:val="28"/>
          <w:szCs w:val="28"/>
          <w:vertAlign w:val="baseline"/>
        </w:rPr>
        <w:t xml:space="preserve">(2005); </w:t>
      </w:r>
      <w:r w:rsidR="00984A26">
        <w:rPr>
          <w:rFonts w:eastAsia="Times New Roman"/>
          <w:i/>
          <w:snapToGrid/>
          <w:sz w:val="28"/>
          <w:szCs w:val="28"/>
          <w:vertAlign w:val="baseline"/>
        </w:rPr>
        <w:t xml:space="preserve">see also </w:t>
      </w:r>
      <w:r w:rsidR="000065F3" w:rsidRPr="00651F03">
        <w:rPr>
          <w:rFonts w:eastAsia="Times New Roman"/>
          <w:i/>
          <w:snapToGrid/>
          <w:sz w:val="28"/>
          <w:szCs w:val="28"/>
          <w:vertAlign w:val="baseline"/>
        </w:rPr>
        <w:t>Smith v. Robbins</w:t>
      </w:r>
      <w:r w:rsidR="000065F3" w:rsidRPr="00651F03">
        <w:rPr>
          <w:rFonts w:eastAsia="Times New Roman"/>
          <w:snapToGrid/>
          <w:sz w:val="28"/>
          <w:szCs w:val="28"/>
          <w:vertAlign w:val="baseline"/>
        </w:rPr>
        <w:t>,</w:t>
      </w:r>
      <w:r w:rsidR="00651F03">
        <w:rPr>
          <w:rFonts w:eastAsia="Times New Roman"/>
          <w:snapToGrid/>
          <w:sz w:val="28"/>
          <w:szCs w:val="28"/>
          <w:vertAlign w:val="baseline"/>
        </w:rPr>
        <w:t xml:space="preserve"> </w:t>
      </w:r>
      <w:r w:rsidR="00984A26">
        <w:rPr>
          <w:rFonts w:eastAsia="Times New Roman"/>
          <w:snapToGrid/>
          <w:sz w:val="28"/>
          <w:szCs w:val="28"/>
          <w:vertAlign w:val="baseline"/>
        </w:rPr>
        <w:t>528 U.S. 259</w:t>
      </w:r>
      <w:r w:rsidR="00451535" w:rsidRPr="00651F03">
        <w:rPr>
          <w:rFonts w:eastAsia="Times New Roman"/>
          <w:snapToGrid/>
          <w:sz w:val="28"/>
          <w:szCs w:val="28"/>
          <w:vertAlign w:val="baseline"/>
        </w:rPr>
        <w:t xml:space="preserve"> </w:t>
      </w:r>
      <w:r w:rsidR="000065F3" w:rsidRPr="00651F03">
        <w:rPr>
          <w:rFonts w:eastAsia="Times New Roman"/>
          <w:snapToGrid/>
          <w:sz w:val="28"/>
          <w:szCs w:val="28"/>
          <w:vertAlign w:val="baseline"/>
        </w:rPr>
        <w:t xml:space="preserve">(2000) (states have “wide discretion, subject to the minimum requirements of the Fourteenth Amendment, to experiment with solutions to difficult problems of policy”). </w:t>
      </w:r>
    </w:p>
    <w:p w:rsidR="002557BE" w:rsidRPr="00651F03" w:rsidRDefault="008A46F7" w:rsidP="0065567B">
      <w:pPr>
        <w:spacing w:line="480" w:lineRule="auto"/>
        <w:ind w:left="1440"/>
        <w:jc w:val="both"/>
        <w:rPr>
          <w:rFonts w:eastAsia="Times New Roman"/>
          <w:snapToGrid/>
          <w:sz w:val="28"/>
          <w:szCs w:val="28"/>
          <w:vertAlign w:val="baseline"/>
        </w:rPr>
      </w:pPr>
      <w:r w:rsidRPr="00651F03">
        <w:rPr>
          <w:rFonts w:eastAsia="Times New Roman"/>
          <w:snapToGrid/>
          <w:sz w:val="28"/>
          <w:szCs w:val="28"/>
          <w:vertAlign w:val="baseline"/>
        </w:rPr>
        <w:tab/>
      </w:r>
      <w:r w:rsidR="000065F3" w:rsidRPr="00651F03">
        <w:rPr>
          <w:rFonts w:eastAsia="Times New Roman"/>
          <w:snapToGrid/>
          <w:sz w:val="28"/>
          <w:szCs w:val="28"/>
          <w:vertAlign w:val="baseline"/>
        </w:rPr>
        <w:t>Rule 24</w:t>
      </w:r>
      <w:r w:rsidR="00451535" w:rsidRPr="00651F03">
        <w:rPr>
          <w:rFonts w:eastAsia="Times New Roman"/>
          <w:snapToGrid/>
          <w:sz w:val="28"/>
          <w:szCs w:val="28"/>
          <w:vertAlign w:val="baseline"/>
        </w:rPr>
        <w:t xml:space="preserve">’s protections go beyond the floor set in </w:t>
      </w:r>
      <w:r w:rsidR="00451535" w:rsidRPr="00651F03">
        <w:rPr>
          <w:rFonts w:eastAsia="Times New Roman"/>
          <w:i/>
          <w:snapToGrid/>
          <w:sz w:val="28"/>
          <w:szCs w:val="28"/>
          <w:vertAlign w:val="baseline"/>
        </w:rPr>
        <w:t>Batson</w:t>
      </w:r>
      <w:r w:rsidR="00451535" w:rsidRPr="00651F03">
        <w:rPr>
          <w:rFonts w:eastAsia="Times New Roman"/>
          <w:snapToGrid/>
          <w:sz w:val="28"/>
          <w:szCs w:val="28"/>
          <w:vertAlign w:val="baseline"/>
        </w:rPr>
        <w:t xml:space="preserve"> </w:t>
      </w:r>
      <w:r w:rsidR="000065F3" w:rsidRPr="00651F03">
        <w:rPr>
          <w:rFonts w:eastAsia="Times New Roman"/>
          <w:snapToGrid/>
          <w:sz w:val="28"/>
          <w:szCs w:val="28"/>
          <w:vertAlign w:val="baseline"/>
        </w:rPr>
        <w:t xml:space="preserve">to provide greater protections against </w:t>
      </w:r>
      <w:r w:rsidR="00D06F86" w:rsidRPr="00651F03">
        <w:rPr>
          <w:rFonts w:eastAsia="Times New Roman"/>
          <w:snapToGrid/>
          <w:sz w:val="28"/>
          <w:szCs w:val="28"/>
          <w:vertAlign w:val="baseline"/>
        </w:rPr>
        <w:t xml:space="preserve">status-based </w:t>
      </w:r>
      <w:r w:rsidR="000065F3" w:rsidRPr="00651F03">
        <w:rPr>
          <w:rFonts w:eastAsia="Times New Roman"/>
          <w:snapToGrid/>
          <w:sz w:val="28"/>
          <w:szCs w:val="28"/>
          <w:vertAlign w:val="baseline"/>
        </w:rPr>
        <w:t>bias in jury selection in Arizona</w:t>
      </w:r>
      <w:r w:rsidR="00D06F86" w:rsidRPr="00651F03">
        <w:rPr>
          <w:rFonts w:eastAsia="Times New Roman"/>
          <w:snapToGrid/>
          <w:sz w:val="28"/>
          <w:szCs w:val="28"/>
          <w:vertAlign w:val="baseline"/>
        </w:rPr>
        <w:t>.</w:t>
      </w:r>
      <w:r w:rsidRPr="00651F03">
        <w:rPr>
          <w:rFonts w:eastAsia="Times New Roman"/>
          <w:snapToGrid/>
          <w:sz w:val="28"/>
          <w:szCs w:val="28"/>
          <w:vertAlign w:val="baseline"/>
        </w:rPr>
        <w:t xml:space="preserve"> The </w:t>
      </w:r>
      <w:r w:rsidR="003278E1">
        <w:rPr>
          <w:rFonts w:eastAsia="Times New Roman"/>
          <w:snapToGrid/>
          <w:sz w:val="28"/>
          <w:szCs w:val="28"/>
          <w:vertAlign w:val="baseline"/>
        </w:rPr>
        <w:t>r</w:t>
      </w:r>
      <w:r w:rsidRPr="00651F03">
        <w:rPr>
          <w:rFonts w:eastAsia="Times New Roman"/>
          <w:snapToGrid/>
          <w:sz w:val="28"/>
          <w:szCs w:val="28"/>
          <w:vertAlign w:val="baseline"/>
        </w:rPr>
        <w:t xml:space="preserve">ule is remedial in nature and should be broadly construed to further the purpose of eliminating the use of group stereotypes and discrimination in the exercise of peremptory challenges, even when unintended. </w:t>
      </w:r>
      <w:r w:rsidR="00D06F86" w:rsidRPr="00651F03">
        <w:rPr>
          <w:rFonts w:eastAsia="Times New Roman"/>
          <w:snapToGrid/>
          <w:sz w:val="28"/>
          <w:szCs w:val="28"/>
          <w:vertAlign w:val="baseline"/>
        </w:rPr>
        <w:t>Rather than requiring a</w:t>
      </w:r>
      <w:r w:rsidR="002557BE" w:rsidRPr="00651F03">
        <w:rPr>
          <w:rFonts w:eastAsia="Times New Roman"/>
          <w:snapToGrid/>
          <w:sz w:val="28"/>
          <w:szCs w:val="28"/>
          <w:vertAlign w:val="baseline"/>
        </w:rPr>
        <w:t xml:space="preserve"> showing of purposeful discrimination</w:t>
      </w:r>
      <w:r w:rsidR="00D06F86" w:rsidRPr="00651F03">
        <w:rPr>
          <w:rFonts w:eastAsia="Times New Roman"/>
          <w:snapToGrid/>
          <w:sz w:val="28"/>
          <w:szCs w:val="28"/>
          <w:vertAlign w:val="baseline"/>
        </w:rPr>
        <w:t xml:space="preserve">, Rule 24 requires the court to evaluate the reasons given to justify the challenge </w:t>
      </w:r>
      <w:r w:rsidR="002557BE" w:rsidRPr="00651F03">
        <w:rPr>
          <w:rFonts w:eastAsia="Times New Roman"/>
          <w:snapToGrid/>
          <w:sz w:val="28"/>
          <w:szCs w:val="28"/>
          <w:vertAlign w:val="baseline"/>
        </w:rPr>
        <w:t xml:space="preserve">under a “totality of the circumstances.”  If the court finds that any “reasonable person” could view race, ethnicity, gender, religion, or any other protected status as a conscious or unconscious factor in the use or waiver of the peremptory challenge, the objection must be sustained. To facilitate review on appeal, the rule requires that the trial court must explain its ruling on the record. </w:t>
      </w:r>
    </w:p>
    <w:p w:rsidR="002557BE" w:rsidRPr="00651F03" w:rsidRDefault="002557BE" w:rsidP="0065567B">
      <w:pPr>
        <w:spacing w:line="480" w:lineRule="auto"/>
        <w:ind w:left="1440"/>
        <w:jc w:val="both"/>
        <w:rPr>
          <w:rFonts w:eastAsia="Times New Roman"/>
          <w:snapToGrid/>
          <w:sz w:val="28"/>
          <w:szCs w:val="28"/>
          <w:vertAlign w:val="baseline"/>
        </w:rPr>
      </w:pPr>
      <w:r w:rsidRPr="00651F03">
        <w:rPr>
          <w:rFonts w:eastAsia="Times New Roman"/>
          <w:snapToGrid/>
          <w:sz w:val="28"/>
          <w:szCs w:val="28"/>
          <w:vertAlign w:val="baseline"/>
        </w:rPr>
        <w:tab/>
        <w:t xml:space="preserve">The rule provides guidance on the types of circumstances that should be considered by the court in evaluating whether the exercise </w:t>
      </w:r>
      <w:r w:rsidR="00D06F86" w:rsidRPr="00651F03">
        <w:rPr>
          <w:rFonts w:eastAsia="Times New Roman"/>
          <w:snapToGrid/>
          <w:sz w:val="28"/>
          <w:szCs w:val="28"/>
          <w:vertAlign w:val="baseline"/>
        </w:rPr>
        <w:t xml:space="preserve">or waiver </w:t>
      </w:r>
      <w:r w:rsidRPr="00651F03">
        <w:rPr>
          <w:rFonts w:eastAsia="Times New Roman"/>
          <w:snapToGrid/>
          <w:sz w:val="28"/>
          <w:szCs w:val="28"/>
          <w:vertAlign w:val="baseline"/>
        </w:rPr>
        <w:t xml:space="preserve">of a peremptory challenge was based on improper bias. </w:t>
      </w:r>
      <w:r w:rsidRPr="005325A2">
        <w:rPr>
          <w:rFonts w:eastAsia="Times New Roman"/>
          <w:i/>
          <w:snapToGrid/>
          <w:sz w:val="28"/>
          <w:szCs w:val="28"/>
          <w:vertAlign w:val="baseline"/>
        </w:rPr>
        <w:t>See</w:t>
      </w:r>
      <w:r w:rsidRPr="00651F03">
        <w:rPr>
          <w:rFonts w:eastAsia="Times New Roman"/>
          <w:snapToGrid/>
          <w:sz w:val="28"/>
          <w:szCs w:val="28"/>
          <w:vertAlign w:val="baseline"/>
        </w:rPr>
        <w:t xml:space="preserve"> Rule 24(f) (“Circumstances Considered”). It also identifies reasons for peremptory challenges that are presumptively invalid based on their historic use to disproportionately exclude jurors based on protected statuses such as race and ethnicity. The presumption may be rebutted on a showing that the reason for the challenge is unrelated to the challenged juror’s race, ethnicity, or other protected status.</w:t>
      </w:r>
    </w:p>
    <w:p w:rsidR="002557BE" w:rsidRPr="003278E1" w:rsidRDefault="002557BE" w:rsidP="0065567B">
      <w:pPr>
        <w:spacing w:line="480" w:lineRule="auto"/>
        <w:ind w:left="1440"/>
        <w:jc w:val="both"/>
        <w:rPr>
          <w:rFonts w:eastAsia="Times New Roman"/>
          <w:snapToGrid/>
          <w:sz w:val="28"/>
          <w:szCs w:val="28"/>
          <w:vertAlign w:val="baseline"/>
        </w:rPr>
      </w:pPr>
      <w:r w:rsidRPr="00651F03">
        <w:rPr>
          <w:rFonts w:eastAsia="Times New Roman"/>
          <w:snapToGrid/>
          <w:sz w:val="28"/>
          <w:szCs w:val="28"/>
          <w:vertAlign w:val="baseline"/>
        </w:rPr>
        <w:tab/>
        <w:t xml:space="preserve">The rule does not alter the existing procedures and grounds for challenging jurors for cause, nor does it impact any statutory grounds for excusing or exempting jurors from service. </w:t>
      </w:r>
      <w:r w:rsidR="003278E1">
        <w:rPr>
          <w:rFonts w:eastAsia="Times New Roman"/>
          <w:snapToGrid/>
          <w:sz w:val="28"/>
          <w:szCs w:val="28"/>
          <w:vertAlign w:val="baseline"/>
        </w:rPr>
        <w:t xml:space="preserve">The rule also preserves the existing constitutional framework for making a separate objection pursuant to </w:t>
      </w:r>
      <w:r w:rsidR="003278E1">
        <w:rPr>
          <w:rFonts w:eastAsia="Times New Roman"/>
          <w:i/>
          <w:snapToGrid/>
          <w:sz w:val="28"/>
          <w:szCs w:val="28"/>
          <w:vertAlign w:val="baseline"/>
        </w:rPr>
        <w:t xml:space="preserve">Batson v. Kentucky </w:t>
      </w:r>
      <w:r w:rsidR="003278E1">
        <w:rPr>
          <w:rFonts w:eastAsia="Times New Roman"/>
          <w:snapToGrid/>
          <w:sz w:val="28"/>
          <w:szCs w:val="28"/>
          <w:vertAlign w:val="baseline"/>
        </w:rPr>
        <w:t xml:space="preserve">on the basis of purposeful discrimination. </w:t>
      </w:r>
      <w:r w:rsidR="003278E1" w:rsidRPr="00651F03">
        <w:rPr>
          <w:rFonts w:eastAsia="Times New Roman"/>
          <w:i/>
          <w:snapToGrid/>
          <w:sz w:val="28"/>
          <w:szCs w:val="28"/>
          <w:vertAlign w:val="baseline"/>
        </w:rPr>
        <w:t>See</w:t>
      </w:r>
      <w:r w:rsidR="003278E1" w:rsidRPr="00651F03">
        <w:rPr>
          <w:rFonts w:eastAsia="Times New Roman"/>
          <w:snapToGrid/>
          <w:sz w:val="28"/>
          <w:szCs w:val="28"/>
          <w:vertAlign w:val="baseline"/>
        </w:rPr>
        <w:t xml:space="preserve"> Rule 24(i) (“Preserving Grounds for Excuse</w:t>
      </w:r>
      <w:r w:rsidR="003278E1">
        <w:rPr>
          <w:rFonts w:eastAsia="Times New Roman"/>
          <w:snapToGrid/>
          <w:sz w:val="28"/>
          <w:szCs w:val="28"/>
          <w:vertAlign w:val="baseline"/>
        </w:rPr>
        <w:t xml:space="preserve"> or Objection</w:t>
      </w:r>
      <w:r w:rsidR="003278E1" w:rsidRPr="00651F03">
        <w:rPr>
          <w:rFonts w:eastAsia="Times New Roman"/>
          <w:snapToGrid/>
          <w:sz w:val="28"/>
          <w:szCs w:val="28"/>
          <w:vertAlign w:val="baseline"/>
        </w:rPr>
        <w:t>”).</w:t>
      </w:r>
    </w:p>
    <w:p w:rsidR="00F77D5B" w:rsidRDefault="00F77D5B" w:rsidP="00550DA9">
      <w:pPr>
        <w:spacing w:line="480" w:lineRule="auto"/>
        <w:ind w:left="1440"/>
        <w:jc w:val="both"/>
        <w:rPr>
          <w:rFonts w:eastAsia="Times New Roman"/>
          <w:snapToGrid/>
          <w:sz w:val="28"/>
          <w:szCs w:val="28"/>
          <w:vertAlign w:val="baseline"/>
        </w:rPr>
      </w:pPr>
    </w:p>
    <w:p w:rsidR="00F77D5B" w:rsidRPr="00F33AF2" w:rsidRDefault="00F77D5B" w:rsidP="00F33AF2">
      <w:pPr>
        <w:rPr>
          <w:rFonts w:eastAsia="Times New Roman"/>
          <w:b/>
          <w:snapToGrid/>
          <w:sz w:val="28"/>
          <w:szCs w:val="28"/>
          <w:vertAlign w:val="baseline"/>
        </w:rPr>
      </w:pPr>
    </w:p>
    <w:p w:rsidR="008441D5" w:rsidRDefault="008441D5" w:rsidP="00F77D5B">
      <w:pPr>
        <w:jc w:val="both"/>
      </w:pPr>
    </w:p>
    <w:p w:rsidR="00156E43" w:rsidRDefault="00156E43" w:rsidP="00156E43">
      <w:pPr>
        <w:spacing w:line="200" w:lineRule="exact"/>
      </w:pPr>
      <w:r w:rsidRPr="00156E43">
        <w:rPr>
          <w:rStyle w:val="zzmpTrailerItem"/>
        </w:rPr>
        <w:t>99999-0463/148479042.9</w:t>
      </w:r>
      <w:r w:rsidRPr="00156E43">
        <w:t xml:space="preserve"> </w:t>
      </w:r>
    </w:p>
    <w:sectPr w:rsidR="00156E43" w:rsidSect="00DB4E30">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0E7E" w:rsidRDefault="002B0E7E" w:rsidP="000F40D2">
      <w:r>
        <w:separator/>
      </w:r>
    </w:p>
  </w:endnote>
  <w:endnote w:type="continuationSeparator" w:id="0">
    <w:p w:rsidR="002B0E7E" w:rsidRDefault="002B0E7E" w:rsidP="000F4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0412006"/>
      <w:docPartObj>
        <w:docPartGallery w:val="Page Numbers (Bottom of Page)"/>
        <w:docPartUnique/>
      </w:docPartObj>
    </w:sdtPr>
    <w:sdtEndPr>
      <w:rPr>
        <w:noProof/>
        <w:sz w:val="28"/>
        <w:szCs w:val="28"/>
      </w:rPr>
    </w:sdtEndPr>
    <w:sdtContent>
      <w:p w:rsidR="00DB4E30" w:rsidRDefault="00CC4159">
        <w:pPr>
          <w:pStyle w:val="Footer"/>
          <w:jc w:val="center"/>
          <w:rPr>
            <w:noProof/>
            <w:sz w:val="28"/>
            <w:szCs w:val="28"/>
          </w:rPr>
        </w:pPr>
        <w:r w:rsidRPr="00CC4159">
          <w:rPr>
            <w:sz w:val="28"/>
            <w:szCs w:val="28"/>
          </w:rPr>
          <w:t>-</w:t>
        </w:r>
        <w:r w:rsidR="00DB4E30" w:rsidRPr="00CC4159">
          <w:rPr>
            <w:sz w:val="28"/>
            <w:szCs w:val="28"/>
          </w:rPr>
          <w:fldChar w:fldCharType="begin"/>
        </w:r>
        <w:r w:rsidR="00DB4E30" w:rsidRPr="00CC4159">
          <w:rPr>
            <w:sz w:val="28"/>
            <w:szCs w:val="28"/>
          </w:rPr>
          <w:instrText xml:space="preserve"> PAGE   \* MERGEFORMAT </w:instrText>
        </w:r>
        <w:r w:rsidR="00DB4E30" w:rsidRPr="00CC4159">
          <w:rPr>
            <w:sz w:val="28"/>
            <w:szCs w:val="28"/>
          </w:rPr>
          <w:fldChar w:fldCharType="separate"/>
        </w:r>
        <w:r w:rsidR="00DB4E30" w:rsidRPr="00CC4159">
          <w:rPr>
            <w:noProof/>
            <w:sz w:val="28"/>
            <w:szCs w:val="28"/>
          </w:rPr>
          <w:t>2</w:t>
        </w:r>
        <w:r w:rsidR="00DB4E30" w:rsidRPr="00CC4159">
          <w:rPr>
            <w:noProof/>
            <w:sz w:val="28"/>
            <w:szCs w:val="28"/>
          </w:rPr>
          <w:fldChar w:fldCharType="end"/>
        </w:r>
        <w:r w:rsidR="00DB4E30" w:rsidRPr="00CC4159">
          <w:rPr>
            <w:noProof/>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0E7E" w:rsidRDefault="002B0E7E" w:rsidP="000F40D2">
      <w:r>
        <w:separator/>
      </w:r>
    </w:p>
  </w:footnote>
  <w:footnote w:type="continuationSeparator" w:id="0">
    <w:p w:rsidR="002B0E7E" w:rsidRDefault="002B0E7E" w:rsidP="000F4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374C57"/>
    <w:multiLevelType w:val="hybridMultilevel"/>
    <w:tmpl w:val="DED2D44A"/>
    <w:lvl w:ilvl="0" w:tplc="9B8A9FD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E825D1E"/>
    <w:multiLevelType w:val="hybridMultilevel"/>
    <w:tmpl w:val="F9AE4124"/>
    <w:lvl w:ilvl="0" w:tplc="861A26F0">
      <w:start w:val="1"/>
      <w:numFmt w:val="lowerLetter"/>
      <w:lvlText w:val="%1)"/>
      <w:lvlJc w:val="left"/>
      <w:pPr>
        <w:ind w:left="1800" w:hanging="360"/>
      </w:pPr>
      <w:rPr>
        <w:rFonts w:hint="default"/>
        <w:b/>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4D5"/>
    <w:rsid w:val="000065F3"/>
    <w:rsid w:val="0000770C"/>
    <w:rsid w:val="000333A2"/>
    <w:rsid w:val="00055C9B"/>
    <w:rsid w:val="0006345E"/>
    <w:rsid w:val="00071B20"/>
    <w:rsid w:val="000726DF"/>
    <w:rsid w:val="00096921"/>
    <w:rsid w:val="00097550"/>
    <w:rsid w:val="000C5B23"/>
    <w:rsid w:val="000D29AC"/>
    <w:rsid w:val="000F40D2"/>
    <w:rsid w:val="001012F9"/>
    <w:rsid w:val="00110F6D"/>
    <w:rsid w:val="00156E43"/>
    <w:rsid w:val="00166040"/>
    <w:rsid w:val="00173DC8"/>
    <w:rsid w:val="00173EC6"/>
    <w:rsid w:val="001A2597"/>
    <w:rsid w:val="001B1F55"/>
    <w:rsid w:val="002557BE"/>
    <w:rsid w:val="002735DF"/>
    <w:rsid w:val="002739D6"/>
    <w:rsid w:val="002B0E7E"/>
    <w:rsid w:val="002C5AE6"/>
    <w:rsid w:val="002D5071"/>
    <w:rsid w:val="002E3FEE"/>
    <w:rsid w:val="002E6322"/>
    <w:rsid w:val="002E72BB"/>
    <w:rsid w:val="002F0C6E"/>
    <w:rsid w:val="00302D25"/>
    <w:rsid w:val="003119E4"/>
    <w:rsid w:val="003278E1"/>
    <w:rsid w:val="0033459D"/>
    <w:rsid w:val="00335126"/>
    <w:rsid w:val="00395D46"/>
    <w:rsid w:val="003A4B2D"/>
    <w:rsid w:val="003E04D5"/>
    <w:rsid w:val="00411532"/>
    <w:rsid w:val="00415F17"/>
    <w:rsid w:val="004336B4"/>
    <w:rsid w:val="004468C1"/>
    <w:rsid w:val="00451535"/>
    <w:rsid w:val="004603BA"/>
    <w:rsid w:val="004718D4"/>
    <w:rsid w:val="00471C2C"/>
    <w:rsid w:val="004732DB"/>
    <w:rsid w:val="00491DCE"/>
    <w:rsid w:val="004A74AD"/>
    <w:rsid w:val="004F2AA8"/>
    <w:rsid w:val="004F5939"/>
    <w:rsid w:val="00517C16"/>
    <w:rsid w:val="00520432"/>
    <w:rsid w:val="00521491"/>
    <w:rsid w:val="005245F9"/>
    <w:rsid w:val="005325A2"/>
    <w:rsid w:val="00550DA9"/>
    <w:rsid w:val="00552518"/>
    <w:rsid w:val="0056590E"/>
    <w:rsid w:val="00594152"/>
    <w:rsid w:val="005C7AA5"/>
    <w:rsid w:val="005D2481"/>
    <w:rsid w:val="005E10EC"/>
    <w:rsid w:val="005E452C"/>
    <w:rsid w:val="006000DD"/>
    <w:rsid w:val="00620E85"/>
    <w:rsid w:val="00643429"/>
    <w:rsid w:val="00651F03"/>
    <w:rsid w:val="0065567B"/>
    <w:rsid w:val="006D3850"/>
    <w:rsid w:val="006D4AB5"/>
    <w:rsid w:val="007035F4"/>
    <w:rsid w:val="0074555A"/>
    <w:rsid w:val="00760B07"/>
    <w:rsid w:val="00762ACF"/>
    <w:rsid w:val="007870A8"/>
    <w:rsid w:val="007928AE"/>
    <w:rsid w:val="007B5427"/>
    <w:rsid w:val="007C5796"/>
    <w:rsid w:val="007D6D74"/>
    <w:rsid w:val="007F1F3B"/>
    <w:rsid w:val="008102E2"/>
    <w:rsid w:val="00835645"/>
    <w:rsid w:val="008441D5"/>
    <w:rsid w:val="008541BE"/>
    <w:rsid w:val="00856433"/>
    <w:rsid w:val="008A46F7"/>
    <w:rsid w:val="008A5F02"/>
    <w:rsid w:val="008C184D"/>
    <w:rsid w:val="008C3768"/>
    <w:rsid w:val="00902492"/>
    <w:rsid w:val="009544CA"/>
    <w:rsid w:val="00971101"/>
    <w:rsid w:val="0097196D"/>
    <w:rsid w:val="00984A26"/>
    <w:rsid w:val="00987DBB"/>
    <w:rsid w:val="00992CB9"/>
    <w:rsid w:val="009A3844"/>
    <w:rsid w:val="009C4D66"/>
    <w:rsid w:val="009E6536"/>
    <w:rsid w:val="00A91DB7"/>
    <w:rsid w:val="00AC170F"/>
    <w:rsid w:val="00AF1E64"/>
    <w:rsid w:val="00AF5176"/>
    <w:rsid w:val="00B300E1"/>
    <w:rsid w:val="00B40287"/>
    <w:rsid w:val="00B46255"/>
    <w:rsid w:val="00B60B2F"/>
    <w:rsid w:val="00B935A1"/>
    <w:rsid w:val="00BD62CA"/>
    <w:rsid w:val="00BE7855"/>
    <w:rsid w:val="00C02D4B"/>
    <w:rsid w:val="00C03691"/>
    <w:rsid w:val="00C20900"/>
    <w:rsid w:val="00C340A3"/>
    <w:rsid w:val="00C41A27"/>
    <w:rsid w:val="00C46C3B"/>
    <w:rsid w:val="00C74A11"/>
    <w:rsid w:val="00C94EC5"/>
    <w:rsid w:val="00CB7E07"/>
    <w:rsid w:val="00CC4159"/>
    <w:rsid w:val="00CD1BA2"/>
    <w:rsid w:val="00CD33D2"/>
    <w:rsid w:val="00CE4101"/>
    <w:rsid w:val="00D06F86"/>
    <w:rsid w:val="00D17A18"/>
    <w:rsid w:val="00DB4E30"/>
    <w:rsid w:val="00DB509F"/>
    <w:rsid w:val="00DC0E05"/>
    <w:rsid w:val="00DD5911"/>
    <w:rsid w:val="00E0298B"/>
    <w:rsid w:val="00E2133F"/>
    <w:rsid w:val="00E51D32"/>
    <w:rsid w:val="00E554E6"/>
    <w:rsid w:val="00E568B6"/>
    <w:rsid w:val="00E66DAA"/>
    <w:rsid w:val="00E71D17"/>
    <w:rsid w:val="00EA3A45"/>
    <w:rsid w:val="00EC78BA"/>
    <w:rsid w:val="00F15094"/>
    <w:rsid w:val="00F33AF2"/>
    <w:rsid w:val="00F3471D"/>
    <w:rsid w:val="00F41415"/>
    <w:rsid w:val="00F414A3"/>
    <w:rsid w:val="00F73BCF"/>
    <w:rsid w:val="00F77D5B"/>
    <w:rsid w:val="00F93AA4"/>
    <w:rsid w:val="00FB5232"/>
    <w:rsid w:val="00FB7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580C2B84-1676-4427-ACE5-B32F32A20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napToGrid w:val="0"/>
        <w:vertAlign w:val="superscript"/>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04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qFormat/>
    <w:rsid w:val="004F5939"/>
    <w:rPr>
      <w:rFonts w:ascii="Times New Roman" w:hAnsi="Times New Roman"/>
      <w:sz w:val="28"/>
      <w:vertAlign w:val="superscript"/>
    </w:rPr>
  </w:style>
  <w:style w:type="paragraph" w:styleId="FootnoteText">
    <w:name w:val="footnote text"/>
    <w:basedOn w:val="Normal"/>
    <w:link w:val="FootnoteTextChar"/>
    <w:qFormat/>
    <w:rsid w:val="001A2597"/>
    <w:pPr>
      <w:widowControl w:val="0"/>
    </w:pPr>
  </w:style>
  <w:style w:type="character" w:customStyle="1" w:styleId="FootnoteTextChar">
    <w:name w:val="Footnote Text Char"/>
    <w:basedOn w:val="DefaultParagraphFont"/>
    <w:link w:val="FootnoteText"/>
    <w:rsid w:val="001A2597"/>
    <w:rPr>
      <w:snapToGrid/>
    </w:rPr>
  </w:style>
  <w:style w:type="character" w:customStyle="1" w:styleId="Style14ptSuperscript">
    <w:name w:val="Style 14 pt Superscript"/>
    <w:basedOn w:val="FootnoteReference"/>
    <w:rsid w:val="001A2597"/>
    <w:rPr>
      <w:rFonts w:ascii="Times New Roman" w:hAnsi="Times New Roman"/>
      <w:sz w:val="28"/>
      <w:vertAlign w:val="superscript"/>
    </w:rPr>
  </w:style>
  <w:style w:type="character" w:customStyle="1" w:styleId="StyleFootnoteReference14ptSuperscript">
    <w:name w:val="Style Footnote Reference + 14 pt Superscript"/>
    <w:basedOn w:val="FootnoteReference"/>
    <w:rsid w:val="001A2597"/>
    <w:rPr>
      <w:rFonts w:ascii="Times New Roman" w:hAnsi="Times New Roman"/>
      <w:sz w:val="28"/>
      <w:vertAlign w:val="superscript"/>
    </w:rPr>
  </w:style>
  <w:style w:type="paragraph" w:styleId="ListParagraph">
    <w:name w:val="List Paragraph"/>
    <w:basedOn w:val="Normal"/>
    <w:uiPriority w:val="34"/>
    <w:qFormat/>
    <w:rsid w:val="003E04D5"/>
    <w:pPr>
      <w:ind w:left="720"/>
      <w:contextualSpacing/>
    </w:pPr>
  </w:style>
  <w:style w:type="paragraph" w:styleId="Header">
    <w:name w:val="header"/>
    <w:basedOn w:val="Normal"/>
    <w:link w:val="HeaderChar"/>
    <w:uiPriority w:val="99"/>
    <w:unhideWhenUsed/>
    <w:rsid w:val="000F40D2"/>
    <w:pPr>
      <w:tabs>
        <w:tab w:val="center" w:pos="4680"/>
        <w:tab w:val="right" w:pos="9360"/>
      </w:tabs>
    </w:pPr>
  </w:style>
  <w:style w:type="character" w:customStyle="1" w:styleId="HeaderChar">
    <w:name w:val="Header Char"/>
    <w:basedOn w:val="DefaultParagraphFont"/>
    <w:link w:val="Header"/>
    <w:uiPriority w:val="99"/>
    <w:rsid w:val="000F40D2"/>
  </w:style>
  <w:style w:type="paragraph" w:styleId="Footer">
    <w:name w:val="footer"/>
    <w:basedOn w:val="Normal"/>
    <w:link w:val="FooterChar"/>
    <w:uiPriority w:val="99"/>
    <w:unhideWhenUsed/>
    <w:rsid w:val="000F40D2"/>
    <w:pPr>
      <w:tabs>
        <w:tab w:val="center" w:pos="4680"/>
        <w:tab w:val="right" w:pos="9360"/>
      </w:tabs>
    </w:pPr>
  </w:style>
  <w:style w:type="character" w:customStyle="1" w:styleId="FooterChar">
    <w:name w:val="Footer Char"/>
    <w:basedOn w:val="DefaultParagraphFont"/>
    <w:link w:val="Footer"/>
    <w:uiPriority w:val="99"/>
    <w:rsid w:val="000F40D2"/>
  </w:style>
  <w:style w:type="character" w:customStyle="1" w:styleId="zzmpTrailerItem">
    <w:name w:val="zzmpTrailerItem"/>
    <w:rsid w:val="00156E43"/>
    <w:rPr>
      <w:rFonts w:ascii="Times New Roman" w:hAnsi="Times New Roman" w:cs="Times New Roman"/>
      <w:dstrike w:val="0"/>
      <w:noProof/>
      <w:color w:val="auto"/>
      <w:spacing w:val="0"/>
      <w:position w:val="0"/>
      <w:sz w:val="16"/>
      <w:szCs w:val="16"/>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609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95AA4-B4C9-4C1A-A19E-227101546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Pages>3</Pages>
  <Words>1358</Words>
  <Characters>7431</Characters>
  <Application>Microsoft Office Word</Application>
  <DocSecurity>0</DocSecurity>
  <Lines>153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