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9E854" w14:textId="77777777" w:rsidR="00FD68CE" w:rsidRDefault="00FD68CE" w:rsidP="00FD68CE">
      <w:pPr>
        <w:rPr>
          <w:sz w:val="28"/>
          <w:szCs w:val="28"/>
        </w:rPr>
      </w:pPr>
      <w:bookmarkStart w:id="0" w:name="_Hlk532889440"/>
      <w:bookmarkStart w:id="1" w:name="_Hlk532825433"/>
      <w:r>
        <w:rPr>
          <w:sz w:val="28"/>
          <w:szCs w:val="28"/>
        </w:rPr>
        <w:t xml:space="preserve">David K. Byers </w:t>
      </w:r>
    </w:p>
    <w:p w14:paraId="6902C324" w14:textId="77777777" w:rsidR="00FD68CE" w:rsidRDefault="00FD68CE" w:rsidP="00FD68CE">
      <w:pPr>
        <w:rPr>
          <w:sz w:val="28"/>
          <w:szCs w:val="28"/>
        </w:rPr>
      </w:pPr>
      <w:r>
        <w:rPr>
          <w:sz w:val="28"/>
          <w:szCs w:val="28"/>
        </w:rPr>
        <w:t>Administrative Director</w:t>
      </w:r>
    </w:p>
    <w:p w14:paraId="2A053A1C" w14:textId="77777777" w:rsidR="00FD68CE" w:rsidRDefault="00FD68CE" w:rsidP="00FD68CE">
      <w:pPr>
        <w:rPr>
          <w:sz w:val="28"/>
          <w:szCs w:val="28"/>
        </w:rPr>
      </w:pPr>
      <w:r>
        <w:rPr>
          <w:sz w:val="28"/>
          <w:szCs w:val="28"/>
        </w:rPr>
        <w:t>Administrative Office of the Courts</w:t>
      </w:r>
    </w:p>
    <w:p w14:paraId="25930B95" w14:textId="77777777" w:rsidR="00FD68CE" w:rsidRDefault="00FD68CE" w:rsidP="00FD68CE">
      <w:pPr>
        <w:rPr>
          <w:sz w:val="28"/>
          <w:szCs w:val="28"/>
        </w:rPr>
      </w:pPr>
      <w:r>
        <w:rPr>
          <w:sz w:val="28"/>
          <w:szCs w:val="28"/>
        </w:rPr>
        <w:t>1501 W. Washington, Suite 411</w:t>
      </w:r>
    </w:p>
    <w:p w14:paraId="15300A94" w14:textId="77777777" w:rsidR="00FD68CE" w:rsidRDefault="00FD68CE" w:rsidP="00FD68CE">
      <w:pPr>
        <w:rPr>
          <w:sz w:val="28"/>
          <w:szCs w:val="28"/>
        </w:rPr>
      </w:pPr>
      <w:r>
        <w:rPr>
          <w:sz w:val="28"/>
          <w:szCs w:val="28"/>
        </w:rPr>
        <w:t>Phoenix, AZ 85007-3327</w:t>
      </w:r>
    </w:p>
    <w:p w14:paraId="6F129320" w14:textId="77777777" w:rsidR="00FD68CE" w:rsidRDefault="00FD68CE" w:rsidP="00FD68CE">
      <w:pPr>
        <w:rPr>
          <w:sz w:val="28"/>
          <w:szCs w:val="28"/>
        </w:rPr>
      </w:pPr>
      <w:r>
        <w:rPr>
          <w:sz w:val="28"/>
          <w:szCs w:val="28"/>
        </w:rPr>
        <w:t>Phone: (602) 452-3301</w:t>
      </w:r>
    </w:p>
    <w:p w14:paraId="36A317C7" w14:textId="77777777" w:rsidR="00FD68CE" w:rsidRDefault="00FD68CE" w:rsidP="00FD68CE">
      <w:pPr>
        <w:rPr>
          <w:sz w:val="28"/>
          <w:szCs w:val="28"/>
        </w:rPr>
      </w:pPr>
      <w:r>
        <w:rPr>
          <w:sz w:val="28"/>
          <w:szCs w:val="28"/>
        </w:rPr>
        <w:t>Projects2@courts.az.gov</w:t>
      </w:r>
    </w:p>
    <w:p w14:paraId="13A8D056" w14:textId="77777777" w:rsidR="00827D7F" w:rsidRPr="00122FEC" w:rsidRDefault="00827D7F" w:rsidP="001477A4">
      <w:pPr>
        <w:jc w:val="both"/>
        <w:rPr>
          <w:sz w:val="28"/>
          <w:szCs w:val="28"/>
        </w:rPr>
      </w:pPr>
    </w:p>
    <w:p w14:paraId="4E4D3E05" w14:textId="77777777" w:rsidR="00827D7F" w:rsidRPr="00122FEC" w:rsidRDefault="00827D7F" w:rsidP="0018604C">
      <w:pPr>
        <w:spacing w:line="480" w:lineRule="auto"/>
        <w:jc w:val="center"/>
        <w:rPr>
          <w:sz w:val="28"/>
          <w:szCs w:val="28"/>
        </w:rPr>
      </w:pPr>
      <w:r w:rsidRPr="00122FEC">
        <w:rPr>
          <w:sz w:val="28"/>
          <w:szCs w:val="28"/>
        </w:rPr>
        <w:t>IN THE SUPREME COURT</w:t>
      </w:r>
    </w:p>
    <w:p w14:paraId="04512A4D" w14:textId="77777777" w:rsidR="00827D7F" w:rsidRPr="00122FEC" w:rsidRDefault="00827D7F" w:rsidP="0018604C">
      <w:pPr>
        <w:spacing w:line="480" w:lineRule="auto"/>
        <w:jc w:val="center"/>
        <w:rPr>
          <w:sz w:val="28"/>
          <w:szCs w:val="28"/>
        </w:rPr>
      </w:pPr>
      <w:r w:rsidRPr="00122FEC">
        <w:rPr>
          <w:sz w:val="28"/>
          <w:szCs w:val="28"/>
        </w:rPr>
        <w:t>STATE OF ARIZONA</w:t>
      </w:r>
    </w:p>
    <w:p w14:paraId="38D06F57" w14:textId="7D208F7C" w:rsidR="00827D7F" w:rsidRPr="00122FEC" w:rsidRDefault="00FD68CE" w:rsidP="001477A4">
      <w:pPr>
        <w:tabs>
          <w:tab w:val="left" w:pos="4320"/>
          <w:tab w:val="left" w:pos="5040"/>
        </w:tabs>
        <w:jc w:val="both"/>
        <w:rPr>
          <w:sz w:val="28"/>
          <w:szCs w:val="28"/>
        </w:rPr>
      </w:pPr>
      <w:r>
        <w:rPr>
          <w:sz w:val="28"/>
          <w:szCs w:val="28"/>
        </w:rPr>
        <w:t>In the matter of:</w:t>
      </w:r>
      <w:r>
        <w:rPr>
          <w:sz w:val="28"/>
          <w:szCs w:val="28"/>
        </w:rPr>
        <w:tab/>
      </w:r>
      <w:r>
        <w:rPr>
          <w:sz w:val="28"/>
          <w:szCs w:val="28"/>
        </w:rPr>
        <w:tab/>
        <w:t>)</w:t>
      </w:r>
    </w:p>
    <w:p w14:paraId="374D05FA" w14:textId="3E9E6A8C" w:rsidR="00FD68CE" w:rsidRDefault="00FD68CE" w:rsidP="001477A4">
      <w:pPr>
        <w:tabs>
          <w:tab w:val="left" w:pos="4320"/>
          <w:tab w:val="left" w:pos="5040"/>
        </w:tabs>
        <w:jc w:val="both"/>
        <w:rPr>
          <w:sz w:val="28"/>
          <w:szCs w:val="28"/>
        </w:rPr>
      </w:pPr>
      <w:r>
        <w:rPr>
          <w:sz w:val="28"/>
          <w:szCs w:val="28"/>
        </w:rPr>
        <w:tab/>
      </w:r>
      <w:r>
        <w:rPr>
          <w:sz w:val="28"/>
          <w:szCs w:val="28"/>
        </w:rPr>
        <w:tab/>
        <w:t>)</w:t>
      </w:r>
    </w:p>
    <w:p w14:paraId="208ED147" w14:textId="248CE1DC" w:rsidR="008908FB" w:rsidRDefault="001477A4" w:rsidP="001477A4">
      <w:pPr>
        <w:tabs>
          <w:tab w:val="left" w:pos="4320"/>
          <w:tab w:val="left" w:pos="5040"/>
        </w:tabs>
        <w:jc w:val="both"/>
        <w:rPr>
          <w:sz w:val="28"/>
          <w:szCs w:val="28"/>
        </w:rPr>
      </w:pPr>
      <w:r w:rsidRPr="00122FEC">
        <w:rPr>
          <w:sz w:val="28"/>
          <w:szCs w:val="28"/>
        </w:rPr>
        <w:t xml:space="preserve">PETITION TO AMEND RULE </w:t>
      </w:r>
      <w:r w:rsidR="007B5029">
        <w:rPr>
          <w:sz w:val="28"/>
          <w:szCs w:val="28"/>
        </w:rPr>
        <w:t>2.1</w:t>
      </w:r>
      <w:r w:rsidR="00F01C37" w:rsidRPr="00122FEC">
        <w:rPr>
          <w:sz w:val="28"/>
          <w:szCs w:val="28"/>
        </w:rPr>
        <w:t>,</w:t>
      </w:r>
      <w:r w:rsidR="00827D7F" w:rsidRPr="00122FEC">
        <w:rPr>
          <w:sz w:val="28"/>
          <w:szCs w:val="28"/>
        </w:rPr>
        <w:tab/>
      </w:r>
      <w:r w:rsidR="00482405" w:rsidRPr="00122FEC">
        <w:rPr>
          <w:sz w:val="28"/>
          <w:szCs w:val="28"/>
        </w:rPr>
        <w:tab/>
        <w:t xml:space="preserve">)  </w:t>
      </w:r>
      <w:r w:rsidR="00827D7F" w:rsidRPr="00122FEC">
        <w:rPr>
          <w:sz w:val="28"/>
          <w:szCs w:val="28"/>
        </w:rPr>
        <w:t xml:space="preserve">      </w:t>
      </w:r>
    </w:p>
    <w:p w14:paraId="00833541" w14:textId="4ABB5897" w:rsidR="00827D7F" w:rsidRPr="00122FEC" w:rsidRDefault="001477A4" w:rsidP="001477A4">
      <w:pPr>
        <w:tabs>
          <w:tab w:val="left" w:pos="4320"/>
          <w:tab w:val="left" w:pos="5040"/>
        </w:tabs>
        <w:jc w:val="both"/>
        <w:rPr>
          <w:sz w:val="28"/>
          <w:szCs w:val="28"/>
        </w:rPr>
      </w:pPr>
      <w:r w:rsidRPr="00122FEC">
        <w:rPr>
          <w:sz w:val="28"/>
          <w:szCs w:val="28"/>
        </w:rPr>
        <w:t>ARIZONA RULES OF</w:t>
      </w:r>
      <w:r w:rsidR="008908FB" w:rsidRPr="008908FB">
        <w:rPr>
          <w:sz w:val="28"/>
          <w:szCs w:val="28"/>
        </w:rPr>
        <w:t xml:space="preserve"> </w:t>
      </w:r>
      <w:r w:rsidR="008908FB" w:rsidRPr="00122FEC">
        <w:rPr>
          <w:sz w:val="28"/>
          <w:szCs w:val="28"/>
        </w:rPr>
        <w:t>CRIMINAL</w:t>
      </w:r>
      <w:r w:rsidRPr="00122FEC">
        <w:rPr>
          <w:sz w:val="28"/>
          <w:szCs w:val="28"/>
        </w:rPr>
        <w:tab/>
      </w:r>
      <w:r w:rsidRPr="00122FEC">
        <w:rPr>
          <w:sz w:val="28"/>
          <w:szCs w:val="28"/>
        </w:rPr>
        <w:tab/>
        <w:t>)</w:t>
      </w:r>
      <w:r w:rsidR="00FD68CE">
        <w:rPr>
          <w:sz w:val="28"/>
          <w:szCs w:val="28"/>
        </w:rPr>
        <w:tab/>
        <w:t>Supreme Court No. R-20__</w:t>
      </w:r>
    </w:p>
    <w:p w14:paraId="64524B49" w14:textId="77777777" w:rsidR="00FD68CE" w:rsidRDefault="008908FB" w:rsidP="001477A4">
      <w:pPr>
        <w:tabs>
          <w:tab w:val="left" w:pos="4320"/>
          <w:tab w:val="left" w:pos="5040"/>
        </w:tabs>
        <w:jc w:val="both"/>
        <w:rPr>
          <w:sz w:val="28"/>
          <w:szCs w:val="28"/>
        </w:rPr>
      </w:pPr>
      <w:r w:rsidRPr="00122FEC">
        <w:rPr>
          <w:sz w:val="28"/>
          <w:szCs w:val="28"/>
        </w:rPr>
        <w:t>PROCEDURE</w:t>
      </w:r>
      <w:r>
        <w:rPr>
          <w:sz w:val="28"/>
          <w:szCs w:val="28"/>
        </w:rPr>
        <w:t xml:space="preserve"> AND</w:t>
      </w:r>
      <w:r w:rsidRPr="008908FB">
        <w:rPr>
          <w:sz w:val="28"/>
          <w:szCs w:val="28"/>
        </w:rPr>
        <w:t xml:space="preserve"> </w:t>
      </w:r>
      <w:r>
        <w:rPr>
          <w:sz w:val="28"/>
          <w:szCs w:val="28"/>
        </w:rPr>
        <w:t>RULE 3,</w:t>
      </w:r>
      <w:r>
        <w:rPr>
          <w:sz w:val="28"/>
          <w:szCs w:val="28"/>
        </w:rPr>
        <w:tab/>
      </w:r>
      <w:r>
        <w:rPr>
          <w:sz w:val="28"/>
          <w:szCs w:val="28"/>
        </w:rPr>
        <w:tab/>
        <w:t>)</w:t>
      </w:r>
      <w:r w:rsidR="006937E5">
        <w:rPr>
          <w:sz w:val="28"/>
          <w:szCs w:val="28"/>
        </w:rPr>
        <w:tab/>
      </w:r>
      <w:r w:rsidR="00FD68CE">
        <w:rPr>
          <w:sz w:val="28"/>
          <w:szCs w:val="28"/>
        </w:rPr>
        <w:t>(e</w:t>
      </w:r>
      <w:r w:rsidR="006937E5">
        <w:rPr>
          <w:sz w:val="28"/>
          <w:szCs w:val="28"/>
        </w:rPr>
        <w:t xml:space="preserve">xpedited </w:t>
      </w:r>
      <w:r w:rsidR="00FD68CE">
        <w:rPr>
          <w:sz w:val="28"/>
          <w:szCs w:val="28"/>
        </w:rPr>
        <w:t>c</w:t>
      </w:r>
      <w:r w:rsidR="006937E5">
        <w:rPr>
          <w:sz w:val="28"/>
          <w:szCs w:val="28"/>
        </w:rPr>
        <w:t xml:space="preserve">onsideration </w:t>
      </w:r>
    </w:p>
    <w:p w14:paraId="5E3FA0EE" w14:textId="4C3C5CD9" w:rsidR="008908FB" w:rsidRDefault="00FD68CE" w:rsidP="001477A4">
      <w:pPr>
        <w:tabs>
          <w:tab w:val="left" w:pos="4320"/>
          <w:tab w:val="left" w:pos="5040"/>
        </w:tabs>
        <w:jc w:val="both"/>
        <w:rPr>
          <w:sz w:val="28"/>
          <w:szCs w:val="28"/>
        </w:rPr>
      </w:pPr>
      <w:r>
        <w:rPr>
          <w:sz w:val="28"/>
          <w:szCs w:val="28"/>
        </w:rPr>
        <w:t>R</w:t>
      </w:r>
      <w:r w:rsidR="008908FB">
        <w:rPr>
          <w:sz w:val="28"/>
          <w:szCs w:val="28"/>
        </w:rPr>
        <w:t xml:space="preserve">ULES OF </w:t>
      </w:r>
      <w:r>
        <w:rPr>
          <w:sz w:val="28"/>
          <w:szCs w:val="28"/>
        </w:rPr>
        <w:t xml:space="preserve">COURT </w:t>
      </w:r>
      <w:r w:rsidR="008908FB">
        <w:rPr>
          <w:sz w:val="28"/>
          <w:szCs w:val="28"/>
        </w:rPr>
        <w:t xml:space="preserve">PROCEDURE </w:t>
      </w:r>
      <w:r>
        <w:rPr>
          <w:sz w:val="28"/>
          <w:szCs w:val="28"/>
        </w:rPr>
        <w:t>FOR</w:t>
      </w:r>
      <w:r w:rsidR="008908FB">
        <w:rPr>
          <w:sz w:val="28"/>
          <w:szCs w:val="28"/>
        </w:rPr>
        <w:tab/>
        <w:t>)</w:t>
      </w:r>
      <w:r w:rsidR="006937E5">
        <w:rPr>
          <w:sz w:val="28"/>
          <w:szCs w:val="28"/>
        </w:rPr>
        <w:tab/>
      </w:r>
      <w:r>
        <w:rPr>
          <w:sz w:val="28"/>
          <w:szCs w:val="28"/>
        </w:rPr>
        <w:t>r</w:t>
      </w:r>
      <w:r w:rsidR="006937E5">
        <w:rPr>
          <w:sz w:val="28"/>
          <w:szCs w:val="28"/>
        </w:rPr>
        <w:t>equested</w:t>
      </w:r>
      <w:r>
        <w:rPr>
          <w:sz w:val="28"/>
          <w:szCs w:val="28"/>
        </w:rPr>
        <w:t>)</w:t>
      </w:r>
    </w:p>
    <w:p w14:paraId="246EA2F7" w14:textId="6A136F0A" w:rsidR="008908FB" w:rsidRDefault="00FD68CE" w:rsidP="001477A4">
      <w:pPr>
        <w:tabs>
          <w:tab w:val="left" w:pos="4320"/>
          <w:tab w:val="left" w:pos="5040"/>
        </w:tabs>
        <w:jc w:val="both"/>
        <w:rPr>
          <w:sz w:val="28"/>
          <w:szCs w:val="28"/>
        </w:rPr>
      </w:pPr>
      <w:r>
        <w:rPr>
          <w:sz w:val="28"/>
          <w:szCs w:val="28"/>
        </w:rPr>
        <w:t xml:space="preserve">CIVIL </w:t>
      </w:r>
      <w:r w:rsidR="008908FB">
        <w:rPr>
          <w:sz w:val="28"/>
          <w:szCs w:val="28"/>
        </w:rPr>
        <w:t xml:space="preserve">TRAFFIC AND CIVIL </w:t>
      </w:r>
      <w:r w:rsidR="008908FB">
        <w:rPr>
          <w:sz w:val="28"/>
          <w:szCs w:val="28"/>
        </w:rPr>
        <w:tab/>
      </w:r>
      <w:r w:rsidR="008908FB">
        <w:rPr>
          <w:sz w:val="28"/>
          <w:szCs w:val="28"/>
        </w:rPr>
        <w:tab/>
        <w:t>)</w:t>
      </w:r>
    </w:p>
    <w:p w14:paraId="449EC040" w14:textId="0872C953" w:rsidR="00827D7F" w:rsidRDefault="00FD68CE" w:rsidP="001477A4">
      <w:pPr>
        <w:tabs>
          <w:tab w:val="left" w:pos="4320"/>
          <w:tab w:val="left" w:pos="5040"/>
        </w:tabs>
        <w:jc w:val="both"/>
        <w:rPr>
          <w:sz w:val="28"/>
          <w:szCs w:val="28"/>
        </w:rPr>
      </w:pPr>
      <w:r>
        <w:rPr>
          <w:sz w:val="28"/>
          <w:szCs w:val="28"/>
        </w:rPr>
        <w:t>BOATING VIOLATIONS</w:t>
      </w:r>
      <w:r w:rsidR="00827D7F" w:rsidRPr="00122FEC">
        <w:rPr>
          <w:sz w:val="28"/>
          <w:szCs w:val="28"/>
        </w:rPr>
        <w:tab/>
      </w:r>
      <w:r w:rsidR="00827D7F" w:rsidRPr="00122FEC">
        <w:rPr>
          <w:sz w:val="28"/>
          <w:szCs w:val="28"/>
        </w:rPr>
        <w:tab/>
        <w:t>)</w:t>
      </w:r>
    </w:p>
    <w:p w14:paraId="19423597" w14:textId="77777777" w:rsidR="00827D7F" w:rsidRPr="00122FEC" w:rsidRDefault="00827D7F" w:rsidP="001477A4">
      <w:pPr>
        <w:tabs>
          <w:tab w:val="left" w:pos="4320"/>
          <w:tab w:val="left" w:pos="5040"/>
        </w:tabs>
        <w:jc w:val="both"/>
        <w:rPr>
          <w:sz w:val="28"/>
          <w:szCs w:val="28"/>
        </w:rPr>
      </w:pPr>
      <w:r w:rsidRPr="00122FEC">
        <w:rPr>
          <w:sz w:val="28"/>
          <w:szCs w:val="28"/>
        </w:rPr>
        <w:t>___________________________________</w:t>
      </w:r>
      <w:r w:rsidRPr="00122FEC">
        <w:rPr>
          <w:sz w:val="28"/>
          <w:szCs w:val="28"/>
        </w:rPr>
        <w:tab/>
        <w:t>)</w:t>
      </w:r>
    </w:p>
    <w:p w14:paraId="1C0E94BC" w14:textId="77777777" w:rsidR="00827D7F" w:rsidRPr="00122FEC" w:rsidRDefault="00827D7F" w:rsidP="00B00A19">
      <w:pPr>
        <w:jc w:val="both"/>
        <w:rPr>
          <w:sz w:val="28"/>
          <w:szCs w:val="28"/>
        </w:rPr>
      </w:pPr>
    </w:p>
    <w:p w14:paraId="766CB095" w14:textId="3824B3B8" w:rsidR="00827D7F" w:rsidRPr="00122FEC" w:rsidRDefault="00827D7F" w:rsidP="001477A4">
      <w:pPr>
        <w:spacing w:line="480" w:lineRule="auto"/>
        <w:ind w:firstLine="720"/>
        <w:jc w:val="both"/>
        <w:rPr>
          <w:sz w:val="28"/>
          <w:szCs w:val="28"/>
        </w:rPr>
      </w:pPr>
      <w:r w:rsidRPr="00122FEC">
        <w:rPr>
          <w:sz w:val="28"/>
          <w:szCs w:val="28"/>
        </w:rPr>
        <w:t xml:space="preserve">Pursuant to Rule 28, Rules of the Supreme Court, Petitioner requests the Court to amend Rule </w:t>
      </w:r>
      <w:r w:rsidR="008908FB">
        <w:rPr>
          <w:sz w:val="28"/>
          <w:szCs w:val="28"/>
        </w:rPr>
        <w:t>2.1</w:t>
      </w:r>
      <w:r w:rsidR="00F01C37" w:rsidRPr="00122FEC">
        <w:rPr>
          <w:sz w:val="28"/>
          <w:szCs w:val="28"/>
        </w:rPr>
        <w:t xml:space="preserve"> (“</w:t>
      </w:r>
      <w:r w:rsidR="008908FB">
        <w:rPr>
          <w:sz w:val="28"/>
          <w:szCs w:val="28"/>
        </w:rPr>
        <w:t>Commencement of Criminal Proceedings: Misdemeanors</w:t>
      </w:r>
      <w:r w:rsidR="00F01C37" w:rsidRPr="00122FEC">
        <w:rPr>
          <w:sz w:val="28"/>
          <w:szCs w:val="28"/>
        </w:rPr>
        <w:t>”)</w:t>
      </w:r>
      <w:r w:rsidR="008908FB">
        <w:rPr>
          <w:sz w:val="28"/>
          <w:szCs w:val="28"/>
        </w:rPr>
        <w:t xml:space="preserve"> of the Rules of Criminal Procedure, and </w:t>
      </w:r>
      <w:r w:rsidR="008908FB" w:rsidRPr="00122FEC">
        <w:rPr>
          <w:sz w:val="28"/>
          <w:szCs w:val="28"/>
        </w:rPr>
        <w:t>Rule</w:t>
      </w:r>
      <w:r w:rsidR="00F01C37" w:rsidRPr="00122FEC">
        <w:rPr>
          <w:sz w:val="28"/>
          <w:szCs w:val="28"/>
        </w:rPr>
        <w:t xml:space="preserve"> </w:t>
      </w:r>
      <w:r w:rsidR="008908FB">
        <w:rPr>
          <w:sz w:val="28"/>
          <w:szCs w:val="28"/>
        </w:rPr>
        <w:t xml:space="preserve">3 </w:t>
      </w:r>
      <w:r w:rsidR="00F01C37" w:rsidRPr="00122FEC">
        <w:rPr>
          <w:sz w:val="28"/>
          <w:szCs w:val="28"/>
        </w:rPr>
        <w:t>(“</w:t>
      </w:r>
      <w:r w:rsidR="008908FB">
        <w:rPr>
          <w:sz w:val="28"/>
          <w:szCs w:val="28"/>
        </w:rPr>
        <w:t>Commencing a Violation in Court</w:t>
      </w:r>
      <w:r w:rsidR="00F01C37" w:rsidRPr="00122FEC">
        <w:rPr>
          <w:sz w:val="28"/>
          <w:szCs w:val="28"/>
        </w:rPr>
        <w:t>”)</w:t>
      </w:r>
      <w:r w:rsidR="008908FB">
        <w:rPr>
          <w:sz w:val="28"/>
          <w:szCs w:val="28"/>
        </w:rPr>
        <w:t xml:space="preserve"> of the Rules of </w:t>
      </w:r>
      <w:r w:rsidR="00FD68CE">
        <w:rPr>
          <w:sz w:val="28"/>
          <w:szCs w:val="28"/>
        </w:rPr>
        <w:t xml:space="preserve">Court </w:t>
      </w:r>
      <w:r w:rsidR="008908FB">
        <w:rPr>
          <w:sz w:val="28"/>
          <w:szCs w:val="28"/>
        </w:rPr>
        <w:t xml:space="preserve">Procedure </w:t>
      </w:r>
      <w:r w:rsidR="00FD68CE">
        <w:rPr>
          <w:sz w:val="28"/>
          <w:szCs w:val="28"/>
        </w:rPr>
        <w:t>for</w:t>
      </w:r>
      <w:r w:rsidR="008908FB">
        <w:rPr>
          <w:sz w:val="28"/>
          <w:szCs w:val="28"/>
        </w:rPr>
        <w:t xml:space="preserve"> Civil Traffic and Civil Boating </w:t>
      </w:r>
      <w:r w:rsidR="00FD68CE">
        <w:rPr>
          <w:sz w:val="28"/>
          <w:szCs w:val="28"/>
        </w:rPr>
        <w:t>Violations</w:t>
      </w:r>
      <w:r w:rsidR="008908FB">
        <w:rPr>
          <w:sz w:val="28"/>
          <w:szCs w:val="28"/>
        </w:rPr>
        <w:t xml:space="preserve">. </w:t>
      </w:r>
      <w:r w:rsidR="00B00A19">
        <w:rPr>
          <w:sz w:val="28"/>
          <w:szCs w:val="28"/>
        </w:rPr>
        <w:t xml:space="preserve"> </w:t>
      </w:r>
      <w:r w:rsidR="008908FB">
        <w:rPr>
          <w:sz w:val="28"/>
          <w:szCs w:val="28"/>
        </w:rPr>
        <w:t>These amendments pertain to the enactment of HB 2</w:t>
      </w:r>
      <w:r w:rsidR="000A2FD3">
        <w:rPr>
          <w:sz w:val="28"/>
          <w:szCs w:val="28"/>
        </w:rPr>
        <w:t xml:space="preserve">230 (Laws 2020, Ch. </w:t>
      </w:r>
      <w:r w:rsidR="00FD68CE">
        <w:rPr>
          <w:sz w:val="28"/>
          <w:szCs w:val="28"/>
        </w:rPr>
        <w:t>1</w:t>
      </w:r>
      <w:r w:rsidR="000A2FD3">
        <w:rPr>
          <w:sz w:val="28"/>
          <w:szCs w:val="28"/>
        </w:rPr>
        <w:t>6)</w:t>
      </w:r>
      <w:r w:rsidRPr="00122FEC">
        <w:rPr>
          <w:sz w:val="28"/>
          <w:szCs w:val="28"/>
        </w:rPr>
        <w:t>.</w:t>
      </w:r>
      <w:r w:rsidR="006937E5">
        <w:rPr>
          <w:sz w:val="28"/>
          <w:szCs w:val="28"/>
        </w:rPr>
        <w:t xml:space="preserve">  Petitioner requests the Court’s expedited adoption of this petition, and expedited adoption of the proposed amendments</w:t>
      </w:r>
      <w:r w:rsidR="00416367">
        <w:rPr>
          <w:sz w:val="28"/>
          <w:szCs w:val="28"/>
        </w:rPr>
        <w:t xml:space="preserve"> </w:t>
      </w:r>
      <w:r w:rsidR="006937E5">
        <w:rPr>
          <w:sz w:val="28"/>
          <w:szCs w:val="28"/>
        </w:rPr>
        <w:t>to coincide with the December 31, 2020 effective date of this legislation.</w:t>
      </w:r>
    </w:p>
    <w:p w14:paraId="774E7D78" w14:textId="255CD5A4" w:rsidR="0060747D" w:rsidRDefault="000A2FD3" w:rsidP="000A2FD3">
      <w:pPr>
        <w:pStyle w:val="ListParagraph"/>
        <w:numPr>
          <w:ilvl w:val="0"/>
          <w:numId w:val="6"/>
        </w:numPr>
        <w:spacing w:line="480" w:lineRule="auto"/>
        <w:ind w:left="0" w:firstLine="720"/>
        <w:jc w:val="both"/>
        <w:rPr>
          <w:sz w:val="28"/>
          <w:szCs w:val="28"/>
        </w:rPr>
      </w:pPr>
      <w:r>
        <w:rPr>
          <w:b/>
          <w:sz w:val="28"/>
          <w:szCs w:val="28"/>
          <w:u w:val="single"/>
        </w:rPr>
        <w:lastRenderedPageBreak/>
        <w:t>HB 2230</w:t>
      </w:r>
      <w:r w:rsidR="00827D7F" w:rsidRPr="00122FEC">
        <w:rPr>
          <w:b/>
          <w:sz w:val="28"/>
          <w:szCs w:val="28"/>
        </w:rPr>
        <w:t>.</w:t>
      </w:r>
      <w:r w:rsidR="00827D7F" w:rsidRPr="00122FEC">
        <w:rPr>
          <w:sz w:val="28"/>
          <w:szCs w:val="28"/>
        </w:rPr>
        <w:t xml:space="preserve">  </w:t>
      </w:r>
      <w:r>
        <w:rPr>
          <w:sz w:val="28"/>
          <w:szCs w:val="28"/>
        </w:rPr>
        <w:t>HB 2230 amended A.R.S. § 22-301 (“</w:t>
      </w:r>
      <w:r w:rsidR="00B00A19">
        <w:rPr>
          <w:sz w:val="28"/>
          <w:szCs w:val="28"/>
        </w:rPr>
        <w:t>J</w:t>
      </w:r>
      <w:r>
        <w:rPr>
          <w:sz w:val="28"/>
          <w:szCs w:val="28"/>
        </w:rPr>
        <w:t xml:space="preserve">urisdiction of criminal actions”).  </w:t>
      </w:r>
      <w:r w:rsidR="00F33520">
        <w:rPr>
          <w:sz w:val="28"/>
          <w:szCs w:val="28"/>
        </w:rPr>
        <w:t>The introductory language of this statute</w:t>
      </w:r>
      <w:r w:rsidR="001A4E40">
        <w:rPr>
          <w:sz w:val="28"/>
          <w:szCs w:val="28"/>
        </w:rPr>
        <w:t>, which was not changed by HB 2230,</w:t>
      </w:r>
      <w:r w:rsidR="00F33520">
        <w:rPr>
          <w:sz w:val="28"/>
          <w:szCs w:val="28"/>
        </w:rPr>
        <w:t xml:space="preserve"> prescribes the jurisdiction of justice courts, </w:t>
      </w:r>
      <w:r w:rsidR="001A4E40">
        <w:rPr>
          <w:sz w:val="28"/>
          <w:szCs w:val="28"/>
        </w:rPr>
        <w:t>and accordingly,</w:t>
      </w:r>
      <w:r w:rsidR="00F33520">
        <w:rPr>
          <w:sz w:val="28"/>
          <w:szCs w:val="28"/>
        </w:rPr>
        <w:t xml:space="preserve"> this new law will not affect municipal courts. </w:t>
      </w:r>
      <w:r w:rsidR="00B00A19">
        <w:rPr>
          <w:sz w:val="28"/>
          <w:szCs w:val="28"/>
        </w:rPr>
        <w:t xml:space="preserve"> </w:t>
      </w:r>
      <w:r>
        <w:rPr>
          <w:sz w:val="28"/>
          <w:szCs w:val="28"/>
        </w:rPr>
        <w:t xml:space="preserve">The legislation included some stylistic revisions to </w:t>
      </w:r>
      <w:r w:rsidR="00F33520">
        <w:rPr>
          <w:sz w:val="28"/>
          <w:szCs w:val="28"/>
        </w:rPr>
        <w:t>A.R.S. § 22-301</w:t>
      </w:r>
      <w:r>
        <w:rPr>
          <w:sz w:val="28"/>
          <w:szCs w:val="28"/>
        </w:rPr>
        <w:t xml:space="preserve">, and a substantive change.  That </w:t>
      </w:r>
      <w:r w:rsidR="001A4E40">
        <w:rPr>
          <w:sz w:val="28"/>
          <w:szCs w:val="28"/>
        </w:rPr>
        <w:t xml:space="preserve">substantive </w:t>
      </w:r>
      <w:r>
        <w:rPr>
          <w:sz w:val="28"/>
          <w:szCs w:val="28"/>
        </w:rPr>
        <w:t>change</w:t>
      </w:r>
      <w:r w:rsidR="00A32237">
        <w:rPr>
          <w:sz w:val="28"/>
          <w:szCs w:val="28"/>
        </w:rPr>
        <w:t xml:space="preserve"> added</w:t>
      </w:r>
      <w:r>
        <w:rPr>
          <w:sz w:val="28"/>
          <w:szCs w:val="28"/>
        </w:rPr>
        <w:t xml:space="preserve"> a new subpart (D).  Th</w:t>
      </w:r>
      <w:r w:rsidR="00416367">
        <w:rPr>
          <w:sz w:val="28"/>
          <w:szCs w:val="28"/>
        </w:rPr>
        <w:t xml:space="preserve">e </w:t>
      </w:r>
      <w:r>
        <w:rPr>
          <w:sz w:val="28"/>
          <w:szCs w:val="28"/>
        </w:rPr>
        <w:t>new subpart provides,</w:t>
      </w:r>
    </w:p>
    <w:p w14:paraId="3A7B821E" w14:textId="65534B55" w:rsidR="000A2FD3" w:rsidRDefault="000A2FD3" w:rsidP="000A2FD3">
      <w:pPr>
        <w:pStyle w:val="ListParagraph"/>
        <w:jc w:val="both"/>
        <w:rPr>
          <w:sz w:val="28"/>
          <w:szCs w:val="28"/>
        </w:rPr>
      </w:pPr>
      <w:r w:rsidRPr="000A2FD3">
        <w:rPr>
          <w:sz w:val="28"/>
          <w:szCs w:val="28"/>
        </w:rPr>
        <w:t>If a uniform traffic ticket and complaint is filed in the incorrect precinct and that precinct is on the boundary of the precinct where the offense occurred, the case may be transferred to the correct precinct if both precincts are in the same county.  This subsection does not affect the applicability of section 13-109.</w:t>
      </w:r>
      <w:r w:rsidR="001A4E40">
        <w:rPr>
          <w:rStyle w:val="FootnoteReference"/>
          <w:sz w:val="28"/>
          <w:szCs w:val="28"/>
        </w:rPr>
        <w:footnoteReference w:id="1"/>
      </w:r>
    </w:p>
    <w:p w14:paraId="301A88D5" w14:textId="1264F185" w:rsidR="000A2FD3" w:rsidRDefault="000A2FD3" w:rsidP="000A2FD3">
      <w:pPr>
        <w:jc w:val="both"/>
        <w:rPr>
          <w:sz w:val="28"/>
          <w:szCs w:val="28"/>
        </w:rPr>
      </w:pPr>
    </w:p>
    <w:p w14:paraId="063B82AA" w14:textId="7A11BA76" w:rsidR="000A2FD3" w:rsidRDefault="000A2FD3" w:rsidP="00B00A19">
      <w:pPr>
        <w:spacing w:line="480" w:lineRule="auto"/>
        <w:jc w:val="both"/>
        <w:rPr>
          <w:sz w:val="28"/>
          <w:szCs w:val="28"/>
        </w:rPr>
      </w:pPr>
      <w:r>
        <w:rPr>
          <w:sz w:val="28"/>
          <w:szCs w:val="28"/>
        </w:rPr>
        <w:t>This session law has an effective date of December 31, 2020.</w:t>
      </w:r>
    </w:p>
    <w:p w14:paraId="7252B19E" w14:textId="152B44F8" w:rsidR="000A2FD3" w:rsidRPr="00E91086" w:rsidRDefault="000A2FD3" w:rsidP="000A2FD3">
      <w:pPr>
        <w:pStyle w:val="ListParagraph"/>
        <w:numPr>
          <w:ilvl w:val="0"/>
          <w:numId w:val="6"/>
        </w:numPr>
        <w:spacing w:line="480" w:lineRule="auto"/>
        <w:ind w:left="0" w:firstLine="720"/>
        <w:jc w:val="both"/>
        <w:rPr>
          <w:b/>
          <w:sz w:val="28"/>
          <w:szCs w:val="28"/>
          <w:u w:val="single"/>
        </w:rPr>
      </w:pPr>
      <w:r w:rsidRPr="000A2FD3">
        <w:rPr>
          <w:b/>
          <w:sz w:val="28"/>
          <w:szCs w:val="28"/>
          <w:u w:val="single"/>
        </w:rPr>
        <w:t>Need for Rule Amendments.</w:t>
      </w:r>
      <w:r w:rsidRPr="00B00A19">
        <w:rPr>
          <w:sz w:val="28"/>
          <w:szCs w:val="28"/>
        </w:rPr>
        <w:t xml:space="preserve">  </w:t>
      </w:r>
      <w:r>
        <w:rPr>
          <w:sz w:val="28"/>
          <w:szCs w:val="28"/>
        </w:rPr>
        <w:t xml:space="preserve">There are </w:t>
      </w:r>
      <w:r w:rsidR="00E91086">
        <w:rPr>
          <w:sz w:val="28"/>
          <w:szCs w:val="28"/>
        </w:rPr>
        <w:t>certain procedural aspects</w:t>
      </w:r>
      <w:r>
        <w:rPr>
          <w:sz w:val="28"/>
          <w:szCs w:val="28"/>
        </w:rPr>
        <w:t xml:space="preserve"> that this legislation does not address</w:t>
      </w:r>
      <w:r w:rsidR="00E91086">
        <w:rPr>
          <w:sz w:val="28"/>
          <w:szCs w:val="28"/>
        </w:rPr>
        <w:t>, such as who may initiate a transfer</w:t>
      </w:r>
      <w:r w:rsidR="001A4E40">
        <w:rPr>
          <w:sz w:val="28"/>
          <w:szCs w:val="28"/>
        </w:rPr>
        <w:t xml:space="preserve"> to the correct precinct</w:t>
      </w:r>
      <w:r w:rsidR="00E91086">
        <w:rPr>
          <w:sz w:val="28"/>
          <w:szCs w:val="28"/>
        </w:rPr>
        <w:t xml:space="preserve">, how the transfer is initiated, and a time limit within which the transfer </w:t>
      </w:r>
      <w:r w:rsidR="001A4E40">
        <w:rPr>
          <w:sz w:val="28"/>
          <w:szCs w:val="28"/>
        </w:rPr>
        <w:t>must</w:t>
      </w:r>
      <w:r w:rsidR="00E91086">
        <w:rPr>
          <w:sz w:val="28"/>
          <w:szCs w:val="28"/>
        </w:rPr>
        <w:t xml:space="preserve"> </w:t>
      </w:r>
      <w:r w:rsidR="001A4E40">
        <w:rPr>
          <w:sz w:val="28"/>
          <w:szCs w:val="28"/>
        </w:rPr>
        <w:t>occur</w:t>
      </w:r>
      <w:r w:rsidR="00E91086">
        <w:rPr>
          <w:sz w:val="28"/>
          <w:szCs w:val="28"/>
        </w:rPr>
        <w:t>.  The proposed rule</w:t>
      </w:r>
      <w:r w:rsidR="001A4E40">
        <w:rPr>
          <w:sz w:val="28"/>
          <w:szCs w:val="28"/>
        </w:rPr>
        <w:t>s</w:t>
      </w:r>
      <w:r w:rsidR="00E91086">
        <w:rPr>
          <w:sz w:val="28"/>
          <w:szCs w:val="28"/>
        </w:rPr>
        <w:t xml:space="preserve"> fill these gaps.</w:t>
      </w:r>
    </w:p>
    <w:p w14:paraId="6B77D230" w14:textId="38C26336" w:rsidR="000A2FD3" w:rsidRDefault="00E91086" w:rsidP="00E91086">
      <w:pPr>
        <w:pStyle w:val="ListParagraph"/>
        <w:spacing w:line="480" w:lineRule="auto"/>
        <w:ind w:left="90" w:firstLine="630"/>
        <w:jc w:val="both"/>
        <w:rPr>
          <w:sz w:val="28"/>
          <w:szCs w:val="28"/>
        </w:rPr>
      </w:pPr>
      <w:r>
        <w:rPr>
          <w:sz w:val="28"/>
          <w:szCs w:val="28"/>
        </w:rPr>
        <w:t xml:space="preserve">Also, because the uniform traffic ticket and complaint (also known as the “Arizona Traffic Ticket and Complaint,” or “ATTC”) can be used for criminal misdemeanors as well as civil traffic violations, Petitioner proposes two rule amendments, one for the Criminal Rules, </w:t>
      </w:r>
      <w:r w:rsidR="001A4E40">
        <w:rPr>
          <w:sz w:val="28"/>
          <w:szCs w:val="28"/>
        </w:rPr>
        <w:t xml:space="preserve">to address misdemeanor complaints, </w:t>
      </w:r>
      <w:r>
        <w:rPr>
          <w:sz w:val="28"/>
          <w:szCs w:val="28"/>
        </w:rPr>
        <w:t xml:space="preserve">and </w:t>
      </w:r>
      <w:r w:rsidR="006937E5">
        <w:rPr>
          <w:sz w:val="28"/>
          <w:szCs w:val="28"/>
        </w:rPr>
        <w:lastRenderedPageBreak/>
        <w:t>t</w:t>
      </w:r>
      <w:r>
        <w:rPr>
          <w:sz w:val="28"/>
          <w:szCs w:val="28"/>
        </w:rPr>
        <w:t xml:space="preserve">he other </w:t>
      </w:r>
      <w:r w:rsidR="00416367">
        <w:rPr>
          <w:sz w:val="28"/>
          <w:szCs w:val="28"/>
        </w:rPr>
        <w:t>for</w:t>
      </w:r>
      <w:r>
        <w:rPr>
          <w:sz w:val="28"/>
          <w:szCs w:val="28"/>
        </w:rPr>
        <w:t xml:space="preserve"> the Rules for Civil Traffic and Civil Boating Cases</w:t>
      </w:r>
      <w:r w:rsidR="001A4E40">
        <w:rPr>
          <w:sz w:val="28"/>
          <w:szCs w:val="28"/>
        </w:rPr>
        <w:t>, which concerns civil traffic and boating violations.</w:t>
      </w:r>
    </w:p>
    <w:p w14:paraId="54D10634" w14:textId="38019A90" w:rsidR="001A4E40" w:rsidRDefault="00E91086" w:rsidP="00E91086">
      <w:pPr>
        <w:pStyle w:val="ListParagraph"/>
        <w:numPr>
          <w:ilvl w:val="0"/>
          <w:numId w:val="6"/>
        </w:numPr>
        <w:spacing w:line="480" w:lineRule="auto"/>
        <w:ind w:left="0" w:firstLine="720"/>
        <w:jc w:val="both"/>
        <w:rPr>
          <w:sz w:val="28"/>
          <w:szCs w:val="28"/>
        </w:rPr>
      </w:pPr>
      <w:r w:rsidRPr="00A32237">
        <w:rPr>
          <w:b/>
          <w:sz w:val="28"/>
          <w:szCs w:val="28"/>
          <w:u w:val="single"/>
        </w:rPr>
        <w:t>Criminal Rules Amendment.</w:t>
      </w:r>
      <w:r>
        <w:rPr>
          <w:sz w:val="28"/>
          <w:szCs w:val="28"/>
        </w:rPr>
        <w:t xml:space="preserve"> </w:t>
      </w:r>
      <w:r w:rsidR="00B00A19">
        <w:rPr>
          <w:sz w:val="28"/>
          <w:szCs w:val="28"/>
        </w:rPr>
        <w:t xml:space="preserve"> </w:t>
      </w:r>
      <w:r>
        <w:rPr>
          <w:sz w:val="28"/>
          <w:szCs w:val="28"/>
        </w:rPr>
        <w:t xml:space="preserve">Petitioner believes that requests to transfer under this new legislation should be made as soon as possible after the filing of </w:t>
      </w:r>
      <w:r w:rsidR="001A4E40">
        <w:rPr>
          <w:sz w:val="28"/>
          <w:szCs w:val="28"/>
        </w:rPr>
        <w:t>an</w:t>
      </w:r>
      <w:r>
        <w:rPr>
          <w:sz w:val="28"/>
          <w:szCs w:val="28"/>
        </w:rPr>
        <w:t xml:space="preserve"> ATTC in </w:t>
      </w:r>
      <w:r w:rsidR="001A4E40">
        <w:rPr>
          <w:sz w:val="28"/>
          <w:szCs w:val="28"/>
        </w:rPr>
        <w:t>an</w:t>
      </w:r>
      <w:r>
        <w:rPr>
          <w:sz w:val="28"/>
          <w:szCs w:val="28"/>
        </w:rPr>
        <w:t xml:space="preserve"> incorrect justice court precinct.  Accordingly, Petitioner proposes locating the criminal provision </w:t>
      </w:r>
      <w:r w:rsidR="001A4E40">
        <w:rPr>
          <w:sz w:val="28"/>
          <w:szCs w:val="28"/>
        </w:rPr>
        <w:t>near</w:t>
      </w:r>
      <w:r>
        <w:rPr>
          <w:sz w:val="28"/>
          <w:szCs w:val="28"/>
        </w:rPr>
        <w:t xml:space="preserve"> the beginning of the Criminal Rules, </w:t>
      </w:r>
      <w:r w:rsidR="00C03FAA">
        <w:rPr>
          <w:sz w:val="28"/>
          <w:szCs w:val="28"/>
        </w:rPr>
        <w:t>within</w:t>
      </w:r>
      <w:r>
        <w:rPr>
          <w:sz w:val="28"/>
          <w:szCs w:val="28"/>
        </w:rPr>
        <w:t xml:space="preserve"> Rule 2, which is titled “Commencement of Criminal Proceedings</w:t>
      </w:r>
      <w:r w:rsidR="00C03FAA">
        <w:rPr>
          <w:sz w:val="28"/>
          <w:szCs w:val="28"/>
        </w:rPr>
        <w:t>,</w:t>
      </w:r>
      <w:r>
        <w:rPr>
          <w:sz w:val="28"/>
          <w:szCs w:val="28"/>
        </w:rPr>
        <w:t>”</w:t>
      </w:r>
      <w:r w:rsidR="00C03FAA">
        <w:rPr>
          <w:sz w:val="28"/>
          <w:szCs w:val="28"/>
        </w:rPr>
        <w:t xml:space="preserve"> and specifically, in Rule 2.1 titled “Misdemeanors.”</w:t>
      </w:r>
    </w:p>
    <w:p w14:paraId="0AF4CDFE" w14:textId="7F374E74" w:rsidR="00E91086" w:rsidRDefault="00C03FAA" w:rsidP="001A4E40">
      <w:pPr>
        <w:pStyle w:val="ListParagraph"/>
        <w:spacing w:line="480" w:lineRule="auto"/>
        <w:ind w:left="0" w:firstLine="720"/>
        <w:jc w:val="both"/>
        <w:rPr>
          <w:sz w:val="28"/>
          <w:szCs w:val="28"/>
        </w:rPr>
      </w:pPr>
      <w:r>
        <w:rPr>
          <w:sz w:val="28"/>
          <w:szCs w:val="28"/>
        </w:rPr>
        <w:t xml:space="preserve">There are currently two sections in </w:t>
      </w:r>
      <w:r w:rsidR="001A4E40">
        <w:rPr>
          <w:sz w:val="28"/>
          <w:szCs w:val="28"/>
        </w:rPr>
        <w:t xml:space="preserve">Criminal </w:t>
      </w:r>
      <w:r>
        <w:rPr>
          <w:sz w:val="28"/>
          <w:szCs w:val="28"/>
        </w:rPr>
        <w:t>Rule 2.1: section (a), “</w:t>
      </w:r>
      <w:r w:rsidR="002F44D5">
        <w:rPr>
          <w:sz w:val="28"/>
          <w:szCs w:val="28"/>
        </w:rPr>
        <w:t>L</w:t>
      </w:r>
      <w:r>
        <w:rPr>
          <w:sz w:val="28"/>
          <w:szCs w:val="28"/>
        </w:rPr>
        <w:t xml:space="preserve">imited </w:t>
      </w:r>
      <w:r w:rsidR="002F44D5">
        <w:rPr>
          <w:sz w:val="28"/>
          <w:szCs w:val="28"/>
        </w:rPr>
        <w:t>J</w:t>
      </w:r>
      <w:r>
        <w:rPr>
          <w:sz w:val="28"/>
          <w:szCs w:val="28"/>
        </w:rPr>
        <w:t xml:space="preserve">urisdiction </w:t>
      </w:r>
      <w:r w:rsidR="002F44D5">
        <w:rPr>
          <w:sz w:val="28"/>
          <w:szCs w:val="28"/>
        </w:rPr>
        <w:t>C</w:t>
      </w:r>
      <w:r>
        <w:rPr>
          <w:sz w:val="28"/>
          <w:szCs w:val="28"/>
        </w:rPr>
        <w:t>ourts,” and section (b), “</w:t>
      </w:r>
      <w:r w:rsidR="002F44D5">
        <w:rPr>
          <w:sz w:val="28"/>
          <w:szCs w:val="28"/>
        </w:rPr>
        <w:t>S</w:t>
      </w:r>
      <w:r>
        <w:rPr>
          <w:sz w:val="28"/>
          <w:szCs w:val="28"/>
        </w:rPr>
        <w:t xml:space="preserve">uperior </w:t>
      </w:r>
      <w:r w:rsidR="002F44D5">
        <w:rPr>
          <w:sz w:val="28"/>
          <w:szCs w:val="28"/>
        </w:rPr>
        <w:t>C</w:t>
      </w:r>
      <w:r>
        <w:rPr>
          <w:sz w:val="28"/>
          <w:szCs w:val="28"/>
        </w:rPr>
        <w:t>ourt.”  Petitioner proposes adding a new section (c) with the title, “</w:t>
      </w:r>
      <w:r w:rsidR="002F44D5">
        <w:rPr>
          <w:sz w:val="28"/>
          <w:szCs w:val="28"/>
        </w:rPr>
        <w:t>F</w:t>
      </w:r>
      <w:r>
        <w:rPr>
          <w:sz w:val="28"/>
          <w:szCs w:val="28"/>
        </w:rPr>
        <w:t xml:space="preserve">iling a </w:t>
      </w:r>
      <w:r w:rsidR="002F44D5">
        <w:rPr>
          <w:sz w:val="28"/>
          <w:szCs w:val="28"/>
        </w:rPr>
        <w:t>M</w:t>
      </w:r>
      <w:r>
        <w:rPr>
          <w:sz w:val="28"/>
          <w:szCs w:val="28"/>
        </w:rPr>
        <w:t xml:space="preserve">otion to </w:t>
      </w:r>
      <w:r w:rsidR="002F44D5">
        <w:rPr>
          <w:sz w:val="28"/>
          <w:szCs w:val="28"/>
        </w:rPr>
        <w:t>T</w:t>
      </w:r>
      <w:r>
        <w:rPr>
          <w:sz w:val="28"/>
          <w:szCs w:val="28"/>
        </w:rPr>
        <w:t xml:space="preserve">ransfer to the </w:t>
      </w:r>
      <w:r w:rsidR="002F44D5">
        <w:rPr>
          <w:sz w:val="28"/>
          <w:szCs w:val="28"/>
        </w:rPr>
        <w:t>C</w:t>
      </w:r>
      <w:r>
        <w:rPr>
          <w:sz w:val="28"/>
          <w:szCs w:val="28"/>
        </w:rPr>
        <w:t xml:space="preserve">orrect </w:t>
      </w:r>
      <w:r w:rsidR="002F44D5">
        <w:rPr>
          <w:sz w:val="28"/>
          <w:szCs w:val="28"/>
        </w:rPr>
        <w:t>P</w:t>
      </w:r>
      <w:r>
        <w:rPr>
          <w:sz w:val="28"/>
          <w:szCs w:val="28"/>
        </w:rPr>
        <w:t xml:space="preserve">recinct.”  The proposed provision includes a reference to A.R.S. § 22-301 and addresses the gaps mentioned above.  Who may initiate a transfer?  The proposed rule would allow a party or the court to do so.  How would the transfer be initiated?  The proposed rule would require a party to file a </w:t>
      </w:r>
      <w:r w:rsidR="006937E5">
        <w:rPr>
          <w:sz w:val="28"/>
          <w:szCs w:val="28"/>
        </w:rPr>
        <w:t>motion or</w:t>
      </w:r>
      <w:r>
        <w:rPr>
          <w:sz w:val="28"/>
          <w:szCs w:val="28"/>
        </w:rPr>
        <w:t xml:space="preserve"> </w:t>
      </w:r>
      <w:r w:rsidR="001A4E40">
        <w:rPr>
          <w:sz w:val="28"/>
          <w:szCs w:val="28"/>
        </w:rPr>
        <w:t xml:space="preserve">permit </w:t>
      </w:r>
      <w:r>
        <w:rPr>
          <w:sz w:val="28"/>
          <w:szCs w:val="28"/>
        </w:rPr>
        <w:t xml:space="preserve">the court to order a transfer </w:t>
      </w:r>
      <w:proofErr w:type="spellStart"/>
      <w:r w:rsidRPr="00C03FAA">
        <w:rPr>
          <w:i/>
          <w:sz w:val="28"/>
          <w:szCs w:val="28"/>
        </w:rPr>
        <w:t>sua</w:t>
      </w:r>
      <w:proofErr w:type="spellEnd"/>
      <w:r w:rsidRPr="00C03FAA">
        <w:rPr>
          <w:i/>
          <w:sz w:val="28"/>
          <w:szCs w:val="28"/>
        </w:rPr>
        <w:t xml:space="preserve"> sponte</w:t>
      </w:r>
      <w:r>
        <w:rPr>
          <w:sz w:val="28"/>
          <w:szCs w:val="28"/>
        </w:rPr>
        <w:t xml:space="preserve">.  What is the time limit?  The proposed rule would require action by a party or the court no later than </w:t>
      </w:r>
      <w:r w:rsidR="009C6EE3">
        <w:rPr>
          <w:sz w:val="28"/>
          <w:szCs w:val="28"/>
        </w:rPr>
        <w:t>3</w:t>
      </w:r>
      <w:r w:rsidR="00044915">
        <w:rPr>
          <w:sz w:val="28"/>
          <w:szCs w:val="28"/>
        </w:rPr>
        <w:t>0</w:t>
      </w:r>
      <w:r>
        <w:rPr>
          <w:sz w:val="28"/>
          <w:szCs w:val="28"/>
        </w:rPr>
        <w:t xml:space="preserve"> days after arraignment.</w:t>
      </w:r>
    </w:p>
    <w:p w14:paraId="25ADC698" w14:textId="67EE848B" w:rsidR="00C03FAA" w:rsidRPr="00122FEC" w:rsidRDefault="00C03FAA" w:rsidP="00E91086">
      <w:pPr>
        <w:pStyle w:val="ListParagraph"/>
        <w:numPr>
          <w:ilvl w:val="0"/>
          <w:numId w:val="6"/>
        </w:numPr>
        <w:spacing w:line="480" w:lineRule="auto"/>
        <w:ind w:left="0" w:firstLine="720"/>
        <w:jc w:val="both"/>
        <w:rPr>
          <w:sz w:val="28"/>
          <w:szCs w:val="28"/>
        </w:rPr>
      </w:pPr>
      <w:r w:rsidRPr="00A32237">
        <w:rPr>
          <w:b/>
          <w:sz w:val="28"/>
          <w:szCs w:val="28"/>
          <w:u w:val="single"/>
        </w:rPr>
        <w:t>Civil Traffic and Civil Boating Cases Amendment.</w:t>
      </w:r>
      <w:r>
        <w:rPr>
          <w:sz w:val="28"/>
          <w:szCs w:val="28"/>
        </w:rPr>
        <w:t xml:space="preserve">  The proposed amendment here is </w:t>
      </w:r>
      <w:r w:rsidR="001A4E40">
        <w:rPr>
          <w:sz w:val="28"/>
          <w:szCs w:val="28"/>
        </w:rPr>
        <w:t>like</w:t>
      </w:r>
      <w:r>
        <w:rPr>
          <w:sz w:val="28"/>
          <w:szCs w:val="28"/>
        </w:rPr>
        <w:t xml:space="preserve"> the proposed Criminal Rule Amendment.  Current </w:t>
      </w:r>
      <w:r w:rsidR="001A4E40">
        <w:rPr>
          <w:sz w:val="28"/>
          <w:szCs w:val="28"/>
        </w:rPr>
        <w:t xml:space="preserve">Civil Traffic and Civil Boating </w:t>
      </w:r>
      <w:r>
        <w:rPr>
          <w:sz w:val="28"/>
          <w:szCs w:val="28"/>
        </w:rPr>
        <w:t xml:space="preserve">Rule 3 is titled “Commencing a Violation in Court.”  </w:t>
      </w:r>
      <w:r>
        <w:rPr>
          <w:sz w:val="28"/>
          <w:szCs w:val="28"/>
        </w:rPr>
        <w:lastRenderedPageBreak/>
        <w:t xml:space="preserve">Section (a) </w:t>
      </w:r>
      <w:r w:rsidR="001A4E40">
        <w:rPr>
          <w:sz w:val="28"/>
          <w:szCs w:val="28"/>
        </w:rPr>
        <w:t xml:space="preserve">of this rule </w:t>
      </w:r>
      <w:r>
        <w:rPr>
          <w:sz w:val="28"/>
          <w:szCs w:val="28"/>
        </w:rPr>
        <w:t xml:space="preserve">concerns “commencing a civil traffic or civil boating case,” while section (b) </w:t>
      </w:r>
      <w:r w:rsidR="001A4E40">
        <w:rPr>
          <w:sz w:val="28"/>
          <w:szCs w:val="28"/>
        </w:rPr>
        <w:t>concerns</w:t>
      </w:r>
      <w:r w:rsidR="00F33520">
        <w:rPr>
          <w:sz w:val="28"/>
          <w:szCs w:val="28"/>
        </w:rPr>
        <w:t xml:space="preserve"> “commencing a parking or standing case.”  Petitioner proposes a new section (c) with the title “</w:t>
      </w:r>
      <w:r w:rsidR="002F44D5">
        <w:rPr>
          <w:sz w:val="28"/>
          <w:szCs w:val="28"/>
        </w:rPr>
        <w:t>F</w:t>
      </w:r>
      <w:r w:rsidR="00F33520">
        <w:rPr>
          <w:sz w:val="28"/>
          <w:szCs w:val="28"/>
        </w:rPr>
        <w:t xml:space="preserve">iling a </w:t>
      </w:r>
      <w:r w:rsidR="002F44D5">
        <w:rPr>
          <w:sz w:val="28"/>
          <w:szCs w:val="28"/>
        </w:rPr>
        <w:t>M</w:t>
      </w:r>
      <w:r w:rsidR="00F33520">
        <w:rPr>
          <w:sz w:val="28"/>
          <w:szCs w:val="28"/>
        </w:rPr>
        <w:t xml:space="preserve">otion to </w:t>
      </w:r>
      <w:r w:rsidR="002F44D5">
        <w:rPr>
          <w:sz w:val="28"/>
          <w:szCs w:val="28"/>
        </w:rPr>
        <w:t>T</w:t>
      </w:r>
      <w:r w:rsidR="00F33520">
        <w:rPr>
          <w:sz w:val="28"/>
          <w:szCs w:val="28"/>
        </w:rPr>
        <w:t xml:space="preserve">ransfer to the </w:t>
      </w:r>
      <w:r w:rsidR="002F44D5">
        <w:rPr>
          <w:sz w:val="28"/>
          <w:szCs w:val="28"/>
        </w:rPr>
        <w:t>C</w:t>
      </w:r>
      <w:r w:rsidR="00F33520">
        <w:rPr>
          <w:sz w:val="28"/>
          <w:szCs w:val="28"/>
        </w:rPr>
        <w:t xml:space="preserve">orrect </w:t>
      </w:r>
      <w:r w:rsidR="002F44D5">
        <w:rPr>
          <w:sz w:val="28"/>
          <w:szCs w:val="28"/>
        </w:rPr>
        <w:t>P</w:t>
      </w:r>
      <w:r w:rsidR="00F33520">
        <w:rPr>
          <w:sz w:val="28"/>
          <w:szCs w:val="28"/>
        </w:rPr>
        <w:t>recinct.”  This section would allow a party to file a motion to transfer</w:t>
      </w:r>
      <w:r w:rsidR="006937E5" w:rsidRPr="006937E5">
        <w:rPr>
          <w:sz w:val="28"/>
          <w:szCs w:val="28"/>
        </w:rPr>
        <w:t xml:space="preserve"> </w:t>
      </w:r>
      <w:r w:rsidR="006937E5">
        <w:rPr>
          <w:sz w:val="28"/>
          <w:szCs w:val="28"/>
        </w:rPr>
        <w:t>a case to the correct precinct or</w:t>
      </w:r>
      <w:r w:rsidR="00F33520">
        <w:rPr>
          <w:sz w:val="28"/>
          <w:szCs w:val="28"/>
        </w:rPr>
        <w:t xml:space="preserve"> </w:t>
      </w:r>
      <w:r w:rsidR="006937E5">
        <w:rPr>
          <w:sz w:val="28"/>
          <w:szCs w:val="28"/>
        </w:rPr>
        <w:t xml:space="preserve">allow </w:t>
      </w:r>
      <w:r w:rsidR="00F33520">
        <w:rPr>
          <w:sz w:val="28"/>
          <w:szCs w:val="28"/>
        </w:rPr>
        <w:t xml:space="preserve">the court to </w:t>
      </w:r>
      <w:proofErr w:type="spellStart"/>
      <w:r w:rsidR="00F33520" w:rsidRPr="006937E5">
        <w:rPr>
          <w:i/>
          <w:sz w:val="28"/>
          <w:szCs w:val="28"/>
        </w:rPr>
        <w:t>sua</w:t>
      </w:r>
      <w:proofErr w:type="spellEnd"/>
      <w:r w:rsidR="00F33520" w:rsidRPr="006937E5">
        <w:rPr>
          <w:i/>
          <w:sz w:val="28"/>
          <w:szCs w:val="28"/>
        </w:rPr>
        <w:t xml:space="preserve"> sponte</w:t>
      </w:r>
      <w:r w:rsidR="00F33520">
        <w:rPr>
          <w:sz w:val="28"/>
          <w:szCs w:val="28"/>
        </w:rPr>
        <w:t xml:space="preserve"> </w:t>
      </w:r>
      <w:r w:rsidR="006937E5">
        <w:rPr>
          <w:sz w:val="28"/>
          <w:szCs w:val="28"/>
        </w:rPr>
        <w:t xml:space="preserve">order such a </w:t>
      </w:r>
      <w:r w:rsidR="00F33520">
        <w:rPr>
          <w:sz w:val="28"/>
          <w:szCs w:val="28"/>
        </w:rPr>
        <w:t xml:space="preserve">transfer.  The </w:t>
      </w:r>
      <w:r w:rsidR="006937E5">
        <w:rPr>
          <w:sz w:val="28"/>
          <w:szCs w:val="28"/>
        </w:rPr>
        <w:t xml:space="preserve">proposed rule sets the </w:t>
      </w:r>
      <w:r w:rsidR="00F33520">
        <w:rPr>
          <w:sz w:val="28"/>
          <w:szCs w:val="28"/>
        </w:rPr>
        <w:t xml:space="preserve">time limit for either action </w:t>
      </w:r>
      <w:r w:rsidR="006937E5">
        <w:rPr>
          <w:sz w:val="28"/>
          <w:szCs w:val="28"/>
        </w:rPr>
        <w:t>as</w:t>
      </w:r>
      <w:r w:rsidR="00F33520">
        <w:rPr>
          <w:sz w:val="28"/>
          <w:szCs w:val="28"/>
        </w:rPr>
        <w:t xml:space="preserve"> “no later than </w:t>
      </w:r>
      <w:r w:rsidR="00044915">
        <w:rPr>
          <w:sz w:val="28"/>
          <w:szCs w:val="28"/>
        </w:rPr>
        <w:t>2</w:t>
      </w:r>
      <w:r w:rsidR="00F33520">
        <w:rPr>
          <w:sz w:val="28"/>
          <w:szCs w:val="28"/>
        </w:rPr>
        <w:t xml:space="preserve">0 days after service of the complaint,” which Petitioner believes is reasonable </w:t>
      </w:r>
      <w:r w:rsidR="00044915">
        <w:rPr>
          <w:sz w:val="28"/>
          <w:szCs w:val="28"/>
        </w:rPr>
        <w:t>considering</w:t>
      </w:r>
      <w:r w:rsidR="00F33520">
        <w:rPr>
          <w:sz w:val="28"/>
          <w:szCs w:val="28"/>
        </w:rPr>
        <w:t xml:space="preserve"> the shortened time frames for completing </w:t>
      </w:r>
      <w:r w:rsidR="006937E5">
        <w:rPr>
          <w:sz w:val="28"/>
          <w:szCs w:val="28"/>
        </w:rPr>
        <w:t>civil traffic and boating</w:t>
      </w:r>
      <w:r w:rsidR="00F33520">
        <w:rPr>
          <w:sz w:val="28"/>
          <w:szCs w:val="28"/>
        </w:rPr>
        <w:t xml:space="preserve"> proceedings.</w:t>
      </w:r>
    </w:p>
    <w:p w14:paraId="730F1C28" w14:textId="445FB6B7" w:rsidR="00DE04C5" w:rsidRPr="00122FEC" w:rsidRDefault="00DE04C5" w:rsidP="00DE04C5">
      <w:pPr>
        <w:pStyle w:val="ListParagraph"/>
        <w:numPr>
          <w:ilvl w:val="0"/>
          <w:numId w:val="6"/>
        </w:numPr>
        <w:spacing w:line="480" w:lineRule="auto"/>
        <w:ind w:left="0" w:firstLine="720"/>
        <w:jc w:val="both"/>
        <w:rPr>
          <w:b/>
          <w:sz w:val="28"/>
          <w:szCs w:val="28"/>
          <w:u w:val="single"/>
        </w:rPr>
      </w:pPr>
      <w:r w:rsidRPr="00122FEC">
        <w:rPr>
          <w:b/>
          <w:sz w:val="28"/>
          <w:szCs w:val="28"/>
          <w:u w:val="single"/>
        </w:rPr>
        <w:t>Pre-filing Vetting.</w:t>
      </w:r>
      <w:r w:rsidRPr="0089467E">
        <w:rPr>
          <w:sz w:val="28"/>
          <w:szCs w:val="28"/>
        </w:rPr>
        <w:t xml:space="preserve">  </w:t>
      </w:r>
      <w:r w:rsidR="00F32CEF">
        <w:rPr>
          <w:sz w:val="28"/>
          <w:szCs w:val="28"/>
        </w:rPr>
        <w:t xml:space="preserve">Petitioner circulated the </w:t>
      </w:r>
      <w:r w:rsidR="00F33520">
        <w:rPr>
          <w:sz w:val="28"/>
          <w:szCs w:val="28"/>
        </w:rPr>
        <w:t xml:space="preserve">proposed rule </w:t>
      </w:r>
      <w:r w:rsidR="00251B25">
        <w:rPr>
          <w:sz w:val="28"/>
          <w:szCs w:val="28"/>
        </w:rPr>
        <w:t xml:space="preserve">for comment to </w:t>
      </w:r>
      <w:r w:rsidR="00F33520">
        <w:rPr>
          <w:sz w:val="28"/>
          <w:szCs w:val="28"/>
        </w:rPr>
        <w:t>members of the</w:t>
      </w:r>
      <w:r w:rsidR="00251B25">
        <w:rPr>
          <w:sz w:val="28"/>
          <w:szCs w:val="28"/>
        </w:rPr>
        <w:t xml:space="preserve"> Committee on Limited Jurisdiction Courts</w:t>
      </w:r>
      <w:r w:rsidR="00F33520">
        <w:rPr>
          <w:sz w:val="28"/>
          <w:szCs w:val="28"/>
        </w:rPr>
        <w:t xml:space="preserve">.  </w:t>
      </w:r>
      <w:r w:rsidR="00251B25">
        <w:rPr>
          <w:sz w:val="28"/>
          <w:szCs w:val="28"/>
        </w:rPr>
        <w:t>Petitioner received one comment</w:t>
      </w:r>
      <w:r w:rsidR="00F32CEF">
        <w:rPr>
          <w:sz w:val="28"/>
          <w:szCs w:val="28"/>
        </w:rPr>
        <w:t>, which</w:t>
      </w:r>
      <w:r w:rsidR="00251B25">
        <w:rPr>
          <w:sz w:val="28"/>
          <w:szCs w:val="28"/>
        </w:rPr>
        <w:t xml:space="preserve"> noted that a judicial officer might not review the citation before the defendant’s first court appearance.  The comment </w:t>
      </w:r>
      <w:r w:rsidR="0012513B">
        <w:rPr>
          <w:sz w:val="28"/>
          <w:szCs w:val="28"/>
        </w:rPr>
        <w:t xml:space="preserve">therefore </w:t>
      </w:r>
      <w:r w:rsidR="00251B25">
        <w:rPr>
          <w:sz w:val="28"/>
          <w:szCs w:val="28"/>
        </w:rPr>
        <w:t xml:space="preserve">suggested that </w:t>
      </w:r>
      <w:r w:rsidR="0012513B">
        <w:rPr>
          <w:sz w:val="28"/>
          <w:szCs w:val="28"/>
        </w:rPr>
        <w:t xml:space="preserve">the proposed rules use </w:t>
      </w:r>
      <w:r w:rsidR="00251B25">
        <w:rPr>
          <w:sz w:val="28"/>
          <w:szCs w:val="28"/>
        </w:rPr>
        <w:t xml:space="preserve">the first court appearance as the starting point for calculating the time for filing a motion or ordering a </w:t>
      </w:r>
      <w:proofErr w:type="spellStart"/>
      <w:r w:rsidR="00251B25" w:rsidRPr="002F44D5">
        <w:rPr>
          <w:i/>
          <w:sz w:val="28"/>
          <w:szCs w:val="28"/>
        </w:rPr>
        <w:t>sua</w:t>
      </w:r>
      <w:proofErr w:type="spellEnd"/>
      <w:r w:rsidR="00251B25" w:rsidRPr="002F44D5">
        <w:rPr>
          <w:i/>
          <w:sz w:val="28"/>
          <w:szCs w:val="28"/>
        </w:rPr>
        <w:t xml:space="preserve"> sponte</w:t>
      </w:r>
      <w:r w:rsidR="00251B25">
        <w:rPr>
          <w:sz w:val="28"/>
          <w:szCs w:val="28"/>
        </w:rPr>
        <w:t xml:space="preserve"> transfer.  However, </w:t>
      </w:r>
      <w:r w:rsidR="00A32237">
        <w:rPr>
          <w:sz w:val="28"/>
          <w:szCs w:val="28"/>
        </w:rPr>
        <w:t>the proposed Criminal Rule already includes a court event (the arraignment)</w:t>
      </w:r>
      <w:r w:rsidR="00173A6F">
        <w:rPr>
          <w:sz w:val="28"/>
          <w:szCs w:val="28"/>
        </w:rPr>
        <w:t xml:space="preserve"> as the measuring event</w:t>
      </w:r>
      <w:r w:rsidR="00A32237">
        <w:rPr>
          <w:sz w:val="28"/>
          <w:szCs w:val="28"/>
        </w:rPr>
        <w:t xml:space="preserve">.  The first court appearance for a civil traffic violation might be close to the date of trial, and a transfer at that </w:t>
      </w:r>
      <w:r w:rsidR="0012513B">
        <w:rPr>
          <w:sz w:val="28"/>
          <w:szCs w:val="28"/>
        </w:rPr>
        <w:t>stage of the proceeding</w:t>
      </w:r>
      <w:r w:rsidR="00A32237">
        <w:rPr>
          <w:sz w:val="28"/>
          <w:szCs w:val="28"/>
        </w:rPr>
        <w:t xml:space="preserve"> </w:t>
      </w:r>
      <w:r w:rsidR="00F32CEF">
        <w:rPr>
          <w:sz w:val="28"/>
          <w:szCs w:val="28"/>
        </w:rPr>
        <w:t>could</w:t>
      </w:r>
      <w:r w:rsidR="00A32237">
        <w:rPr>
          <w:sz w:val="28"/>
          <w:szCs w:val="28"/>
        </w:rPr>
        <w:t xml:space="preserve"> result in delay.  Accordingly,</w:t>
      </w:r>
      <w:r w:rsidR="00251B25">
        <w:rPr>
          <w:sz w:val="28"/>
          <w:szCs w:val="28"/>
        </w:rPr>
        <w:t xml:space="preserve"> Petitioner </w:t>
      </w:r>
      <w:r w:rsidR="0012513B">
        <w:rPr>
          <w:sz w:val="28"/>
          <w:szCs w:val="28"/>
        </w:rPr>
        <w:t>kept the time for a traffic case at 20 days after service of the complaint.</w:t>
      </w:r>
    </w:p>
    <w:p w14:paraId="5BD38A38" w14:textId="3987E0DA" w:rsidR="00827D7F" w:rsidRPr="00122FEC" w:rsidRDefault="00827D7F" w:rsidP="001477A4">
      <w:pPr>
        <w:pStyle w:val="ListParagraph"/>
        <w:numPr>
          <w:ilvl w:val="0"/>
          <w:numId w:val="6"/>
        </w:numPr>
        <w:spacing w:line="480" w:lineRule="auto"/>
        <w:ind w:left="0" w:firstLine="720"/>
        <w:jc w:val="both"/>
        <w:rPr>
          <w:sz w:val="28"/>
          <w:szCs w:val="28"/>
        </w:rPr>
      </w:pPr>
      <w:r w:rsidRPr="00122FEC">
        <w:rPr>
          <w:b/>
          <w:sz w:val="28"/>
          <w:szCs w:val="28"/>
          <w:u w:val="single"/>
        </w:rPr>
        <w:lastRenderedPageBreak/>
        <w:t>Conclusion</w:t>
      </w:r>
      <w:r w:rsidRPr="00122FEC">
        <w:rPr>
          <w:sz w:val="28"/>
          <w:szCs w:val="28"/>
        </w:rPr>
        <w:t xml:space="preserve">.  Petitioner requests </w:t>
      </w:r>
      <w:r w:rsidR="00A67646">
        <w:rPr>
          <w:sz w:val="28"/>
          <w:szCs w:val="28"/>
        </w:rPr>
        <w:t xml:space="preserve">that </w:t>
      </w:r>
      <w:r w:rsidRPr="00122FEC">
        <w:rPr>
          <w:sz w:val="28"/>
          <w:szCs w:val="28"/>
        </w:rPr>
        <w:t xml:space="preserve">the </w:t>
      </w:r>
      <w:r w:rsidR="00DE04C5" w:rsidRPr="00122FEC">
        <w:rPr>
          <w:sz w:val="28"/>
          <w:szCs w:val="28"/>
        </w:rPr>
        <w:t xml:space="preserve">Court </w:t>
      </w:r>
      <w:r w:rsidR="00F33520">
        <w:rPr>
          <w:sz w:val="28"/>
          <w:szCs w:val="28"/>
        </w:rPr>
        <w:t>adopt amendments to the</w:t>
      </w:r>
      <w:r w:rsidR="006937E5">
        <w:rPr>
          <w:sz w:val="28"/>
          <w:szCs w:val="28"/>
        </w:rPr>
        <w:t>se two</w:t>
      </w:r>
      <w:r w:rsidR="00F33520">
        <w:rPr>
          <w:sz w:val="28"/>
          <w:szCs w:val="28"/>
        </w:rPr>
        <w:t xml:space="preserve"> </w:t>
      </w:r>
      <w:r w:rsidR="006937E5">
        <w:rPr>
          <w:sz w:val="28"/>
          <w:szCs w:val="28"/>
        </w:rPr>
        <w:t>rules as</w:t>
      </w:r>
      <w:r w:rsidR="00F33520">
        <w:rPr>
          <w:sz w:val="28"/>
          <w:szCs w:val="28"/>
        </w:rPr>
        <w:t xml:space="preserve"> shown in the Appendix.  </w:t>
      </w:r>
      <w:r w:rsidR="00A67646">
        <w:rPr>
          <w:sz w:val="28"/>
          <w:szCs w:val="28"/>
        </w:rPr>
        <w:t xml:space="preserve">As permitted by Supreme Court Rule 28(h), </w:t>
      </w:r>
      <w:r w:rsidR="00F33520">
        <w:rPr>
          <w:sz w:val="28"/>
          <w:szCs w:val="28"/>
        </w:rPr>
        <w:t xml:space="preserve">Petitioner asks the Court to adopt these amendments on an expedited basis </w:t>
      </w:r>
      <w:r w:rsidR="00CB28AD">
        <w:rPr>
          <w:sz w:val="28"/>
          <w:szCs w:val="28"/>
        </w:rPr>
        <w:t xml:space="preserve">with a comment period to follow, </w:t>
      </w:r>
      <w:r w:rsidR="00F33520">
        <w:rPr>
          <w:sz w:val="28"/>
          <w:szCs w:val="28"/>
        </w:rPr>
        <w:t>and prescribe an effective date of Decembe</w:t>
      </w:r>
      <w:r w:rsidR="001A4E40">
        <w:rPr>
          <w:sz w:val="28"/>
          <w:szCs w:val="28"/>
        </w:rPr>
        <w:t>r 31, 2020, concurrently with the effective date of the statutory amendments.</w:t>
      </w:r>
    </w:p>
    <w:p w14:paraId="5D6A627F" w14:textId="2F0E8FCA" w:rsidR="00827D7F" w:rsidRPr="00122FEC" w:rsidRDefault="00EE050D" w:rsidP="0089467E">
      <w:pPr>
        <w:shd w:val="clear" w:color="auto" w:fill="FFFFFF"/>
        <w:spacing w:line="480" w:lineRule="auto"/>
        <w:ind w:left="360" w:firstLine="864"/>
        <w:jc w:val="both"/>
        <w:rPr>
          <w:color w:val="252525"/>
          <w:sz w:val="28"/>
          <w:szCs w:val="28"/>
        </w:rPr>
      </w:pPr>
      <w:r w:rsidRPr="00122FEC">
        <w:rPr>
          <w:color w:val="252525"/>
          <w:sz w:val="28"/>
          <w:szCs w:val="28"/>
        </w:rPr>
        <w:t xml:space="preserve">RESPECTFULLY SUBMITTED this </w:t>
      </w:r>
      <w:r w:rsidR="00BB7755">
        <w:rPr>
          <w:color w:val="252525"/>
          <w:sz w:val="28"/>
          <w:szCs w:val="28"/>
        </w:rPr>
        <w:t>14th</w:t>
      </w:r>
      <w:r w:rsidRPr="00122FEC">
        <w:rPr>
          <w:color w:val="252525"/>
          <w:sz w:val="28"/>
          <w:szCs w:val="28"/>
        </w:rPr>
        <w:t xml:space="preserve"> day of </w:t>
      </w:r>
      <w:r w:rsidR="00F33520">
        <w:rPr>
          <w:color w:val="252525"/>
          <w:sz w:val="28"/>
          <w:szCs w:val="28"/>
        </w:rPr>
        <w:t>July</w:t>
      </w:r>
      <w:r w:rsidR="002E4A3A" w:rsidRPr="00122FEC">
        <w:rPr>
          <w:color w:val="252525"/>
          <w:sz w:val="28"/>
          <w:szCs w:val="28"/>
        </w:rPr>
        <w:t xml:space="preserve"> 2020</w:t>
      </w:r>
      <w:r w:rsidRPr="00122FEC">
        <w:rPr>
          <w:color w:val="252525"/>
          <w:sz w:val="28"/>
          <w:szCs w:val="28"/>
        </w:rPr>
        <w:t>.</w:t>
      </w:r>
    </w:p>
    <w:p w14:paraId="55517CB9" w14:textId="77777777" w:rsidR="00827D7F" w:rsidRPr="00122FEC" w:rsidRDefault="00827D7F" w:rsidP="001477A4">
      <w:pPr>
        <w:shd w:val="clear" w:color="auto" w:fill="FFFFFF"/>
        <w:spacing w:line="432" w:lineRule="atLeast"/>
        <w:jc w:val="both"/>
        <w:rPr>
          <w:color w:val="252525"/>
          <w:sz w:val="28"/>
          <w:szCs w:val="28"/>
        </w:rPr>
      </w:pPr>
      <w:bookmarkStart w:id="2" w:name="_GoBack"/>
      <w:bookmarkEnd w:id="2"/>
    </w:p>
    <w:p w14:paraId="150E125C" w14:textId="77777777" w:rsidR="00AF76EE" w:rsidRPr="00122FEC" w:rsidRDefault="00AF76EE" w:rsidP="001477A4">
      <w:pPr>
        <w:ind w:left="3946" w:firstLine="5054"/>
        <w:contextualSpacing/>
        <w:jc w:val="both"/>
        <w:rPr>
          <w:rFonts w:eastAsia="Calibri"/>
          <w:sz w:val="28"/>
          <w:szCs w:val="28"/>
        </w:rPr>
      </w:pPr>
    </w:p>
    <w:p w14:paraId="322AB633" w14:textId="77F4C017" w:rsidR="00EE050D" w:rsidRPr="00122FEC" w:rsidRDefault="00CB28AD" w:rsidP="00CB28AD">
      <w:pPr>
        <w:contextualSpacing/>
        <w:jc w:val="both"/>
        <w:rPr>
          <w:rFonts w:eastAsia="Calibri"/>
          <w:sz w:val="28"/>
          <w:szCs w:val="28"/>
          <w:u w:val="single"/>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By: </w:t>
      </w:r>
      <w:r w:rsidR="00BB7755" w:rsidRPr="00BB7755">
        <w:rPr>
          <w:rFonts w:eastAsia="Calibri"/>
          <w:sz w:val="28"/>
          <w:szCs w:val="28"/>
          <w:u w:val="single"/>
        </w:rPr>
        <w:t>/S/</w:t>
      </w:r>
      <w:r w:rsidR="00EE050D" w:rsidRPr="00122FEC">
        <w:rPr>
          <w:rFonts w:eastAsia="Calibri"/>
          <w:sz w:val="28"/>
          <w:szCs w:val="28"/>
          <w:u w:val="single"/>
        </w:rPr>
        <w:t>_________________________________</w:t>
      </w:r>
    </w:p>
    <w:p w14:paraId="2B9C9912" w14:textId="5F5CC323" w:rsidR="00EE050D" w:rsidRPr="00122FEC" w:rsidRDefault="00CB28AD" w:rsidP="001477A4">
      <w:pPr>
        <w:ind w:left="3946"/>
        <w:jc w:val="both"/>
        <w:rPr>
          <w:rFonts w:eastAsia="Calibri"/>
          <w:sz w:val="28"/>
          <w:szCs w:val="28"/>
        </w:rPr>
      </w:pPr>
      <w:r>
        <w:rPr>
          <w:rFonts w:eastAsia="Calibri"/>
          <w:sz w:val="28"/>
          <w:szCs w:val="28"/>
        </w:rPr>
        <w:t xml:space="preserve">     </w:t>
      </w:r>
      <w:r w:rsidR="00EE050D" w:rsidRPr="00122FEC">
        <w:rPr>
          <w:rFonts w:eastAsia="Calibri"/>
          <w:sz w:val="28"/>
          <w:szCs w:val="28"/>
        </w:rPr>
        <w:t>David K. Byers, Administrative Director</w:t>
      </w:r>
    </w:p>
    <w:p w14:paraId="2BA00ECD" w14:textId="0F1CCFCE" w:rsidR="00FD68CE" w:rsidRDefault="00CB28AD" w:rsidP="00F33520">
      <w:pPr>
        <w:ind w:left="3946"/>
        <w:contextualSpacing/>
        <w:jc w:val="both"/>
        <w:rPr>
          <w:rFonts w:eastAsia="Calibri"/>
          <w:sz w:val="28"/>
          <w:szCs w:val="28"/>
        </w:rPr>
      </w:pPr>
      <w:r>
        <w:rPr>
          <w:rFonts w:eastAsia="Calibri"/>
          <w:sz w:val="28"/>
          <w:szCs w:val="28"/>
        </w:rPr>
        <w:t xml:space="preserve">     </w:t>
      </w:r>
      <w:r w:rsidR="00EE050D" w:rsidRPr="00122FEC">
        <w:rPr>
          <w:rFonts w:eastAsia="Calibri"/>
          <w:sz w:val="28"/>
          <w:szCs w:val="28"/>
        </w:rPr>
        <w:t>Administrative Office of the Courts</w:t>
      </w:r>
    </w:p>
    <w:p w14:paraId="4D1D711E" w14:textId="77777777" w:rsidR="00CB28AD" w:rsidRDefault="00CB28AD" w:rsidP="00CB28AD">
      <w:pPr>
        <w:ind w:left="4320"/>
        <w:rPr>
          <w:sz w:val="28"/>
          <w:szCs w:val="28"/>
        </w:rPr>
      </w:pPr>
      <w:r>
        <w:rPr>
          <w:sz w:val="28"/>
          <w:szCs w:val="28"/>
        </w:rPr>
        <w:t>1501 W. Washington, Suite 411</w:t>
      </w:r>
    </w:p>
    <w:p w14:paraId="7D896D3A" w14:textId="77777777" w:rsidR="00CB28AD" w:rsidRDefault="00CB28AD" w:rsidP="00CB28AD">
      <w:pPr>
        <w:ind w:left="4320"/>
        <w:rPr>
          <w:sz w:val="28"/>
          <w:szCs w:val="28"/>
        </w:rPr>
      </w:pPr>
      <w:r>
        <w:rPr>
          <w:sz w:val="28"/>
          <w:szCs w:val="28"/>
        </w:rPr>
        <w:t>Phoenix, AZ 85007-3327</w:t>
      </w:r>
    </w:p>
    <w:p w14:paraId="1C304867" w14:textId="77777777" w:rsidR="00CB28AD" w:rsidRDefault="00CB28AD" w:rsidP="00CB28AD">
      <w:pPr>
        <w:ind w:left="4320"/>
        <w:rPr>
          <w:sz w:val="28"/>
          <w:szCs w:val="28"/>
        </w:rPr>
      </w:pPr>
      <w:r>
        <w:rPr>
          <w:sz w:val="28"/>
          <w:szCs w:val="28"/>
        </w:rPr>
        <w:t>Phone: (602) 452-3301</w:t>
      </w:r>
    </w:p>
    <w:p w14:paraId="0356547D" w14:textId="77777777" w:rsidR="00CB28AD" w:rsidRDefault="00CB28AD" w:rsidP="00CB28AD">
      <w:pPr>
        <w:ind w:left="4320"/>
        <w:rPr>
          <w:sz w:val="28"/>
          <w:szCs w:val="28"/>
        </w:rPr>
      </w:pPr>
      <w:r>
        <w:rPr>
          <w:sz w:val="28"/>
          <w:szCs w:val="28"/>
        </w:rPr>
        <w:t>Projects2@courts.az.gov</w:t>
      </w:r>
    </w:p>
    <w:p w14:paraId="53B4CA2C" w14:textId="77777777" w:rsidR="00CB28AD" w:rsidRDefault="00CB28AD" w:rsidP="00F33520">
      <w:pPr>
        <w:ind w:left="3946"/>
        <w:contextualSpacing/>
        <w:jc w:val="both"/>
        <w:rPr>
          <w:rFonts w:eastAsia="Calibri"/>
          <w:sz w:val="28"/>
          <w:szCs w:val="28"/>
        </w:rPr>
      </w:pPr>
    </w:p>
    <w:p w14:paraId="4E7A3828" w14:textId="77777777" w:rsidR="00FD68CE" w:rsidRDefault="00FD68CE" w:rsidP="00F33520">
      <w:pPr>
        <w:ind w:left="3946"/>
        <w:contextualSpacing/>
        <w:jc w:val="both"/>
        <w:rPr>
          <w:rFonts w:eastAsia="Calibri"/>
          <w:sz w:val="28"/>
          <w:szCs w:val="28"/>
        </w:rPr>
      </w:pPr>
    </w:p>
    <w:p w14:paraId="57BB76BF" w14:textId="77777777" w:rsidR="00FD68CE" w:rsidRDefault="00FD68CE" w:rsidP="00F33520">
      <w:pPr>
        <w:ind w:left="3946"/>
        <w:contextualSpacing/>
        <w:jc w:val="both"/>
        <w:rPr>
          <w:rFonts w:eastAsia="Calibri"/>
          <w:sz w:val="28"/>
          <w:szCs w:val="28"/>
        </w:rPr>
        <w:sectPr w:rsidR="00FD68CE" w:rsidSect="00F33520">
          <w:footerReference w:type="default" r:id="rId11"/>
          <w:pgSz w:w="12240" w:h="15840"/>
          <w:pgMar w:top="1440" w:right="1440" w:bottom="1440" w:left="1440" w:header="720" w:footer="720" w:gutter="0"/>
          <w:cols w:space="720"/>
          <w:docGrid w:linePitch="360"/>
        </w:sectPr>
      </w:pPr>
    </w:p>
    <w:p w14:paraId="47B30B70" w14:textId="16BF02A9" w:rsidR="001435C3" w:rsidRDefault="001435C3" w:rsidP="001C3B19">
      <w:pPr>
        <w:spacing w:line="480" w:lineRule="auto"/>
        <w:ind w:left="3946"/>
        <w:jc w:val="both"/>
        <w:rPr>
          <w:b/>
          <w:bCs/>
          <w:color w:val="252525"/>
          <w:sz w:val="28"/>
          <w:szCs w:val="28"/>
          <w:u w:val="single"/>
        </w:rPr>
      </w:pPr>
      <w:r w:rsidRPr="001435C3">
        <w:rPr>
          <w:b/>
          <w:bCs/>
          <w:color w:val="252525"/>
          <w:sz w:val="28"/>
          <w:szCs w:val="28"/>
          <w:u w:val="single"/>
        </w:rPr>
        <w:lastRenderedPageBreak/>
        <w:t>Appendix</w:t>
      </w:r>
    </w:p>
    <w:p w14:paraId="126ED4C8" w14:textId="4E087787" w:rsidR="001435C3" w:rsidRDefault="00FD68CE" w:rsidP="00FD68CE">
      <w:pPr>
        <w:spacing w:line="480" w:lineRule="auto"/>
        <w:contextualSpacing/>
        <w:jc w:val="center"/>
        <w:rPr>
          <w:bCs/>
          <w:color w:val="252525"/>
          <w:sz w:val="28"/>
          <w:szCs w:val="28"/>
        </w:rPr>
      </w:pPr>
      <w:r>
        <w:rPr>
          <w:bCs/>
          <w:color w:val="252525"/>
          <w:sz w:val="28"/>
          <w:szCs w:val="28"/>
        </w:rPr>
        <w:t>(</w:t>
      </w:r>
      <w:r w:rsidR="001435C3" w:rsidRPr="001435C3">
        <w:rPr>
          <w:bCs/>
          <w:color w:val="252525"/>
          <w:sz w:val="28"/>
          <w:szCs w:val="28"/>
        </w:rPr>
        <w:t xml:space="preserve">Added text is </w:t>
      </w:r>
      <w:r w:rsidR="001435C3" w:rsidRPr="001435C3">
        <w:rPr>
          <w:bCs/>
          <w:color w:val="252525"/>
          <w:sz w:val="28"/>
          <w:szCs w:val="28"/>
          <w:u w:val="single"/>
        </w:rPr>
        <w:t>underline</w:t>
      </w:r>
      <w:r w:rsidR="001435C3">
        <w:rPr>
          <w:bCs/>
          <w:color w:val="252525"/>
          <w:sz w:val="28"/>
          <w:szCs w:val="28"/>
          <w:u w:val="single"/>
        </w:rPr>
        <w:t>d</w:t>
      </w:r>
      <w:r>
        <w:rPr>
          <w:bCs/>
          <w:color w:val="252525"/>
          <w:sz w:val="28"/>
          <w:szCs w:val="28"/>
        </w:rPr>
        <w:t>)</w:t>
      </w:r>
    </w:p>
    <w:p w14:paraId="62C640B1" w14:textId="277A1721" w:rsidR="001435C3" w:rsidRPr="00044915" w:rsidRDefault="001435C3" w:rsidP="00044915">
      <w:pPr>
        <w:pStyle w:val="ListParagraph"/>
        <w:numPr>
          <w:ilvl w:val="0"/>
          <w:numId w:val="12"/>
        </w:numPr>
        <w:spacing w:line="360" w:lineRule="auto"/>
        <w:jc w:val="both"/>
        <w:rPr>
          <w:b/>
          <w:sz w:val="28"/>
          <w:szCs w:val="28"/>
        </w:rPr>
      </w:pPr>
      <w:r w:rsidRPr="00044915">
        <w:rPr>
          <w:b/>
          <w:sz w:val="28"/>
          <w:szCs w:val="28"/>
        </w:rPr>
        <w:t>Arizona Rules of Criminal Procedure</w:t>
      </w:r>
    </w:p>
    <w:p w14:paraId="6AACBDE2" w14:textId="77777777" w:rsidR="001435C3" w:rsidRPr="001435C3" w:rsidRDefault="001435C3" w:rsidP="001435C3">
      <w:pPr>
        <w:spacing w:line="360" w:lineRule="auto"/>
        <w:jc w:val="both"/>
        <w:rPr>
          <w:sz w:val="28"/>
          <w:szCs w:val="28"/>
        </w:rPr>
      </w:pPr>
      <w:r w:rsidRPr="001435C3">
        <w:rPr>
          <w:b/>
          <w:bCs/>
          <w:sz w:val="28"/>
          <w:szCs w:val="28"/>
        </w:rPr>
        <w:t>Rule 2.1. Misdemeanors</w:t>
      </w:r>
    </w:p>
    <w:p w14:paraId="7FFD8367" w14:textId="41759F79" w:rsidR="001435C3" w:rsidRPr="001435C3" w:rsidRDefault="001435C3" w:rsidP="001435C3">
      <w:pPr>
        <w:spacing w:line="360" w:lineRule="auto"/>
        <w:jc w:val="both"/>
        <w:rPr>
          <w:sz w:val="28"/>
          <w:szCs w:val="28"/>
        </w:rPr>
      </w:pPr>
      <w:r w:rsidRPr="001435C3">
        <w:rPr>
          <w:b/>
          <w:bCs/>
          <w:sz w:val="28"/>
          <w:szCs w:val="28"/>
        </w:rPr>
        <w:t>(a) Limited Jurisdiction Courts.</w:t>
      </w:r>
      <w:r w:rsidRPr="001435C3">
        <w:rPr>
          <w:sz w:val="28"/>
          <w:szCs w:val="28"/>
        </w:rPr>
        <w:t xml:space="preserve"> </w:t>
      </w:r>
      <w:r w:rsidR="00B9595E">
        <w:rPr>
          <w:sz w:val="28"/>
          <w:szCs w:val="28"/>
        </w:rPr>
        <w:t xml:space="preserve"> </w:t>
      </w:r>
      <w:r w:rsidRPr="001435C3">
        <w:rPr>
          <w:sz w:val="28"/>
          <w:szCs w:val="28"/>
        </w:rPr>
        <w:t>The State may commence misdemeanor and petty offense actions triable in limited jurisdiction courts by filing with the court:</w:t>
      </w:r>
    </w:p>
    <w:p w14:paraId="3BA713BC" w14:textId="77777777" w:rsidR="001435C3" w:rsidRPr="001435C3" w:rsidRDefault="001435C3" w:rsidP="001435C3">
      <w:pPr>
        <w:spacing w:line="360" w:lineRule="auto"/>
        <w:ind w:firstLine="360"/>
        <w:jc w:val="both"/>
        <w:rPr>
          <w:sz w:val="28"/>
          <w:szCs w:val="28"/>
        </w:rPr>
      </w:pPr>
      <w:r w:rsidRPr="001435C3">
        <w:rPr>
          <w:sz w:val="28"/>
          <w:szCs w:val="28"/>
        </w:rPr>
        <w:t>(1) an Arizona Traffic Ticket and Complaint;</w:t>
      </w:r>
    </w:p>
    <w:p w14:paraId="13ACDCF4" w14:textId="77777777" w:rsidR="001435C3" w:rsidRPr="001435C3" w:rsidRDefault="001435C3" w:rsidP="001435C3">
      <w:pPr>
        <w:spacing w:line="360" w:lineRule="auto"/>
        <w:ind w:firstLine="360"/>
        <w:jc w:val="both"/>
        <w:rPr>
          <w:sz w:val="28"/>
          <w:szCs w:val="28"/>
        </w:rPr>
      </w:pPr>
      <w:r w:rsidRPr="001435C3">
        <w:rPr>
          <w:sz w:val="28"/>
          <w:szCs w:val="28"/>
        </w:rPr>
        <w:t>(2) any complaint form approved by the Arizona Supreme Court; or</w:t>
      </w:r>
    </w:p>
    <w:p w14:paraId="69A54552" w14:textId="77777777" w:rsidR="001435C3" w:rsidRPr="001435C3" w:rsidRDefault="001435C3" w:rsidP="001435C3">
      <w:pPr>
        <w:spacing w:line="360" w:lineRule="auto"/>
        <w:ind w:firstLine="360"/>
        <w:jc w:val="both"/>
        <w:rPr>
          <w:sz w:val="28"/>
          <w:szCs w:val="28"/>
        </w:rPr>
      </w:pPr>
      <w:r w:rsidRPr="001435C3">
        <w:rPr>
          <w:sz w:val="28"/>
          <w:szCs w:val="28"/>
        </w:rPr>
        <w:t>(3) a complaint under Rule 2.3.</w:t>
      </w:r>
    </w:p>
    <w:p w14:paraId="04613BFA" w14:textId="5873B222" w:rsidR="001435C3" w:rsidRPr="001435C3" w:rsidRDefault="001435C3" w:rsidP="001435C3">
      <w:pPr>
        <w:spacing w:line="360" w:lineRule="auto"/>
        <w:jc w:val="both"/>
        <w:rPr>
          <w:sz w:val="28"/>
          <w:szCs w:val="28"/>
        </w:rPr>
      </w:pPr>
      <w:r w:rsidRPr="001435C3">
        <w:rPr>
          <w:b/>
          <w:bCs/>
          <w:sz w:val="28"/>
          <w:szCs w:val="28"/>
        </w:rPr>
        <w:t>(b) Superior Court.</w:t>
      </w:r>
      <w:r w:rsidRPr="001435C3">
        <w:rPr>
          <w:sz w:val="28"/>
          <w:szCs w:val="28"/>
        </w:rPr>
        <w:t xml:space="preserve"> </w:t>
      </w:r>
      <w:r w:rsidR="00B9595E">
        <w:rPr>
          <w:sz w:val="28"/>
          <w:szCs w:val="28"/>
        </w:rPr>
        <w:t xml:space="preserve"> </w:t>
      </w:r>
      <w:r w:rsidRPr="001435C3">
        <w:rPr>
          <w:sz w:val="28"/>
          <w:szCs w:val="28"/>
        </w:rPr>
        <w:t xml:space="preserve">The State may commence a misdemeanor action by filing an indictment or information directly in the superior court. </w:t>
      </w:r>
      <w:r w:rsidR="00B9595E">
        <w:rPr>
          <w:sz w:val="28"/>
          <w:szCs w:val="28"/>
        </w:rPr>
        <w:t xml:space="preserve"> </w:t>
      </w:r>
      <w:r w:rsidRPr="001435C3">
        <w:rPr>
          <w:sz w:val="28"/>
          <w:szCs w:val="28"/>
        </w:rPr>
        <w:t>A prosecutor also may commence a misdemeanor action not otherwise triable in the superior court by filing a complaint in the Justice Court under Rule 2.2(b) and then following the procedures applicable in felony cases.</w:t>
      </w:r>
    </w:p>
    <w:p w14:paraId="2A154592" w14:textId="5BC95244" w:rsidR="001435C3" w:rsidRPr="001435C3" w:rsidRDefault="001435C3" w:rsidP="001435C3">
      <w:pPr>
        <w:spacing w:line="360" w:lineRule="auto"/>
        <w:jc w:val="both"/>
        <w:rPr>
          <w:sz w:val="28"/>
          <w:szCs w:val="28"/>
          <w:u w:val="single"/>
        </w:rPr>
      </w:pPr>
      <w:r w:rsidRPr="001435C3">
        <w:rPr>
          <w:b/>
          <w:sz w:val="28"/>
          <w:szCs w:val="28"/>
          <w:u w:val="single"/>
        </w:rPr>
        <w:t>(c) Filing a Motion to Transfer to the Correct Precinct.</w:t>
      </w:r>
      <w:r w:rsidR="00B9595E" w:rsidRPr="00B9595E">
        <w:rPr>
          <w:sz w:val="28"/>
          <w:szCs w:val="28"/>
        </w:rPr>
        <w:t xml:space="preserve">  </w:t>
      </w:r>
      <w:bookmarkStart w:id="3" w:name="_Hlk44055259"/>
      <w:r w:rsidRPr="00B9595E">
        <w:rPr>
          <w:sz w:val="28"/>
          <w:szCs w:val="28"/>
          <w:u w:val="single"/>
        </w:rPr>
        <w:t xml:space="preserve">A party may file a motion </w:t>
      </w:r>
      <w:r w:rsidRPr="001435C3">
        <w:rPr>
          <w:sz w:val="28"/>
          <w:szCs w:val="28"/>
          <w:u w:val="single"/>
        </w:rPr>
        <w:t>to transfer a case to the correct precinct pursuant to</w:t>
      </w:r>
      <w:r w:rsidR="00A67646">
        <w:rPr>
          <w:sz w:val="28"/>
          <w:szCs w:val="28"/>
          <w:u w:val="single"/>
        </w:rPr>
        <w:t xml:space="preserve"> A.R.S.</w:t>
      </w:r>
      <w:r w:rsidRPr="001435C3">
        <w:rPr>
          <w:sz w:val="28"/>
          <w:szCs w:val="28"/>
          <w:u w:val="single"/>
        </w:rPr>
        <w:t xml:space="preserve"> §</w:t>
      </w:r>
      <w:r w:rsidR="00A67646">
        <w:rPr>
          <w:sz w:val="28"/>
          <w:szCs w:val="28"/>
          <w:u w:val="single"/>
        </w:rPr>
        <w:t xml:space="preserve"> </w:t>
      </w:r>
      <w:r w:rsidRPr="001435C3">
        <w:rPr>
          <w:sz w:val="28"/>
          <w:szCs w:val="28"/>
          <w:u w:val="single"/>
        </w:rPr>
        <w:t>22-</w:t>
      </w:r>
      <w:r w:rsidR="00802F04">
        <w:rPr>
          <w:sz w:val="28"/>
          <w:szCs w:val="28"/>
          <w:u w:val="single"/>
        </w:rPr>
        <w:t>3</w:t>
      </w:r>
      <w:r w:rsidRPr="001435C3">
        <w:rPr>
          <w:sz w:val="28"/>
          <w:szCs w:val="28"/>
          <w:u w:val="single"/>
        </w:rPr>
        <w:t xml:space="preserve">01 or the court </w:t>
      </w:r>
      <w:proofErr w:type="spellStart"/>
      <w:r w:rsidRPr="001435C3">
        <w:rPr>
          <w:i/>
          <w:sz w:val="28"/>
          <w:szCs w:val="28"/>
          <w:u w:val="single"/>
        </w:rPr>
        <w:t>sua</w:t>
      </w:r>
      <w:proofErr w:type="spellEnd"/>
      <w:r w:rsidRPr="001435C3">
        <w:rPr>
          <w:i/>
          <w:sz w:val="28"/>
          <w:szCs w:val="28"/>
          <w:u w:val="single"/>
        </w:rPr>
        <w:t xml:space="preserve"> sponte</w:t>
      </w:r>
      <w:r w:rsidRPr="001435C3">
        <w:rPr>
          <w:sz w:val="28"/>
          <w:szCs w:val="28"/>
          <w:u w:val="single"/>
        </w:rPr>
        <w:t xml:space="preserve"> can transfer the case. </w:t>
      </w:r>
      <w:r w:rsidR="00B9595E">
        <w:rPr>
          <w:sz w:val="28"/>
          <w:szCs w:val="28"/>
          <w:u w:val="single"/>
        </w:rPr>
        <w:t xml:space="preserve"> </w:t>
      </w:r>
      <w:r w:rsidRPr="001435C3">
        <w:rPr>
          <w:sz w:val="28"/>
          <w:szCs w:val="28"/>
          <w:u w:val="single"/>
        </w:rPr>
        <w:t>A motion to transfer a case to the correct precinct must be filed</w:t>
      </w:r>
      <w:r w:rsidR="00044915">
        <w:rPr>
          <w:sz w:val="28"/>
          <w:szCs w:val="28"/>
          <w:u w:val="single"/>
        </w:rPr>
        <w:t xml:space="preserve">, or the court may order a </w:t>
      </w:r>
      <w:proofErr w:type="spellStart"/>
      <w:r w:rsidR="00044915" w:rsidRPr="001C3B19">
        <w:rPr>
          <w:i/>
          <w:sz w:val="28"/>
          <w:szCs w:val="28"/>
          <w:u w:val="single"/>
        </w:rPr>
        <w:t>sua</w:t>
      </w:r>
      <w:proofErr w:type="spellEnd"/>
      <w:r w:rsidR="00044915" w:rsidRPr="001C3B19">
        <w:rPr>
          <w:i/>
          <w:sz w:val="28"/>
          <w:szCs w:val="28"/>
          <w:u w:val="single"/>
        </w:rPr>
        <w:t xml:space="preserve"> sponte</w:t>
      </w:r>
      <w:r w:rsidR="00044915">
        <w:rPr>
          <w:sz w:val="28"/>
          <w:szCs w:val="28"/>
          <w:u w:val="single"/>
        </w:rPr>
        <w:t xml:space="preserve"> transfer,</w:t>
      </w:r>
      <w:r w:rsidRPr="001435C3">
        <w:rPr>
          <w:sz w:val="28"/>
          <w:szCs w:val="28"/>
          <w:u w:val="single"/>
        </w:rPr>
        <w:t xml:space="preserve"> no later than </w:t>
      </w:r>
      <w:r w:rsidR="009C6EE3">
        <w:rPr>
          <w:sz w:val="28"/>
          <w:szCs w:val="28"/>
          <w:u w:val="single"/>
        </w:rPr>
        <w:t>3</w:t>
      </w:r>
      <w:r w:rsidRPr="001435C3">
        <w:rPr>
          <w:sz w:val="28"/>
          <w:szCs w:val="28"/>
          <w:u w:val="single"/>
        </w:rPr>
        <w:t>0 days after arraignment.</w:t>
      </w:r>
      <w:bookmarkEnd w:id="3"/>
    </w:p>
    <w:p w14:paraId="0D1ABE9F" w14:textId="423489E0" w:rsidR="001435C3" w:rsidRPr="00044915" w:rsidRDefault="001435C3" w:rsidP="00044915">
      <w:pPr>
        <w:pStyle w:val="ListParagraph"/>
        <w:numPr>
          <w:ilvl w:val="0"/>
          <w:numId w:val="12"/>
        </w:numPr>
        <w:spacing w:line="360" w:lineRule="auto"/>
        <w:jc w:val="both"/>
        <w:rPr>
          <w:b/>
          <w:sz w:val="28"/>
          <w:szCs w:val="28"/>
        </w:rPr>
      </w:pPr>
      <w:r w:rsidRPr="00044915">
        <w:rPr>
          <w:b/>
          <w:sz w:val="28"/>
          <w:szCs w:val="28"/>
        </w:rPr>
        <w:t xml:space="preserve">Rules </w:t>
      </w:r>
      <w:r w:rsidR="00FD68CE">
        <w:rPr>
          <w:b/>
          <w:sz w:val="28"/>
          <w:szCs w:val="28"/>
        </w:rPr>
        <w:t xml:space="preserve">of Court Procedure </w:t>
      </w:r>
      <w:r w:rsidRPr="00044915">
        <w:rPr>
          <w:b/>
          <w:sz w:val="28"/>
          <w:szCs w:val="28"/>
        </w:rPr>
        <w:t xml:space="preserve">for Civil Traffic and Civil Boating </w:t>
      </w:r>
      <w:r w:rsidR="00FD68CE">
        <w:rPr>
          <w:b/>
          <w:sz w:val="28"/>
          <w:szCs w:val="28"/>
        </w:rPr>
        <w:t>Violation</w:t>
      </w:r>
      <w:r w:rsidRPr="00044915">
        <w:rPr>
          <w:b/>
          <w:sz w:val="28"/>
          <w:szCs w:val="28"/>
        </w:rPr>
        <w:t>s</w:t>
      </w:r>
    </w:p>
    <w:p w14:paraId="560F7F4D" w14:textId="77777777" w:rsidR="001435C3" w:rsidRPr="001435C3" w:rsidRDefault="001435C3" w:rsidP="001435C3">
      <w:pPr>
        <w:spacing w:line="360" w:lineRule="auto"/>
        <w:jc w:val="both"/>
        <w:rPr>
          <w:sz w:val="28"/>
          <w:szCs w:val="28"/>
        </w:rPr>
      </w:pPr>
      <w:r w:rsidRPr="001435C3">
        <w:rPr>
          <w:b/>
          <w:bCs/>
          <w:sz w:val="28"/>
          <w:szCs w:val="28"/>
        </w:rPr>
        <w:t>Rule 3. Commencing a Violation in Court</w:t>
      </w:r>
    </w:p>
    <w:p w14:paraId="2B9386E3" w14:textId="75907CB4" w:rsidR="001435C3" w:rsidRPr="001435C3" w:rsidRDefault="001435C3" w:rsidP="001435C3">
      <w:pPr>
        <w:spacing w:line="360" w:lineRule="auto"/>
        <w:jc w:val="both"/>
        <w:rPr>
          <w:sz w:val="28"/>
          <w:szCs w:val="28"/>
        </w:rPr>
      </w:pPr>
      <w:r w:rsidRPr="001435C3">
        <w:rPr>
          <w:b/>
          <w:bCs/>
          <w:sz w:val="28"/>
          <w:szCs w:val="28"/>
        </w:rPr>
        <w:t>(a) Commencing a Civil Traffic or Civil Boating Case.</w:t>
      </w:r>
      <w:r w:rsidRPr="001435C3">
        <w:rPr>
          <w:sz w:val="28"/>
          <w:szCs w:val="28"/>
        </w:rPr>
        <w:t xml:space="preserve"> </w:t>
      </w:r>
      <w:r w:rsidR="001C3B19">
        <w:rPr>
          <w:sz w:val="28"/>
          <w:szCs w:val="28"/>
        </w:rPr>
        <w:t xml:space="preserve"> </w:t>
      </w:r>
      <w:r w:rsidRPr="001435C3">
        <w:rPr>
          <w:sz w:val="28"/>
          <w:szCs w:val="28"/>
        </w:rPr>
        <w:t>A civil traffic or civil boating case is commenced by filing with the court an Arizona Traffic Ticket and Complaint in accordance with Article 4, Chapter 5, Title 28, Arizona Revised Statutes (entitled “Procedures for Civil Traffic Violations”) or by filing a long-form complaint pursuant to Arizona Rules of Criminal Procedure, Rule 2.3.</w:t>
      </w:r>
    </w:p>
    <w:p w14:paraId="55AA8B1B" w14:textId="3E5EF02D" w:rsidR="001435C3" w:rsidRPr="001435C3" w:rsidRDefault="001435C3" w:rsidP="001435C3">
      <w:pPr>
        <w:spacing w:line="360" w:lineRule="auto"/>
        <w:jc w:val="both"/>
        <w:rPr>
          <w:sz w:val="28"/>
          <w:szCs w:val="28"/>
        </w:rPr>
      </w:pPr>
      <w:r w:rsidRPr="001435C3">
        <w:rPr>
          <w:b/>
          <w:bCs/>
          <w:sz w:val="28"/>
          <w:szCs w:val="28"/>
        </w:rPr>
        <w:lastRenderedPageBreak/>
        <w:t>(b) Commencing a Parking or Standing Case.</w:t>
      </w:r>
      <w:r w:rsidRPr="001435C3">
        <w:rPr>
          <w:sz w:val="28"/>
          <w:szCs w:val="28"/>
        </w:rPr>
        <w:t xml:space="preserve"> </w:t>
      </w:r>
      <w:r w:rsidR="001C3B19">
        <w:rPr>
          <w:sz w:val="28"/>
          <w:szCs w:val="28"/>
        </w:rPr>
        <w:t xml:space="preserve"> </w:t>
      </w:r>
      <w:r w:rsidRPr="001435C3">
        <w:rPr>
          <w:sz w:val="28"/>
          <w:szCs w:val="28"/>
        </w:rPr>
        <w:t xml:space="preserve">A parking or standing case is commenced by filing with the court an Arizona Traffic Ticket and Complaint, or a notice of violation for a local ordinance, charter, or regulation in accordance with Article 4, Chapter 5, Title 28, Arizona Revised Statutes entitled “procedures for civil traffic violations.” </w:t>
      </w:r>
      <w:r w:rsidR="001C3B19">
        <w:rPr>
          <w:sz w:val="28"/>
          <w:szCs w:val="28"/>
        </w:rPr>
        <w:t xml:space="preserve"> </w:t>
      </w:r>
      <w:r w:rsidRPr="001435C3">
        <w:rPr>
          <w:sz w:val="28"/>
          <w:szCs w:val="28"/>
        </w:rPr>
        <w:t xml:space="preserve">Vehicle parking and standing offenses do not require that the initial notification or a subsequent summons and complaint be personally served. </w:t>
      </w:r>
      <w:r w:rsidR="001C3B19">
        <w:rPr>
          <w:sz w:val="28"/>
          <w:szCs w:val="28"/>
        </w:rPr>
        <w:t xml:space="preserve"> </w:t>
      </w:r>
      <w:r w:rsidRPr="001435C3">
        <w:rPr>
          <w:sz w:val="28"/>
          <w:szCs w:val="28"/>
        </w:rPr>
        <w:t>If it becomes necessary to issue a summons and complaint because there is not a satisfactory response to the initial notice of a parking or standing violation, a summons and complaint may be sent by regular mail to the address provided to the Department of Motor Vehicles by the individual made responsible for the alleged violation. Service of a summons and complaint is complete on mailing.</w:t>
      </w:r>
    </w:p>
    <w:p w14:paraId="6319B08C" w14:textId="634042BB" w:rsidR="001435C3" w:rsidRPr="00122FEC" w:rsidRDefault="001435C3" w:rsidP="001C3B19">
      <w:pPr>
        <w:spacing w:line="360" w:lineRule="auto"/>
        <w:contextualSpacing/>
        <w:jc w:val="both"/>
        <w:rPr>
          <w:b/>
          <w:bCs/>
          <w:color w:val="252525"/>
          <w:sz w:val="28"/>
          <w:szCs w:val="28"/>
        </w:rPr>
      </w:pPr>
      <w:r w:rsidRPr="001C3B19">
        <w:rPr>
          <w:b/>
          <w:sz w:val="28"/>
          <w:szCs w:val="28"/>
          <w:u w:val="single"/>
        </w:rPr>
        <w:t xml:space="preserve">(c) </w:t>
      </w:r>
      <w:bookmarkStart w:id="4" w:name="_Hlk43889629"/>
      <w:r w:rsidRPr="001435C3">
        <w:rPr>
          <w:b/>
          <w:sz w:val="28"/>
          <w:szCs w:val="28"/>
          <w:u w:val="single"/>
        </w:rPr>
        <w:t>Filing a Motion to Transfer to the Correct Precinct.</w:t>
      </w:r>
      <w:r w:rsidRPr="001C3B19">
        <w:rPr>
          <w:sz w:val="28"/>
          <w:szCs w:val="28"/>
        </w:rPr>
        <w:t xml:space="preserve"> </w:t>
      </w:r>
      <w:bookmarkEnd w:id="4"/>
      <w:r w:rsidR="001C3B19">
        <w:rPr>
          <w:sz w:val="28"/>
          <w:szCs w:val="28"/>
          <w:u w:val="single"/>
        </w:rPr>
        <w:t xml:space="preserve"> </w:t>
      </w:r>
      <w:r w:rsidRPr="001435C3">
        <w:rPr>
          <w:sz w:val="28"/>
          <w:szCs w:val="28"/>
          <w:u w:val="single"/>
        </w:rPr>
        <w:t xml:space="preserve">A party may file a motion to transfer a case to the correct precinct pursuant to </w:t>
      </w:r>
      <w:r w:rsidR="00A67646">
        <w:rPr>
          <w:sz w:val="28"/>
          <w:szCs w:val="28"/>
          <w:u w:val="single"/>
        </w:rPr>
        <w:t xml:space="preserve">A.R.S. </w:t>
      </w:r>
      <w:r w:rsidRPr="001435C3">
        <w:rPr>
          <w:sz w:val="28"/>
          <w:szCs w:val="28"/>
          <w:u w:val="single"/>
        </w:rPr>
        <w:t>§</w:t>
      </w:r>
      <w:r w:rsidR="00A67646">
        <w:rPr>
          <w:sz w:val="28"/>
          <w:szCs w:val="28"/>
          <w:u w:val="single"/>
        </w:rPr>
        <w:t xml:space="preserve"> </w:t>
      </w:r>
      <w:r w:rsidRPr="001435C3">
        <w:rPr>
          <w:sz w:val="28"/>
          <w:szCs w:val="28"/>
          <w:u w:val="single"/>
        </w:rPr>
        <w:t>22-</w:t>
      </w:r>
      <w:r w:rsidR="00802F04">
        <w:rPr>
          <w:sz w:val="28"/>
          <w:szCs w:val="28"/>
          <w:u w:val="single"/>
        </w:rPr>
        <w:t>3</w:t>
      </w:r>
      <w:r w:rsidRPr="001435C3">
        <w:rPr>
          <w:sz w:val="28"/>
          <w:szCs w:val="28"/>
          <w:u w:val="single"/>
        </w:rPr>
        <w:t xml:space="preserve">01 or the court </w:t>
      </w:r>
      <w:proofErr w:type="spellStart"/>
      <w:r w:rsidRPr="001435C3">
        <w:rPr>
          <w:i/>
          <w:sz w:val="28"/>
          <w:szCs w:val="28"/>
          <w:u w:val="single"/>
        </w:rPr>
        <w:t>sua</w:t>
      </w:r>
      <w:proofErr w:type="spellEnd"/>
      <w:r w:rsidRPr="001435C3">
        <w:rPr>
          <w:i/>
          <w:sz w:val="28"/>
          <w:szCs w:val="28"/>
          <w:u w:val="single"/>
        </w:rPr>
        <w:t xml:space="preserve"> sponte</w:t>
      </w:r>
      <w:r w:rsidRPr="001435C3">
        <w:rPr>
          <w:sz w:val="28"/>
          <w:szCs w:val="28"/>
          <w:u w:val="single"/>
        </w:rPr>
        <w:t xml:space="preserve"> can transfer the case. </w:t>
      </w:r>
      <w:r w:rsidR="001C3B19">
        <w:rPr>
          <w:sz w:val="28"/>
          <w:szCs w:val="28"/>
          <w:u w:val="single"/>
        </w:rPr>
        <w:t xml:space="preserve"> </w:t>
      </w:r>
      <w:r w:rsidRPr="001435C3">
        <w:rPr>
          <w:sz w:val="28"/>
          <w:szCs w:val="28"/>
          <w:u w:val="single"/>
        </w:rPr>
        <w:t>A motion to transfer a case to the correct precinct must be filed</w:t>
      </w:r>
      <w:r w:rsidR="00044915">
        <w:rPr>
          <w:sz w:val="28"/>
          <w:szCs w:val="28"/>
          <w:u w:val="single"/>
        </w:rPr>
        <w:t xml:space="preserve">, or the court may order a </w:t>
      </w:r>
      <w:proofErr w:type="spellStart"/>
      <w:r w:rsidR="00044915" w:rsidRPr="001C3B19">
        <w:rPr>
          <w:i/>
          <w:sz w:val="28"/>
          <w:szCs w:val="28"/>
          <w:u w:val="single"/>
        </w:rPr>
        <w:t>sua</w:t>
      </w:r>
      <w:proofErr w:type="spellEnd"/>
      <w:r w:rsidR="00044915" w:rsidRPr="001C3B19">
        <w:rPr>
          <w:i/>
          <w:sz w:val="28"/>
          <w:szCs w:val="28"/>
          <w:u w:val="single"/>
        </w:rPr>
        <w:t xml:space="preserve"> sponte</w:t>
      </w:r>
      <w:r w:rsidR="00044915">
        <w:rPr>
          <w:sz w:val="28"/>
          <w:szCs w:val="28"/>
          <w:u w:val="single"/>
        </w:rPr>
        <w:t xml:space="preserve"> transfer,</w:t>
      </w:r>
      <w:r w:rsidRPr="001435C3">
        <w:rPr>
          <w:sz w:val="28"/>
          <w:szCs w:val="28"/>
          <w:u w:val="single"/>
        </w:rPr>
        <w:t xml:space="preserve"> no later than 20 days after service of the complaint.</w:t>
      </w:r>
      <w:bookmarkEnd w:id="0"/>
      <w:bookmarkEnd w:id="1"/>
    </w:p>
    <w:sectPr w:rsidR="001435C3" w:rsidRPr="00122FEC" w:rsidSect="00FD68CE">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87E1" w14:textId="77777777" w:rsidR="007B7FE4" w:rsidRDefault="007B7FE4">
      <w:r>
        <w:separator/>
      </w:r>
    </w:p>
  </w:endnote>
  <w:endnote w:type="continuationSeparator" w:id="0">
    <w:p w14:paraId="23B30BE2" w14:textId="77777777" w:rsidR="007B7FE4" w:rsidRDefault="007B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747775"/>
      <w:docPartObj>
        <w:docPartGallery w:val="Page Numbers (Bottom of Page)"/>
        <w:docPartUnique/>
      </w:docPartObj>
    </w:sdtPr>
    <w:sdtEndPr>
      <w:rPr>
        <w:noProof/>
      </w:rPr>
    </w:sdtEndPr>
    <w:sdtContent>
      <w:p w14:paraId="3C480A97" w14:textId="33F93745" w:rsidR="001348ED" w:rsidRDefault="001348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919D7" w14:textId="77777777" w:rsidR="001348ED" w:rsidRDefault="0013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332006"/>
      <w:docPartObj>
        <w:docPartGallery w:val="Page Numbers (Bottom of Page)"/>
        <w:docPartUnique/>
      </w:docPartObj>
    </w:sdtPr>
    <w:sdtEndPr>
      <w:rPr>
        <w:noProof/>
      </w:rPr>
    </w:sdtEndPr>
    <w:sdtContent>
      <w:p w14:paraId="2878B103" w14:textId="28AB55EF" w:rsidR="00FD68CE" w:rsidRDefault="00FD68CE">
        <w:pPr>
          <w:pStyle w:val="Footer"/>
          <w:jc w:val="center"/>
        </w:pPr>
        <w:r>
          <w:t xml:space="preserve">Appendix - Page </w:t>
        </w:r>
        <w:r>
          <w:fldChar w:fldCharType="begin"/>
        </w:r>
        <w:r>
          <w:instrText xml:space="preserve"> PAGE   \* MERGEFORMAT </w:instrText>
        </w:r>
        <w:r>
          <w:fldChar w:fldCharType="separate"/>
        </w:r>
        <w:r>
          <w:rPr>
            <w:noProof/>
          </w:rPr>
          <w:t>1</w:t>
        </w:r>
        <w:r>
          <w:rPr>
            <w:noProof/>
          </w:rPr>
          <w:fldChar w:fldCharType="end"/>
        </w:r>
      </w:p>
    </w:sdtContent>
  </w:sdt>
  <w:p w14:paraId="392B7DD5" w14:textId="77777777" w:rsidR="00FD68CE" w:rsidRDefault="00FD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C756" w14:textId="77777777" w:rsidR="007B7FE4" w:rsidRDefault="007B7FE4">
      <w:r>
        <w:separator/>
      </w:r>
    </w:p>
  </w:footnote>
  <w:footnote w:type="continuationSeparator" w:id="0">
    <w:p w14:paraId="1D2F0AC2" w14:textId="77777777" w:rsidR="007B7FE4" w:rsidRDefault="007B7FE4">
      <w:r>
        <w:continuationSeparator/>
      </w:r>
    </w:p>
  </w:footnote>
  <w:footnote w:id="1">
    <w:p w14:paraId="477DDB43" w14:textId="5C4524B4" w:rsidR="001A4E40" w:rsidRPr="001A4E40" w:rsidRDefault="001A4E40">
      <w:pPr>
        <w:pStyle w:val="FootnoteText"/>
        <w:rPr>
          <w:sz w:val="28"/>
          <w:szCs w:val="28"/>
        </w:rPr>
      </w:pPr>
      <w:r w:rsidRPr="001A4E40">
        <w:rPr>
          <w:rStyle w:val="FootnoteReference"/>
          <w:sz w:val="28"/>
          <w:szCs w:val="28"/>
        </w:rPr>
        <w:footnoteRef/>
      </w:r>
      <w:r w:rsidRPr="001A4E40">
        <w:rPr>
          <w:sz w:val="28"/>
          <w:szCs w:val="28"/>
        </w:rPr>
        <w:t xml:space="preserve"> A.R.S. § 13-109 is titled “place of trial.”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933177"/>
    <w:multiLevelType w:val="hybridMultilevel"/>
    <w:tmpl w:val="33C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9"/>
  </w:num>
  <w:num w:numId="5">
    <w:abstractNumId w:val="6"/>
  </w:num>
  <w:num w:numId="6">
    <w:abstractNumId w:val="2"/>
  </w:num>
  <w:num w:numId="7">
    <w:abstractNumId w:val="8"/>
  </w:num>
  <w:num w:numId="8">
    <w:abstractNumId w:val="11"/>
  </w:num>
  <w:num w:numId="9">
    <w:abstractNumId w:val="3"/>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55F9"/>
    <w:rsid w:val="000301ED"/>
    <w:rsid w:val="00044915"/>
    <w:rsid w:val="0005619A"/>
    <w:rsid w:val="00090A06"/>
    <w:rsid w:val="000A2FD3"/>
    <w:rsid w:val="000D494D"/>
    <w:rsid w:val="000F1557"/>
    <w:rsid w:val="00122FEC"/>
    <w:rsid w:val="0012513B"/>
    <w:rsid w:val="001348ED"/>
    <w:rsid w:val="0014358B"/>
    <w:rsid w:val="001435C3"/>
    <w:rsid w:val="001477A4"/>
    <w:rsid w:val="001538AF"/>
    <w:rsid w:val="001576FA"/>
    <w:rsid w:val="00173A6F"/>
    <w:rsid w:val="0018604C"/>
    <w:rsid w:val="00193AE7"/>
    <w:rsid w:val="001A4E40"/>
    <w:rsid w:val="001B1240"/>
    <w:rsid w:val="001C3B19"/>
    <w:rsid w:val="0023498F"/>
    <w:rsid w:val="00251B25"/>
    <w:rsid w:val="002539F8"/>
    <w:rsid w:val="00256F88"/>
    <w:rsid w:val="002714E7"/>
    <w:rsid w:val="002972DA"/>
    <w:rsid w:val="002C30AC"/>
    <w:rsid w:val="002E4A3A"/>
    <w:rsid w:val="002E59B8"/>
    <w:rsid w:val="002E7728"/>
    <w:rsid w:val="002F44D5"/>
    <w:rsid w:val="00304D65"/>
    <w:rsid w:val="003340F2"/>
    <w:rsid w:val="00337A9B"/>
    <w:rsid w:val="00342FA6"/>
    <w:rsid w:val="00367928"/>
    <w:rsid w:val="00375707"/>
    <w:rsid w:val="003A428A"/>
    <w:rsid w:val="003B1484"/>
    <w:rsid w:val="003E0D66"/>
    <w:rsid w:val="004054AD"/>
    <w:rsid w:val="004133AA"/>
    <w:rsid w:val="00416367"/>
    <w:rsid w:val="00421B32"/>
    <w:rsid w:val="00425FB4"/>
    <w:rsid w:val="00452770"/>
    <w:rsid w:val="00474AB1"/>
    <w:rsid w:val="00474D4C"/>
    <w:rsid w:val="00482405"/>
    <w:rsid w:val="004858A9"/>
    <w:rsid w:val="00493104"/>
    <w:rsid w:val="004A0C68"/>
    <w:rsid w:val="004A481B"/>
    <w:rsid w:val="004B5C78"/>
    <w:rsid w:val="004B5E9D"/>
    <w:rsid w:val="004C6B9F"/>
    <w:rsid w:val="004D10D6"/>
    <w:rsid w:val="004D4ABE"/>
    <w:rsid w:val="004E52A0"/>
    <w:rsid w:val="00521A7D"/>
    <w:rsid w:val="00556A95"/>
    <w:rsid w:val="00556E5D"/>
    <w:rsid w:val="00571E0C"/>
    <w:rsid w:val="005C358C"/>
    <w:rsid w:val="005F5200"/>
    <w:rsid w:val="00605508"/>
    <w:rsid w:val="0060747D"/>
    <w:rsid w:val="006161D9"/>
    <w:rsid w:val="00627400"/>
    <w:rsid w:val="00674B79"/>
    <w:rsid w:val="00691FA9"/>
    <w:rsid w:val="006937E5"/>
    <w:rsid w:val="006E293C"/>
    <w:rsid w:val="00740BCD"/>
    <w:rsid w:val="00781957"/>
    <w:rsid w:val="007849FD"/>
    <w:rsid w:val="007B5029"/>
    <w:rsid w:val="007B7FE4"/>
    <w:rsid w:val="007C0149"/>
    <w:rsid w:val="007D3E81"/>
    <w:rsid w:val="007E53AC"/>
    <w:rsid w:val="007F160C"/>
    <w:rsid w:val="00802F04"/>
    <w:rsid w:val="00807BEB"/>
    <w:rsid w:val="0082050E"/>
    <w:rsid w:val="00827D7F"/>
    <w:rsid w:val="00850D49"/>
    <w:rsid w:val="008908FB"/>
    <w:rsid w:val="0089467E"/>
    <w:rsid w:val="008E482D"/>
    <w:rsid w:val="008F218F"/>
    <w:rsid w:val="00902D4E"/>
    <w:rsid w:val="009379BC"/>
    <w:rsid w:val="00942A64"/>
    <w:rsid w:val="00944468"/>
    <w:rsid w:val="00947CF9"/>
    <w:rsid w:val="00963474"/>
    <w:rsid w:val="00974D70"/>
    <w:rsid w:val="009A44ED"/>
    <w:rsid w:val="009C6EE3"/>
    <w:rsid w:val="009F7E91"/>
    <w:rsid w:val="00A24397"/>
    <w:rsid w:val="00A30A5E"/>
    <w:rsid w:val="00A32237"/>
    <w:rsid w:val="00A6576E"/>
    <w:rsid w:val="00A67646"/>
    <w:rsid w:val="00AA21E9"/>
    <w:rsid w:val="00AA7CD8"/>
    <w:rsid w:val="00AF76EE"/>
    <w:rsid w:val="00B00A19"/>
    <w:rsid w:val="00B20E6F"/>
    <w:rsid w:val="00B634BB"/>
    <w:rsid w:val="00B6360C"/>
    <w:rsid w:val="00B65849"/>
    <w:rsid w:val="00B775A1"/>
    <w:rsid w:val="00B9595E"/>
    <w:rsid w:val="00BA2F58"/>
    <w:rsid w:val="00BA307A"/>
    <w:rsid w:val="00BB7755"/>
    <w:rsid w:val="00BF4CE9"/>
    <w:rsid w:val="00C03FAA"/>
    <w:rsid w:val="00C0446E"/>
    <w:rsid w:val="00C06123"/>
    <w:rsid w:val="00C15D06"/>
    <w:rsid w:val="00C4558D"/>
    <w:rsid w:val="00C559C2"/>
    <w:rsid w:val="00C6086D"/>
    <w:rsid w:val="00C7118C"/>
    <w:rsid w:val="00CB28AD"/>
    <w:rsid w:val="00CE5ADF"/>
    <w:rsid w:val="00D01F0A"/>
    <w:rsid w:val="00D12058"/>
    <w:rsid w:val="00D61859"/>
    <w:rsid w:val="00D730D8"/>
    <w:rsid w:val="00D75FAC"/>
    <w:rsid w:val="00D774F1"/>
    <w:rsid w:val="00D830CE"/>
    <w:rsid w:val="00DB0B89"/>
    <w:rsid w:val="00DC40F3"/>
    <w:rsid w:val="00DC5E66"/>
    <w:rsid w:val="00DC6736"/>
    <w:rsid w:val="00DE04C5"/>
    <w:rsid w:val="00DE09D3"/>
    <w:rsid w:val="00E12AD9"/>
    <w:rsid w:val="00E17091"/>
    <w:rsid w:val="00E269D1"/>
    <w:rsid w:val="00E72049"/>
    <w:rsid w:val="00E776E6"/>
    <w:rsid w:val="00E91086"/>
    <w:rsid w:val="00EA1ED7"/>
    <w:rsid w:val="00EE050D"/>
    <w:rsid w:val="00F01C37"/>
    <w:rsid w:val="00F155CC"/>
    <w:rsid w:val="00F32CEF"/>
    <w:rsid w:val="00F33520"/>
    <w:rsid w:val="00F63C70"/>
    <w:rsid w:val="00FD68CE"/>
    <w:rsid w:val="00F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C21F-E73C-4259-AD71-FC4CC2F9E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4.xml><?xml version="1.0" encoding="utf-8"?>
<ds:datastoreItem xmlns:ds="http://schemas.openxmlformats.org/officeDocument/2006/customXml" ds:itemID="{EA389409-808A-4D55-BB4D-7EB3FCDF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Greene, Jennifer</cp:lastModifiedBy>
  <cp:revision>2</cp:revision>
  <cp:lastPrinted>2019-12-24T20:13:00Z</cp:lastPrinted>
  <dcterms:created xsi:type="dcterms:W3CDTF">2020-07-14T17:23:00Z</dcterms:created>
  <dcterms:modified xsi:type="dcterms:W3CDTF">2020-07-14T17:23:00Z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