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A3E" w:rsidRPr="005D698A" w:rsidRDefault="002C7A3E" w:rsidP="005D698A">
      <w:pPr>
        <w:pStyle w:val="ListParagraph"/>
        <w:spacing w:after="0"/>
        <w:ind w:left="0"/>
        <w:rPr>
          <w:rFonts w:ascii="Times New Roman" w:hAnsi="Times New Roman" w:cs="Times New Roman"/>
          <w:sz w:val="28"/>
          <w:szCs w:val="28"/>
        </w:rPr>
      </w:pPr>
      <w:r w:rsidRPr="005D698A">
        <w:rPr>
          <w:rFonts w:ascii="Times New Roman" w:hAnsi="Times New Roman" w:cs="Times New Roman"/>
          <w:sz w:val="28"/>
          <w:szCs w:val="28"/>
        </w:rPr>
        <w:t>Dave Byers</w:t>
      </w:r>
      <w:r w:rsidRPr="00FC2F35">
        <w:rPr>
          <w:rStyle w:val="FootnoteReference"/>
          <w:rFonts w:ascii="Times New Roman" w:hAnsi="Times New Roman" w:cs="Times New Roman"/>
          <w:color w:val="000000" w:themeColor="text1"/>
          <w:sz w:val="28"/>
          <w:szCs w:val="28"/>
        </w:rPr>
        <w:footnoteReference w:id="1"/>
      </w:r>
    </w:p>
    <w:p w:rsidR="002C7A3E" w:rsidRPr="002C7A3E" w:rsidRDefault="002C7A3E" w:rsidP="002C7A3E">
      <w:pPr>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Administrative Director, Administrative Office of Courts</w:t>
      </w:r>
    </w:p>
    <w:p w:rsidR="002C7A3E" w:rsidRPr="002C7A3E" w:rsidRDefault="002C7A3E" w:rsidP="002C7A3E">
      <w:pPr>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 xml:space="preserve">Member, Task Force on the Delivery of Legal Services </w:t>
      </w:r>
    </w:p>
    <w:p w:rsidR="002C7A3E" w:rsidRPr="002C7A3E" w:rsidRDefault="002C7A3E" w:rsidP="002C7A3E">
      <w:pPr>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State Courts Building</w:t>
      </w:r>
    </w:p>
    <w:p w:rsidR="002C7A3E" w:rsidRPr="002C7A3E" w:rsidRDefault="002C7A3E" w:rsidP="002C7A3E">
      <w:pPr>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1501 West Washington</w:t>
      </w:r>
    </w:p>
    <w:p w:rsidR="002C7A3E" w:rsidRPr="002C7A3E" w:rsidRDefault="002C7A3E" w:rsidP="002C7A3E">
      <w:pPr>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Phoenix, Arizona 85007</w:t>
      </w:r>
    </w:p>
    <w:p w:rsidR="002C7A3E" w:rsidRPr="002C7A3E" w:rsidRDefault="002C7A3E" w:rsidP="002C7A3E">
      <w:pPr>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Telephone: (602) 452-3301</w:t>
      </w:r>
    </w:p>
    <w:p w:rsidR="002C7A3E" w:rsidRPr="002C7A3E" w:rsidRDefault="002C7A3E" w:rsidP="002C7A3E">
      <w:pPr>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Projects2@courts.az.gov</w:t>
      </w:r>
    </w:p>
    <w:p w:rsidR="002C7A3E" w:rsidRPr="002C7A3E" w:rsidRDefault="002C7A3E" w:rsidP="002C7A3E">
      <w:pPr>
        <w:jc w:val="both"/>
        <w:rPr>
          <w:rFonts w:ascii="Times New Roman" w:hAnsi="Times New Roman" w:cs="Times New Roman"/>
          <w:color w:val="000000" w:themeColor="text1"/>
          <w:sz w:val="28"/>
          <w:szCs w:val="28"/>
        </w:rPr>
      </w:pPr>
    </w:p>
    <w:p w:rsidR="002C7A3E" w:rsidRPr="002C7A3E" w:rsidRDefault="002C7A3E" w:rsidP="002C7A3E">
      <w:pPr>
        <w:pStyle w:val="Heading1"/>
        <w:jc w:val="center"/>
        <w:rPr>
          <w:bCs w:val="0"/>
          <w:color w:val="000000" w:themeColor="text1"/>
        </w:rPr>
      </w:pPr>
      <w:r w:rsidRPr="002C7A3E">
        <w:rPr>
          <w:color w:val="000000" w:themeColor="text1"/>
        </w:rPr>
        <w:t>IN THE SUPREME COURT</w:t>
      </w:r>
    </w:p>
    <w:p w:rsidR="002C7A3E" w:rsidRPr="002C7A3E" w:rsidRDefault="002C7A3E" w:rsidP="002C7A3E">
      <w:pPr>
        <w:pStyle w:val="Heading1"/>
        <w:jc w:val="center"/>
        <w:rPr>
          <w:bCs w:val="0"/>
          <w:color w:val="000000" w:themeColor="text1"/>
        </w:rPr>
      </w:pPr>
      <w:r w:rsidRPr="002C7A3E">
        <w:rPr>
          <w:color w:val="000000" w:themeColor="text1"/>
        </w:rPr>
        <w:t>STATE OF ARIZONA</w:t>
      </w:r>
    </w:p>
    <w:p w:rsidR="002C7A3E" w:rsidRPr="002C7A3E" w:rsidRDefault="002C7A3E" w:rsidP="002C7A3E">
      <w:pPr>
        <w:jc w:val="both"/>
        <w:rPr>
          <w:rFonts w:ascii="Times New Roman" w:hAnsi="Times New Roman" w:cs="Times New Roman"/>
          <w:color w:val="000000" w:themeColor="text1"/>
          <w:sz w:val="28"/>
          <w:szCs w:val="28"/>
        </w:rPr>
      </w:pPr>
    </w:p>
    <w:p w:rsidR="002C7A3E" w:rsidRPr="002C7A3E" w:rsidRDefault="002C7A3E" w:rsidP="002C7A3E">
      <w:pPr>
        <w:tabs>
          <w:tab w:val="left" w:pos="4320"/>
        </w:tabs>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ab/>
        <w:t>)</w:t>
      </w:r>
    </w:p>
    <w:p w:rsidR="002C7A3E" w:rsidRPr="002C7A3E" w:rsidRDefault="002C7A3E" w:rsidP="002C7A3E">
      <w:pPr>
        <w:widowControl w:val="0"/>
        <w:tabs>
          <w:tab w:val="left" w:pos="4320"/>
        </w:tabs>
        <w:autoSpaceDE w:val="0"/>
        <w:autoSpaceDN w:val="0"/>
        <w:adjustRightInd w:val="0"/>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 xml:space="preserve">In the Matter of                                    </w:t>
      </w:r>
      <w:r w:rsidRPr="002C7A3E">
        <w:rPr>
          <w:rFonts w:ascii="Times New Roman" w:hAnsi="Times New Roman" w:cs="Times New Roman"/>
          <w:color w:val="000000" w:themeColor="text1"/>
          <w:sz w:val="28"/>
          <w:szCs w:val="28"/>
        </w:rPr>
        <w:tab/>
        <w:t xml:space="preserve">)   </w:t>
      </w:r>
    </w:p>
    <w:p w:rsidR="002C7A3E" w:rsidRPr="002C7A3E" w:rsidRDefault="002C7A3E" w:rsidP="002C7A3E">
      <w:pPr>
        <w:widowControl w:val="0"/>
        <w:tabs>
          <w:tab w:val="left" w:pos="4320"/>
        </w:tabs>
        <w:autoSpaceDE w:val="0"/>
        <w:autoSpaceDN w:val="0"/>
        <w:adjustRightInd w:val="0"/>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 xml:space="preserve">                                                             </w:t>
      </w:r>
      <w:r w:rsidRPr="002C7A3E">
        <w:rPr>
          <w:rFonts w:ascii="Times New Roman" w:hAnsi="Times New Roman" w:cs="Times New Roman"/>
          <w:color w:val="000000" w:themeColor="text1"/>
          <w:sz w:val="28"/>
          <w:szCs w:val="28"/>
        </w:rPr>
        <w:tab/>
        <w:t xml:space="preserve">)  </w:t>
      </w:r>
      <w:r w:rsidRPr="002C7A3E">
        <w:rPr>
          <w:rFonts w:ascii="Times New Roman" w:hAnsi="Times New Roman" w:cs="Times New Roman"/>
          <w:color w:val="000000" w:themeColor="text1"/>
          <w:sz w:val="28"/>
          <w:szCs w:val="28"/>
        </w:rPr>
        <w:tab/>
        <w:t>Supreme Court No. R-20-0034</w:t>
      </w:r>
    </w:p>
    <w:p w:rsidR="002C7A3E" w:rsidRPr="002C7A3E" w:rsidRDefault="002C7A3E" w:rsidP="002C7A3E">
      <w:pPr>
        <w:widowControl w:val="0"/>
        <w:tabs>
          <w:tab w:val="left" w:pos="4320"/>
        </w:tabs>
        <w:autoSpaceDE w:val="0"/>
        <w:autoSpaceDN w:val="0"/>
        <w:adjustRightInd w:val="0"/>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PETITION TO AMEND</w:t>
      </w:r>
      <w:r w:rsidRPr="002C7A3E">
        <w:rPr>
          <w:rFonts w:ascii="Times New Roman" w:hAnsi="Times New Roman" w:cs="Times New Roman"/>
          <w:color w:val="000000" w:themeColor="text1"/>
          <w:sz w:val="28"/>
          <w:szCs w:val="28"/>
        </w:rPr>
        <w:tab/>
        <w:t xml:space="preserve">)         </w:t>
      </w:r>
    </w:p>
    <w:p w:rsidR="002C7A3E" w:rsidRPr="002C7A3E" w:rsidRDefault="002C7A3E" w:rsidP="002C7A3E">
      <w:pPr>
        <w:widowControl w:val="0"/>
        <w:tabs>
          <w:tab w:val="left" w:pos="4320"/>
        </w:tabs>
        <w:autoSpaceDE w:val="0"/>
        <w:autoSpaceDN w:val="0"/>
        <w:adjustRightInd w:val="0"/>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RULES 31, 32, 41, 42</w:t>
      </w:r>
      <w:r w:rsidRPr="002C7A3E">
        <w:rPr>
          <w:rFonts w:ascii="Times New Roman" w:hAnsi="Times New Roman" w:cs="Times New Roman"/>
          <w:color w:val="000000" w:themeColor="text1"/>
          <w:sz w:val="28"/>
          <w:szCs w:val="28"/>
        </w:rPr>
        <w:tab/>
        <w:t>)</w:t>
      </w:r>
      <w:r w:rsidRPr="002C7A3E">
        <w:rPr>
          <w:rFonts w:ascii="Times New Roman" w:hAnsi="Times New Roman" w:cs="Times New Roman"/>
          <w:color w:val="000000" w:themeColor="text1"/>
          <w:sz w:val="28"/>
          <w:szCs w:val="28"/>
        </w:rPr>
        <w:tab/>
      </w:r>
    </w:p>
    <w:p w:rsidR="002C7A3E" w:rsidRPr="002C7A3E" w:rsidRDefault="00903391" w:rsidP="002C7A3E">
      <w:pPr>
        <w:widowControl w:val="0"/>
        <w:tabs>
          <w:tab w:val="left" w:pos="4320"/>
        </w:tabs>
        <w:autoSpaceDE w:val="0"/>
        <w:autoSpaceDN w:val="0"/>
        <w:adjustRightInd w:val="0"/>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(ERs 1.0-5.7</w:t>
      </w:r>
      <w:r>
        <w:rPr>
          <w:rFonts w:ascii="Times New Roman" w:hAnsi="Times New Roman" w:cs="Times New Roman"/>
          <w:color w:val="000000" w:themeColor="text1"/>
          <w:sz w:val="28"/>
          <w:szCs w:val="28"/>
        </w:rPr>
        <w:t>, 8.3</w:t>
      </w:r>
      <w:r w:rsidRPr="002C7A3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43, </w:t>
      </w:r>
      <w:r w:rsidR="002C7A3E" w:rsidRPr="002C7A3E">
        <w:rPr>
          <w:rFonts w:ascii="Times New Roman" w:hAnsi="Times New Roman" w:cs="Times New Roman"/>
          <w:color w:val="000000" w:themeColor="text1"/>
          <w:sz w:val="28"/>
          <w:szCs w:val="28"/>
        </w:rPr>
        <w:t>46-51, 54-58,</w:t>
      </w:r>
      <w:r w:rsidR="002C7A3E" w:rsidRPr="002C7A3E">
        <w:rPr>
          <w:rFonts w:ascii="Times New Roman" w:hAnsi="Times New Roman" w:cs="Times New Roman"/>
          <w:color w:val="000000" w:themeColor="text1"/>
          <w:sz w:val="28"/>
          <w:szCs w:val="28"/>
        </w:rPr>
        <w:tab/>
        <w:t>)</w:t>
      </w:r>
      <w:r w:rsidR="002C7A3E" w:rsidRPr="002C7A3E">
        <w:rPr>
          <w:rFonts w:ascii="Times New Roman" w:hAnsi="Times New Roman" w:cs="Times New Roman"/>
          <w:color w:val="000000" w:themeColor="text1"/>
          <w:sz w:val="28"/>
          <w:szCs w:val="28"/>
        </w:rPr>
        <w:tab/>
      </w:r>
    </w:p>
    <w:p w:rsidR="002C7A3E" w:rsidRPr="002C7A3E" w:rsidRDefault="00903391" w:rsidP="002C7A3E">
      <w:pPr>
        <w:widowControl w:val="0"/>
        <w:tabs>
          <w:tab w:val="left" w:pos="4320"/>
        </w:tabs>
        <w:autoSpaceDE w:val="0"/>
        <w:autoSpaceDN w:val="0"/>
        <w:adjustRightInd w:val="0"/>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60,</w:t>
      </w:r>
      <w:r>
        <w:rPr>
          <w:rFonts w:ascii="Times New Roman" w:hAnsi="Times New Roman" w:cs="Times New Roman"/>
          <w:color w:val="000000" w:themeColor="text1"/>
          <w:sz w:val="28"/>
          <w:szCs w:val="28"/>
        </w:rPr>
        <w:t xml:space="preserve"> 63, 66-67,</w:t>
      </w:r>
      <w:r w:rsidRPr="002C7A3E">
        <w:rPr>
          <w:rFonts w:ascii="Times New Roman" w:hAnsi="Times New Roman" w:cs="Times New Roman"/>
          <w:color w:val="000000" w:themeColor="text1"/>
          <w:sz w:val="28"/>
          <w:szCs w:val="28"/>
        </w:rPr>
        <w:t xml:space="preserve"> 75</w:t>
      </w:r>
      <w:r>
        <w:rPr>
          <w:rFonts w:ascii="Times New Roman" w:hAnsi="Times New Roman" w:cs="Times New Roman"/>
          <w:color w:val="000000" w:themeColor="text1"/>
          <w:sz w:val="28"/>
          <w:szCs w:val="28"/>
        </w:rPr>
        <w:t>-</w:t>
      </w:r>
      <w:r w:rsidR="002C7A3E" w:rsidRPr="002C7A3E">
        <w:rPr>
          <w:rFonts w:ascii="Times New Roman" w:hAnsi="Times New Roman" w:cs="Times New Roman"/>
          <w:color w:val="000000" w:themeColor="text1"/>
          <w:sz w:val="28"/>
          <w:szCs w:val="28"/>
        </w:rPr>
        <w:t>76, ARIZ. R.</w:t>
      </w:r>
      <w:r w:rsidR="002C7A3E" w:rsidRPr="002C7A3E">
        <w:rPr>
          <w:rFonts w:ascii="Times New Roman" w:hAnsi="Times New Roman" w:cs="Times New Roman"/>
          <w:color w:val="000000" w:themeColor="text1"/>
          <w:sz w:val="28"/>
          <w:szCs w:val="28"/>
        </w:rPr>
        <w:tab/>
        <w:t>)</w:t>
      </w:r>
      <w:r w:rsidR="002C7A3E" w:rsidRPr="002C7A3E">
        <w:rPr>
          <w:rFonts w:ascii="Times New Roman" w:hAnsi="Times New Roman" w:cs="Times New Roman"/>
          <w:color w:val="000000" w:themeColor="text1"/>
          <w:sz w:val="28"/>
          <w:szCs w:val="28"/>
        </w:rPr>
        <w:tab/>
      </w:r>
      <w:r w:rsidR="002C7A3E">
        <w:rPr>
          <w:rFonts w:ascii="Times New Roman" w:hAnsi="Times New Roman" w:cs="Times New Roman"/>
          <w:color w:val="000000" w:themeColor="text1"/>
          <w:sz w:val="28"/>
          <w:szCs w:val="28"/>
        </w:rPr>
        <w:t>Reply</w:t>
      </w:r>
      <w:r w:rsidR="002C7A3E" w:rsidRPr="002C7A3E">
        <w:rPr>
          <w:rFonts w:ascii="Times New Roman" w:hAnsi="Times New Roman" w:cs="Times New Roman"/>
          <w:color w:val="000000" w:themeColor="text1"/>
          <w:sz w:val="28"/>
          <w:szCs w:val="28"/>
        </w:rPr>
        <w:t xml:space="preserve"> and </w:t>
      </w:r>
      <w:r w:rsidR="002C7A3E">
        <w:rPr>
          <w:rFonts w:ascii="Times New Roman" w:hAnsi="Times New Roman" w:cs="Times New Roman"/>
          <w:color w:val="000000" w:themeColor="text1"/>
          <w:sz w:val="28"/>
          <w:szCs w:val="28"/>
        </w:rPr>
        <w:t xml:space="preserve">Final </w:t>
      </w:r>
      <w:r w:rsidR="002C7A3E" w:rsidRPr="002C7A3E">
        <w:rPr>
          <w:rFonts w:ascii="Times New Roman" w:hAnsi="Times New Roman" w:cs="Times New Roman"/>
          <w:color w:val="000000" w:themeColor="text1"/>
          <w:sz w:val="28"/>
          <w:szCs w:val="28"/>
        </w:rPr>
        <w:t>Amended Petition</w:t>
      </w:r>
    </w:p>
    <w:p w:rsidR="002C7A3E" w:rsidRDefault="00903391" w:rsidP="002C7A3E">
      <w:pPr>
        <w:widowControl w:val="0"/>
        <w:tabs>
          <w:tab w:val="left" w:pos="4320"/>
        </w:tabs>
        <w:autoSpaceDE w:val="0"/>
        <w:autoSpaceDN w:val="0"/>
        <w:adjustRightInd w:val="0"/>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 xml:space="preserve">SUP. CT., and </w:t>
      </w:r>
      <w:r w:rsidR="002C7A3E" w:rsidRPr="002C7A3E">
        <w:rPr>
          <w:rFonts w:ascii="Times New Roman" w:hAnsi="Times New Roman" w:cs="Times New Roman"/>
          <w:color w:val="000000" w:themeColor="text1"/>
          <w:sz w:val="28"/>
          <w:szCs w:val="28"/>
        </w:rPr>
        <w:t>ADOPT NEW</w:t>
      </w:r>
      <w:r w:rsidR="002C7A3E">
        <w:rPr>
          <w:rFonts w:ascii="Times New Roman" w:hAnsi="Times New Roman" w:cs="Times New Roman"/>
          <w:color w:val="000000" w:themeColor="text1"/>
          <w:sz w:val="28"/>
          <w:szCs w:val="28"/>
        </w:rPr>
        <w:tab/>
        <w:t>)</w:t>
      </w:r>
    </w:p>
    <w:p w:rsidR="002C7A3E" w:rsidRPr="002C7A3E" w:rsidRDefault="00903391" w:rsidP="002C7A3E">
      <w:pPr>
        <w:widowControl w:val="0"/>
        <w:tabs>
          <w:tab w:val="left" w:pos="4320"/>
        </w:tabs>
        <w:autoSpaceDE w:val="0"/>
        <w:autoSpaceDN w:val="0"/>
        <w:adjustRightInd w:val="0"/>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RULE 33.1,</w:t>
      </w:r>
      <w:r>
        <w:rPr>
          <w:rFonts w:ascii="Times New Roman" w:hAnsi="Times New Roman" w:cs="Times New Roman"/>
          <w:color w:val="000000" w:themeColor="text1"/>
          <w:sz w:val="28"/>
          <w:szCs w:val="28"/>
        </w:rPr>
        <w:t xml:space="preserve"> </w:t>
      </w:r>
      <w:r w:rsidR="002C7A3E" w:rsidRPr="002C7A3E">
        <w:rPr>
          <w:rFonts w:ascii="Times New Roman" w:hAnsi="Times New Roman" w:cs="Times New Roman"/>
          <w:color w:val="000000" w:themeColor="text1"/>
          <w:sz w:val="28"/>
          <w:szCs w:val="28"/>
        </w:rPr>
        <w:t>ARIZ. R. SUP. CT.</w:t>
      </w:r>
      <w:r w:rsidR="002C7A3E" w:rsidRPr="002C7A3E">
        <w:rPr>
          <w:rFonts w:ascii="Times New Roman" w:hAnsi="Times New Roman" w:cs="Times New Roman"/>
          <w:color w:val="000000" w:themeColor="text1"/>
          <w:sz w:val="28"/>
          <w:szCs w:val="28"/>
        </w:rPr>
        <w:tab/>
        <w:t>)</w:t>
      </w:r>
      <w:r w:rsidR="002C7A3E" w:rsidRPr="002C7A3E">
        <w:rPr>
          <w:rFonts w:ascii="Times New Roman" w:hAnsi="Times New Roman" w:cs="Times New Roman"/>
          <w:color w:val="000000" w:themeColor="text1"/>
          <w:sz w:val="28"/>
          <w:szCs w:val="28"/>
        </w:rPr>
        <w:tab/>
      </w:r>
    </w:p>
    <w:p w:rsidR="002C7A3E" w:rsidRPr="002C7A3E" w:rsidRDefault="002C7A3E" w:rsidP="002C7A3E">
      <w:pPr>
        <w:tabs>
          <w:tab w:val="left" w:pos="4320"/>
        </w:tabs>
        <w:jc w:val="both"/>
        <w:rPr>
          <w:rFonts w:ascii="Times New Roman" w:hAnsi="Times New Roman" w:cs="Times New Roman"/>
          <w:color w:val="000000" w:themeColor="text1"/>
          <w:sz w:val="28"/>
          <w:szCs w:val="28"/>
        </w:rPr>
      </w:pPr>
      <w:r w:rsidRPr="002C7A3E">
        <w:rPr>
          <w:rFonts w:ascii="Times New Roman" w:hAnsi="Times New Roman" w:cs="Times New Roman"/>
          <w:color w:val="000000" w:themeColor="text1"/>
          <w:sz w:val="28"/>
          <w:szCs w:val="28"/>
        </w:rPr>
        <w:t>_______________________________)</w:t>
      </w:r>
      <w:r w:rsidRPr="002C7A3E">
        <w:rPr>
          <w:rFonts w:ascii="Times New Roman" w:hAnsi="Times New Roman" w:cs="Times New Roman"/>
          <w:color w:val="000000" w:themeColor="text1"/>
          <w:sz w:val="28"/>
          <w:szCs w:val="28"/>
        </w:rPr>
        <w:tab/>
        <w:t xml:space="preserve">         </w:t>
      </w:r>
    </w:p>
    <w:p w:rsidR="002C7A3E" w:rsidRPr="002C7A3E" w:rsidRDefault="002C7A3E" w:rsidP="002C7A3E">
      <w:pPr>
        <w:jc w:val="both"/>
        <w:rPr>
          <w:rFonts w:ascii="Times New Roman" w:hAnsi="Times New Roman" w:cs="Times New Roman"/>
          <w:color w:val="000000" w:themeColor="text1"/>
          <w:sz w:val="28"/>
          <w:szCs w:val="28"/>
        </w:rPr>
      </w:pPr>
    </w:p>
    <w:p w:rsidR="002C7A3E" w:rsidRPr="00D81CDC" w:rsidRDefault="002C7A3E" w:rsidP="002C7A3E">
      <w:pPr>
        <w:spacing w:line="480" w:lineRule="auto"/>
        <w:ind w:firstLine="720"/>
        <w:jc w:val="both"/>
        <w:rPr>
          <w:rFonts w:ascii="Times New Roman" w:hAnsi="Times New Roman" w:cs="Times New Roman"/>
          <w:b/>
          <w:bCs/>
          <w:sz w:val="28"/>
          <w:szCs w:val="28"/>
        </w:rPr>
      </w:pPr>
      <w:r w:rsidRPr="00D81CDC">
        <w:rPr>
          <w:rFonts w:ascii="Times New Roman" w:hAnsi="Times New Roman" w:cs="Times New Roman"/>
          <w:color w:val="000000" w:themeColor="text1"/>
          <w:sz w:val="28"/>
          <w:szCs w:val="28"/>
        </w:rPr>
        <w:t xml:space="preserve">This Reply and Final Amended Petition explains additional proposed amendments made to Arizona Supreme Court Rules, including the proposed Arizona Code of Judicial Administration sections, that complete the proposals set forth in Petitioner’s petition. </w:t>
      </w:r>
    </w:p>
    <w:p w:rsidR="00785514" w:rsidRPr="00D81CDC" w:rsidRDefault="0024385D"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Pursuant to Rule 28, Rules of the Supreme Court of Arizona, </w:t>
      </w:r>
      <w:r w:rsidR="00785514" w:rsidRPr="00D81CDC">
        <w:rPr>
          <w:rFonts w:ascii="Times New Roman" w:hAnsi="Times New Roman" w:cs="Times New Roman"/>
          <w:sz w:val="28"/>
          <w:szCs w:val="28"/>
        </w:rPr>
        <w:t>Petitioner</w:t>
      </w:r>
      <w:r w:rsidR="00B72008" w:rsidRPr="00D81CDC">
        <w:rPr>
          <w:rFonts w:ascii="Times New Roman" w:hAnsi="Times New Roman" w:cs="Times New Roman"/>
          <w:sz w:val="28"/>
          <w:szCs w:val="28"/>
        </w:rPr>
        <w:t xml:space="preserve"> </w:t>
      </w:r>
      <w:r w:rsidRPr="00D81CDC">
        <w:rPr>
          <w:rFonts w:ascii="Times New Roman" w:hAnsi="Times New Roman" w:cs="Times New Roman"/>
          <w:sz w:val="28"/>
          <w:szCs w:val="28"/>
        </w:rPr>
        <w:t>petitioned the Court</w:t>
      </w:r>
      <w:r w:rsidR="001C4F3F" w:rsidRPr="00D81CDC">
        <w:rPr>
          <w:rFonts w:ascii="Times New Roman" w:hAnsi="Times New Roman" w:cs="Times New Roman"/>
          <w:sz w:val="28"/>
          <w:szCs w:val="28"/>
        </w:rPr>
        <w:t xml:space="preserve"> to </w:t>
      </w:r>
      <w:r w:rsidR="001C01E7" w:rsidRPr="00D81CDC">
        <w:rPr>
          <w:rFonts w:ascii="Times New Roman" w:hAnsi="Times New Roman" w:cs="Times New Roman"/>
          <w:sz w:val="28"/>
          <w:szCs w:val="28"/>
        </w:rPr>
        <w:t xml:space="preserve">allow </w:t>
      </w:r>
      <w:r w:rsidR="00C75E9C" w:rsidRPr="00D81CDC">
        <w:rPr>
          <w:rFonts w:ascii="Times New Roman" w:hAnsi="Times New Roman" w:cs="Times New Roman"/>
          <w:sz w:val="28"/>
          <w:szCs w:val="28"/>
        </w:rPr>
        <w:t>nonlawyer</w:t>
      </w:r>
      <w:r w:rsidR="001C01E7" w:rsidRPr="00D81CDC">
        <w:rPr>
          <w:rFonts w:ascii="Times New Roman" w:hAnsi="Times New Roman" w:cs="Times New Roman"/>
          <w:sz w:val="28"/>
          <w:szCs w:val="28"/>
        </w:rPr>
        <w:t>s to have ownership interests in law firm</w:t>
      </w:r>
      <w:r w:rsidR="001C4F3F" w:rsidRPr="00D81CDC">
        <w:rPr>
          <w:rFonts w:ascii="Times New Roman" w:hAnsi="Times New Roman" w:cs="Times New Roman"/>
          <w:sz w:val="28"/>
          <w:szCs w:val="28"/>
        </w:rPr>
        <w:t>s</w:t>
      </w:r>
      <w:r w:rsidR="00F70D5D" w:rsidRPr="00D81CDC">
        <w:rPr>
          <w:rFonts w:ascii="Times New Roman" w:hAnsi="Times New Roman" w:cs="Times New Roman"/>
          <w:sz w:val="28"/>
          <w:szCs w:val="28"/>
        </w:rPr>
        <w:t xml:space="preserve"> and to create a new category of legal</w:t>
      </w:r>
      <w:r w:rsidR="007B3793" w:rsidRPr="00D81CDC">
        <w:rPr>
          <w:rFonts w:ascii="Times New Roman" w:hAnsi="Times New Roman" w:cs="Times New Roman"/>
          <w:sz w:val="28"/>
          <w:szCs w:val="28"/>
        </w:rPr>
        <w:t>-service provider</w:t>
      </w:r>
      <w:r w:rsidR="00AB51AB" w:rsidRPr="00D81CDC">
        <w:rPr>
          <w:rFonts w:ascii="Times New Roman" w:hAnsi="Times New Roman" w:cs="Times New Roman"/>
          <w:sz w:val="28"/>
          <w:szCs w:val="28"/>
        </w:rPr>
        <w:t xml:space="preserve">, as well as make other rule </w:t>
      </w:r>
      <w:r w:rsidR="00AB51AB" w:rsidRPr="00D81CDC">
        <w:rPr>
          <w:rFonts w:ascii="Times New Roman" w:hAnsi="Times New Roman" w:cs="Times New Roman"/>
          <w:sz w:val="28"/>
          <w:szCs w:val="28"/>
        </w:rPr>
        <w:lastRenderedPageBreak/>
        <w:t>changes.</w:t>
      </w:r>
      <w:r w:rsidR="001C4F3F" w:rsidRPr="00D81CDC">
        <w:rPr>
          <w:rFonts w:ascii="Times New Roman" w:hAnsi="Times New Roman" w:cs="Times New Roman"/>
          <w:sz w:val="28"/>
          <w:szCs w:val="28"/>
        </w:rPr>
        <w:t xml:space="preserve"> </w:t>
      </w:r>
      <w:r w:rsidR="00785514" w:rsidRPr="00D81CDC">
        <w:rPr>
          <w:rFonts w:ascii="Times New Roman" w:hAnsi="Times New Roman" w:cs="Times New Roman"/>
          <w:sz w:val="28"/>
          <w:szCs w:val="28"/>
        </w:rPr>
        <w:t xml:space="preserve">The Court’s Task Force on the Delivery of Legal Services (“Task Force”) recommended </w:t>
      </w:r>
      <w:r w:rsidR="00AB51AB" w:rsidRPr="00D81CDC">
        <w:rPr>
          <w:rFonts w:ascii="Times New Roman" w:hAnsi="Times New Roman" w:cs="Times New Roman"/>
          <w:sz w:val="28"/>
          <w:szCs w:val="28"/>
        </w:rPr>
        <w:t>the</w:t>
      </w:r>
      <w:r w:rsidR="00591F51" w:rsidRPr="00D81CDC">
        <w:rPr>
          <w:rFonts w:ascii="Times New Roman" w:hAnsi="Times New Roman" w:cs="Times New Roman"/>
          <w:sz w:val="28"/>
          <w:szCs w:val="28"/>
        </w:rPr>
        <w:t>se</w:t>
      </w:r>
      <w:r w:rsidR="00785514" w:rsidRPr="00D81CDC">
        <w:rPr>
          <w:rFonts w:ascii="Times New Roman" w:hAnsi="Times New Roman" w:cs="Times New Roman"/>
          <w:sz w:val="28"/>
          <w:szCs w:val="28"/>
        </w:rPr>
        <w:t xml:space="preserve"> significant initiatives as ways to increase the public’s access to legal services</w:t>
      </w:r>
      <w:r w:rsidR="00AB51AB" w:rsidRPr="00D81CDC">
        <w:rPr>
          <w:rFonts w:ascii="Times New Roman" w:hAnsi="Times New Roman" w:cs="Times New Roman"/>
          <w:sz w:val="28"/>
          <w:szCs w:val="28"/>
        </w:rPr>
        <w:t>.</w:t>
      </w:r>
    </w:p>
    <w:p w:rsidR="00BD637C" w:rsidRPr="00D81CDC" w:rsidRDefault="00B242A2"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In response to concerns and issues raised by </w:t>
      </w:r>
      <w:r w:rsidR="001C4F3F" w:rsidRPr="00D81CDC">
        <w:rPr>
          <w:rFonts w:ascii="Times New Roman" w:hAnsi="Times New Roman" w:cs="Times New Roman"/>
          <w:sz w:val="28"/>
          <w:szCs w:val="28"/>
        </w:rPr>
        <w:t>stakeholders</w:t>
      </w:r>
      <w:r w:rsidR="001A0958" w:rsidRPr="00D81CDC">
        <w:rPr>
          <w:rFonts w:ascii="Times New Roman" w:hAnsi="Times New Roman" w:cs="Times New Roman"/>
          <w:sz w:val="28"/>
          <w:szCs w:val="28"/>
        </w:rPr>
        <w:t>, such as the State Bar of Arizona,</w:t>
      </w:r>
      <w:r w:rsidR="001C4F3F" w:rsidRPr="00D81CDC">
        <w:rPr>
          <w:rFonts w:ascii="Times New Roman" w:hAnsi="Times New Roman" w:cs="Times New Roman"/>
          <w:sz w:val="28"/>
          <w:szCs w:val="28"/>
        </w:rPr>
        <w:t xml:space="preserve"> and </w:t>
      </w:r>
      <w:r w:rsidR="001A0958" w:rsidRPr="00D81CDC">
        <w:rPr>
          <w:rFonts w:ascii="Times New Roman" w:hAnsi="Times New Roman" w:cs="Times New Roman"/>
          <w:sz w:val="28"/>
          <w:szCs w:val="28"/>
        </w:rPr>
        <w:t xml:space="preserve">the </w:t>
      </w:r>
      <w:r w:rsidR="00FA6404">
        <w:rPr>
          <w:rFonts w:ascii="Times New Roman" w:hAnsi="Times New Roman" w:cs="Times New Roman"/>
          <w:sz w:val="28"/>
          <w:szCs w:val="28"/>
        </w:rPr>
        <w:t xml:space="preserve">comments by lawyers </w:t>
      </w:r>
      <w:r w:rsidR="005B2E67">
        <w:rPr>
          <w:rFonts w:ascii="Times New Roman" w:hAnsi="Times New Roman" w:cs="Times New Roman"/>
          <w:sz w:val="28"/>
          <w:szCs w:val="28"/>
        </w:rPr>
        <w:t>on</w:t>
      </w:r>
      <w:r w:rsidR="00FA6404">
        <w:rPr>
          <w:rFonts w:ascii="Times New Roman" w:hAnsi="Times New Roman" w:cs="Times New Roman"/>
          <w:sz w:val="28"/>
          <w:szCs w:val="28"/>
        </w:rPr>
        <w:t xml:space="preserve"> the </w:t>
      </w:r>
      <w:proofErr w:type="gramStart"/>
      <w:r w:rsidR="00FA6404">
        <w:rPr>
          <w:rFonts w:ascii="Times New Roman" w:hAnsi="Times New Roman" w:cs="Times New Roman"/>
          <w:sz w:val="28"/>
          <w:szCs w:val="28"/>
        </w:rPr>
        <w:t>rules</w:t>
      </w:r>
      <w:proofErr w:type="gramEnd"/>
      <w:r w:rsidR="00FA6404">
        <w:rPr>
          <w:rFonts w:ascii="Times New Roman" w:hAnsi="Times New Roman" w:cs="Times New Roman"/>
          <w:sz w:val="28"/>
          <w:szCs w:val="28"/>
        </w:rPr>
        <w:t xml:space="preserve"> forum</w:t>
      </w:r>
      <w:r w:rsidR="00AB51AB" w:rsidRPr="00D81CDC">
        <w:rPr>
          <w:rFonts w:ascii="Times New Roman" w:hAnsi="Times New Roman" w:cs="Times New Roman"/>
          <w:sz w:val="28"/>
          <w:szCs w:val="28"/>
        </w:rPr>
        <w:t>, a</w:t>
      </w:r>
      <w:r w:rsidR="001A0958" w:rsidRPr="00D81CDC">
        <w:rPr>
          <w:rFonts w:ascii="Times New Roman" w:hAnsi="Times New Roman" w:cs="Times New Roman"/>
          <w:sz w:val="28"/>
          <w:szCs w:val="28"/>
        </w:rPr>
        <w:t xml:space="preserve">s well as continuing work by the Entity Regulation Work Group, Petitioner now submits a </w:t>
      </w:r>
      <w:r w:rsidR="002C7A3E" w:rsidRPr="00D81CDC">
        <w:rPr>
          <w:rFonts w:ascii="Times New Roman" w:hAnsi="Times New Roman" w:cs="Times New Roman"/>
          <w:sz w:val="28"/>
          <w:szCs w:val="28"/>
        </w:rPr>
        <w:t>reply</w:t>
      </w:r>
      <w:r w:rsidR="001A0958" w:rsidRPr="00D81CDC">
        <w:rPr>
          <w:rFonts w:ascii="Times New Roman" w:hAnsi="Times New Roman" w:cs="Times New Roman"/>
          <w:sz w:val="28"/>
          <w:szCs w:val="28"/>
        </w:rPr>
        <w:t xml:space="preserve"> and </w:t>
      </w:r>
      <w:r w:rsidR="002C7A3E" w:rsidRPr="00D81CDC">
        <w:rPr>
          <w:rFonts w:ascii="Times New Roman" w:hAnsi="Times New Roman" w:cs="Times New Roman"/>
          <w:sz w:val="28"/>
          <w:szCs w:val="28"/>
        </w:rPr>
        <w:t xml:space="preserve">final </w:t>
      </w:r>
      <w:r w:rsidR="001A0958" w:rsidRPr="00D81CDC">
        <w:rPr>
          <w:rFonts w:ascii="Times New Roman" w:hAnsi="Times New Roman" w:cs="Times New Roman"/>
          <w:sz w:val="28"/>
          <w:szCs w:val="28"/>
        </w:rPr>
        <w:t>amended petition.</w:t>
      </w:r>
      <w:r w:rsidR="00BD637C" w:rsidRPr="00D81CDC">
        <w:rPr>
          <w:rFonts w:ascii="Times New Roman" w:hAnsi="Times New Roman" w:cs="Times New Roman"/>
          <w:sz w:val="28"/>
          <w:szCs w:val="28"/>
        </w:rPr>
        <w:t xml:space="preserve"> </w:t>
      </w:r>
    </w:p>
    <w:p w:rsidR="00722349" w:rsidRPr="00D81CDC" w:rsidRDefault="001A0958"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This </w:t>
      </w:r>
      <w:r w:rsidR="00D81CDC">
        <w:rPr>
          <w:rFonts w:ascii="Times New Roman" w:hAnsi="Times New Roman" w:cs="Times New Roman"/>
          <w:sz w:val="28"/>
          <w:szCs w:val="28"/>
        </w:rPr>
        <w:t>reply</w:t>
      </w:r>
      <w:r w:rsidR="00BD637C"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builds on the explanations in the original petition and the </w:t>
      </w:r>
      <w:r w:rsidR="00B4312E" w:rsidRPr="00D81CDC">
        <w:rPr>
          <w:rFonts w:ascii="Times New Roman" w:hAnsi="Times New Roman" w:cs="Times New Roman"/>
          <w:sz w:val="28"/>
          <w:szCs w:val="28"/>
        </w:rPr>
        <w:t>first</w:t>
      </w:r>
      <w:r w:rsidRPr="00D81CDC">
        <w:rPr>
          <w:rFonts w:ascii="Times New Roman" w:hAnsi="Times New Roman" w:cs="Times New Roman"/>
          <w:sz w:val="28"/>
          <w:szCs w:val="28"/>
        </w:rPr>
        <w:t xml:space="preserve"> response</w:t>
      </w:r>
      <w:r w:rsidR="00BD637C" w:rsidRPr="00D81CDC">
        <w:rPr>
          <w:rFonts w:ascii="Times New Roman" w:hAnsi="Times New Roman" w:cs="Times New Roman"/>
          <w:sz w:val="28"/>
          <w:szCs w:val="28"/>
        </w:rPr>
        <w:t xml:space="preserve">, and responds to </w:t>
      </w:r>
      <w:r w:rsidR="00A22D69" w:rsidRPr="00D81CDC">
        <w:rPr>
          <w:rFonts w:ascii="Times New Roman" w:hAnsi="Times New Roman" w:cs="Times New Roman"/>
          <w:sz w:val="28"/>
          <w:szCs w:val="28"/>
        </w:rPr>
        <w:t xml:space="preserve">some </w:t>
      </w:r>
      <w:r w:rsidR="00274ED8" w:rsidRPr="00D81CDC">
        <w:rPr>
          <w:rFonts w:ascii="Times New Roman" w:hAnsi="Times New Roman" w:cs="Times New Roman"/>
          <w:sz w:val="28"/>
          <w:szCs w:val="28"/>
        </w:rPr>
        <w:t>stakeholders</w:t>
      </w:r>
      <w:r w:rsidR="00AD2F7E" w:rsidRPr="00D81CDC">
        <w:rPr>
          <w:rFonts w:ascii="Times New Roman" w:hAnsi="Times New Roman" w:cs="Times New Roman"/>
          <w:sz w:val="28"/>
          <w:szCs w:val="28"/>
        </w:rPr>
        <w:t>’</w:t>
      </w:r>
      <w:r w:rsidR="00274ED8" w:rsidRPr="00D81CDC">
        <w:rPr>
          <w:rFonts w:ascii="Times New Roman" w:hAnsi="Times New Roman" w:cs="Times New Roman"/>
          <w:sz w:val="28"/>
          <w:szCs w:val="28"/>
        </w:rPr>
        <w:t xml:space="preserve"> and commenters</w:t>
      </w:r>
      <w:r w:rsidR="00AD2F7E" w:rsidRPr="00D81CDC">
        <w:rPr>
          <w:rFonts w:ascii="Times New Roman" w:hAnsi="Times New Roman" w:cs="Times New Roman"/>
          <w:sz w:val="28"/>
          <w:szCs w:val="28"/>
        </w:rPr>
        <w:t>’</w:t>
      </w:r>
      <w:r w:rsidR="00A22D69" w:rsidRPr="00D81CDC">
        <w:rPr>
          <w:rFonts w:ascii="Times New Roman" w:hAnsi="Times New Roman" w:cs="Times New Roman"/>
          <w:sz w:val="28"/>
          <w:szCs w:val="28"/>
        </w:rPr>
        <w:t xml:space="preserve"> </w:t>
      </w:r>
      <w:r w:rsidR="00BD637C" w:rsidRPr="00D81CDC">
        <w:rPr>
          <w:rFonts w:ascii="Times New Roman" w:hAnsi="Times New Roman" w:cs="Times New Roman"/>
          <w:sz w:val="28"/>
          <w:szCs w:val="28"/>
        </w:rPr>
        <w:t>issues</w:t>
      </w:r>
      <w:r w:rsidR="001170D1" w:rsidRPr="00D81CDC">
        <w:rPr>
          <w:rFonts w:ascii="Times New Roman" w:hAnsi="Times New Roman" w:cs="Times New Roman"/>
          <w:sz w:val="28"/>
          <w:szCs w:val="28"/>
        </w:rPr>
        <w:t xml:space="preserve"> </w:t>
      </w:r>
      <w:r w:rsidR="002550A1" w:rsidRPr="00D81CDC">
        <w:rPr>
          <w:rFonts w:ascii="Times New Roman" w:hAnsi="Times New Roman" w:cs="Times New Roman"/>
          <w:sz w:val="28"/>
          <w:szCs w:val="28"/>
        </w:rPr>
        <w:t>and objection</w:t>
      </w:r>
      <w:r w:rsidR="00A22D69" w:rsidRPr="00D81CDC">
        <w:rPr>
          <w:rFonts w:ascii="Times New Roman" w:hAnsi="Times New Roman" w:cs="Times New Roman"/>
          <w:sz w:val="28"/>
          <w:szCs w:val="28"/>
        </w:rPr>
        <w:t>s.</w:t>
      </w:r>
      <w:r w:rsidR="00BD637C" w:rsidRPr="00D81CDC">
        <w:rPr>
          <w:rFonts w:ascii="Times New Roman" w:hAnsi="Times New Roman" w:cs="Times New Roman"/>
          <w:sz w:val="28"/>
          <w:szCs w:val="28"/>
        </w:rPr>
        <w:t xml:space="preserve"> It also includes </w:t>
      </w:r>
      <w:r w:rsidR="00274ED8" w:rsidRPr="00D81CDC">
        <w:rPr>
          <w:rFonts w:ascii="Times New Roman" w:hAnsi="Times New Roman" w:cs="Times New Roman"/>
          <w:sz w:val="28"/>
          <w:szCs w:val="28"/>
        </w:rPr>
        <w:t xml:space="preserve">several substantive </w:t>
      </w:r>
      <w:r w:rsidR="00BD637C" w:rsidRPr="00D81CDC">
        <w:rPr>
          <w:rFonts w:ascii="Times New Roman" w:hAnsi="Times New Roman" w:cs="Times New Roman"/>
          <w:sz w:val="28"/>
          <w:szCs w:val="28"/>
        </w:rPr>
        <w:t>changes to the first amended petition, as explained below.</w:t>
      </w:r>
      <w:r w:rsidR="001A49D9" w:rsidRPr="00D81CDC">
        <w:rPr>
          <w:rStyle w:val="FootnoteReference"/>
          <w:rFonts w:ascii="Times New Roman" w:hAnsi="Times New Roman" w:cs="Times New Roman"/>
          <w:sz w:val="28"/>
          <w:szCs w:val="28"/>
        </w:rPr>
        <w:footnoteReference w:id="2"/>
      </w:r>
    </w:p>
    <w:p w:rsidR="0060006F" w:rsidRPr="005D698A" w:rsidRDefault="000640EE" w:rsidP="003B4763">
      <w:pPr>
        <w:pStyle w:val="ListParagraph"/>
        <w:numPr>
          <w:ilvl w:val="0"/>
          <w:numId w:val="1"/>
        </w:numPr>
        <w:tabs>
          <w:tab w:val="left" w:pos="360"/>
          <w:tab w:val="left" w:pos="720"/>
        </w:tabs>
        <w:spacing w:line="360" w:lineRule="auto"/>
        <w:ind w:left="720"/>
        <w:jc w:val="both"/>
        <w:rPr>
          <w:rFonts w:ascii="Times New Roman" w:hAnsi="Times New Roman" w:cs="Times New Roman"/>
          <w:b/>
          <w:bCs/>
          <w:sz w:val="28"/>
          <w:szCs w:val="28"/>
        </w:rPr>
      </w:pPr>
      <w:r w:rsidRPr="005D698A">
        <w:rPr>
          <w:rFonts w:ascii="Times New Roman" w:hAnsi="Times New Roman" w:cs="Times New Roman"/>
          <w:b/>
          <w:bCs/>
          <w:sz w:val="28"/>
          <w:szCs w:val="28"/>
        </w:rPr>
        <w:t>A</w:t>
      </w:r>
      <w:r w:rsidR="009D53BD" w:rsidRPr="005D698A">
        <w:rPr>
          <w:rFonts w:ascii="Times New Roman" w:hAnsi="Times New Roman" w:cs="Times New Roman"/>
          <w:b/>
          <w:bCs/>
          <w:sz w:val="28"/>
          <w:szCs w:val="28"/>
        </w:rPr>
        <w:t>lternative business structure (ABS) proposal</w:t>
      </w:r>
    </w:p>
    <w:p w:rsidR="00196CBE" w:rsidRPr="005D698A" w:rsidRDefault="0060006F" w:rsidP="003B4763">
      <w:pPr>
        <w:pStyle w:val="ListParagraph"/>
        <w:numPr>
          <w:ilvl w:val="0"/>
          <w:numId w:val="3"/>
        </w:numPr>
        <w:spacing w:line="360" w:lineRule="auto"/>
        <w:jc w:val="both"/>
        <w:rPr>
          <w:rFonts w:ascii="Times New Roman" w:hAnsi="Times New Roman" w:cs="Times New Roman"/>
          <w:b/>
          <w:bCs/>
          <w:sz w:val="28"/>
          <w:szCs w:val="28"/>
        </w:rPr>
      </w:pPr>
      <w:r w:rsidRPr="005D698A">
        <w:rPr>
          <w:rFonts w:ascii="Times New Roman" w:hAnsi="Times New Roman" w:cs="Times New Roman"/>
          <w:b/>
          <w:bCs/>
          <w:sz w:val="28"/>
          <w:szCs w:val="28"/>
        </w:rPr>
        <w:t>General opposition</w:t>
      </w:r>
    </w:p>
    <w:p w:rsidR="009646E7" w:rsidRPr="00D81CDC" w:rsidRDefault="00617208" w:rsidP="00221286">
      <w:pPr>
        <w:tabs>
          <w:tab w:val="left" w:pos="360"/>
          <w:tab w:val="left" w:pos="720"/>
        </w:tabs>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r>
      <w:r w:rsidRPr="00D81CDC">
        <w:rPr>
          <w:rFonts w:ascii="Times New Roman" w:hAnsi="Times New Roman" w:cs="Times New Roman"/>
          <w:sz w:val="28"/>
          <w:szCs w:val="28"/>
        </w:rPr>
        <w:tab/>
      </w:r>
      <w:r w:rsidR="00B2323D" w:rsidRPr="00D81CDC">
        <w:rPr>
          <w:rFonts w:ascii="Times New Roman" w:hAnsi="Times New Roman" w:cs="Times New Roman"/>
          <w:sz w:val="28"/>
          <w:szCs w:val="28"/>
        </w:rPr>
        <w:t>Many</w:t>
      </w:r>
      <w:r w:rsidRPr="00D81CDC">
        <w:rPr>
          <w:rFonts w:ascii="Times New Roman" w:hAnsi="Times New Roman" w:cs="Times New Roman"/>
          <w:sz w:val="28"/>
          <w:szCs w:val="28"/>
        </w:rPr>
        <w:t xml:space="preserve"> comments that oppose eliminating Ethical Rule (ER) 5.4</w:t>
      </w:r>
      <w:r w:rsidR="00036B01" w:rsidRPr="00D81CDC">
        <w:rPr>
          <w:rFonts w:ascii="Times New Roman" w:hAnsi="Times New Roman" w:cs="Times New Roman"/>
          <w:sz w:val="28"/>
          <w:szCs w:val="28"/>
        </w:rPr>
        <w:t xml:space="preserve"> of the Rules of Professional Conduct, </w:t>
      </w:r>
      <w:r w:rsidRPr="00D81CDC">
        <w:rPr>
          <w:rFonts w:ascii="Times New Roman" w:hAnsi="Times New Roman" w:cs="Times New Roman"/>
          <w:sz w:val="28"/>
          <w:szCs w:val="28"/>
        </w:rPr>
        <w:t xml:space="preserve">Rule 42, Ariz. R. Sup. Ct., focus on the </w:t>
      </w:r>
      <w:r w:rsidR="00036B01" w:rsidRPr="00D81CDC">
        <w:rPr>
          <w:rFonts w:ascii="Times New Roman" w:hAnsi="Times New Roman" w:cs="Times New Roman"/>
          <w:sz w:val="28"/>
          <w:szCs w:val="28"/>
        </w:rPr>
        <w:t>risk</w:t>
      </w:r>
      <w:r w:rsidRPr="00D81CDC">
        <w:rPr>
          <w:rFonts w:ascii="Times New Roman" w:hAnsi="Times New Roman" w:cs="Times New Roman"/>
          <w:sz w:val="28"/>
          <w:szCs w:val="28"/>
        </w:rPr>
        <w:t xml:space="preserve"> that </w:t>
      </w:r>
      <w:r w:rsidR="00C75E9C" w:rsidRPr="00D81CDC">
        <w:rPr>
          <w:rFonts w:ascii="Times New Roman" w:hAnsi="Times New Roman" w:cs="Times New Roman"/>
          <w:sz w:val="28"/>
          <w:szCs w:val="28"/>
        </w:rPr>
        <w:t>nonlawyer</w:t>
      </w:r>
      <w:r w:rsidRPr="00D81CDC">
        <w:rPr>
          <w:rFonts w:ascii="Times New Roman" w:hAnsi="Times New Roman" w:cs="Times New Roman"/>
          <w:sz w:val="28"/>
          <w:szCs w:val="28"/>
        </w:rPr>
        <w:t xml:space="preserve"> owners, </w:t>
      </w:r>
      <w:r w:rsidR="00827B41" w:rsidRPr="00D81CDC">
        <w:rPr>
          <w:rFonts w:ascii="Times New Roman" w:hAnsi="Times New Roman" w:cs="Times New Roman"/>
          <w:sz w:val="28"/>
          <w:szCs w:val="28"/>
        </w:rPr>
        <w:t>presumably</w:t>
      </w:r>
      <w:r w:rsidRPr="00D81CDC">
        <w:rPr>
          <w:rFonts w:ascii="Times New Roman" w:hAnsi="Times New Roman" w:cs="Times New Roman"/>
          <w:sz w:val="28"/>
          <w:szCs w:val="28"/>
        </w:rPr>
        <w:t xml:space="preserve"> intent only on making money, would interfere with</w:t>
      </w:r>
      <w:r w:rsidR="00BD637C" w:rsidRPr="00D81CDC">
        <w:rPr>
          <w:rFonts w:ascii="Times New Roman" w:hAnsi="Times New Roman" w:cs="Times New Roman"/>
          <w:sz w:val="28"/>
          <w:szCs w:val="28"/>
        </w:rPr>
        <w:t xml:space="preserve"> a lawyer’s relationship with a client and </w:t>
      </w:r>
      <w:r w:rsidR="00B2323D" w:rsidRPr="00D81CDC">
        <w:rPr>
          <w:rFonts w:ascii="Times New Roman" w:hAnsi="Times New Roman" w:cs="Times New Roman"/>
          <w:sz w:val="28"/>
          <w:szCs w:val="28"/>
        </w:rPr>
        <w:t>turn the legal profession into a money-</w:t>
      </w:r>
      <w:r w:rsidR="00036B01" w:rsidRPr="00D81CDC">
        <w:rPr>
          <w:rFonts w:ascii="Times New Roman" w:hAnsi="Times New Roman" w:cs="Times New Roman"/>
          <w:sz w:val="28"/>
          <w:szCs w:val="28"/>
        </w:rPr>
        <w:t>at-</w:t>
      </w:r>
      <w:r w:rsidR="00274ED8" w:rsidRPr="00D81CDC">
        <w:rPr>
          <w:rFonts w:ascii="Times New Roman" w:hAnsi="Times New Roman" w:cs="Times New Roman"/>
          <w:sz w:val="28"/>
          <w:szCs w:val="28"/>
        </w:rPr>
        <w:t>all-</w:t>
      </w:r>
      <w:r w:rsidR="00036B01" w:rsidRPr="00D81CDC">
        <w:rPr>
          <w:rFonts w:ascii="Times New Roman" w:hAnsi="Times New Roman" w:cs="Times New Roman"/>
          <w:sz w:val="28"/>
          <w:szCs w:val="28"/>
        </w:rPr>
        <w:t>cost</w:t>
      </w:r>
      <w:r w:rsidR="00274ED8" w:rsidRPr="00D81CDC">
        <w:rPr>
          <w:rFonts w:ascii="Times New Roman" w:hAnsi="Times New Roman" w:cs="Times New Roman"/>
          <w:sz w:val="28"/>
          <w:szCs w:val="28"/>
        </w:rPr>
        <w:t>s</w:t>
      </w:r>
      <w:r w:rsidR="00B2323D" w:rsidRPr="00D81CDC">
        <w:rPr>
          <w:rFonts w:ascii="Times New Roman" w:hAnsi="Times New Roman" w:cs="Times New Roman"/>
          <w:sz w:val="28"/>
          <w:szCs w:val="28"/>
        </w:rPr>
        <w:t xml:space="preserve"> </w:t>
      </w:r>
      <w:r w:rsidR="00B4312E" w:rsidRPr="00D81CDC">
        <w:rPr>
          <w:rFonts w:ascii="Times New Roman" w:hAnsi="Times New Roman" w:cs="Times New Roman"/>
          <w:sz w:val="28"/>
          <w:szCs w:val="28"/>
        </w:rPr>
        <w:t>business</w:t>
      </w:r>
      <w:r w:rsidR="00B2323D" w:rsidRPr="00D81CDC">
        <w:rPr>
          <w:rFonts w:ascii="Times New Roman" w:hAnsi="Times New Roman" w:cs="Times New Roman"/>
          <w:sz w:val="28"/>
          <w:szCs w:val="28"/>
        </w:rPr>
        <w:t>.</w:t>
      </w:r>
    </w:p>
    <w:p w:rsidR="008D5137" w:rsidRPr="00D81CDC" w:rsidRDefault="00BD637C" w:rsidP="00221286">
      <w:pPr>
        <w:tabs>
          <w:tab w:val="left" w:pos="360"/>
          <w:tab w:val="left" w:pos="720"/>
        </w:tabs>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r>
      <w:r w:rsidRPr="00D81CDC">
        <w:rPr>
          <w:rFonts w:ascii="Times New Roman" w:hAnsi="Times New Roman" w:cs="Times New Roman"/>
          <w:sz w:val="28"/>
          <w:szCs w:val="28"/>
        </w:rPr>
        <w:tab/>
      </w:r>
      <w:r w:rsidR="002172FE" w:rsidRPr="00D81CDC">
        <w:rPr>
          <w:rFonts w:ascii="Times New Roman" w:hAnsi="Times New Roman" w:cs="Times New Roman"/>
          <w:sz w:val="28"/>
          <w:szCs w:val="28"/>
        </w:rPr>
        <w:t>Opponents</w:t>
      </w:r>
      <w:r w:rsidRPr="00D81CDC">
        <w:rPr>
          <w:rFonts w:ascii="Times New Roman" w:hAnsi="Times New Roman" w:cs="Times New Roman"/>
          <w:sz w:val="28"/>
          <w:szCs w:val="28"/>
        </w:rPr>
        <w:t xml:space="preserve"> </w:t>
      </w:r>
      <w:r w:rsidR="008D5137" w:rsidRPr="00D81CDC">
        <w:rPr>
          <w:rFonts w:ascii="Times New Roman" w:hAnsi="Times New Roman" w:cs="Times New Roman"/>
          <w:sz w:val="28"/>
          <w:szCs w:val="28"/>
        </w:rPr>
        <w:t xml:space="preserve">raise constructive and valid </w:t>
      </w:r>
      <w:r w:rsidR="00B2323D" w:rsidRPr="00D81CDC">
        <w:rPr>
          <w:rFonts w:ascii="Times New Roman" w:hAnsi="Times New Roman" w:cs="Times New Roman"/>
          <w:sz w:val="28"/>
          <w:szCs w:val="28"/>
        </w:rPr>
        <w:t>concerns</w:t>
      </w:r>
      <w:r w:rsidR="00283169" w:rsidRPr="00D81CDC">
        <w:rPr>
          <w:rFonts w:ascii="Times New Roman" w:hAnsi="Times New Roman" w:cs="Times New Roman"/>
          <w:sz w:val="28"/>
          <w:szCs w:val="28"/>
        </w:rPr>
        <w:t>, including</w:t>
      </w:r>
      <w:r w:rsidR="008D5137" w:rsidRPr="00D81CDC">
        <w:rPr>
          <w:rFonts w:ascii="Times New Roman" w:hAnsi="Times New Roman" w:cs="Times New Roman"/>
          <w:sz w:val="28"/>
          <w:szCs w:val="28"/>
        </w:rPr>
        <w:t xml:space="preserve"> how client information would be </w:t>
      </w:r>
      <w:r w:rsidR="00274ED8" w:rsidRPr="00D81CDC">
        <w:rPr>
          <w:rFonts w:ascii="Times New Roman" w:hAnsi="Times New Roman" w:cs="Times New Roman"/>
          <w:sz w:val="28"/>
          <w:szCs w:val="28"/>
        </w:rPr>
        <w:t>protected</w:t>
      </w:r>
      <w:r w:rsidR="00154F2A" w:rsidRPr="00D81CDC">
        <w:rPr>
          <w:rFonts w:ascii="Times New Roman" w:hAnsi="Times New Roman" w:cs="Times New Roman"/>
          <w:sz w:val="28"/>
          <w:szCs w:val="28"/>
        </w:rPr>
        <w:t xml:space="preserve"> from nonlawyer owners</w:t>
      </w:r>
      <w:r w:rsidR="00283169" w:rsidRPr="00D81CDC">
        <w:rPr>
          <w:rFonts w:ascii="Times New Roman" w:hAnsi="Times New Roman" w:cs="Times New Roman"/>
          <w:sz w:val="28"/>
          <w:szCs w:val="28"/>
        </w:rPr>
        <w:t>; the potential for</w:t>
      </w:r>
      <w:r w:rsidR="008D5137" w:rsidRPr="00D81CDC">
        <w:rPr>
          <w:rFonts w:ascii="Times New Roman" w:hAnsi="Times New Roman" w:cs="Times New Roman"/>
          <w:sz w:val="28"/>
          <w:szCs w:val="28"/>
        </w:rPr>
        <w:t xml:space="preserve"> </w:t>
      </w:r>
      <w:r w:rsidR="00C75E9C" w:rsidRPr="00D81CDC">
        <w:rPr>
          <w:rFonts w:ascii="Times New Roman" w:hAnsi="Times New Roman" w:cs="Times New Roman"/>
          <w:sz w:val="28"/>
          <w:szCs w:val="28"/>
        </w:rPr>
        <w:t>nonlawyer</w:t>
      </w:r>
      <w:r w:rsidR="008D5137" w:rsidRPr="00D81CDC">
        <w:rPr>
          <w:rFonts w:ascii="Times New Roman" w:hAnsi="Times New Roman" w:cs="Times New Roman"/>
          <w:sz w:val="28"/>
          <w:szCs w:val="28"/>
        </w:rPr>
        <w:t xml:space="preserve"> owners </w:t>
      </w:r>
      <w:r w:rsidR="00283169" w:rsidRPr="00D81CDC">
        <w:rPr>
          <w:rFonts w:ascii="Times New Roman" w:hAnsi="Times New Roman" w:cs="Times New Roman"/>
          <w:sz w:val="28"/>
          <w:szCs w:val="28"/>
        </w:rPr>
        <w:t xml:space="preserve">to </w:t>
      </w:r>
      <w:r w:rsidR="00B4312E" w:rsidRPr="00D81CDC">
        <w:rPr>
          <w:rFonts w:ascii="Times New Roman" w:hAnsi="Times New Roman" w:cs="Times New Roman"/>
          <w:sz w:val="28"/>
          <w:szCs w:val="28"/>
        </w:rPr>
        <w:t>engage in misconduct and harm consumers</w:t>
      </w:r>
      <w:r w:rsidR="00274ED8" w:rsidRPr="00D81CDC">
        <w:rPr>
          <w:rFonts w:ascii="Times New Roman" w:hAnsi="Times New Roman" w:cs="Times New Roman"/>
          <w:sz w:val="28"/>
          <w:szCs w:val="28"/>
        </w:rPr>
        <w:t xml:space="preserve">; </w:t>
      </w:r>
      <w:r w:rsidR="00283169" w:rsidRPr="00D81CDC">
        <w:rPr>
          <w:rFonts w:ascii="Times New Roman" w:hAnsi="Times New Roman" w:cs="Times New Roman"/>
          <w:sz w:val="28"/>
          <w:szCs w:val="28"/>
        </w:rPr>
        <w:t xml:space="preserve">and </w:t>
      </w:r>
      <w:r w:rsidR="00274ED8" w:rsidRPr="00D81CDC">
        <w:rPr>
          <w:rFonts w:ascii="Times New Roman" w:hAnsi="Times New Roman" w:cs="Times New Roman"/>
          <w:sz w:val="28"/>
          <w:szCs w:val="28"/>
        </w:rPr>
        <w:t xml:space="preserve">the resulting </w:t>
      </w:r>
      <w:r w:rsidR="008D5137" w:rsidRPr="00D81CDC">
        <w:rPr>
          <w:rFonts w:ascii="Times New Roman" w:hAnsi="Times New Roman" w:cs="Times New Roman"/>
          <w:sz w:val="28"/>
          <w:szCs w:val="28"/>
        </w:rPr>
        <w:t>conflicts</w:t>
      </w:r>
      <w:r w:rsidR="00907800" w:rsidRPr="00D81CDC">
        <w:rPr>
          <w:rFonts w:ascii="Times New Roman" w:hAnsi="Times New Roman" w:cs="Times New Roman"/>
          <w:sz w:val="28"/>
          <w:szCs w:val="28"/>
        </w:rPr>
        <w:t xml:space="preserve"> of interest</w:t>
      </w:r>
      <w:r w:rsidR="008D5137" w:rsidRPr="00D81CDC">
        <w:rPr>
          <w:rFonts w:ascii="Times New Roman" w:hAnsi="Times New Roman" w:cs="Times New Roman"/>
          <w:sz w:val="28"/>
          <w:szCs w:val="28"/>
        </w:rPr>
        <w:t xml:space="preserve"> if, for example, an insurance company owns a law firm that represents a client adverse to that insurance company.</w:t>
      </w:r>
      <w:r w:rsidR="00907800" w:rsidRPr="00D81CDC">
        <w:rPr>
          <w:rFonts w:ascii="Times New Roman" w:hAnsi="Times New Roman" w:cs="Times New Roman"/>
          <w:sz w:val="28"/>
          <w:szCs w:val="28"/>
        </w:rPr>
        <w:t xml:space="preserve"> </w:t>
      </w:r>
      <w:r w:rsidR="00450C46" w:rsidRPr="00D81CDC">
        <w:rPr>
          <w:rFonts w:ascii="Times New Roman" w:hAnsi="Times New Roman" w:cs="Times New Roman"/>
          <w:sz w:val="28"/>
          <w:szCs w:val="28"/>
        </w:rPr>
        <w:t>Lawyer commenters</w:t>
      </w:r>
      <w:r w:rsidR="008D5137" w:rsidRPr="00D81CDC">
        <w:rPr>
          <w:rFonts w:ascii="Times New Roman" w:hAnsi="Times New Roman" w:cs="Times New Roman"/>
          <w:sz w:val="28"/>
          <w:szCs w:val="28"/>
        </w:rPr>
        <w:t xml:space="preserve"> understandably worry</w:t>
      </w:r>
      <w:r w:rsidR="00283169" w:rsidRPr="00D81CDC">
        <w:rPr>
          <w:rFonts w:ascii="Times New Roman" w:hAnsi="Times New Roman" w:cs="Times New Roman"/>
          <w:sz w:val="28"/>
          <w:szCs w:val="28"/>
        </w:rPr>
        <w:t xml:space="preserve"> about damaging the practice of law</w:t>
      </w:r>
      <w:r w:rsidR="00F951C5" w:rsidRPr="00D81CDC">
        <w:rPr>
          <w:rFonts w:ascii="Times New Roman" w:hAnsi="Times New Roman" w:cs="Times New Roman"/>
          <w:sz w:val="28"/>
          <w:szCs w:val="28"/>
        </w:rPr>
        <w:t xml:space="preserve">, not </w:t>
      </w:r>
      <w:r w:rsidR="002172FE" w:rsidRPr="00D81CDC">
        <w:rPr>
          <w:rFonts w:ascii="Times New Roman" w:hAnsi="Times New Roman" w:cs="Times New Roman"/>
          <w:sz w:val="28"/>
          <w:szCs w:val="28"/>
        </w:rPr>
        <w:t xml:space="preserve">necessarily </w:t>
      </w:r>
      <w:r w:rsidR="00283169" w:rsidRPr="00D81CDC">
        <w:rPr>
          <w:rFonts w:ascii="Times New Roman" w:hAnsi="Times New Roman" w:cs="Times New Roman"/>
          <w:sz w:val="28"/>
          <w:szCs w:val="28"/>
        </w:rPr>
        <w:t>in the sense of</w:t>
      </w:r>
      <w:r w:rsidR="00F951C5" w:rsidRPr="00D81CDC">
        <w:rPr>
          <w:rFonts w:ascii="Times New Roman" w:hAnsi="Times New Roman" w:cs="Times New Roman"/>
          <w:sz w:val="28"/>
          <w:szCs w:val="28"/>
        </w:rPr>
        <w:t xml:space="preserve"> </w:t>
      </w:r>
      <w:r w:rsidR="002172FE" w:rsidRPr="00D81CDC">
        <w:rPr>
          <w:rFonts w:ascii="Times New Roman" w:hAnsi="Times New Roman" w:cs="Times New Roman"/>
          <w:sz w:val="28"/>
          <w:szCs w:val="28"/>
        </w:rPr>
        <w:t xml:space="preserve">protecting their </w:t>
      </w:r>
      <w:r w:rsidR="002172FE" w:rsidRPr="00D81CDC">
        <w:rPr>
          <w:rFonts w:ascii="Times New Roman" w:hAnsi="Times New Roman" w:cs="Times New Roman"/>
          <w:sz w:val="28"/>
          <w:szCs w:val="28"/>
        </w:rPr>
        <w:lastRenderedPageBreak/>
        <w:t>livelihoods</w:t>
      </w:r>
      <w:r w:rsidR="00283169" w:rsidRPr="00D81CDC">
        <w:rPr>
          <w:rFonts w:ascii="Times New Roman" w:hAnsi="Times New Roman" w:cs="Times New Roman"/>
          <w:sz w:val="28"/>
          <w:szCs w:val="28"/>
        </w:rPr>
        <w:t xml:space="preserve"> but </w:t>
      </w:r>
      <w:r w:rsidR="00B4312E" w:rsidRPr="00D81CDC">
        <w:rPr>
          <w:rFonts w:ascii="Times New Roman" w:hAnsi="Times New Roman" w:cs="Times New Roman"/>
          <w:sz w:val="28"/>
          <w:szCs w:val="28"/>
        </w:rPr>
        <w:t>because of the</w:t>
      </w:r>
      <w:r w:rsidR="002172FE" w:rsidRPr="00D81CDC">
        <w:rPr>
          <w:rFonts w:ascii="Times New Roman" w:hAnsi="Times New Roman" w:cs="Times New Roman"/>
          <w:sz w:val="28"/>
          <w:szCs w:val="28"/>
        </w:rPr>
        <w:t xml:space="preserve"> possibility that</w:t>
      </w:r>
      <w:r w:rsidR="00F951C5"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a </w:t>
      </w:r>
      <w:r w:rsidR="00C75E9C" w:rsidRPr="00D81CDC">
        <w:rPr>
          <w:rFonts w:ascii="Times New Roman" w:hAnsi="Times New Roman" w:cs="Times New Roman"/>
          <w:sz w:val="28"/>
          <w:szCs w:val="28"/>
        </w:rPr>
        <w:t>nonlawyer</w:t>
      </w:r>
      <w:r w:rsidRPr="00D81CDC">
        <w:rPr>
          <w:rFonts w:ascii="Times New Roman" w:hAnsi="Times New Roman" w:cs="Times New Roman"/>
          <w:sz w:val="28"/>
          <w:szCs w:val="28"/>
        </w:rPr>
        <w:t xml:space="preserve">’s profit motive </w:t>
      </w:r>
      <w:r w:rsidR="002172FE" w:rsidRPr="00D81CDC">
        <w:rPr>
          <w:rFonts w:ascii="Times New Roman" w:hAnsi="Times New Roman" w:cs="Times New Roman"/>
          <w:sz w:val="28"/>
          <w:szCs w:val="28"/>
        </w:rPr>
        <w:t xml:space="preserve">will </w:t>
      </w:r>
      <w:r w:rsidRPr="00D81CDC">
        <w:rPr>
          <w:rFonts w:ascii="Times New Roman" w:hAnsi="Times New Roman" w:cs="Times New Roman"/>
          <w:sz w:val="28"/>
          <w:szCs w:val="28"/>
        </w:rPr>
        <w:t>elbow</w:t>
      </w:r>
      <w:r w:rsidR="002172FE"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out </w:t>
      </w:r>
      <w:r w:rsidR="00B2323D" w:rsidRPr="00D81CDC">
        <w:rPr>
          <w:rFonts w:ascii="Times New Roman" w:hAnsi="Times New Roman" w:cs="Times New Roman"/>
          <w:sz w:val="28"/>
          <w:szCs w:val="28"/>
        </w:rPr>
        <w:t>professionalism</w:t>
      </w:r>
      <w:r w:rsidRPr="00D81CDC">
        <w:rPr>
          <w:rFonts w:ascii="Times New Roman" w:hAnsi="Times New Roman" w:cs="Times New Roman"/>
          <w:sz w:val="28"/>
          <w:szCs w:val="28"/>
        </w:rPr>
        <w:t>.</w:t>
      </w:r>
    </w:p>
    <w:p w:rsidR="00036B01" w:rsidRPr="00D81CDC" w:rsidRDefault="00FA1177" w:rsidP="00221286">
      <w:pPr>
        <w:tabs>
          <w:tab w:val="left" w:pos="360"/>
          <w:tab w:val="left" w:pos="720"/>
        </w:tabs>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r>
      <w:r w:rsidRPr="00D81CDC">
        <w:rPr>
          <w:rFonts w:ascii="Times New Roman" w:hAnsi="Times New Roman" w:cs="Times New Roman"/>
          <w:sz w:val="28"/>
          <w:szCs w:val="28"/>
        </w:rPr>
        <w:tab/>
      </w:r>
      <w:r w:rsidR="00036B01" w:rsidRPr="00D81CDC">
        <w:rPr>
          <w:rFonts w:ascii="Times New Roman" w:hAnsi="Times New Roman" w:cs="Times New Roman"/>
          <w:sz w:val="28"/>
          <w:szCs w:val="28"/>
        </w:rPr>
        <w:t xml:space="preserve">That all </w:t>
      </w:r>
      <w:r w:rsidR="00283169" w:rsidRPr="00D81CDC">
        <w:rPr>
          <w:rFonts w:ascii="Times New Roman" w:hAnsi="Times New Roman" w:cs="Times New Roman"/>
          <w:sz w:val="28"/>
          <w:szCs w:val="28"/>
        </w:rPr>
        <w:t xml:space="preserve">theoretically could </w:t>
      </w:r>
      <w:r w:rsidR="002172FE" w:rsidRPr="00D81CDC">
        <w:rPr>
          <w:rFonts w:ascii="Times New Roman" w:hAnsi="Times New Roman" w:cs="Times New Roman"/>
          <w:sz w:val="28"/>
          <w:szCs w:val="28"/>
        </w:rPr>
        <w:t>happen</w:t>
      </w:r>
      <w:r w:rsidR="00036B01" w:rsidRPr="00D81CDC">
        <w:rPr>
          <w:rFonts w:ascii="Times New Roman" w:hAnsi="Times New Roman" w:cs="Times New Roman"/>
          <w:sz w:val="28"/>
          <w:szCs w:val="28"/>
        </w:rPr>
        <w:t xml:space="preserve"> – if this petition proposed eliminating ER 5.4</w:t>
      </w:r>
      <w:r w:rsidR="002172FE" w:rsidRPr="00D81CDC">
        <w:rPr>
          <w:rFonts w:ascii="Times New Roman" w:hAnsi="Times New Roman" w:cs="Times New Roman"/>
          <w:sz w:val="28"/>
          <w:szCs w:val="28"/>
        </w:rPr>
        <w:t xml:space="preserve"> </w:t>
      </w:r>
      <w:r w:rsidR="00036B01" w:rsidRPr="00D81CDC">
        <w:rPr>
          <w:rFonts w:ascii="Times New Roman" w:hAnsi="Times New Roman" w:cs="Times New Roman"/>
          <w:sz w:val="28"/>
          <w:szCs w:val="28"/>
        </w:rPr>
        <w:t>in a vacuum. Without safeguards, a dis</w:t>
      </w:r>
      <w:r w:rsidR="00827B41" w:rsidRPr="00D81CDC">
        <w:rPr>
          <w:rFonts w:ascii="Times New Roman" w:hAnsi="Times New Roman" w:cs="Times New Roman"/>
          <w:sz w:val="28"/>
          <w:szCs w:val="28"/>
        </w:rPr>
        <w:t xml:space="preserve">reputable </w:t>
      </w:r>
      <w:r w:rsidR="00BD637C" w:rsidRPr="00D81CDC">
        <w:rPr>
          <w:rFonts w:ascii="Times New Roman" w:hAnsi="Times New Roman" w:cs="Times New Roman"/>
          <w:sz w:val="28"/>
          <w:szCs w:val="28"/>
        </w:rPr>
        <w:t>nonlawyer</w:t>
      </w:r>
      <w:r w:rsidR="00827B41" w:rsidRPr="00D81CDC">
        <w:rPr>
          <w:rFonts w:ascii="Times New Roman" w:hAnsi="Times New Roman" w:cs="Times New Roman"/>
          <w:sz w:val="28"/>
          <w:szCs w:val="28"/>
        </w:rPr>
        <w:t xml:space="preserve"> </w:t>
      </w:r>
      <w:r w:rsidR="00B2323D" w:rsidRPr="00D81CDC">
        <w:rPr>
          <w:rFonts w:ascii="Times New Roman" w:hAnsi="Times New Roman" w:cs="Times New Roman"/>
          <w:sz w:val="28"/>
          <w:szCs w:val="28"/>
        </w:rPr>
        <w:t>coul</w:t>
      </w:r>
      <w:r w:rsidR="009C0BB0" w:rsidRPr="00D81CDC">
        <w:rPr>
          <w:rFonts w:ascii="Times New Roman" w:hAnsi="Times New Roman" w:cs="Times New Roman"/>
          <w:sz w:val="28"/>
          <w:szCs w:val="28"/>
        </w:rPr>
        <w:t>d</w:t>
      </w:r>
      <w:r w:rsidR="00B2323D" w:rsidRPr="00D81CDC">
        <w:rPr>
          <w:rFonts w:ascii="Times New Roman" w:hAnsi="Times New Roman" w:cs="Times New Roman"/>
          <w:sz w:val="28"/>
          <w:szCs w:val="28"/>
        </w:rPr>
        <w:t xml:space="preserve"> hire a lawyer as an employee</w:t>
      </w:r>
      <w:r w:rsidR="00B4312E" w:rsidRPr="00D81CDC">
        <w:rPr>
          <w:rFonts w:ascii="Times New Roman" w:hAnsi="Times New Roman" w:cs="Times New Roman"/>
          <w:sz w:val="28"/>
          <w:szCs w:val="28"/>
        </w:rPr>
        <w:t xml:space="preserve">, </w:t>
      </w:r>
      <w:r w:rsidR="009C0BB0" w:rsidRPr="00D81CDC">
        <w:rPr>
          <w:rFonts w:ascii="Times New Roman" w:hAnsi="Times New Roman" w:cs="Times New Roman"/>
          <w:sz w:val="28"/>
          <w:szCs w:val="28"/>
        </w:rPr>
        <w:t xml:space="preserve">hang out a shingle, </w:t>
      </w:r>
      <w:r w:rsidR="00036B01" w:rsidRPr="00D81CDC">
        <w:rPr>
          <w:rFonts w:ascii="Times New Roman" w:hAnsi="Times New Roman" w:cs="Times New Roman"/>
          <w:sz w:val="28"/>
          <w:szCs w:val="28"/>
        </w:rPr>
        <w:t xml:space="preserve">and demand that the lawyer be concerned </w:t>
      </w:r>
      <w:r w:rsidR="001740EC">
        <w:rPr>
          <w:rFonts w:ascii="Times New Roman" w:hAnsi="Times New Roman" w:cs="Times New Roman"/>
          <w:sz w:val="28"/>
          <w:szCs w:val="28"/>
        </w:rPr>
        <w:t xml:space="preserve">only </w:t>
      </w:r>
      <w:r w:rsidR="00036B01" w:rsidRPr="00D81CDC">
        <w:rPr>
          <w:rFonts w:ascii="Times New Roman" w:hAnsi="Times New Roman" w:cs="Times New Roman"/>
          <w:sz w:val="28"/>
          <w:szCs w:val="28"/>
        </w:rPr>
        <w:t>with making money, without regard for clients’ best interests.</w:t>
      </w:r>
    </w:p>
    <w:p w:rsidR="00036B01" w:rsidRPr="00D81CDC" w:rsidRDefault="00036B01" w:rsidP="00221286">
      <w:pPr>
        <w:tabs>
          <w:tab w:val="left" w:pos="360"/>
          <w:tab w:val="left" w:pos="720"/>
        </w:tabs>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r>
      <w:r w:rsidRPr="00D81CDC">
        <w:rPr>
          <w:rFonts w:ascii="Times New Roman" w:hAnsi="Times New Roman" w:cs="Times New Roman"/>
          <w:sz w:val="28"/>
          <w:szCs w:val="28"/>
        </w:rPr>
        <w:tab/>
      </w:r>
      <w:r w:rsidR="00907800" w:rsidRPr="00D81CDC">
        <w:rPr>
          <w:rFonts w:ascii="Times New Roman" w:hAnsi="Times New Roman" w:cs="Times New Roman"/>
          <w:sz w:val="28"/>
          <w:szCs w:val="28"/>
        </w:rPr>
        <w:t>But this petition does not propose eliminating ER 5.</w:t>
      </w:r>
      <w:r w:rsidRPr="00D81CDC">
        <w:rPr>
          <w:rFonts w:ascii="Times New Roman" w:hAnsi="Times New Roman" w:cs="Times New Roman"/>
          <w:sz w:val="28"/>
          <w:szCs w:val="28"/>
        </w:rPr>
        <w:t>4 without safeguards</w:t>
      </w:r>
      <w:r w:rsidR="00907800" w:rsidRPr="00D81CDC">
        <w:rPr>
          <w:rFonts w:ascii="Times New Roman" w:hAnsi="Times New Roman" w:cs="Times New Roman"/>
          <w:sz w:val="28"/>
          <w:szCs w:val="28"/>
        </w:rPr>
        <w:t xml:space="preserve">. Instead, </w:t>
      </w:r>
      <w:r w:rsidR="00274ED8" w:rsidRPr="00D81CDC">
        <w:rPr>
          <w:rFonts w:ascii="Times New Roman" w:hAnsi="Times New Roman" w:cs="Times New Roman"/>
          <w:sz w:val="28"/>
          <w:szCs w:val="28"/>
        </w:rPr>
        <w:t>the</w:t>
      </w:r>
      <w:r w:rsidRPr="00D81CDC">
        <w:rPr>
          <w:rFonts w:ascii="Times New Roman" w:hAnsi="Times New Roman" w:cs="Times New Roman"/>
          <w:sz w:val="28"/>
          <w:szCs w:val="28"/>
        </w:rPr>
        <w:t xml:space="preserve"> proposal to eliminate ER 5.4 and allow nonlawyer ownership</w:t>
      </w:r>
      <w:r w:rsidR="00907800" w:rsidRPr="00D81CDC">
        <w:rPr>
          <w:rFonts w:ascii="Times New Roman" w:hAnsi="Times New Roman" w:cs="Times New Roman"/>
          <w:sz w:val="28"/>
          <w:szCs w:val="28"/>
        </w:rPr>
        <w:t xml:space="preserve"> comes packaged with </w:t>
      </w:r>
      <w:r w:rsidR="00FC2F35">
        <w:rPr>
          <w:rFonts w:ascii="Times New Roman" w:hAnsi="Times New Roman" w:cs="Times New Roman"/>
          <w:sz w:val="28"/>
          <w:szCs w:val="28"/>
        </w:rPr>
        <w:t xml:space="preserve">a </w:t>
      </w:r>
      <w:r w:rsidR="00907800" w:rsidRPr="00D81CDC">
        <w:rPr>
          <w:rFonts w:ascii="Times New Roman" w:hAnsi="Times New Roman" w:cs="Times New Roman"/>
          <w:sz w:val="28"/>
          <w:szCs w:val="28"/>
        </w:rPr>
        <w:t xml:space="preserve">proposed </w:t>
      </w:r>
      <w:r w:rsidR="00B4312E" w:rsidRPr="00D81CDC">
        <w:rPr>
          <w:rFonts w:ascii="Times New Roman" w:hAnsi="Times New Roman" w:cs="Times New Roman"/>
          <w:sz w:val="28"/>
          <w:szCs w:val="28"/>
        </w:rPr>
        <w:t xml:space="preserve">robust regulatory framework </w:t>
      </w:r>
      <w:r w:rsidR="00907800" w:rsidRPr="00D81CDC">
        <w:rPr>
          <w:rFonts w:ascii="Times New Roman" w:hAnsi="Times New Roman" w:cs="Times New Roman"/>
          <w:sz w:val="28"/>
          <w:szCs w:val="28"/>
        </w:rPr>
        <w:t>to guard</w:t>
      </w:r>
      <w:r w:rsidRPr="00D81CDC">
        <w:rPr>
          <w:rFonts w:ascii="Times New Roman" w:hAnsi="Times New Roman" w:cs="Times New Roman"/>
          <w:sz w:val="28"/>
          <w:szCs w:val="28"/>
        </w:rPr>
        <w:t xml:space="preserve"> against</w:t>
      </w:r>
      <w:r w:rsidR="00274ED8" w:rsidRPr="00D81CDC">
        <w:rPr>
          <w:rFonts w:ascii="Times New Roman" w:hAnsi="Times New Roman" w:cs="Times New Roman"/>
          <w:sz w:val="28"/>
          <w:szCs w:val="28"/>
        </w:rPr>
        <w:t xml:space="preserve"> the possible evils</w:t>
      </w:r>
      <w:r w:rsidRPr="00D81CDC">
        <w:rPr>
          <w:rFonts w:ascii="Times New Roman" w:hAnsi="Times New Roman" w:cs="Times New Roman"/>
          <w:sz w:val="28"/>
          <w:szCs w:val="28"/>
        </w:rPr>
        <w:t>.</w:t>
      </w:r>
    </w:p>
    <w:p w:rsidR="00827B41" w:rsidRPr="00D81CDC" w:rsidRDefault="002172FE" w:rsidP="00450C46">
      <w:pPr>
        <w:tabs>
          <w:tab w:val="left" w:pos="360"/>
          <w:tab w:val="left" w:pos="720"/>
        </w:tabs>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r>
      <w:r w:rsidRPr="00D81CDC">
        <w:rPr>
          <w:rFonts w:ascii="Times New Roman" w:hAnsi="Times New Roman" w:cs="Times New Roman"/>
          <w:sz w:val="28"/>
          <w:szCs w:val="28"/>
        </w:rPr>
        <w:tab/>
        <w:t xml:space="preserve">If these </w:t>
      </w:r>
      <w:r w:rsidR="00B4312E" w:rsidRPr="00D81CDC">
        <w:rPr>
          <w:rFonts w:ascii="Times New Roman" w:hAnsi="Times New Roman" w:cs="Times New Roman"/>
          <w:sz w:val="28"/>
          <w:szCs w:val="28"/>
        </w:rPr>
        <w:t>proposals</w:t>
      </w:r>
      <w:r w:rsidRPr="00D81CDC">
        <w:rPr>
          <w:rFonts w:ascii="Times New Roman" w:hAnsi="Times New Roman" w:cs="Times New Roman"/>
          <w:sz w:val="28"/>
          <w:szCs w:val="28"/>
        </w:rPr>
        <w:t xml:space="preserve"> are adopted, the regulations would require that an</w:t>
      </w:r>
      <w:r w:rsidR="009D53BD"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ABS </w:t>
      </w:r>
      <w:r w:rsidR="0082314E" w:rsidRPr="00D81CDC">
        <w:rPr>
          <w:rFonts w:ascii="Times New Roman" w:hAnsi="Times New Roman" w:cs="Times New Roman"/>
          <w:sz w:val="28"/>
          <w:szCs w:val="28"/>
        </w:rPr>
        <w:t>–</w:t>
      </w:r>
      <w:r w:rsidRPr="00D81CDC">
        <w:rPr>
          <w:rFonts w:ascii="Times New Roman" w:hAnsi="Times New Roman" w:cs="Times New Roman"/>
          <w:sz w:val="28"/>
          <w:szCs w:val="28"/>
        </w:rPr>
        <w:t xml:space="preserve"> an entity that provides legal services to third parties and in which a nonlawyer has an economic interest or decision-making authority </w:t>
      </w:r>
      <w:r w:rsidR="0082314E" w:rsidRPr="00D81CDC">
        <w:rPr>
          <w:rFonts w:ascii="Times New Roman" w:hAnsi="Times New Roman" w:cs="Times New Roman"/>
          <w:sz w:val="28"/>
          <w:szCs w:val="28"/>
        </w:rPr>
        <w:t>–</w:t>
      </w:r>
      <w:r w:rsidRPr="00D81CDC">
        <w:rPr>
          <w:rFonts w:ascii="Times New Roman" w:hAnsi="Times New Roman" w:cs="Times New Roman"/>
          <w:sz w:val="28"/>
          <w:szCs w:val="28"/>
        </w:rPr>
        <w:t xml:space="preserve"> be approved and licensed, staffed with a compliance attorney, and </w:t>
      </w:r>
      <w:r w:rsidR="00274ED8" w:rsidRPr="00D81CDC">
        <w:rPr>
          <w:rFonts w:ascii="Times New Roman" w:hAnsi="Times New Roman" w:cs="Times New Roman"/>
          <w:sz w:val="28"/>
          <w:szCs w:val="28"/>
        </w:rPr>
        <w:t>act only in accordance</w:t>
      </w:r>
      <w:r w:rsidRPr="00D81CDC">
        <w:rPr>
          <w:rFonts w:ascii="Times New Roman" w:hAnsi="Times New Roman" w:cs="Times New Roman"/>
          <w:sz w:val="28"/>
          <w:szCs w:val="28"/>
        </w:rPr>
        <w:t xml:space="preserve"> with a </w:t>
      </w:r>
      <w:r w:rsidR="00274ED8" w:rsidRPr="00D81CDC">
        <w:rPr>
          <w:rFonts w:ascii="Times New Roman" w:hAnsi="Times New Roman" w:cs="Times New Roman"/>
          <w:sz w:val="28"/>
          <w:szCs w:val="28"/>
        </w:rPr>
        <w:t xml:space="preserve">detailed </w:t>
      </w:r>
      <w:r w:rsidRPr="00D81CDC">
        <w:rPr>
          <w:rFonts w:ascii="Times New Roman" w:hAnsi="Times New Roman" w:cs="Times New Roman"/>
          <w:sz w:val="28"/>
          <w:szCs w:val="28"/>
        </w:rPr>
        <w:t>code of conduct.</w:t>
      </w:r>
      <w:r w:rsidR="00754DE5" w:rsidRPr="00D81CDC">
        <w:rPr>
          <w:rStyle w:val="FootnoteReference"/>
          <w:rFonts w:ascii="Times New Roman" w:hAnsi="Times New Roman" w:cs="Times New Roman"/>
          <w:sz w:val="28"/>
          <w:szCs w:val="28"/>
        </w:rPr>
        <w:footnoteReference w:id="3"/>
      </w:r>
      <w:r w:rsidR="00283169"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While it is impossible to promise that nothing bad would ever happen, the </w:t>
      </w:r>
      <w:r w:rsidR="00283169" w:rsidRPr="00D81CDC">
        <w:rPr>
          <w:rFonts w:ascii="Times New Roman" w:hAnsi="Times New Roman" w:cs="Times New Roman"/>
          <w:sz w:val="28"/>
          <w:szCs w:val="28"/>
        </w:rPr>
        <w:t xml:space="preserve">proposed </w:t>
      </w:r>
      <w:r w:rsidRPr="00D81CDC">
        <w:rPr>
          <w:rFonts w:ascii="Times New Roman" w:hAnsi="Times New Roman" w:cs="Times New Roman"/>
          <w:sz w:val="28"/>
          <w:szCs w:val="28"/>
        </w:rPr>
        <w:t xml:space="preserve">regulatory </w:t>
      </w:r>
      <w:r w:rsidR="00283169" w:rsidRPr="00D81CDC">
        <w:rPr>
          <w:rFonts w:ascii="Times New Roman" w:hAnsi="Times New Roman" w:cs="Times New Roman"/>
          <w:sz w:val="28"/>
          <w:szCs w:val="28"/>
        </w:rPr>
        <w:t xml:space="preserve">structure proactively anticipates problems, such as </w:t>
      </w:r>
      <w:r w:rsidR="00291F65" w:rsidRPr="00D81CDC">
        <w:rPr>
          <w:rFonts w:ascii="Times New Roman" w:hAnsi="Times New Roman" w:cs="Times New Roman"/>
          <w:sz w:val="28"/>
          <w:szCs w:val="28"/>
        </w:rPr>
        <w:t xml:space="preserve">the need for </w:t>
      </w:r>
      <w:r w:rsidR="00274ED8" w:rsidRPr="00D81CDC">
        <w:rPr>
          <w:rFonts w:ascii="Times New Roman" w:hAnsi="Times New Roman" w:cs="Times New Roman"/>
          <w:sz w:val="28"/>
          <w:szCs w:val="28"/>
        </w:rPr>
        <w:t xml:space="preserve">mandatory </w:t>
      </w:r>
      <w:r w:rsidR="00291F65" w:rsidRPr="00D81CDC">
        <w:rPr>
          <w:rFonts w:ascii="Times New Roman" w:hAnsi="Times New Roman" w:cs="Times New Roman"/>
          <w:sz w:val="28"/>
          <w:szCs w:val="28"/>
        </w:rPr>
        <w:t>internal compliance monitoring</w:t>
      </w:r>
      <w:r w:rsidR="0082314E" w:rsidRPr="00D81CDC">
        <w:rPr>
          <w:rFonts w:ascii="Times New Roman" w:hAnsi="Times New Roman" w:cs="Times New Roman"/>
          <w:sz w:val="28"/>
          <w:szCs w:val="28"/>
        </w:rPr>
        <w:t>.</w:t>
      </w:r>
    </w:p>
    <w:p w:rsidR="00A22D69" w:rsidRPr="00543F6D" w:rsidRDefault="00827B41" w:rsidP="003B4763">
      <w:pPr>
        <w:pStyle w:val="ListParagraph"/>
        <w:numPr>
          <w:ilvl w:val="0"/>
          <w:numId w:val="3"/>
        </w:numPr>
        <w:spacing w:line="360" w:lineRule="auto"/>
        <w:jc w:val="both"/>
        <w:rPr>
          <w:rFonts w:ascii="Times New Roman" w:hAnsi="Times New Roman" w:cs="Times New Roman"/>
          <w:b/>
          <w:bCs/>
          <w:color w:val="000000" w:themeColor="text1"/>
          <w:sz w:val="28"/>
          <w:szCs w:val="28"/>
        </w:rPr>
      </w:pPr>
      <w:r w:rsidRPr="00543F6D">
        <w:rPr>
          <w:rFonts w:ascii="Times New Roman" w:hAnsi="Times New Roman" w:cs="Times New Roman"/>
          <w:b/>
          <w:bCs/>
          <w:color w:val="000000" w:themeColor="text1"/>
          <w:sz w:val="28"/>
          <w:szCs w:val="28"/>
        </w:rPr>
        <w:t xml:space="preserve">Specific </w:t>
      </w:r>
      <w:r w:rsidR="008E45B4" w:rsidRPr="00543F6D">
        <w:rPr>
          <w:rFonts w:ascii="Times New Roman" w:hAnsi="Times New Roman" w:cs="Times New Roman"/>
          <w:b/>
          <w:bCs/>
          <w:color w:val="000000" w:themeColor="text1"/>
          <w:sz w:val="28"/>
          <w:szCs w:val="28"/>
        </w:rPr>
        <w:t>issues and objections</w:t>
      </w:r>
      <w:r w:rsidR="00B4312E" w:rsidRPr="00543F6D">
        <w:rPr>
          <w:rFonts w:ascii="Times New Roman" w:hAnsi="Times New Roman" w:cs="Times New Roman"/>
          <w:b/>
          <w:bCs/>
          <w:color w:val="000000" w:themeColor="text1"/>
          <w:sz w:val="28"/>
          <w:szCs w:val="28"/>
        </w:rPr>
        <w:t xml:space="preserve"> </w:t>
      </w:r>
      <w:r w:rsidR="009D53BD" w:rsidRPr="00543F6D">
        <w:rPr>
          <w:rFonts w:ascii="Times New Roman" w:hAnsi="Times New Roman" w:cs="Times New Roman"/>
          <w:b/>
          <w:bCs/>
          <w:color w:val="000000" w:themeColor="text1"/>
          <w:sz w:val="28"/>
          <w:szCs w:val="28"/>
        </w:rPr>
        <w:t>raised</w:t>
      </w:r>
      <w:r w:rsidR="00B4312E" w:rsidRPr="00543F6D">
        <w:rPr>
          <w:rFonts w:ascii="Times New Roman" w:hAnsi="Times New Roman" w:cs="Times New Roman"/>
          <w:b/>
          <w:bCs/>
          <w:color w:val="000000" w:themeColor="text1"/>
          <w:sz w:val="28"/>
          <w:szCs w:val="28"/>
        </w:rPr>
        <w:t xml:space="preserve"> by commenters and stakeholders</w:t>
      </w:r>
    </w:p>
    <w:p w:rsidR="00291F65" w:rsidRPr="00543F6D" w:rsidRDefault="002A7B3F" w:rsidP="003B4763">
      <w:pPr>
        <w:pStyle w:val="ListParagraph"/>
        <w:numPr>
          <w:ilvl w:val="0"/>
          <w:numId w:val="2"/>
        </w:numPr>
        <w:spacing w:line="360" w:lineRule="auto"/>
        <w:ind w:left="1800"/>
        <w:jc w:val="both"/>
        <w:rPr>
          <w:rFonts w:ascii="Times New Roman" w:hAnsi="Times New Roman" w:cs="Times New Roman"/>
          <w:b/>
          <w:bCs/>
          <w:sz w:val="28"/>
          <w:szCs w:val="28"/>
        </w:rPr>
      </w:pPr>
      <w:r w:rsidRPr="00543F6D">
        <w:rPr>
          <w:rFonts w:ascii="Times New Roman" w:hAnsi="Times New Roman" w:cs="Times New Roman"/>
          <w:b/>
          <w:bCs/>
          <w:sz w:val="28"/>
          <w:szCs w:val="28"/>
        </w:rPr>
        <w:t xml:space="preserve">Objection: </w:t>
      </w:r>
      <w:r w:rsidR="008A13CF" w:rsidRPr="00543F6D">
        <w:rPr>
          <w:rFonts w:ascii="Times New Roman" w:hAnsi="Times New Roman" w:cs="Times New Roman"/>
          <w:b/>
          <w:bCs/>
          <w:sz w:val="28"/>
          <w:szCs w:val="28"/>
        </w:rPr>
        <w:t xml:space="preserve">Nonlawyer ownership does not </w:t>
      </w:r>
      <w:r w:rsidR="00FF4253" w:rsidRPr="00543F6D">
        <w:rPr>
          <w:rFonts w:ascii="Times New Roman" w:hAnsi="Times New Roman" w:cs="Times New Roman"/>
          <w:b/>
          <w:bCs/>
          <w:sz w:val="28"/>
          <w:szCs w:val="28"/>
        </w:rPr>
        <w:t xml:space="preserve">equate </w:t>
      </w:r>
      <w:r w:rsidR="008A13CF" w:rsidRPr="00543F6D">
        <w:rPr>
          <w:rFonts w:ascii="Times New Roman" w:hAnsi="Times New Roman" w:cs="Times New Roman"/>
          <w:b/>
          <w:bCs/>
          <w:sz w:val="28"/>
          <w:szCs w:val="28"/>
        </w:rPr>
        <w:t xml:space="preserve">to </w:t>
      </w:r>
      <w:r w:rsidR="00FF4253" w:rsidRPr="00543F6D">
        <w:rPr>
          <w:rFonts w:ascii="Times New Roman" w:hAnsi="Times New Roman" w:cs="Times New Roman"/>
          <w:b/>
          <w:bCs/>
          <w:sz w:val="28"/>
          <w:szCs w:val="28"/>
        </w:rPr>
        <w:t xml:space="preserve">access to </w:t>
      </w:r>
      <w:r w:rsidR="008A13CF" w:rsidRPr="00543F6D">
        <w:rPr>
          <w:rFonts w:ascii="Times New Roman" w:hAnsi="Times New Roman" w:cs="Times New Roman"/>
          <w:b/>
          <w:bCs/>
          <w:sz w:val="28"/>
          <w:szCs w:val="28"/>
        </w:rPr>
        <w:t>justice</w:t>
      </w:r>
      <w:r w:rsidR="00622072" w:rsidRPr="00543F6D">
        <w:rPr>
          <w:rFonts w:ascii="Times New Roman" w:hAnsi="Times New Roman" w:cs="Times New Roman"/>
          <w:b/>
          <w:bCs/>
          <w:sz w:val="28"/>
          <w:szCs w:val="28"/>
        </w:rPr>
        <w:t>.</w:t>
      </w:r>
    </w:p>
    <w:p w:rsidR="00A308A9" w:rsidRPr="00D81CDC" w:rsidRDefault="00291F65"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Nonlawyer ownership </w:t>
      </w:r>
      <w:r w:rsidR="00A308A9" w:rsidRPr="00D81CDC">
        <w:rPr>
          <w:rFonts w:ascii="Times New Roman" w:hAnsi="Times New Roman" w:cs="Times New Roman"/>
          <w:sz w:val="28"/>
          <w:szCs w:val="28"/>
        </w:rPr>
        <w:t>clearly facilitates access to justice.</w:t>
      </w:r>
    </w:p>
    <w:p w:rsidR="003F70D2" w:rsidRPr="00D81CDC" w:rsidRDefault="008A13CF"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Effective a</w:t>
      </w:r>
      <w:r w:rsidR="00B10FC5" w:rsidRPr="00D81CDC">
        <w:rPr>
          <w:rFonts w:ascii="Times New Roman" w:hAnsi="Times New Roman" w:cs="Times New Roman"/>
          <w:sz w:val="28"/>
          <w:szCs w:val="28"/>
        </w:rPr>
        <w:t>ccess to legal services is an integral part of access to justice</w:t>
      </w:r>
      <w:r w:rsidR="00CB3E7B" w:rsidRPr="00D81CDC">
        <w:rPr>
          <w:rFonts w:ascii="Times New Roman" w:hAnsi="Times New Roman" w:cs="Times New Roman"/>
          <w:sz w:val="28"/>
          <w:szCs w:val="28"/>
        </w:rPr>
        <w:t xml:space="preserve">. </w:t>
      </w:r>
      <w:r w:rsidR="001548F9" w:rsidRPr="00D81CDC">
        <w:rPr>
          <w:rFonts w:ascii="Times New Roman" w:hAnsi="Times New Roman" w:cs="Times New Roman"/>
          <w:sz w:val="28"/>
          <w:szCs w:val="28"/>
        </w:rPr>
        <w:t xml:space="preserve">“Access” means far more than simply providing free or low-cost representation to consumers who need legal services. For example, in his five-year strategic plan </w:t>
      </w:r>
      <w:r w:rsidR="001548F9" w:rsidRPr="00D81CDC">
        <w:rPr>
          <w:rFonts w:ascii="Times New Roman" w:hAnsi="Times New Roman" w:cs="Times New Roman"/>
          <w:sz w:val="28"/>
          <w:szCs w:val="28"/>
        </w:rPr>
        <w:lastRenderedPageBreak/>
        <w:t xml:space="preserve">“Advancing Justice Together,” then-Arizona Chief Justice Scott Bales, who appointed the Task Force, described the goal of “effective access to justice” as being </w:t>
      </w:r>
      <w:r w:rsidR="00CB3E7B" w:rsidRPr="00D81CDC">
        <w:rPr>
          <w:rFonts w:ascii="Times New Roman" w:hAnsi="Times New Roman" w:cs="Times New Roman"/>
          <w:sz w:val="28"/>
          <w:szCs w:val="28"/>
        </w:rPr>
        <w:t>furthered “not</w:t>
      </w:r>
      <w:r w:rsidR="001548F9" w:rsidRPr="00D81CDC">
        <w:rPr>
          <w:rFonts w:ascii="Times New Roman" w:hAnsi="Times New Roman" w:cs="Times New Roman"/>
          <w:sz w:val="28"/>
          <w:szCs w:val="28"/>
        </w:rPr>
        <w:t xml:space="preserve"> only by examining legal representation for moderate and low-income persons, but also by helping self-represented litigants and others navigate the judicial process and by using technology to make courts more accessible to all.”</w:t>
      </w:r>
    </w:p>
    <w:p w:rsidR="00A308A9" w:rsidRPr="00D81CDC" w:rsidRDefault="00A308A9"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One now-traditional avenue for accessing legal services is advertising. Access to legal services has increased over the past 40 plus years as lawyers have been able to advertise their services and availability. </w:t>
      </w:r>
      <w:r w:rsidR="001460FA" w:rsidRPr="00D81CDC">
        <w:rPr>
          <w:rFonts w:ascii="Times New Roman" w:hAnsi="Times New Roman" w:cs="Times New Roman"/>
          <w:i/>
          <w:iCs/>
          <w:sz w:val="28"/>
          <w:szCs w:val="28"/>
        </w:rPr>
        <w:t>See</w:t>
      </w:r>
      <w:r w:rsidR="001460FA" w:rsidRPr="00D81CDC">
        <w:rPr>
          <w:rFonts w:ascii="Times New Roman" w:hAnsi="Times New Roman" w:cs="Times New Roman"/>
          <w:sz w:val="28"/>
          <w:szCs w:val="28"/>
        </w:rPr>
        <w:t xml:space="preserve"> </w:t>
      </w:r>
      <w:r w:rsidR="001460FA" w:rsidRPr="00D81CDC">
        <w:rPr>
          <w:rFonts w:ascii="Times New Roman" w:hAnsi="Times New Roman" w:cs="Times New Roman"/>
          <w:i/>
          <w:iCs/>
          <w:sz w:val="28"/>
          <w:szCs w:val="28"/>
        </w:rPr>
        <w:t>Bates v. State Bar of Arizona</w:t>
      </w:r>
      <w:r w:rsidR="001460FA" w:rsidRPr="00D81CDC">
        <w:rPr>
          <w:rFonts w:ascii="Times New Roman" w:hAnsi="Times New Roman" w:cs="Times New Roman"/>
          <w:sz w:val="28"/>
          <w:szCs w:val="28"/>
        </w:rPr>
        <w:t>,</w:t>
      </w:r>
      <w:r w:rsidR="001460FA" w:rsidRPr="00D81CDC">
        <w:rPr>
          <w:rFonts w:ascii="Times New Roman" w:hAnsi="Times New Roman" w:cs="Times New Roman"/>
          <w:i/>
          <w:iCs/>
          <w:sz w:val="28"/>
          <w:szCs w:val="28"/>
        </w:rPr>
        <w:t xml:space="preserve"> </w:t>
      </w:r>
      <w:r w:rsidR="001460FA" w:rsidRPr="00D81CDC">
        <w:rPr>
          <w:rFonts w:ascii="Times New Roman" w:hAnsi="Times New Roman" w:cs="Times New Roman"/>
          <w:sz w:val="28"/>
          <w:szCs w:val="28"/>
        </w:rPr>
        <w:t xml:space="preserve">433 U.S. 350, 376 (1977) (rule banning lawyer advertising “likely </w:t>
      </w:r>
      <w:r w:rsidR="001460FA" w:rsidRPr="00D81CDC">
        <w:rPr>
          <w:rFonts w:ascii="Times New Roman" w:eastAsia="Georgia" w:hAnsi="Times New Roman" w:cs="Times New Roman"/>
          <w:sz w:val="28"/>
          <w:szCs w:val="28"/>
        </w:rPr>
        <w:t xml:space="preserve">has served to burden access to legal services, particularly for the not-quite-poor and the unknowledgeable,” in part because of “inability to locate a suitable lawyer”); </w:t>
      </w:r>
      <w:r w:rsidR="001460FA" w:rsidRPr="00D81CDC">
        <w:rPr>
          <w:rFonts w:ascii="Times New Roman" w:eastAsia="Georgia" w:hAnsi="Times New Roman" w:cs="Times New Roman"/>
          <w:i/>
          <w:iCs/>
          <w:sz w:val="28"/>
          <w:szCs w:val="28"/>
        </w:rPr>
        <w:t>In re Zang</w:t>
      </w:r>
      <w:r w:rsidR="001460FA" w:rsidRPr="00D81CDC">
        <w:rPr>
          <w:rFonts w:ascii="Times New Roman" w:eastAsia="Georgia" w:hAnsi="Times New Roman" w:cs="Times New Roman"/>
          <w:sz w:val="28"/>
          <w:szCs w:val="28"/>
        </w:rPr>
        <w:t xml:space="preserve">, </w:t>
      </w:r>
      <w:r w:rsidR="001460FA" w:rsidRPr="00D81CDC">
        <w:rPr>
          <w:rFonts w:ascii="Times New Roman" w:hAnsi="Times New Roman" w:cs="Times New Roman"/>
          <w:sz w:val="28"/>
          <w:szCs w:val="28"/>
        </w:rPr>
        <w:t>154 Ariz. 134, 145 (1987) (</w:t>
      </w:r>
      <w:r w:rsidR="001460FA" w:rsidRPr="00D81CDC">
        <w:rPr>
          <w:rFonts w:ascii="Times New Roman" w:eastAsia="Georgia" w:hAnsi="Times New Roman" w:cs="Times New Roman"/>
          <w:sz w:val="28"/>
          <w:szCs w:val="28"/>
        </w:rPr>
        <w:t>“Advertising that informs consumers about their rights and about the availability and cost of legal services is a valuable method of increasing access to legal representation and of furthering the rule of law”).</w:t>
      </w:r>
    </w:p>
    <w:p w:rsidR="00CB3E7B" w:rsidRPr="00D81CDC" w:rsidRDefault="00A308A9"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A</w:t>
      </w:r>
      <w:r w:rsidR="0082343B" w:rsidRPr="00D81CDC">
        <w:rPr>
          <w:rFonts w:ascii="Times New Roman" w:eastAsia="Georgia" w:hAnsi="Times New Roman" w:cs="Times New Roman"/>
          <w:sz w:val="28"/>
          <w:szCs w:val="28"/>
        </w:rPr>
        <w:t>ccess</w:t>
      </w:r>
      <w:r w:rsidRPr="00D81CDC">
        <w:rPr>
          <w:rFonts w:ascii="Times New Roman" w:eastAsia="Georgia" w:hAnsi="Times New Roman" w:cs="Times New Roman"/>
          <w:sz w:val="28"/>
          <w:szCs w:val="28"/>
        </w:rPr>
        <w:t xml:space="preserve"> to legal services also</w:t>
      </w:r>
      <w:r w:rsidR="0082343B" w:rsidRPr="00D81CDC">
        <w:rPr>
          <w:rFonts w:ascii="Times New Roman" w:eastAsia="Georgia" w:hAnsi="Times New Roman" w:cs="Times New Roman"/>
          <w:sz w:val="28"/>
          <w:szCs w:val="28"/>
        </w:rPr>
        <w:t xml:space="preserve"> </w:t>
      </w:r>
      <w:r w:rsidRPr="00D81CDC">
        <w:rPr>
          <w:rFonts w:ascii="Times New Roman" w:eastAsia="Georgia" w:hAnsi="Times New Roman" w:cs="Times New Roman"/>
          <w:sz w:val="28"/>
          <w:szCs w:val="28"/>
        </w:rPr>
        <w:t xml:space="preserve">necessarily </w:t>
      </w:r>
      <w:r w:rsidR="0082343B" w:rsidRPr="00D81CDC">
        <w:rPr>
          <w:rFonts w:ascii="Times New Roman" w:eastAsia="Georgia" w:hAnsi="Times New Roman" w:cs="Times New Roman"/>
          <w:sz w:val="28"/>
          <w:szCs w:val="28"/>
        </w:rPr>
        <w:t>encompasses</w:t>
      </w:r>
      <w:r w:rsidRPr="00D81CDC">
        <w:rPr>
          <w:rFonts w:ascii="Times New Roman" w:eastAsia="Georgia" w:hAnsi="Times New Roman" w:cs="Times New Roman"/>
          <w:sz w:val="28"/>
          <w:szCs w:val="28"/>
        </w:rPr>
        <w:t xml:space="preserve"> </w:t>
      </w:r>
      <w:r w:rsidR="00C75E9C" w:rsidRPr="00D81CDC">
        <w:rPr>
          <w:rFonts w:ascii="Times New Roman" w:eastAsia="Georgia" w:hAnsi="Times New Roman" w:cs="Times New Roman"/>
          <w:sz w:val="28"/>
          <w:szCs w:val="28"/>
        </w:rPr>
        <w:t>non</w:t>
      </w:r>
      <w:r w:rsidRPr="00D81CDC">
        <w:rPr>
          <w:rFonts w:ascii="Times New Roman" w:eastAsia="Georgia" w:hAnsi="Times New Roman" w:cs="Times New Roman"/>
          <w:sz w:val="28"/>
          <w:szCs w:val="28"/>
        </w:rPr>
        <w:t xml:space="preserve">traditional avenues, such as </w:t>
      </w:r>
      <w:r w:rsidR="0082343B" w:rsidRPr="00D81CDC">
        <w:rPr>
          <w:rFonts w:ascii="Times New Roman" w:eastAsia="Georgia" w:hAnsi="Times New Roman" w:cs="Times New Roman"/>
          <w:sz w:val="28"/>
          <w:szCs w:val="28"/>
        </w:rPr>
        <w:t xml:space="preserve">adopting </w:t>
      </w:r>
      <w:r w:rsidR="003F70D2" w:rsidRPr="00D81CDC">
        <w:rPr>
          <w:rFonts w:ascii="Times New Roman" w:eastAsia="Georgia" w:hAnsi="Times New Roman" w:cs="Times New Roman"/>
          <w:sz w:val="28"/>
          <w:szCs w:val="28"/>
        </w:rPr>
        <w:t xml:space="preserve">existing or inventing new </w:t>
      </w:r>
      <w:r w:rsidR="0082343B" w:rsidRPr="00D81CDC">
        <w:rPr>
          <w:rFonts w:ascii="Times New Roman" w:hAnsi="Times New Roman" w:cs="Times New Roman"/>
          <w:sz w:val="28"/>
          <w:szCs w:val="28"/>
        </w:rPr>
        <w:t>technology; integrating legal services with other professions</w:t>
      </w:r>
      <w:r w:rsidR="00A66775" w:rsidRPr="00D81CDC">
        <w:rPr>
          <w:rFonts w:ascii="Times New Roman" w:hAnsi="Times New Roman" w:cs="Times New Roman"/>
          <w:sz w:val="28"/>
          <w:szCs w:val="28"/>
        </w:rPr>
        <w:t xml:space="preserve"> (multidisciplinary practice, or MDP)</w:t>
      </w:r>
      <w:r w:rsidR="0082343B" w:rsidRPr="00D81CDC">
        <w:rPr>
          <w:rFonts w:ascii="Times New Roman" w:hAnsi="Times New Roman" w:cs="Times New Roman"/>
          <w:sz w:val="28"/>
          <w:szCs w:val="28"/>
        </w:rPr>
        <w:t>; and allowing free market competition.</w:t>
      </w:r>
      <w:r w:rsidR="007B4C9F" w:rsidRPr="00D81CDC">
        <w:rPr>
          <w:rStyle w:val="FootnoteReference"/>
          <w:rFonts w:ascii="Times New Roman" w:hAnsi="Times New Roman" w:cs="Times New Roman"/>
          <w:sz w:val="28"/>
          <w:szCs w:val="28"/>
        </w:rPr>
        <w:footnoteReference w:id="4"/>
      </w:r>
      <w:r w:rsidRPr="00D81CDC">
        <w:rPr>
          <w:rFonts w:ascii="Times New Roman" w:hAnsi="Times New Roman" w:cs="Times New Roman"/>
          <w:sz w:val="28"/>
          <w:szCs w:val="28"/>
        </w:rPr>
        <w:t xml:space="preserve"> Allowing </w:t>
      </w:r>
      <w:r w:rsidR="00C75E9C" w:rsidRPr="00D81CDC">
        <w:rPr>
          <w:rFonts w:ascii="Times New Roman" w:hAnsi="Times New Roman" w:cs="Times New Roman"/>
          <w:sz w:val="28"/>
          <w:szCs w:val="28"/>
        </w:rPr>
        <w:t>nonlawyer</w:t>
      </w:r>
      <w:r w:rsidR="00CB3E7B" w:rsidRPr="00D81CDC">
        <w:rPr>
          <w:rFonts w:ascii="Times New Roman" w:hAnsi="Times New Roman" w:cs="Times New Roman"/>
          <w:sz w:val="28"/>
          <w:szCs w:val="28"/>
        </w:rPr>
        <w:t xml:space="preserve"> ownership is critical to </w:t>
      </w:r>
      <w:r w:rsidRPr="00D81CDC">
        <w:rPr>
          <w:rFonts w:ascii="Times New Roman" w:hAnsi="Times New Roman" w:cs="Times New Roman"/>
          <w:sz w:val="28"/>
          <w:szCs w:val="28"/>
        </w:rPr>
        <w:t>increasing access to justice using all of these avenues.</w:t>
      </w:r>
    </w:p>
    <w:p w:rsidR="00B34048" w:rsidRPr="00D81CDC" w:rsidRDefault="00B34048"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lastRenderedPageBreak/>
        <w:t xml:space="preserve">First, </w:t>
      </w:r>
      <w:r w:rsidR="00A308A9" w:rsidRPr="00D81CDC">
        <w:rPr>
          <w:rFonts w:ascii="Times New Roman" w:hAnsi="Times New Roman" w:cs="Times New Roman"/>
          <w:sz w:val="28"/>
          <w:szCs w:val="28"/>
        </w:rPr>
        <w:t xml:space="preserve">adopting or creating </w:t>
      </w:r>
      <w:r w:rsidRPr="00D81CDC">
        <w:rPr>
          <w:rFonts w:ascii="Times New Roman" w:hAnsi="Times New Roman" w:cs="Times New Roman"/>
          <w:sz w:val="28"/>
          <w:szCs w:val="28"/>
        </w:rPr>
        <w:t xml:space="preserve">new technology requires capital. Because ER 5.4 prohibits </w:t>
      </w:r>
      <w:r w:rsidR="00C75E9C" w:rsidRPr="00D81CDC">
        <w:rPr>
          <w:rFonts w:ascii="Times New Roman" w:hAnsi="Times New Roman" w:cs="Times New Roman"/>
          <w:sz w:val="28"/>
          <w:szCs w:val="28"/>
        </w:rPr>
        <w:t>nonlawyer</w:t>
      </w:r>
      <w:r w:rsidRPr="00D81CDC">
        <w:rPr>
          <w:rFonts w:ascii="Times New Roman" w:hAnsi="Times New Roman" w:cs="Times New Roman"/>
          <w:sz w:val="28"/>
          <w:szCs w:val="28"/>
        </w:rPr>
        <w:t xml:space="preserve"> ownership, “any investment in technology services or integration of technology with existing legal services must come from within the profession, from law firm partners, or from their shareholder counterparts. The potential for costly technological investment, especially by lawyers that focus on middle-class clients (mostly small law firms and solo practitioners), is, therefore, limited.”</w:t>
      </w:r>
      <w:r w:rsidRPr="00D81CDC">
        <w:rPr>
          <w:rStyle w:val="FootnoteReference"/>
          <w:rFonts w:ascii="Times New Roman" w:hAnsi="Times New Roman" w:cs="Times New Roman"/>
          <w:sz w:val="28"/>
          <w:szCs w:val="28"/>
        </w:rPr>
        <w:footnoteReference w:id="5"/>
      </w:r>
    </w:p>
    <w:p w:rsidR="00FC2F35" w:rsidRPr="00D81CDC" w:rsidRDefault="00B34048">
      <w:pPr>
        <w:autoSpaceDE w:val="0"/>
        <w:autoSpaceDN w:val="0"/>
        <w:adjustRightInd w:val="0"/>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Second, creating MDPs requires the ability to partner with </w:t>
      </w:r>
      <w:r w:rsidR="00C75E9C" w:rsidRPr="00D81CDC">
        <w:rPr>
          <w:rFonts w:ascii="Times New Roman" w:hAnsi="Times New Roman" w:cs="Times New Roman"/>
          <w:sz w:val="28"/>
          <w:szCs w:val="28"/>
        </w:rPr>
        <w:t>nonlawyer</w:t>
      </w:r>
      <w:r w:rsidR="00A94C7E" w:rsidRPr="00D81CDC">
        <w:rPr>
          <w:rFonts w:ascii="Times New Roman" w:hAnsi="Times New Roman" w:cs="Times New Roman"/>
          <w:sz w:val="28"/>
          <w:szCs w:val="28"/>
        </w:rPr>
        <w:t xml:space="preserve"> </w:t>
      </w:r>
      <w:r w:rsidRPr="00D81CDC">
        <w:rPr>
          <w:rFonts w:ascii="Times New Roman" w:hAnsi="Times New Roman" w:cs="Times New Roman"/>
          <w:sz w:val="28"/>
          <w:szCs w:val="28"/>
        </w:rPr>
        <w:t>professionals</w:t>
      </w:r>
      <w:r w:rsidR="00C06D01" w:rsidRPr="00D81CDC">
        <w:rPr>
          <w:rFonts w:ascii="Times New Roman" w:hAnsi="Times New Roman" w:cs="Times New Roman"/>
          <w:sz w:val="28"/>
          <w:szCs w:val="28"/>
        </w:rPr>
        <w:t xml:space="preserve">. </w:t>
      </w:r>
      <w:r w:rsidR="00591B87" w:rsidRPr="00D81CDC">
        <w:rPr>
          <w:rFonts w:ascii="Times New Roman" w:hAnsi="Times New Roman" w:cs="Times New Roman"/>
          <w:sz w:val="28"/>
          <w:szCs w:val="28"/>
        </w:rPr>
        <w:t xml:space="preserve">Because ER 5.4 currently prohibits this, a law firm that wishes to collaborate </w:t>
      </w:r>
      <w:r w:rsidR="001740EC">
        <w:rPr>
          <w:rFonts w:ascii="Times New Roman" w:hAnsi="Times New Roman" w:cs="Times New Roman"/>
          <w:sz w:val="28"/>
          <w:szCs w:val="28"/>
        </w:rPr>
        <w:t xml:space="preserve">closely </w:t>
      </w:r>
      <w:r w:rsidR="00591B87" w:rsidRPr="00D81CDC">
        <w:rPr>
          <w:rFonts w:ascii="Times New Roman" w:hAnsi="Times New Roman" w:cs="Times New Roman"/>
          <w:sz w:val="28"/>
          <w:szCs w:val="28"/>
        </w:rPr>
        <w:t xml:space="preserve">with </w:t>
      </w:r>
      <w:r w:rsidR="00C06D01" w:rsidRPr="00D81CDC">
        <w:rPr>
          <w:rFonts w:ascii="Times New Roman" w:hAnsi="Times New Roman" w:cs="Times New Roman"/>
          <w:sz w:val="28"/>
          <w:szCs w:val="28"/>
        </w:rPr>
        <w:t xml:space="preserve">a </w:t>
      </w:r>
      <w:r w:rsidR="00C75E9C" w:rsidRPr="00D81CDC">
        <w:rPr>
          <w:rFonts w:ascii="Times New Roman" w:hAnsi="Times New Roman" w:cs="Times New Roman"/>
          <w:sz w:val="28"/>
          <w:szCs w:val="28"/>
        </w:rPr>
        <w:t>nonlawyer</w:t>
      </w:r>
      <w:r w:rsidR="00C06D01" w:rsidRPr="00D81CDC">
        <w:rPr>
          <w:rFonts w:ascii="Times New Roman" w:hAnsi="Times New Roman" w:cs="Times New Roman"/>
          <w:sz w:val="28"/>
          <w:szCs w:val="28"/>
        </w:rPr>
        <w:t xml:space="preserve"> professional – perhaps to provide “one-stop shopping” for clients </w:t>
      </w:r>
      <w:r w:rsidR="000B6217" w:rsidRPr="00D81CDC">
        <w:rPr>
          <w:rFonts w:ascii="Times New Roman" w:hAnsi="Times New Roman" w:cs="Times New Roman"/>
          <w:sz w:val="28"/>
          <w:szCs w:val="28"/>
        </w:rPr>
        <w:t>–</w:t>
      </w:r>
      <w:r w:rsidR="00C06D01" w:rsidRPr="00D81CDC">
        <w:rPr>
          <w:rFonts w:ascii="Times New Roman" w:hAnsi="Times New Roman" w:cs="Times New Roman"/>
          <w:sz w:val="28"/>
          <w:szCs w:val="28"/>
        </w:rPr>
        <w:t xml:space="preserve"> would seem to have only two options: require that the </w:t>
      </w:r>
      <w:r w:rsidR="00C75E9C" w:rsidRPr="00D81CDC">
        <w:rPr>
          <w:rFonts w:ascii="Times New Roman" w:hAnsi="Times New Roman" w:cs="Times New Roman"/>
          <w:sz w:val="28"/>
          <w:szCs w:val="28"/>
        </w:rPr>
        <w:t>nonlawyer</w:t>
      </w:r>
      <w:r w:rsidR="00C06D01" w:rsidRPr="00D81CDC">
        <w:rPr>
          <w:rFonts w:ascii="Times New Roman" w:hAnsi="Times New Roman" w:cs="Times New Roman"/>
          <w:sz w:val="28"/>
          <w:szCs w:val="28"/>
        </w:rPr>
        <w:t xml:space="preserve"> professional be “relegated to the status of an employee”</w:t>
      </w:r>
      <w:r w:rsidR="00C06D01" w:rsidRPr="00D81CDC">
        <w:rPr>
          <w:rStyle w:val="FootnoteReference"/>
          <w:rFonts w:ascii="Times New Roman" w:hAnsi="Times New Roman" w:cs="Times New Roman"/>
          <w:sz w:val="28"/>
          <w:szCs w:val="28"/>
        </w:rPr>
        <w:footnoteReference w:id="6"/>
      </w:r>
      <w:r w:rsidR="00C06D01" w:rsidRPr="00D81CDC">
        <w:rPr>
          <w:rFonts w:ascii="Times New Roman" w:hAnsi="Times New Roman" w:cs="Times New Roman"/>
          <w:sz w:val="28"/>
          <w:szCs w:val="28"/>
        </w:rPr>
        <w:t xml:space="preserve"> of the law </w:t>
      </w:r>
      <w:proofErr w:type="gramStart"/>
      <w:r w:rsidR="00C06D01" w:rsidRPr="00D81CDC">
        <w:rPr>
          <w:rFonts w:ascii="Times New Roman" w:hAnsi="Times New Roman" w:cs="Times New Roman"/>
          <w:sz w:val="28"/>
          <w:szCs w:val="28"/>
        </w:rPr>
        <w:t>firm, or</w:t>
      </w:r>
      <w:proofErr w:type="gramEnd"/>
      <w:r w:rsidR="00C06D01" w:rsidRPr="00D81CDC">
        <w:rPr>
          <w:rFonts w:ascii="Times New Roman" w:hAnsi="Times New Roman" w:cs="Times New Roman"/>
          <w:sz w:val="28"/>
          <w:szCs w:val="28"/>
        </w:rPr>
        <w:t xml:space="preserve"> continue to work as two </w:t>
      </w:r>
      <w:r w:rsidR="00C75E9C" w:rsidRPr="00D81CDC">
        <w:rPr>
          <w:rFonts w:ascii="Times New Roman" w:hAnsi="Times New Roman" w:cs="Times New Roman"/>
          <w:sz w:val="28"/>
          <w:szCs w:val="28"/>
        </w:rPr>
        <w:t>separate</w:t>
      </w:r>
      <w:r w:rsidR="00C06D01" w:rsidRPr="00D81CDC">
        <w:rPr>
          <w:rFonts w:ascii="Times New Roman" w:hAnsi="Times New Roman" w:cs="Times New Roman"/>
          <w:sz w:val="28"/>
          <w:szCs w:val="28"/>
        </w:rPr>
        <w:t xml:space="preserve"> businesses</w:t>
      </w:r>
      <w:r w:rsidR="00FC2F35">
        <w:rPr>
          <w:rFonts w:ascii="Times New Roman" w:hAnsi="Times New Roman" w:cs="Times New Roman"/>
          <w:sz w:val="28"/>
          <w:szCs w:val="28"/>
        </w:rPr>
        <w:t>.</w:t>
      </w:r>
    </w:p>
    <w:p w:rsidR="00622072" w:rsidRPr="00D81CDC" w:rsidRDefault="00591B87"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Eliminating ER 5.4</w:t>
      </w:r>
      <w:r w:rsidR="00C06D01" w:rsidRPr="00D81CDC">
        <w:rPr>
          <w:rFonts w:ascii="Times New Roman" w:hAnsi="Times New Roman" w:cs="Times New Roman"/>
          <w:sz w:val="28"/>
          <w:szCs w:val="28"/>
        </w:rPr>
        <w:t xml:space="preserve">, </w:t>
      </w:r>
      <w:r w:rsidR="00023EDA" w:rsidRPr="00D81CDC">
        <w:rPr>
          <w:rFonts w:ascii="Times New Roman" w:hAnsi="Times New Roman" w:cs="Times New Roman"/>
          <w:sz w:val="28"/>
          <w:szCs w:val="28"/>
        </w:rPr>
        <w:t xml:space="preserve">and </w:t>
      </w:r>
      <w:r w:rsidR="00C06D01" w:rsidRPr="00D81CDC">
        <w:rPr>
          <w:rFonts w:ascii="Times New Roman" w:hAnsi="Times New Roman" w:cs="Times New Roman"/>
          <w:sz w:val="28"/>
          <w:szCs w:val="28"/>
        </w:rPr>
        <w:t xml:space="preserve">thus </w:t>
      </w:r>
      <w:r w:rsidRPr="00D81CDC">
        <w:rPr>
          <w:rFonts w:ascii="Times New Roman" w:hAnsi="Times New Roman" w:cs="Times New Roman"/>
          <w:sz w:val="28"/>
          <w:szCs w:val="28"/>
        </w:rPr>
        <w:t>allowing nonlawyer partners</w:t>
      </w:r>
      <w:r w:rsidR="00C06D01" w:rsidRPr="00D81CDC">
        <w:rPr>
          <w:rFonts w:ascii="Times New Roman" w:hAnsi="Times New Roman" w:cs="Times New Roman"/>
          <w:sz w:val="28"/>
          <w:szCs w:val="28"/>
        </w:rPr>
        <w:t xml:space="preserve">, </w:t>
      </w:r>
      <w:r w:rsidR="00C06D01" w:rsidRPr="00D81CDC">
        <w:rPr>
          <w:rFonts w:ascii="Times New Roman" w:hAnsi="Times New Roman" w:cs="Times New Roman"/>
          <w:w w:val="105"/>
          <w:sz w:val="28"/>
          <w:szCs w:val="28"/>
        </w:rPr>
        <w:t>may lead not only to lower-cost provision of legal services but better service for consumers generally because of the broader expertise of the service providers and the close cooperation of a professional, interdisciplinary team.</w:t>
      </w:r>
      <w:r w:rsidR="00C06D01" w:rsidRPr="00D81CDC">
        <w:rPr>
          <w:rFonts w:ascii="Times New Roman" w:hAnsi="Times New Roman" w:cs="Times New Roman"/>
          <w:w w:val="105"/>
          <w:position w:val="8"/>
          <w:sz w:val="28"/>
          <w:szCs w:val="28"/>
        </w:rPr>
        <w:t xml:space="preserve"> </w:t>
      </w:r>
      <w:r w:rsidR="00C06D01" w:rsidRPr="00D81CDC">
        <w:rPr>
          <w:rFonts w:ascii="Times New Roman" w:hAnsi="Times New Roman" w:cs="Times New Roman"/>
          <w:w w:val="105"/>
          <w:sz w:val="28"/>
          <w:szCs w:val="28"/>
        </w:rPr>
        <w:t>The MDP prohibition is a "virtual guarantee that the quality of expertise generally available to clients will be lower than optimum."</w:t>
      </w:r>
      <w:r w:rsidR="00C06D01" w:rsidRPr="00D81CDC">
        <w:rPr>
          <w:rFonts w:ascii="Times New Roman" w:hAnsi="Times New Roman" w:cs="Times New Roman"/>
          <w:w w:val="105"/>
          <w:position w:val="8"/>
          <w:sz w:val="28"/>
          <w:szCs w:val="28"/>
        </w:rPr>
        <w:t xml:space="preserve"> </w:t>
      </w:r>
      <w:r w:rsidR="00C06D01" w:rsidRPr="00D81CDC">
        <w:rPr>
          <w:rFonts w:ascii="Times New Roman" w:hAnsi="Times New Roman" w:cs="Times New Roman"/>
          <w:w w:val="105"/>
          <w:sz w:val="28"/>
          <w:szCs w:val="28"/>
        </w:rPr>
        <w:t xml:space="preserve">Given the likely cost-savings and convenience, middle-income individuals are likely to choose an integrated provider of professional </w:t>
      </w:r>
      <w:r w:rsidR="00C06D01" w:rsidRPr="00D81CDC">
        <w:rPr>
          <w:rFonts w:ascii="Times New Roman" w:hAnsi="Times New Roman" w:cs="Times New Roman"/>
          <w:w w:val="105"/>
          <w:sz w:val="28"/>
          <w:szCs w:val="28"/>
        </w:rPr>
        <w:lastRenderedPageBreak/>
        <w:t>services rather than a stand-alone professional enterprise.</w:t>
      </w:r>
      <w:r w:rsidR="00C06D01" w:rsidRPr="00D81CDC">
        <w:rPr>
          <w:rStyle w:val="FootnoteReference"/>
          <w:rFonts w:ascii="Times New Roman" w:hAnsi="Times New Roman" w:cs="Times New Roman"/>
          <w:w w:val="105"/>
          <w:sz w:val="28"/>
          <w:szCs w:val="28"/>
        </w:rPr>
        <w:footnoteReference w:id="7"/>
      </w:r>
      <w:r w:rsidR="00A739C2" w:rsidRPr="00D81CDC">
        <w:rPr>
          <w:rFonts w:ascii="Times New Roman" w:hAnsi="Times New Roman" w:cs="Times New Roman"/>
          <w:sz w:val="28"/>
          <w:szCs w:val="28"/>
        </w:rPr>
        <w:t>Third</w:t>
      </w:r>
      <w:r w:rsidR="00A94C7E" w:rsidRPr="00D81CDC">
        <w:rPr>
          <w:rFonts w:ascii="Times New Roman" w:hAnsi="Times New Roman" w:cs="Times New Roman"/>
          <w:sz w:val="28"/>
          <w:szCs w:val="28"/>
        </w:rPr>
        <w:t xml:space="preserve">, </w:t>
      </w:r>
      <w:r w:rsidR="00C06D01" w:rsidRPr="00D81CDC">
        <w:rPr>
          <w:rFonts w:ascii="Times New Roman" w:hAnsi="Times New Roman" w:cs="Times New Roman"/>
          <w:sz w:val="28"/>
          <w:szCs w:val="28"/>
        </w:rPr>
        <w:t>the lack of free-market competition helps restrict the supply of legal services, which in turn “helps to keep the market for legal services noncompetitive and the price of legal services artificially high.”</w:t>
      </w:r>
      <w:r w:rsidR="00C06D01" w:rsidRPr="00D81CDC">
        <w:rPr>
          <w:rStyle w:val="FootnoteReference"/>
          <w:rFonts w:ascii="Times New Roman" w:hAnsi="Times New Roman" w:cs="Times New Roman"/>
          <w:sz w:val="28"/>
          <w:szCs w:val="28"/>
        </w:rPr>
        <w:footnoteReference w:id="8"/>
      </w:r>
      <w:r w:rsidR="00C06D01" w:rsidRPr="00D81CDC">
        <w:rPr>
          <w:rFonts w:ascii="Times New Roman" w:hAnsi="Times New Roman" w:cs="Times New Roman"/>
          <w:sz w:val="28"/>
          <w:szCs w:val="28"/>
        </w:rPr>
        <w:t xml:space="preserve"> ER 5.4 </w:t>
      </w:r>
      <w:r w:rsidR="00B4312E" w:rsidRPr="00D81CDC">
        <w:rPr>
          <w:rFonts w:ascii="Times New Roman" w:hAnsi="Times New Roman" w:cs="Times New Roman"/>
          <w:sz w:val="28"/>
          <w:szCs w:val="28"/>
        </w:rPr>
        <w:t xml:space="preserve">thus </w:t>
      </w:r>
      <w:r w:rsidR="00C06D01" w:rsidRPr="00D81CDC">
        <w:rPr>
          <w:rFonts w:ascii="Times New Roman" w:hAnsi="Times New Roman" w:cs="Times New Roman"/>
          <w:sz w:val="28"/>
          <w:szCs w:val="28"/>
        </w:rPr>
        <w:t xml:space="preserve">effectively </w:t>
      </w:r>
      <w:r w:rsidR="00A94C7E" w:rsidRPr="00D81CDC">
        <w:rPr>
          <w:rFonts w:ascii="Times New Roman" w:hAnsi="Times New Roman" w:cs="Times New Roman"/>
          <w:sz w:val="28"/>
          <w:szCs w:val="28"/>
        </w:rPr>
        <w:t>“grant</w:t>
      </w:r>
      <w:r w:rsidR="00C06D01" w:rsidRPr="00D81CDC">
        <w:rPr>
          <w:rFonts w:ascii="Times New Roman" w:hAnsi="Times New Roman" w:cs="Times New Roman"/>
          <w:sz w:val="28"/>
          <w:szCs w:val="28"/>
        </w:rPr>
        <w:t>[s]</w:t>
      </w:r>
      <w:r w:rsidR="00A94C7E" w:rsidRPr="00D81CDC">
        <w:rPr>
          <w:rFonts w:ascii="Times New Roman" w:hAnsi="Times New Roman" w:cs="Times New Roman"/>
          <w:sz w:val="28"/>
          <w:szCs w:val="28"/>
        </w:rPr>
        <w:t xml:space="preserve"> to lawyers the exclusive right to earn a profit from investment in the legal services industry</w:t>
      </w:r>
      <w:r w:rsidR="00C06D01" w:rsidRPr="00D81CDC">
        <w:rPr>
          <w:rFonts w:ascii="Times New Roman" w:hAnsi="Times New Roman" w:cs="Times New Roman"/>
          <w:sz w:val="28"/>
          <w:szCs w:val="28"/>
        </w:rPr>
        <w:t>.”</w:t>
      </w:r>
      <w:r w:rsidR="00C06D01" w:rsidRPr="00D81CDC">
        <w:rPr>
          <w:rStyle w:val="FootnoteReference"/>
          <w:rFonts w:ascii="Times New Roman" w:hAnsi="Times New Roman" w:cs="Times New Roman"/>
          <w:sz w:val="28"/>
          <w:szCs w:val="28"/>
        </w:rPr>
        <w:footnoteReference w:id="9"/>
      </w:r>
    </w:p>
    <w:p w:rsidR="009646E7" w:rsidRPr="00D81CDC" w:rsidRDefault="009646E7" w:rsidP="00543F6D">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Finally, the </w:t>
      </w:r>
      <w:r w:rsidR="00AD2F7E" w:rsidRPr="00D81CDC">
        <w:rPr>
          <w:rFonts w:ascii="Times New Roman" w:hAnsi="Times New Roman" w:cs="Times New Roman"/>
          <w:sz w:val="28"/>
          <w:szCs w:val="28"/>
        </w:rPr>
        <w:t>consensus</w:t>
      </w:r>
      <w:r w:rsidRPr="00D81CDC">
        <w:rPr>
          <w:rFonts w:ascii="Times New Roman" w:hAnsi="Times New Roman" w:cs="Times New Roman"/>
          <w:sz w:val="28"/>
          <w:szCs w:val="28"/>
        </w:rPr>
        <w:t xml:space="preserve"> of the participants in the seven online town halls held by the Arizona Town Hall recognized that clients could benefit from allowing nonlawyers to invest or own law firms</w:t>
      </w:r>
      <w:r w:rsidRPr="00D81CDC">
        <w:rPr>
          <w:rStyle w:val="FootnoteReference"/>
          <w:rFonts w:ascii="Times New Roman" w:hAnsi="Times New Roman" w:cs="Times New Roman"/>
          <w:sz w:val="28"/>
          <w:szCs w:val="28"/>
        </w:rPr>
        <w:footnoteReference w:id="10"/>
      </w:r>
      <w:r w:rsidRPr="00D81CDC">
        <w:rPr>
          <w:rFonts w:ascii="Times New Roman" w:hAnsi="Times New Roman" w:cs="Times New Roman"/>
          <w:sz w:val="28"/>
          <w:szCs w:val="28"/>
        </w:rPr>
        <w:t>:</w:t>
      </w:r>
    </w:p>
    <w:p w:rsidR="009646E7" w:rsidRPr="00D81CDC" w:rsidRDefault="009646E7" w:rsidP="003B4763">
      <w:pPr>
        <w:pStyle w:val="ListParagraph"/>
        <w:numPr>
          <w:ilvl w:val="0"/>
          <w:numId w:val="9"/>
        </w:numPr>
        <w:autoSpaceDE w:val="0"/>
        <w:autoSpaceDN w:val="0"/>
        <w:adjustRightInd w:val="0"/>
        <w:spacing w:after="0" w:line="240" w:lineRule="auto"/>
        <w:ind w:left="1080" w:right="720"/>
        <w:jc w:val="both"/>
        <w:rPr>
          <w:rFonts w:ascii="Times New Roman" w:hAnsi="Times New Roman" w:cs="Times New Roman"/>
          <w:sz w:val="28"/>
          <w:szCs w:val="28"/>
        </w:rPr>
      </w:pPr>
      <w:r w:rsidRPr="00D81CDC">
        <w:rPr>
          <w:rFonts w:ascii="Times New Roman" w:hAnsi="Times New Roman" w:cs="Times New Roman"/>
          <w:sz w:val="28"/>
          <w:szCs w:val="28"/>
        </w:rPr>
        <w:t>“[T]he delivery of legal services involves both business skills and professional responsibilities. Although allowing non-lawyers to invest in or own law firms raises conflicts of interest and other concerns, ABS could help lawyers by freeing up their time to practice law and making their practices more profitable, which could benefit clients by making legal services less expensive and/or more available.”</w:t>
      </w:r>
    </w:p>
    <w:p w:rsidR="00AD2F7E" w:rsidRPr="00D81CDC" w:rsidRDefault="00AD2F7E" w:rsidP="00AD2F7E">
      <w:pPr>
        <w:pStyle w:val="ListParagraph"/>
        <w:autoSpaceDE w:val="0"/>
        <w:autoSpaceDN w:val="0"/>
        <w:adjustRightInd w:val="0"/>
        <w:spacing w:after="0" w:line="240" w:lineRule="auto"/>
        <w:ind w:left="1080" w:right="720"/>
        <w:jc w:val="both"/>
        <w:rPr>
          <w:rFonts w:ascii="Times New Roman" w:hAnsi="Times New Roman" w:cs="Times New Roman"/>
          <w:sz w:val="28"/>
          <w:szCs w:val="28"/>
        </w:rPr>
      </w:pPr>
    </w:p>
    <w:p w:rsidR="009646E7" w:rsidRPr="00D81CDC" w:rsidRDefault="009646E7" w:rsidP="003B4763">
      <w:pPr>
        <w:pStyle w:val="ListParagraph"/>
        <w:numPr>
          <w:ilvl w:val="0"/>
          <w:numId w:val="9"/>
        </w:numPr>
        <w:autoSpaceDE w:val="0"/>
        <w:autoSpaceDN w:val="0"/>
        <w:adjustRightInd w:val="0"/>
        <w:spacing w:after="0" w:line="240" w:lineRule="auto"/>
        <w:ind w:left="1080" w:right="720"/>
        <w:jc w:val="both"/>
        <w:rPr>
          <w:rFonts w:ascii="Times New Roman" w:hAnsi="Times New Roman" w:cs="Times New Roman"/>
          <w:sz w:val="28"/>
          <w:szCs w:val="28"/>
        </w:rPr>
      </w:pPr>
      <w:r w:rsidRPr="00D81CDC">
        <w:rPr>
          <w:rFonts w:ascii="Times New Roman" w:hAnsi="Times New Roman" w:cs="Times New Roman"/>
          <w:sz w:val="28"/>
          <w:szCs w:val="28"/>
        </w:rPr>
        <w:t>“[W]ith appropriate safeguards and regulations to avoid conflicts of interest and inappropriate influence by nonlawyers and to preserve lawyer independence, ABS could bring complementary services together in a collaborative way that could benefit clients.”</w:t>
      </w:r>
    </w:p>
    <w:p w:rsidR="009646E7" w:rsidRPr="00D81CDC" w:rsidRDefault="009646E7" w:rsidP="00221286">
      <w:pPr>
        <w:spacing w:line="360" w:lineRule="auto"/>
        <w:jc w:val="both"/>
        <w:rPr>
          <w:rFonts w:ascii="Times New Roman" w:hAnsi="Times New Roman" w:cs="Times New Roman"/>
          <w:b/>
          <w:bCs/>
          <w:sz w:val="28"/>
          <w:szCs w:val="28"/>
          <w:highlight w:val="yellow"/>
        </w:rPr>
      </w:pPr>
    </w:p>
    <w:p w:rsidR="009C0BB0" w:rsidRPr="00543F6D" w:rsidRDefault="002550A1" w:rsidP="003B4763">
      <w:pPr>
        <w:pStyle w:val="ListParagraph"/>
        <w:numPr>
          <w:ilvl w:val="0"/>
          <w:numId w:val="2"/>
        </w:numPr>
        <w:spacing w:after="0" w:line="360" w:lineRule="auto"/>
        <w:ind w:left="1800"/>
        <w:jc w:val="both"/>
        <w:rPr>
          <w:rFonts w:ascii="Times New Roman" w:hAnsi="Times New Roman" w:cs="Times New Roman"/>
          <w:b/>
          <w:bCs/>
          <w:sz w:val="28"/>
          <w:szCs w:val="28"/>
        </w:rPr>
      </w:pPr>
      <w:r w:rsidRPr="00543F6D">
        <w:rPr>
          <w:rFonts w:ascii="Times New Roman" w:hAnsi="Times New Roman" w:cs="Times New Roman"/>
          <w:b/>
          <w:bCs/>
          <w:sz w:val="28"/>
          <w:szCs w:val="28"/>
        </w:rPr>
        <w:t xml:space="preserve">Objection: A </w:t>
      </w:r>
      <w:r w:rsidR="00C75E9C" w:rsidRPr="00543F6D">
        <w:rPr>
          <w:rFonts w:ascii="Times New Roman" w:hAnsi="Times New Roman" w:cs="Times New Roman"/>
          <w:b/>
          <w:bCs/>
          <w:sz w:val="28"/>
          <w:szCs w:val="28"/>
        </w:rPr>
        <w:t>nonlawyer</w:t>
      </w:r>
      <w:r w:rsidRPr="00543F6D">
        <w:rPr>
          <w:rFonts w:ascii="Times New Roman" w:hAnsi="Times New Roman" w:cs="Times New Roman"/>
          <w:b/>
          <w:bCs/>
          <w:sz w:val="28"/>
          <w:szCs w:val="28"/>
        </w:rPr>
        <w:t xml:space="preserve"> </w:t>
      </w:r>
      <w:r w:rsidR="00023EDA" w:rsidRPr="00543F6D">
        <w:rPr>
          <w:rFonts w:ascii="Times New Roman" w:hAnsi="Times New Roman" w:cs="Times New Roman"/>
          <w:b/>
          <w:bCs/>
          <w:sz w:val="28"/>
          <w:szCs w:val="28"/>
        </w:rPr>
        <w:t xml:space="preserve">ABS </w:t>
      </w:r>
      <w:r w:rsidRPr="00543F6D">
        <w:rPr>
          <w:rFonts w:ascii="Times New Roman" w:hAnsi="Times New Roman" w:cs="Times New Roman"/>
          <w:b/>
          <w:bCs/>
          <w:sz w:val="28"/>
          <w:szCs w:val="28"/>
        </w:rPr>
        <w:t>owner</w:t>
      </w:r>
      <w:r w:rsidR="00291F65" w:rsidRPr="00543F6D">
        <w:rPr>
          <w:rFonts w:ascii="Times New Roman" w:hAnsi="Times New Roman" w:cs="Times New Roman"/>
          <w:b/>
          <w:bCs/>
          <w:sz w:val="28"/>
          <w:szCs w:val="28"/>
        </w:rPr>
        <w:t xml:space="preserve"> </w:t>
      </w:r>
      <w:r w:rsidRPr="00543F6D">
        <w:rPr>
          <w:rFonts w:ascii="Times New Roman" w:hAnsi="Times New Roman" w:cs="Times New Roman"/>
          <w:b/>
          <w:bCs/>
          <w:sz w:val="28"/>
          <w:szCs w:val="28"/>
        </w:rPr>
        <w:t xml:space="preserve">will be able to </w:t>
      </w:r>
      <w:r w:rsidR="00C75E9C" w:rsidRPr="00543F6D">
        <w:rPr>
          <w:rFonts w:ascii="Times New Roman" w:hAnsi="Times New Roman" w:cs="Times New Roman"/>
          <w:b/>
          <w:bCs/>
          <w:sz w:val="28"/>
          <w:szCs w:val="28"/>
        </w:rPr>
        <w:t xml:space="preserve">wreak havoc on </w:t>
      </w:r>
      <w:r w:rsidR="009C0BB0" w:rsidRPr="00543F6D">
        <w:rPr>
          <w:rFonts w:ascii="Times New Roman" w:hAnsi="Times New Roman" w:cs="Times New Roman"/>
          <w:b/>
          <w:bCs/>
          <w:sz w:val="28"/>
          <w:szCs w:val="28"/>
        </w:rPr>
        <w:t xml:space="preserve">clients </w:t>
      </w:r>
      <w:r w:rsidR="009520DF" w:rsidRPr="00543F6D">
        <w:rPr>
          <w:rFonts w:ascii="Times New Roman" w:hAnsi="Times New Roman" w:cs="Times New Roman"/>
          <w:b/>
          <w:bCs/>
          <w:sz w:val="28"/>
          <w:szCs w:val="28"/>
        </w:rPr>
        <w:t xml:space="preserve">and then </w:t>
      </w:r>
      <w:r w:rsidR="00FE49E2" w:rsidRPr="00543F6D">
        <w:rPr>
          <w:rFonts w:ascii="Times New Roman" w:hAnsi="Times New Roman" w:cs="Times New Roman"/>
          <w:b/>
          <w:bCs/>
          <w:sz w:val="28"/>
          <w:szCs w:val="28"/>
        </w:rPr>
        <w:t>walk away</w:t>
      </w:r>
      <w:r w:rsidR="00994ACF" w:rsidRPr="00543F6D">
        <w:rPr>
          <w:rFonts w:ascii="Times New Roman" w:hAnsi="Times New Roman" w:cs="Times New Roman"/>
          <w:b/>
          <w:bCs/>
          <w:sz w:val="28"/>
          <w:szCs w:val="28"/>
        </w:rPr>
        <w:t xml:space="preserve"> </w:t>
      </w:r>
      <w:r w:rsidR="00023EDA" w:rsidRPr="00543F6D">
        <w:rPr>
          <w:rFonts w:ascii="Times New Roman" w:hAnsi="Times New Roman" w:cs="Times New Roman"/>
          <w:b/>
          <w:bCs/>
          <w:sz w:val="28"/>
          <w:szCs w:val="28"/>
        </w:rPr>
        <w:t>unscathed</w:t>
      </w:r>
      <w:r w:rsidR="009C0BB0" w:rsidRPr="00543F6D">
        <w:rPr>
          <w:rFonts w:ascii="Times New Roman" w:hAnsi="Times New Roman" w:cs="Times New Roman"/>
          <w:b/>
          <w:bCs/>
          <w:sz w:val="28"/>
          <w:szCs w:val="28"/>
        </w:rPr>
        <w:t>.</w:t>
      </w:r>
    </w:p>
    <w:p w:rsidR="00271E74" w:rsidRPr="00D81CDC" w:rsidRDefault="00291F65"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If the Task Force and the petition</w:t>
      </w:r>
      <w:r w:rsidR="00133599" w:rsidRPr="00D81CDC">
        <w:rPr>
          <w:rFonts w:ascii="Times New Roman" w:hAnsi="Times New Roman" w:cs="Times New Roman"/>
          <w:sz w:val="28"/>
          <w:szCs w:val="28"/>
        </w:rPr>
        <w:t xml:space="preserve"> </w:t>
      </w:r>
      <w:r w:rsidR="0048021E" w:rsidRPr="00D81CDC">
        <w:rPr>
          <w:rFonts w:ascii="Times New Roman" w:hAnsi="Times New Roman" w:cs="Times New Roman"/>
          <w:i/>
          <w:iCs/>
          <w:sz w:val="28"/>
          <w:szCs w:val="28"/>
        </w:rPr>
        <w:t>only</w:t>
      </w:r>
      <w:r w:rsidR="0048021E" w:rsidRPr="00D81CDC">
        <w:rPr>
          <w:rFonts w:ascii="Times New Roman" w:hAnsi="Times New Roman" w:cs="Times New Roman"/>
          <w:sz w:val="28"/>
          <w:szCs w:val="28"/>
        </w:rPr>
        <w:t xml:space="preserve"> </w:t>
      </w:r>
      <w:r w:rsidR="00994ACF" w:rsidRPr="00D81CDC">
        <w:rPr>
          <w:rFonts w:ascii="Times New Roman" w:hAnsi="Times New Roman" w:cs="Times New Roman"/>
          <w:sz w:val="28"/>
          <w:szCs w:val="28"/>
        </w:rPr>
        <w:t>proposed</w:t>
      </w:r>
      <w:r w:rsidRPr="00D81CDC">
        <w:rPr>
          <w:rFonts w:ascii="Times New Roman" w:hAnsi="Times New Roman" w:cs="Times New Roman"/>
          <w:sz w:val="28"/>
          <w:szCs w:val="28"/>
        </w:rPr>
        <w:t xml:space="preserve"> eliminating ER 5.4, a </w:t>
      </w:r>
      <w:r w:rsidR="00C75E9C" w:rsidRPr="00D81CDC">
        <w:rPr>
          <w:rFonts w:ascii="Times New Roman" w:hAnsi="Times New Roman" w:cs="Times New Roman"/>
          <w:sz w:val="28"/>
          <w:szCs w:val="28"/>
        </w:rPr>
        <w:t>nonlawyer</w:t>
      </w:r>
      <w:r w:rsidRPr="00D81CDC">
        <w:rPr>
          <w:rFonts w:ascii="Times New Roman" w:hAnsi="Times New Roman" w:cs="Times New Roman"/>
          <w:sz w:val="28"/>
          <w:szCs w:val="28"/>
        </w:rPr>
        <w:t xml:space="preserve"> </w:t>
      </w:r>
      <w:r w:rsidR="00994ACF" w:rsidRPr="00D81CDC">
        <w:rPr>
          <w:rFonts w:ascii="Times New Roman" w:hAnsi="Times New Roman" w:cs="Times New Roman"/>
          <w:sz w:val="28"/>
          <w:szCs w:val="28"/>
        </w:rPr>
        <w:t xml:space="preserve">owner theoretically could </w:t>
      </w:r>
      <w:r w:rsidR="0048021E" w:rsidRPr="00D81CDC">
        <w:rPr>
          <w:rFonts w:ascii="Times New Roman" w:hAnsi="Times New Roman" w:cs="Times New Roman"/>
          <w:sz w:val="28"/>
          <w:szCs w:val="28"/>
        </w:rPr>
        <w:t>establish a law firm, cause problems and then close it down and walk away, perhaps to establish another operation</w:t>
      </w:r>
      <w:r w:rsidR="00642AD8" w:rsidRPr="00D81CDC">
        <w:rPr>
          <w:rFonts w:ascii="Times New Roman" w:hAnsi="Times New Roman" w:cs="Times New Roman"/>
          <w:sz w:val="28"/>
          <w:szCs w:val="28"/>
        </w:rPr>
        <w:t xml:space="preserve"> that continued </w:t>
      </w:r>
      <w:r w:rsidR="00642AD8" w:rsidRPr="00D81CDC">
        <w:rPr>
          <w:rFonts w:ascii="Times New Roman" w:hAnsi="Times New Roman" w:cs="Times New Roman"/>
          <w:sz w:val="28"/>
          <w:szCs w:val="28"/>
        </w:rPr>
        <w:lastRenderedPageBreak/>
        <w:t>harming clients</w:t>
      </w:r>
      <w:r w:rsidR="002365A5" w:rsidRPr="00D81CDC">
        <w:rPr>
          <w:rFonts w:ascii="Times New Roman" w:hAnsi="Times New Roman" w:cs="Times New Roman"/>
          <w:sz w:val="28"/>
          <w:szCs w:val="28"/>
        </w:rPr>
        <w:t>. T</w:t>
      </w:r>
      <w:r w:rsidR="00734393" w:rsidRPr="00D81CDC">
        <w:rPr>
          <w:rFonts w:ascii="Times New Roman" w:hAnsi="Times New Roman" w:cs="Times New Roman"/>
          <w:sz w:val="28"/>
          <w:szCs w:val="28"/>
        </w:rPr>
        <w:t>he proposal to eliminate ER 5.4</w:t>
      </w:r>
      <w:r w:rsidR="00023EDA" w:rsidRPr="00D81CDC">
        <w:rPr>
          <w:rFonts w:ascii="Times New Roman" w:hAnsi="Times New Roman" w:cs="Times New Roman"/>
          <w:sz w:val="28"/>
          <w:szCs w:val="28"/>
        </w:rPr>
        <w:t>, however,</w:t>
      </w:r>
      <w:r w:rsidR="00734393" w:rsidRPr="00D81CDC">
        <w:rPr>
          <w:rFonts w:ascii="Times New Roman" w:hAnsi="Times New Roman" w:cs="Times New Roman"/>
          <w:sz w:val="28"/>
          <w:szCs w:val="28"/>
        </w:rPr>
        <w:t xml:space="preserve"> must be read in conjunction with the </w:t>
      </w:r>
      <w:r w:rsidR="00271E74" w:rsidRPr="00D81CDC">
        <w:rPr>
          <w:rFonts w:ascii="Times New Roman" w:hAnsi="Times New Roman" w:cs="Times New Roman"/>
          <w:sz w:val="28"/>
          <w:szCs w:val="28"/>
        </w:rPr>
        <w:t xml:space="preserve">proposed </w:t>
      </w:r>
      <w:r w:rsidR="00734393" w:rsidRPr="00D81CDC">
        <w:rPr>
          <w:rFonts w:ascii="Times New Roman" w:hAnsi="Times New Roman" w:cs="Times New Roman"/>
          <w:sz w:val="28"/>
          <w:szCs w:val="28"/>
        </w:rPr>
        <w:t>regulatory framework</w:t>
      </w:r>
      <w:r w:rsidR="00271E74" w:rsidRPr="00D81CDC">
        <w:rPr>
          <w:rFonts w:ascii="Times New Roman" w:hAnsi="Times New Roman" w:cs="Times New Roman"/>
          <w:sz w:val="28"/>
          <w:szCs w:val="28"/>
        </w:rPr>
        <w:t>, ACJA § 7-209</w:t>
      </w:r>
      <w:r w:rsidR="00994ACF" w:rsidRPr="00D81CDC">
        <w:rPr>
          <w:rFonts w:ascii="Times New Roman" w:hAnsi="Times New Roman" w:cs="Times New Roman"/>
          <w:sz w:val="28"/>
          <w:szCs w:val="28"/>
        </w:rPr>
        <w:t>, which includes a myriad of requirements for licensing and, for misconduct, sanctions as serious as $1 million civil fines.</w:t>
      </w:r>
    </w:p>
    <w:p w:rsidR="0048021E" w:rsidRPr="00D81CDC" w:rsidRDefault="00994ACF"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The proposed regulatory framework is in fact so rigorous that some proponents of allowing nonlawyer </w:t>
      </w:r>
      <w:r w:rsidR="0048021E" w:rsidRPr="00D81CDC">
        <w:rPr>
          <w:rFonts w:ascii="Times New Roman" w:hAnsi="Times New Roman" w:cs="Times New Roman"/>
          <w:sz w:val="28"/>
          <w:szCs w:val="28"/>
        </w:rPr>
        <w:t xml:space="preserve">ownership </w:t>
      </w:r>
      <w:r w:rsidRPr="00D81CDC">
        <w:rPr>
          <w:rFonts w:ascii="Times New Roman" w:hAnsi="Times New Roman" w:cs="Times New Roman"/>
          <w:sz w:val="28"/>
          <w:szCs w:val="28"/>
        </w:rPr>
        <w:t xml:space="preserve">might consider it too much, but </w:t>
      </w:r>
      <w:r w:rsidR="00271E74" w:rsidRPr="00D81CDC">
        <w:rPr>
          <w:rFonts w:ascii="Times New Roman" w:hAnsi="Times New Roman" w:cs="Times New Roman"/>
          <w:sz w:val="28"/>
          <w:szCs w:val="28"/>
        </w:rPr>
        <w:t xml:space="preserve">the </w:t>
      </w:r>
      <w:r w:rsidR="00F03F49" w:rsidRPr="00D81CDC">
        <w:rPr>
          <w:rFonts w:ascii="Times New Roman" w:hAnsi="Times New Roman" w:cs="Times New Roman"/>
          <w:sz w:val="28"/>
          <w:szCs w:val="28"/>
        </w:rPr>
        <w:t xml:space="preserve">Task Force and the </w:t>
      </w:r>
      <w:r w:rsidR="00023EDA" w:rsidRPr="00D81CDC">
        <w:rPr>
          <w:rFonts w:ascii="Times New Roman" w:hAnsi="Times New Roman" w:cs="Times New Roman"/>
          <w:sz w:val="28"/>
          <w:szCs w:val="28"/>
        </w:rPr>
        <w:t xml:space="preserve">Entity </w:t>
      </w:r>
      <w:r w:rsidR="00692307" w:rsidRPr="00D81CDC">
        <w:rPr>
          <w:rFonts w:ascii="Times New Roman" w:hAnsi="Times New Roman" w:cs="Times New Roman"/>
          <w:sz w:val="28"/>
          <w:szCs w:val="28"/>
        </w:rPr>
        <w:t xml:space="preserve">Regulation Work Group </w:t>
      </w:r>
      <w:r w:rsidR="00271E74" w:rsidRPr="00D81CDC">
        <w:rPr>
          <w:rFonts w:ascii="Times New Roman" w:hAnsi="Times New Roman" w:cs="Times New Roman"/>
          <w:sz w:val="28"/>
          <w:szCs w:val="28"/>
        </w:rPr>
        <w:t xml:space="preserve">believed </w:t>
      </w:r>
      <w:r w:rsidRPr="00D81CDC">
        <w:rPr>
          <w:rFonts w:ascii="Times New Roman" w:hAnsi="Times New Roman" w:cs="Times New Roman"/>
          <w:sz w:val="28"/>
          <w:szCs w:val="28"/>
        </w:rPr>
        <w:t xml:space="preserve">the </w:t>
      </w:r>
      <w:r w:rsidR="0048021E" w:rsidRPr="00D81CDC">
        <w:rPr>
          <w:rFonts w:ascii="Times New Roman" w:hAnsi="Times New Roman" w:cs="Times New Roman"/>
          <w:sz w:val="28"/>
          <w:szCs w:val="28"/>
        </w:rPr>
        <w:t>rigorous application process, the code of conduct (including requiring that the licensee have an internal</w:t>
      </w:r>
      <w:r w:rsidR="00642AD8" w:rsidRPr="00D81CDC">
        <w:rPr>
          <w:rFonts w:ascii="Times New Roman" w:hAnsi="Times New Roman" w:cs="Times New Roman"/>
          <w:sz w:val="28"/>
          <w:szCs w:val="28"/>
        </w:rPr>
        <w:t xml:space="preserve"> </w:t>
      </w:r>
      <w:r w:rsidR="0048021E" w:rsidRPr="00D81CDC">
        <w:rPr>
          <w:rFonts w:ascii="Times New Roman" w:hAnsi="Times New Roman" w:cs="Times New Roman"/>
          <w:sz w:val="28"/>
          <w:szCs w:val="28"/>
        </w:rPr>
        <w:t>compliance attorney)</w:t>
      </w:r>
      <w:r w:rsidR="001740EC">
        <w:rPr>
          <w:rFonts w:ascii="Times New Roman" w:hAnsi="Times New Roman" w:cs="Times New Roman"/>
          <w:sz w:val="28"/>
          <w:szCs w:val="28"/>
        </w:rPr>
        <w:t>,</w:t>
      </w:r>
      <w:r w:rsidR="0048021E"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and </w:t>
      </w:r>
      <w:r w:rsidR="0048021E" w:rsidRPr="00D81CDC">
        <w:rPr>
          <w:rFonts w:ascii="Times New Roman" w:hAnsi="Times New Roman" w:cs="Times New Roman"/>
          <w:sz w:val="28"/>
          <w:szCs w:val="28"/>
        </w:rPr>
        <w:t xml:space="preserve">the stiff sanctions are </w:t>
      </w:r>
      <w:r w:rsidR="00271E74" w:rsidRPr="00D81CDC">
        <w:rPr>
          <w:rFonts w:ascii="Times New Roman" w:hAnsi="Times New Roman" w:cs="Times New Roman"/>
          <w:sz w:val="28"/>
          <w:szCs w:val="28"/>
        </w:rPr>
        <w:t>necessary to ensure lawyer independence, client confidentiality, and</w:t>
      </w:r>
      <w:r w:rsidR="0048021E" w:rsidRPr="00D81CDC">
        <w:rPr>
          <w:rFonts w:ascii="Times New Roman" w:hAnsi="Times New Roman" w:cs="Times New Roman"/>
          <w:sz w:val="28"/>
          <w:szCs w:val="28"/>
        </w:rPr>
        <w:t>, perhaps most important, protect consumers.</w:t>
      </w:r>
    </w:p>
    <w:p w:rsidR="00A22D69" w:rsidRPr="00D81CDC" w:rsidRDefault="00692307" w:rsidP="00AD2F7E">
      <w:pPr>
        <w:spacing w:line="360" w:lineRule="auto"/>
        <w:ind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Assuming an ABS is licensed (which</w:t>
      </w:r>
      <w:r w:rsidR="00C75E9C" w:rsidRPr="00D81CDC">
        <w:rPr>
          <w:rFonts w:ascii="Times New Roman" w:hAnsi="Times New Roman" w:cs="Times New Roman"/>
          <w:color w:val="000000" w:themeColor="text1"/>
          <w:sz w:val="28"/>
          <w:szCs w:val="28"/>
        </w:rPr>
        <w:t xml:space="preserve"> </w:t>
      </w:r>
      <w:r w:rsidRPr="00D81CDC">
        <w:rPr>
          <w:rFonts w:ascii="Times New Roman" w:hAnsi="Times New Roman" w:cs="Times New Roman"/>
          <w:color w:val="000000" w:themeColor="text1"/>
          <w:sz w:val="28"/>
          <w:szCs w:val="28"/>
        </w:rPr>
        <w:t xml:space="preserve">would be a major </w:t>
      </w:r>
      <w:r w:rsidR="00F03F49" w:rsidRPr="00D81CDC">
        <w:rPr>
          <w:rFonts w:ascii="Times New Roman" w:hAnsi="Times New Roman" w:cs="Times New Roman"/>
          <w:color w:val="000000" w:themeColor="text1"/>
          <w:sz w:val="28"/>
          <w:szCs w:val="28"/>
        </w:rPr>
        <w:t>undertaking</w:t>
      </w:r>
      <w:r w:rsidR="00C75E9C" w:rsidRPr="00D81CDC">
        <w:rPr>
          <w:rFonts w:ascii="Times New Roman" w:hAnsi="Times New Roman" w:cs="Times New Roman"/>
          <w:color w:val="000000" w:themeColor="text1"/>
          <w:sz w:val="28"/>
          <w:szCs w:val="28"/>
        </w:rPr>
        <w:t xml:space="preserve"> based on the application and vetting requirements</w:t>
      </w:r>
      <w:r w:rsidRPr="00D81CDC">
        <w:rPr>
          <w:rFonts w:ascii="Times New Roman" w:hAnsi="Times New Roman" w:cs="Times New Roman"/>
          <w:color w:val="000000" w:themeColor="text1"/>
          <w:sz w:val="28"/>
          <w:szCs w:val="28"/>
        </w:rPr>
        <w:t xml:space="preserve">), </w:t>
      </w:r>
      <w:r w:rsidR="0048021E" w:rsidRPr="00D81CDC">
        <w:rPr>
          <w:rFonts w:ascii="Times New Roman" w:hAnsi="Times New Roman" w:cs="Times New Roman"/>
          <w:color w:val="000000" w:themeColor="text1"/>
          <w:sz w:val="28"/>
          <w:szCs w:val="28"/>
        </w:rPr>
        <w:t>the code of conduct requires, among other provisions, that the licensee:</w:t>
      </w:r>
    </w:p>
    <w:p w:rsidR="0048021E" w:rsidRPr="00D81CDC" w:rsidRDefault="00692307" w:rsidP="003B4763">
      <w:pPr>
        <w:pStyle w:val="ListParagraph"/>
        <w:numPr>
          <w:ilvl w:val="0"/>
          <w:numId w:val="8"/>
        </w:numPr>
        <w:spacing w:after="0" w:line="240" w:lineRule="auto"/>
        <w:ind w:right="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N</w:t>
      </w:r>
      <w:r w:rsidR="002C7F5E" w:rsidRPr="00D81CDC">
        <w:rPr>
          <w:rFonts w:ascii="Times New Roman" w:hAnsi="Times New Roman" w:cs="Times New Roman"/>
          <w:color w:val="000000" w:themeColor="text1"/>
          <w:sz w:val="28"/>
          <w:szCs w:val="28"/>
        </w:rPr>
        <w:t xml:space="preserve">ot allow </w:t>
      </w:r>
      <w:r w:rsidR="0048021E" w:rsidRPr="00D81CDC">
        <w:rPr>
          <w:rFonts w:ascii="Times New Roman" w:hAnsi="Times New Roman" w:cs="Times New Roman"/>
          <w:color w:val="000000" w:themeColor="text1"/>
          <w:sz w:val="28"/>
          <w:szCs w:val="28"/>
        </w:rPr>
        <w:t>the ABS to represent legal clients if doing so results in a conflict of interest;</w:t>
      </w:r>
    </w:p>
    <w:p w:rsidR="00692307" w:rsidRPr="00D81CDC" w:rsidRDefault="00692307" w:rsidP="003B4763">
      <w:pPr>
        <w:pStyle w:val="ListParagraph"/>
        <w:numPr>
          <w:ilvl w:val="0"/>
          <w:numId w:val="8"/>
        </w:numPr>
        <w:spacing w:after="0" w:line="240" w:lineRule="auto"/>
        <w:ind w:right="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Not take any action or engage in activity that interferes with the professional independence of lawyers or others authorized to provide legal services;</w:t>
      </w:r>
    </w:p>
    <w:p w:rsidR="00692307" w:rsidRPr="00D81CDC" w:rsidRDefault="00692307" w:rsidP="003B4763">
      <w:pPr>
        <w:pStyle w:val="ListParagraph"/>
        <w:numPr>
          <w:ilvl w:val="0"/>
          <w:numId w:val="8"/>
        </w:numPr>
        <w:spacing w:after="0" w:line="240" w:lineRule="auto"/>
        <w:ind w:right="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 xml:space="preserve">Not </w:t>
      </w:r>
      <w:r w:rsidR="0048021E" w:rsidRPr="00D81CDC">
        <w:rPr>
          <w:rFonts w:ascii="Times New Roman" w:hAnsi="Times New Roman" w:cs="Times New Roman"/>
          <w:color w:val="000000" w:themeColor="text1"/>
          <w:sz w:val="28"/>
          <w:szCs w:val="28"/>
        </w:rPr>
        <w:t xml:space="preserve">do anything </w:t>
      </w:r>
      <w:r w:rsidRPr="00D81CDC">
        <w:rPr>
          <w:rFonts w:ascii="Times New Roman" w:hAnsi="Times New Roman" w:cs="Times New Roman"/>
          <w:color w:val="000000" w:themeColor="text1"/>
          <w:sz w:val="28"/>
          <w:szCs w:val="28"/>
        </w:rPr>
        <w:t xml:space="preserve">that misleads or attempts to mislead a client, a court, or others, either by the entity’s own acts or omissions or those of its members or employees; and </w:t>
      </w:r>
    </w:p>
    <w:p w:rsidR="00692307" w:rsidRPr="00D81CDC" w:rsidRDefault="00F03F49" w:rsidP="003B4763">
      <w:pPr>
        <w:pStyle w:val="ListParagraph"/>
        <w:numPr>
          <w:ilvl w:val="0"/>
          <w:numId w:val="8"/>
        </w:numPr>
        <w:spacing w:after="0" w:line="240" w:lineRule="auto"/>
        <w:ind w:right="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H</w:t>
      </w:r>
      <w:r w:rsidR="00692307" w:rsidRPr="00D81CDC">
        <w:rPr>
          <w:rFonts w:ascii="Times New Roman" w:hAnsi="Times New Roman" w:cs="Times New Roman"/>
          <w:color w:val="000000" w:themeColor="text1"/>
          <w:sz w:val="28"/>
          <w:szCs w:val="28"/>
        </w:rPr>
        <w:t>old property of legal</w:t>
      </w:r>
      <w:r w:rsidR="0048021E" w:rsidRPr="00D81CDC">
        <w:rPr>
          <w:rFonts w:ascii="Times New Roman" w:hAnsi="Times New Roman" w:cs="Times New Roman"/>
          <w:color w:val="000000" w:themeColor="text1"/>
          <w:sz w:val="28"/>
          <w:szCs w:val="28"/>
        </w:rPr>
        <w:t>-s</w:t>
      </w:r>
      <w:r w:rsidR="00692307" w:rsidRPr="00D81CDC">
        <w:rPr>
          <w:rFonts w:ascii="Times New Roman" w:hAnsi="Times New Roman" w:cs="Times New Roman"/>
          <w:color w:val="000000" w:themeColor="text1"/>
          <w:sz w:val="28"/>
          <w:szCs w:val="28"/>
        </w:rPr>
        <w:t>ervices clients separate from the ABS’s property</w:t>
      </w:r>
      <w:r w:rsidRPr="00D81CDC">
        <w:rPr>
          <w:rFonts w:ascii="Times New Roman" w:hAnsi="Times New Roman" w:cs="Times New Roman"/>
          <w:color w:val="000000" w:themeColor="text1"/>
          <w:sz w:val="28"/>
          <w:szCs w:val="28"/>
        </w:rPr>
        <w:t>, in compliance with ER 1.15</w:t>
      </w:r>
      <w:r w:rsidR="00692307" w:rsidRPr="00D81CDC">
        <w:rPr>
          <w:rFonts w:ascii="Times New Roman" w:hAnsi="Times New Roman" w:cs="Times New Roman"/>
          <w:color w:val="000000" w:themeColor="text1"/>
          <w:sz w:val="28"/>
          <w:szCs w:val="28"/>
        </w:rPr>
        <w:t>.</w:t>
      </w:r>
    </w:p>
    <w:p w:rsidR="00AD2F7E" w:rsidRPr="00D81CDC" w:rsidRDefault="00AD2F7E" w:rsidP="00AD2F7E">
      <w:pPr>
        <w:pStyle w:val="ListParagraph"/>
        <w:spacing w:after="0" w:line="240" w:lineRule="auto"/>
        <w:ind w:left="1080" w:right="720"/>
        <w:jc w:val="both"/>
        <w:rPr>
          <w:rFonts w:ascii="Times New Roman" w:hAnsi="Times New Roman" w:cs="Times New Roman"/>
          <w:color w:val="000000" w:themeColor="text1"/>
          <w:sz w:val="28"/>
          <w:szCs w:val="28"/>
        </w:rPr>
      </w:pPr>
    </w:p>
    <w:p w:rsidR="002A1B09" w:rsidRPr="00D81CDC" w:rsidRDefault="00692307" w:rsidP="00AD2F7E">
      <w:pPr>
        <w:spacing w:line="360" w:lineRule="auto"/>
        <w:ind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 xml:space="preserve">Failing to comply with the </w:t>
      </w:r>
      <w:r w:rsidR="00C75E9C" w:rsidRPr="00D81CDC">
        <w:rPr>
          <w:rFonts w:ascii="Times New Roman" w:hAnsi="Times New Roman" w:cs="Times New Roman"/>
          <w:color w:val="000000" w:themeColor="text1"/>
          <w:sz w:val="28"/>
          <w:szCs w:val="28"/>
        </w:rPr>
        <w:t>c</w:t>
      </w:r>
      <w:r w:rsidRPr="00D81CDC">
        <w:rPr>
          <w:rFonts w:ascii="Times New Roman" w:hAnsi="Times New Roman" w:cs="Times New Roman"/>
          <w:color w:val="000000" w:themeColor="text1"/>
          <w:sz w:val="28"/>
          <w:szCs w:val="28"/>
        </w:rPr>
        <w:t xml:space="preserve">ode of </w:t>
      </w:r>
      <w:r w:rsidR="00C75E9C" w:rsidRPr="00D81CDC">
        <w:rPr>
          <w:rFonts w:ascii="Times New Roman" w:hAnsi="Times New Roman" w:cs="Times New Roman"/>
          <w:color w:val="000000" w:themeColor="text1"/>
          <w:sz w:val="28"/>
          <w:szCs w:val="28"/>
        </w:rPr>
        <w:t>c</w:t>
      </w:r>
      <w:r w:rsidRPr="00D81CDC">
        <w:rPr>
          <w:rFonts w:ascii="Times New Roman" w:hAnsi="Times New Roman" w:cs="Times New Roman"/>
          <w:color w:val="000000" w:themeColor="text1"/>
          <w:sz w:val="28"/>
          <w:szCs w:val="28"/>
        </w:rPr>
        <w:t xml:space="preserve">onduct or any of the regulatory requirements is not only </w:t>
      </w:r>
      <w:r w:rsidR="00C75E9C" w:rsidRPr="00D81CDC">
        <w:rPr>
          <w:rFonts w:ascii="Times New Roman" w:hAnsi="Times New Roman" w:cs="Times New Roman"/>
          <w:color w:val="000000" w:themeColor="text1"/>
          <w:sz w:val="28"/>
          <w:szCs w:val="28"/>
        </w:rPr>
        <w:t xml:space="preserve">a </w:t>
      </w:r>
      <w:r w:rsidRPr="00D81CDC">
        <w:rPr>
          <w:rFonts w:ascii="Times New Roman" w:hAnsi="Times New Roman" w:cs="Times New Roman"/>
          <w:color w:val="000000" w:themeColor="text1"/>
          <w:sz w:val="28"/>
          <w:szCs w:val="28"/>
        </w:rPr>
        <w:t xml:space="preserve">ground for disciplinary action against the ABS as an entity but also against its </w:t>
      </w:r>
      <w:r w:rsidR="00C75E9C" w:rsidRPr="00D81CDC">
        <w:rPr>
          <w:rFonts w:ascii="Times New Roman" w:hAnsi="Times New Roman" w:cs="Times New Roman"/>
          <w:color w:val="000000" w:themeColor="text1"/>
          <w:sz w:val="28"/>
          <w:szCs w:val="28"/>
        </w:rPr>
        <w:t>nonlawyer</w:t>
      </w:r>
      <w:r w:rsidRPr="00D81CDC">
        <w:rPr>
          <w:rFonts w:ascii="Times New Roman" w:hAnsi="Times New Roman" w:cs="Times New Roman"/>
          <w:color w:val="000000" w:themeColor="text1"/>
          <w:sz w:val="28"/>
          <w:szCs w:val="28"/>
        </w:rPr>
        <w:t xml:space="preserve"> members, “who each have the same responsibility for ensuring ethical legal services for clients.” ABS Code of Conduct, ACJA § 7-209(K).</w:t>
      </w:r>
      <w:r w:rsidR="002A1B09" w:rsidRPr="00D81CDC">
        <w:rPr>
          <w:rFonts w:ascii="Times New Roman" w:hAnsi="Times New Roman" w:cs="Times New Roman"/>
          <w:color w:val="000000" w:themeColor="text1"/>
          <w:sz w:val="28"/>
          <w:szCs w:val="28"/>
        </w:rPr>
        <w:t xml:space="preserve"> ACJA § 7-209(K)(2)</w:t>
      </w:r>
      <w:r w:rsidR="0048021E" w:rsidRPr="00D81CDC">
        <w:rPr>
          <w:rFonts w:ascii="Times New Roman" w:hAnsi="Times New Roman" w:cs="Times New Roman"/>
          <w:color w:val="000000" w:themeColor="text1"/>
          <w:sz w:val="28"/>
          <w:szCs w:val="28"/>
        </w:rPr>
        <w:t xml:space="preserve"> emphasizes this by making </w:t>
      </w:r>
      <w:r w:rsidR="002A1B09" w:rsidRPr="00D81CDC">
        <w:rPr>
          <w:rFonts w:ascii="Times New Roman" w:hAnsi="Times New Roman" w:cs="Times New Roman"/>
          <w:color w:val="000000" w:themeColor="text1"/>
          <w:sz w:val="28"/>
          <w:szCs w:val="28"/>
        </w:rPr>
        <w:t>any</w:t>
      </w:r>
      <w:r w:rsidR="00DF25F4" w:rsidRPr="00D81CDC">
        <w:rPr>
          <w:rFonts w:ascii="Times New Roman" w:hAnsi="Times New Roman" w:cs="Times New Roman"/>
          <w:color w:val="000000" w:themeColor="text1"/>
          <w:sz w:val="28"/>
          <w:szCs w:val="28"/>
        </w:rPr>
        <w:t xml:space="preserve"> manager, economic</w:t>
      </w:r>
      <w:r w:rsidR="0048021E" w:rsidRPr="00D81CDC">
        <w:rPr>
          <w:rFonts w:ascii="Times New Roman" w:hAnsi="Times New Roman" w:cs="Times New Roman"/>
          <w:color w:val="000000" w:themeColor="text1"/>
          <w:sz w:val="28"/>
          <w:szCs w:val="28"/>
        </w:rPr>
        <w:t>-</w:t>
      </w:r>
      <w:r w:rsidR="00DF25F4" w:rsidRPr="00D81CDC">
        <w:rPr>
          <w:rFonts w:ascii="Times New Roman" w:hAnsi="Times New Roman" w:cs="Times New Roman"/>
          <w:color w:val="000000" w:themeColor="text1"/>
          <w:sz w:val="28"/>
          <w:szCs w:val="28"/>
        </w:rPr>
        <w:lastRenderedPageBreak/>
        <w:t xml:space="preserve">interest holder, or decision-maker in a licensed ABS </w:t>
      </w:r>
      <w:r w:rsidR="00DF25F4" w:rsidRPr="00D81CDC">
        <w:rPr>
          <w:rFonts w:ascii="Times New Roman" w:hAnsi="Times New Roman" w:cs="Times New Roman"/>
          <w:i/>
          <w:iCs/>
          <w:color w:val="000000" w:themeColor="text1"/>
          <w:sz w:val="28"/>
          <w:szCs w:val="28"/>
        </w:rPr>
        <w:t>individually</w:t>
      </w:r>
      <w:r w:rsidR="00DF25F4" w:rsidRPr="00D81CDC">
        <w:rPr>
          <w:rFonts w:ascii="Times New Roman" w:hAnsi="Times New Roman" w:cs="Times New Roman"/>
          <w:color w:val="000000" w:themeColor="text1"/>
          <w:sz w:val="28"/>
          <w:szCs w:val="28"/>
        </w:rPr>
        <w:t xml:space="preserve"> responsible for </w:t>
      </w:r>
      <w:r w:rsidRPr="00D81CDC">
        <w:rPr>
          <w:rFonts w:ascii="Times New Roman" w:hAnsi="Times New Roman" w:cs="Times New Roman"/>
          <w:color w:val="000000" w:themeColor="text1"/>
          <w:sz w:val="28"/>
          <w:szCs w:val="28"/>
        </w:rPr>
        <w:t xml:space="preserve">the ABS complying with the </w:t>
      </w:r>
      <w:r w:rsidR="00642AD8" w:rsidRPr="00D81CDC">
        <w:rPr>
          <w:rFonts w:ascii="Times New Roman" w:hAnsi="Times New Roman" w:cs="Times New Roman"/>
          <w:color w:val="000000" w:themeColor="text1"/>
          <w:sz w:val="28"/>
          <w:szCs w:val="28"/>
        </w:rPr>
        <w:t>c</w:t>
      </w:r>
      <w:r w:rsidRPr="00D81CDC">
        <w:rPr>
          <w:rFonts w:ascii="Times New Roman" w:hAnsi="Times New Roman" w:cs="Times New Roman"/>
          <w:color w:val="000000" w:themeColor="text1"/>
          <w:sz w:val="28"/>
          <w:szCs w:val="28"/>
        </w:rPr>
        <w:t xml:space="preserve">ode of </w:t>
      </w:r>
      <w:r w:rsidR="00642AD8" w:rsidRPr="00D81CDC">
        <w:rPr>
          <w:rFonts w:ascii="Times New Roman" w:hAnsi="Times New Roman" w:cs="Times New Roman"/>
          <w:color w:val="000000" w:themeColor="text1"/>
          <w:sz w:val="28"/>
          <w:szCs w:val="28"/>
        </w:rPr>
        <w:t>c</w:t>
      </w:r>
      <w:r w:rsidRPr="00D81CDC">
        <w:rPr>
          <w:rFonts w:ascii="Times New Roman" w:hAnsi="Times New Roman" w:cs="Times New Roman"/>
          <w:color w:val="000000" w:themeColor="text1"/>
          <w:sz w:val="28"/>
          <w:szCs w:val="28"/>
        </w:rPr>
        <w:t>onduct.</w:t>
      </w:r>
    </w:p>
    <w:p w:rsidR="00DF25F4" w:rsidRPr="00D81CDC" w:rsidRDefault="002A1B09" w:rsidP="00221286">
      <w:pPr>
        <w:spacing w:line="360" w:lineRule="auto"/>
        <w:ind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 xml:space="preserve">In addition, the </w:t>
      </w:r>
      <w:r w:rsidR="00DF25F4" w:rsidRPr="00D81CDC">
        <w:rPr>
          <w:rFonts w:ascii="Times New Roman" w:hAnsi="Times New Roman" w:cs="Times New Roman"/>
          <w:color w:val="000000" w:themeColor="text1"/>
          <w:sz w:val="28"/>
          <w:szCs w:val="28"/>
        </w:rPr>
        <w:t>ABS</w:t>
      </w:r>
      <w:r w:rsidRPr="00D81CDC">
        <w:rPr>
          <w:rFonts w:ascii="Times New Roman" w:hAnsi="Times New Roman" w:cs="Times New Roman"/>
          <w:color w:val="000000" w:themeColor="text1"/>
          <w:sz w:val="28"/>
          <w:szCs w:val="28"/>
        </w:rPr>
        <w:t xml:space="preserve">’s </w:t>
      </w:r>
      <w:r w:rsidR="00F03F49" w:rsidRPr="00D81CDC">
        <w:rPr>
          <w:rFonts w:ascii="Times New Roman" w:hAnsi="Times New Roman" w:cs="Times New Roman"/>
          <w:color w:val="000000" w:themeColor="text1"/>
          <w:sz w:val="28"/>
          <w:szCs w:val="28"/>
        </w:rPr>
        <w:t xml:space="preserve">required </w:t>
      </w:r>
      <w:r w:rsidRPr="00D81CDC">
        <w:rPr>
          <w:rFonts w:ascii="Times New Roman" w:hAnsi="Times New Roman" w:cs="Times New Roman"/>
          <w:color w:val="000000" w:themeColor="text1"/>
          <w:sz w:val="28"/>
          <w:szCs w:val="28"/>
        </w:rPr>
        <w:t xml:space="preserve">compliance lawyer </w:t>
      </w:r>
      <w:r w:rsidR="00F03F49" w:rsidRPr="00D81CDC">
        <w:rPr>
          <w:rFonts w:ascii="Times New Roman" w:hAnsi="Times New Roman" w:cs="Times New Roman"/>
          <w:color w:val="000000" w:themeColor="text1"/>
          <w:sz w:val="28"/>
          <w:szCs w:val="28"/>
        </w:rPr>
        <w:t xml:space="preserve">also </w:t>
      </w:r>
      <w:r w:rsidR="00DF25F4" w:rsidRPr="00D81CDC">
        <w:rPr>
          <w:rFonts w:ascii="Times New Roman" w:hAnsi="Times New Roman" w:cs="Times New Roman"/>
          <w:color w:val="000000" w:themeColor="text1"/>
          <w:sz w:val="28"/>
          <w:szCs w:val="28"/>
        </w:rPr>
        <w:t xml:space="preserve">will be </w:t>
      </w:r>
      <w:r w:rsidR="00DF25F4" w:rsidRPr="00D81CDC">
        <w:rPr>
          <w:rFonts w:ascii="Times New Roman" w:hAnsi="Times New Roman" w:cs="Times New Roman"/>
          <w:i/>
          <w:iCs/>
          <w:color w:val="000000" w:themeColor="text1"/>
          <w:sz w:val="28"/>
          <w:szCs w:val="28"/>
        </w:rPr>
        <w:t>individually</w:t>
      </w:r>
      <w:r w:rsidR="00DF25F4" w:rsidRPr="00D81CDC">
        <w:rPr>
          <w:rFonts w:ascii="Times New Roman" w:hAnsi="Times New Roman" w:cs="Times New Roman"/>
          <w:color w:val="000000" w:themeColor="text1"/>
          <w:sz w:val="28"/>
          <w:szCs w:val="28"/>
        </w:rPr>
        <w:t xml:space="preserve"> responsible for ensuring that the ABS and all managers, owners and decision</w:t>
      </w:r>
      <w:r w:rsidR="0048021E" w:rsidRPr="00D81CDC">
        <w:rPr>
          <w:rFonts w:ascii="Times New Roman" w:hAnsi="Times New Roman" w:cs="Times New Roman"/>
          <w:color w:val="000000" w:themeColor="text1"/>
          <w:sz w:val="28"/>
          <w:szCs w:val="28"/>
        </w:rPr>
        <w:t>-</w:t>
      </w:r>
      <w:r w:rsidR="00DF25F4" w:rsidRPr="00D81CDC">
        <w:rPr>
          <w:rFonts w:ascii="Times New Roman" w:hAnsi="Times New Roman" w:cs="Times New Roman"/>
          <w:color w:val="000000" w:themeColor="text1"/>
          <w:sz w:val="28"/>
          <w:szCs w:val="28"/>
        </w:rPr>
        <w:t xml:space="preserve">makers comply with the </w:t>
      </w:r>
      <w:r w:rsidR="00642AD8" w:rsidRPr="00D81CDC">
        <w:rPr>
          <w:rFonts w:ascii="Times New Roman" w:hAnsi="Times New Roman" w:cs="Times New Roman"/>
          <w:color w:val="000000" w:themeColor="text1"/>
          <w:sz w:val="28"/>
          <w:szCs w:val="28"/>
        </w:rPr>
        <w:t>c</w:t>
      </w:r>
      <w:r w:rsidR="00DF25F4" w:rsidRPr="00D81CDC">
        <w:rPr>
          <w:rFonts w:ascii="Times New Roman" w:hAnsi="Times New Roman" w:cs="Times New Roman"/>
          <w:color w:val="000000" w:themeColor="text1"/>
          <w:sz w:val="28"/>
          <w:szCs w:val="28"/>
        </w:rPr>
        <w:t xml:space="preserve">ode of </w:t>
      </w:r>
      <w:r w:rsidR="00642AD8" w:rsidRPr="00D81CDC">
        <w:rPr>
          <w:rFonts w:ascii="Times New Roman" w:hAnsi="Times New Roman" w:cs="Times New Roman"/>
          <w:color w:val="000000" w:themeColor="text1"/>
          <w:sz w:val="28"/>
          <w:szCs w:val="28"/>
        </w:rPr>
        <w:t>c</w:t>
      </w:r>
      <w:r w:rsidR="00DF25F4" w:rsidRPr="00D81CDC">
        <w:rPr>
          <w:rFonts w:ascii="Times New Roman" w:hAnsi="Times New Roman" w:cs="Times New Roman"/>
          <w:color w:val="000000" w:themeColor="text1"/>
          <w:sz w:val="28"/>
          <w:szCs w:val="28"/>
        </w:rPr>
        <w:t>onduct.</w:t>
      </w:r>
      <w:r w:rsidRPr="00D81CDC">
        <w:rPr>
          <w:rFonts w:ascii="Times New Roman" w:hAnsi="Times New Roman" w:cs="Times New Roman"/>
          <w:color w:val="000000" w:themeColor="text1"/>
          <w:sz w:val="28"/>
          <w:szCs w:val="28"/>
        </w:rPr>
        <w:t xml:space="preserve"> ACJA § 7-209(K)(3).</w:t>
      </w:r>
      <w:r w:rsidR="00470355" w:rsidRPr="00D81CDC">
        <w:rPr>
          <w:rFonts w:ascii="Times New Roman" w:hAnsi="Times New Roman" w:cs="Times New Roman"/>
          <w:color w:val="000000" w:themeColor="text1"/>
          <w:sz w:val="28"/>
          <w:szCs w:val="28"/>
        </w:rPr>
        <w:t xml:space="preserve"> The compliance lawyer also could be summarily suspended if the compliance lawyer does not take reasonable steps to discharge their duties, including failing to report “</w:t>
      </w:r>
      <w:r w:rsidR="00470355" w:rsidRPr="00D81CDC">
        <w:rPr>
          <w:rFonts w:ascii="Times New Roman" w:hAnsi="Times New Roman" w:cs="Times New Roman"/>
          <w:sz w:val="28"/>
          <w:szCs w:val="28"/>
        </w:rPr>
        <w:t xml:space="preserve">any facts or matters reasonably believed to amount to a substantial breach of the regulatory requirements of this code or the ethical and professional obligations of lawyers.” </w:t>
      </w:r>
      <w:r w:rsidR="00470355" w:rsidRPr="00D81CDC">
        <w:rPr>
          <w:rFonts w:ascii="Times New Roman" w:hAnsi="Times New Roman" w:cs="Times New Roman"/>
          <w:color w:val="000000" w:themeColor="text1"/>
          <w:sz w:val="28"/>
          <w:szCs w:val="28"/>
        </w:rPr>
        <w:t>ACJA § 7-209(G)(3)(c).</w:t>
      </w:r>
    </w:p>
    <w:p w:rsidR="00F03F49" w:rsidRPr="00D81CDC" w:rsidRDefault="002A1B09" w:rsidP="00221286">
      <w:pPr>
        <w:spacing w:line="360" w:lineRule="auto"/>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ab/>
        <w:t xml:space="preserve">The ABS regulatory system would </w:t>
      </w:r>
      <w:r w:rsidR="00F03F49" w:rsidRPr="00D81CDC">
        <w:rPr>
          <w:rFonts w:ascii="Times New Roman" w:hAnsi="Times New Roman" w:cs="Times New Roman"/>
          <w:color w:val="000000" w:themeColor="text1"/>
          <w:sz w:val="28"/>
          <w:szCs w:val="28"/>
        </w:rPr>
        <w:t xml:space="preserve">be able to audit ABS license holders to make sure they are complying with the rules and </w:t>
      </w:r>
      <w:r w:rsidR="00FC2F35">
        <w:rPr>
          <w:rFonts w:ascii="Times New Roman" w:hAnsi="Times New Roman" w:cs="Times New Roman"/>
          <w:color w:val="000000" w:themeColor="text1"/>
          <w:sz w:val="28"/>
          <w:szCs w:val="28"/>
        </w:rPr>
        <w:t xml:space="preserve">refer </w:t>
      </w:r>
      <w:r w:rsidR="00F03F49" w:rsidRPr="00D81CDC">
        <w:rPr>
          <w:rFonts w:ascii="Times New Roman" w:hAnsi="Times New Roman" w:cs="Times New Roman"/>
          <w:color w:val="000000" w:themeColor="text1"/>
          <w:sz w:val="28"/>
          <w:szCs w:val="28"/>
        </w:rPr>
        <w:t>those out of compliance t</w:t>
      </w:r>
      <w:r w:rsidRPr="00D81CDC">
        <w:rPr>
          <w:rFonts w:ascii="Times New Roman" w:hAnsi="Times New Roman" w:cs="Times New Roman"/>
          <w:color w:val="000000" w:themeColor="text1"/>
          <w:sz w:val="28"/>
          <w:szCs w:val="28"/>
        </w:rPr>
        <w:t xml:space="preserve">o the State Bar for </w:t>
      </w:r>
      <w:r w:rsidR="00F03F49" w:rsidRPr="00D81CDC">
        <w:rPr>
          <w:rFonts w:ascii="Times New Roman" w:hAnsi="Times New Roman" w:cs="Times New Roman"/>
          <w:color w:val="000000" w:themeColor="text1"/>
          <w:sz w:val="28"/>
          <w:szCs w:val="28"/>
        </w:rPr>
        <w:t xml:space="preserve">investigation and possible </w:t>
      </w:r>
      <w:r w:rsidRPr="00D81CDC">
        <w:rPr>
          <w:rFonts w:ascii="Times New Roman" w:hAnsi="Times New Roman" w:cs="Times New Roman"/>
          <w:color w:val="000000" w:themeColor="text1"/>
          <w:sz w:val="28"/>
          <w:szCs w:val="28"/>
        </w:rPr>
        <w:t>prosecution.</w:t>
      </w:r>
      <w:r w:rsidR="00F03F49" w:rsidRPr="00D81CDC">
        <w:rPr>
          <w:rFonts w:ascii="Times New Roman" w:hAnsi="Times New Roman" w:cs="Times New Roman"/>
          <w:color w:val="000000" w:themeColor="text1"/>
          <w:sz w:val="28"/>
          <w:szCs w:val="28"/>
        </w:rPr>
        <w:t xml:space="preserve"> ACJA § 7-209(D)(3)(b)(3).</w:t>
      </w:r>
    </w:p>
    <w:p w:rsidR="0048021E" w:rsidRPr="00D81CDC" w:rsidRDefault="00F03F49" w:rsidP="00221286">
      <w:pPr>
        <w:spacing w:line="360" w:lineRule="auto"/>
        <w:ind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If an ABS or its members are found to have engaged in misconduct, possible s</w:t>
      </w:r>
      <w:r w:rsidR="00DF25F4" w:rsidRPr="00D81CDC">
        <w:rPr>
          <w:rFonts w:ascii="Times New Roman" w:hAnsi="Times New Roman" w:cs="Times New Roman"/>
          <w:color w:val="000000" w:themeColor="text1"/>
          <w:sz w:val="28"/>
          <w:szCs w:val="28"/>
        </w:rPr>
        <w:t xml:space="preserve">anctions </w:t>
      </w:r>
      <w:r w:rsidR="00642AD8" w:rsidRPr="00D81CDC">
        <w:rPr>
          <w:rFonts w:ascii="Times New Roman" w:hAnsi="Times New Roman" w:cs="Times New Roman"/>
          <w:color w:val="000000" w:themeColor="text1"/>
          <w:sz w:val="28"/>
          <w:szCs w:val="28"/>
        </w:rPr>
        <w:t xml:space="preserve">include </w:t>
      </w:r>
      <w:r w:rsidR="00DF25F4" w:rsidRPr="00D81CDC">
        <w:rPr>
          <w:rFonts w:ascii="Times New Roman" w:hAnsi="Times New Roman" w:cs="Times New Roman"/>
          <w:color w:val="000000" w:themeColor="text1"/>
          <w:sz w:val="28"/>
          <w:szCs w:val="28"/>
        </w:rPr>
        <w:t>revocation or suspension of the ABS’s li</w:t>
      </w:r>
      <w:r w:rsidRPr="00D81CDC">
        <w:rPr>
          <w:rFonts w:ascii="Times New Roman" w:hAnsi="Times New Roman" w:cs="Times New Roman"/>
          <w:color w:val="000000" w:themeColor="text1"/>
          <w:sz w:val="28"/>
          <w:szCs w:val="28"/>
        </w:rPr>
        <w:t>c</w:t>
      </w:r>
      <w:r w:rsidR="00DF25F4" w:rsidRPr="00D81CDC">
        <w:rPr>
          <w:rFonts w:ascii="Times New Roman" w:hAnsi="Times New Roman" w:cs="Times New Roman"/>
          <w:color w:val="000000" w:themeColor="text1"/>
          <w:sz w:val="28"/>
          <w:szCs w:val="28"/>
        </w:rPr>
        <w:t xml:space="preserve">ense; reprimand; admonition; probation; </w:t>
      </w:r>
      <w:r w:rsidRPr="00D81CDC">
        <w:rPr>
          <w:rFonts w:ascii="Times New Roman" w:hAnsi="Times New Roman" w:cs="Times New Roman"/>
          <w:color w:val="000000" w:themeColor="text1"/>
          <w:sz w:val="28"/>
          <w:szCs w:val="28"/>
        </w:rPr>
        <w:t>restitution</w:t>
      </w:r>
      <w:r w:rsidR="00DF25F4" w:rsidRPr="00D81CDC">
        <w:rPr>
          <w:rFonts w:ascii="Times New Roman" w:hAnsi="Times New Roman" w:cs="Times New Roman"/>
          <w:color w:val="000000" w:themeColor="text1"/>
          <w:sz w:val="28"/>
          <w:szCs w:val="28"/>
        </w:rPr>
        <w:t xml:space="preserve">; </w:t>
      </w:r>
      <w:r w:rsidRPr="00D81CDC">
        <w:rPr>
          <w:rFonts w:ascii="Times New Roman" w:hAnsi="Times New Roman" w:cs="Times New Roman"/>
          <w:color w:val="000000" w:themeColor="text1"/>
          <w:sz w:val="28"/>
          <w:szCs w:val="28"/>
        </w:rPr>
        <w:t>disgorgement of profits</w:t>
      </w:r>
      <w:r w:rsidR="00DF25F4" w:rsidRPr="00D81CDC">
        <w:rPr>
          <w:rFonts w:ascii="Times New Roman" w:hAnsi="Times New Roman" w:cs="Times New Roman"/>
          <w:color w:val="000000" w:themeColor="text1"/>
          <w:sz w:val="28"/>
          <w:szCs w:val="28"/>
        </w:rPr>
        <w:t xml:space="preserve">; </w:t>
      </w:r>
      <w:r w:rsidR="00DF25F4" w:rsidRPr="00D81CDC">
        <w:rPr>
          <w:rFonts w:ascii="Times New Roman" w:hAnsi="Times New Roman" w:cs="Times New Roman"/>
          <w:i/>
          <w:iCs/>
          <w:color w:val="000000" w:themeColor="text1"/>
          <w:sz w:val="28"/>
          <w:szCs w:val="28"/>
        </w:rPr>
        <w:t>and</w:t>
      </w:r>
      <w:r w:rsidR="00CC4C2F" w:rsidRPr="00D81CDC">
        <w:rPr>
          <w:rFonts w:ascii="Times New Roman" w:hAnsi="Times New Roman" w:cs="Times New Roman"/>
          <w:i/>
          <w:iCs/>
          <w:color w:val="000000" w:themeColor="text1"/>
          <w:sz w:val="28"/>
          <w:szCs w:val="28"/>
        </w:rPr>
        <w:t xml:space="preserve"> </w:t>
      </w:r>
      <w:r w:rsidR="00DF25F4" w:rsidRPr="00D81CDC">
        <w:rPr>
          <w:rFonts w:ascii="Times New Roman" w:hAnsi="Times New Roman" w:cs="Times New Roman"/>
          <w:i/>
          <w:iCs/>
          <w:color w:val="000000" w:themeColor="text1"/>
          <w:sz w:val="28"/>
          <w:szCs w:val="28"/>
        </w:rPr>
        <w:t>civil fine</w:t>
      </w:r>
      <w:r w:rsidRPr="00D81CDC">
        <w:rPr>
          <w:rFonts w:ascii="Times New Roman" w:hAnsi="Times New Roman" w:cs="Times New Roman"/>
          <w:i/>
          <w:iCs/>
          <w:color w:val="000000" w:themeColor="text1"/>
          <w:sz w:val="28"/>
          <w:szCs w:val="28"/>
        </w:rPr>
        <w:t>s</w:t>
      </w:r>
      <w:r w:rsidR="00DF25F4" w:rsidRPr="00D81CDC">
        <w:rPr>
          <w:rFonts w:ascii="Times New Roman" w:hAnsi="Times New Roman" w:cs="Times New Roman"/>
          <w:i/>
          <w:iCs/>
          <w:color w:val="000000" w:themeColor="text1"/>
          <w:sz w:val="28"/>
          <w:szCs w:val="28"/>
        </w:rPr>
        <w:t xml:space="preserve"> up to $1 million</w:t>
      </w:r>
      <w:r w:rsidR="00CC4C2F" w:rsidRPr="00D81CDC">
        <w:rPr>
          <w:rFonts w:ascii="Times New Roman" w:hAnsi="Times New Roman" w:cs="Times New Roman"/>
          <w:color w:val="000000" w:themeColor="text1"/>
          <w:sz w:val="28"/>
          <w:szCs w:val="28"/>
        </w:rPr>
        <w:t>.</w:t>
      </w:r>
      <w:r w:rsidRPr="00D81CDC">
        <w:rPr>
          <w:rFonts w:ascii="Times New Roman" w:hAnsi="Times New Roman" w:cs="Times New Roman"/>
          <w:color w:val="000000" w:themeColor="text1"/>
          <w:sz w:val="28"/>
          <w:szCs w:val="28"/>
        </w:rPr>
        <w:t xml:space="preserve"> ACJA § 7-209(H)(2).</w:t>
      </w:r>
    </w:p>
    <w:p w:rsidR="00395E3E" w:rsidRPr="00D81CDC" w:rsidRDefault="00133599" w:rsidP="00AD2F7E">
      <w:pPr>
        <w:spacing w:line="360" w:lineRule="auto"/>
        <w:ind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 xml:space="preserve">The rigorous regulatory framework is necessary to ensure that nonlawyers – either individuals or entities – are regulated and liable for misconduct and resulting harm if they choose to own all or part of a law firm. </w:t>
      </w:r>
      <w:r w:rsidR="00470355" w:rsidRPr="00D81CDC">
        <w:rPr>
          <w:rFonts w:ascii="Times New Roman" w:hAnsi="Times New Roman" w:cs="Times New Roman"/>
          <w:color w:val="000000" w:themeColor="text1"/>
          <w:sz w:val="28"/>
          <w:szCs w:val="28"/>
        </w:rPr>
        <w:t>As a result, a</w:t>
      </w:r>
      <w:r w:rsidRPr="00D81CDC">
        <w:rPr>
          <w:rFonts w:ascii="Times New Roman" w:hAnsi="Times New Roman" w:cs="Times New Roman"/>
          <w:color w:val="000000" w:themeColor="text1"/>
          <w:sz w:val="28"/>
          <w:szCs w:val="28"/>
        </w:rPr>
        <w:t>s envisioned by the Task Force and the petition, a nonlawyer ABS owner will not be able to engage in misconduct and inflict harm and then walk away without suffering repercussions.</w:t>
      </w:r>
    </w:p>
    <w:p w:rsidR="009D53BD" w:rsidRPr="00543F6D" w:rsidRDefault="00965D70" w:rsidP="003B4763">
      <w:pPr>
        <w:pStyle w:val="ListParagraph"/>
        <w:numPr>
          <w:ilvl w:val="0"/>
          <w:numId w:val="2"/>
        </w:numPr>
        <w:spacing w:after="0" w:line="360" w:lineRule="auto"/>
        <w:ind w:left="1800" w:right="720"/>
        <w:jc w:val="both"/>
        <w:rPr>
          <w:rFonts w:ascii="Times New Roman" w:hAnsi="Times New Roman" w:cs="Times New Roman"/>
          <w:b/>
          <w:bCs/>
          <w:color w:val="000000" w:themeColor="text1"/>
          <w:sz w:val="28"/>
          <w:szCs w:val="28"/>
        </w:rPr>
      </w:pPr>
      <w:r w:rsidRPr="00543F6D">
        <w:rPr>
          <w:rFonts w:ascii="Times New Roman" w:hAnsi="Times New Roman" w:cs="Times New Roman"/>
          <w:b/>
          <w:bCs/>
          <w:color w:val="000000" w:themeColor="text1"/>
          <w:sz w:val="28"/>
          <w:szCs w:val="28"/>
        </w:rPr>
        <w:t>Issue</w:t>
      </w:r>
      <w:r w:rsidR="002550A1" w:rsidRPr="00543F6D">
        <w:rPr>
          <w:rFonts w:ascii="Times New Roman" w:hAnsi="Times New Roman" w:cs="Times New Roman"/>
          <w:b/>
          <w:bCs/>
          <w:color w:val="000000" w:themeColor="text1"/>
          <w:sz w:val="28"/>
          <w:szCs w:val="28"/>
        </w:rPr>
        <w:t>:</w:t>
      </w:r>
      <w:r w:rsidR="00903062" w:rsidRPr="00543F6D">
        <w:rPr>
          <w:rFonts w:ascii="Times New Roman" w:hAnsi="Times New Roman" w:cs="Times New Roman"/>
          <w:b/>
          <w:bCs/>
          <w:color w:val="000000" w:themeColor="text1"/>
          <w:sz w:val="28"/>
          <w:szCs w:val="28"/>
        </w:rPr>
        <w:t xml:space="preserve"> </w:t>
      </w:r>
      <w:r w:rsidR="00673909" w:rsidRPr="00543F6D">
        <w:rPr>
          <w:rFonts w:ascii="Times New Roman" w:hAnsi="Times New Roman" w:cs="Times New Roman"/>
          <w:b/>
          <w:bCs/>
          <w:color w:val="000000" w:themeColor="text1"/>
          <w:sz w:val="28"/>
          <w:szCs w:val="28"/>
        </w:rPr>
        <w:t xml:space="preserve">A lawyer or a </w:t>
      </w:r>
      <w:r w:rsidR="00C75E9C" w:rsidRPr="00543F6D">
        <w:rPr>
          <w:rFonts w:ascii="Times New Roman" w:hAnsi="Times New Roman" w:cs="Times New Roman"/>
          <w:b/>
          <w:bCs/>
          <w:color w:val="000000" w:themeColor="text1"/>
          <w:sz w:val="28"/>
          <w:szCs w:val="28"/>
        </w:rPr>
        <w:t>nonlawyer</w:t>
      </w:r>
      <w:r w:rsidR="00673909" w:rsidRPr="00543F6D">
        <w:rPr>
          <w:rFonts w:ascii="Times New Roman" w:hAnsi="Times New Roman" w:cs="Times New Roman"/>
          <w:b/>
          <w:bCs/>
          <w:color w:val="000000" w:themeColor="text1"/>
          <w:sz w:val="28"/>
          <w:szCs w:val="28"/>
        </w:rPr>
        <w:t xml:space="preserve"> in a</w:t>
      </w:r>
      <w:r w:rsidR="00927675" w:rsidRPr="00543F6D">
        <w:rPr>
          <w:rFonts w:ascii="Times New Roman" w:hAnsi="Times New Roman" w:cs="Times New Roman"/>
          <w:b/>
          <w:bCs/>
          <w:color w:val="000000" w:themeColor="text1"/>
          <w:sz w:val="28"/>
          <w:szCs w:val="28"/>
        </w:rPr>
        <w:t xml:space="preserve">n ABS </w:t>
      </w:r>
      <w:r w:rsidR="00673909" w:rsidRPr="00543F6D">
        <w:rPr>
          <w:rFonts w:ascii="Times New Roman" w:hAnsi="Times New Roman" w:cs="Times New Roman"/>
          <w:b/>
          <w:bCs/>
          <w:color w:val="000000" w:themeColor="text1"/>
          <w:sz w:val="28"/>
          <w:szCs w:val="28"/>
        </w:rPr>
        <w:t>firm could have an ownership interest in the opposing firm or the opposing party</w:t>
      </w:r>
      <w:r w:rsidRPr="00543F6D">
        <w:rPr>
          <w:rFonts w:ascii="Times New Roman" w:hAnsi="Times New Roman" w:cs="Times New Roman"/>
          <w:b/>
          <w:bCs/>
          <w:color w:val="000000" w:themeColor="text1"/>
          <w:sz w:val="28"/>
          <w:szCs w:val="28"/>
        </w:rPr>
        <w:t>.</w:t>
      </w:r>
    </w:p>
    <w:p w:rsidR="006D1041" w:rsidRPr="00D81CDC" w:rsidRDefault="00965D70" w:rsidP="00221286">
      <w:pPr>
        <w:tabs>
          <w:tab w:val="left" w:pos="360"/>
          <w:tab w:val="left" w:pos="720"/>
        </w:tabs>
        <w:spacing w:line="360" w:lineRule="auto"/>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ab/>
      </w:r>
      <w:r w:rsidRPr="00D81CDC">
        <w:rPr>
          <w:rFonts w:ascii="Times New Roman" w:hAnsi="Times New Roman" w:cs="Times New Roman"/>
          <w:color w:val="000000" w:themeColor="text1"/>
          <w:sz w:val="28"/>
          <w:szCs w:val="28"/>
        </w:rPr>
        <w:tab/>
        <w:t xml:space="preserve">Eliminating the ban on </w:t>
      </w:r>
      <w:r w:rsidR="00C75E9C" w:rsidRPr="00D81CDC">
        <w:rPr>
          <w:rFonts w:ascii="Times New Roman" w:hAnsi="Times New Roman" w:cs="Times New Roman"/>
          <w:color w:val="000000" w:themeColor="text1"/>
          <w:sz w:val="28"/>
          <w:szCs w:val="28"/>
        </w:rPr>
        <w:t>nonlawyer</w:t>
      </w:r>
      <w:r w:rsidRPr="00D81CDC">
        <w:rPr>
          <w:rFonts w:ascii="Times New Roman" w:hAnsi="Times New Roman" w:cs="Times New Roman"/>
          <w:color w:val="000000" w:themeColor="text1"/>
          <w:sz w:val="28"/>
          <w:szCs w:val="28"/>
        </w:rPr>
        <w:t xml:space="preserve"> ownership of law firms could open the door to a wide range of </w:t>
      </w:r>
      <w:r w:rsidR="0089062C" w:rsidRPr="00D81CDC">
        <w:rPr>
          <w:rFonts w:ascii="Times New Roman" w:hAnsi="Times New Roman" w:cs="Times New Roman"/>
          <w:color w:val="000000" w:themeColor="text1"/>
          <w:sz w:val="28"/>
          <w:szCs w:val="28"/>
        </w:rPr>
        <w:t>ownership</w:t>
      </w:r>
      <w:r w:rsidR="00673909" w:rsidRPr="00D81CDC">
        <w:rPr>
          <w:rFonts w:ascii="Times New Roman" w:hAnsi="Times New Roman" w:cs="Times New Roman"/>
          <w:color w:val="000000" w:themeColor="text1"/>
          <w:sz w:val="28"/>
          <w:szCs w:val="28"/>
        </w:rPr>
        <w:t xml:space="preserve"> </w:t>
      </w:r>
      <w:r w:rsidR="0089062C" w:rsidRPr="00D81CDC">
        <w:rPr>
          <w:rFonts w:ascii="Times New Roman" w:hAnsi="Times New Roman" w:cs="Times New Roman"/>
          <w:color w:val="000000" w:themeColor="text1"/>
          <w:sz w:val="28"/>
          <w:szCs w:val="28"/>
        </w:rPr>
        <w:t>scenarios</w:t>
      </w:r>
      <w:r w:rsidRPr="00D81CDC">
        <w:rPr>
          <w:rFonts w:ascii="Times New Roman" w:hAnsi="Times New Roman" w:cs="Times New Roman"/>
          <w:color w:val="000000" w:themeColor="text1"/>
          <w:sz w:val="28"/>
          <w:szCs w:val="28"/>
        </w:rPr>
        <w:t xml:space="preserve">, from one as simple as a law </w:t>
      </w:r>
      <w:r w:rsidR="006D1041" w:rsidRPr="00D81CDC">
        <w:rPr>
          <w:rFonts w:ascii="Times New Roman" w:hAnsi="Times New Roman" w:cs="Times New Roman"/>
          <w:color w:val="000000" w:themeColor="text1"/>
          <w:sz w:val="28"/>
          <w:szCs w:val="28"/>
        </w:rPr>
        <w:t xml:space="preserve">firm </w:t>
      </w:r>
      <w:r w:rsidR="00133599" w:rsidRPr="00D81CDC">
        <w:rPr>
          <w:rFonts w:ascii="Times New Roman" w:hAnsi="Times New Roman" w:cs="Times New Roman"/>
          <w:color w:val="000000" w:themeColor="text1"/>
          <w:sz w:val="28"/>
          <w:szCs w:val="28"/>
        </w:rPr>
        <w:t xml:space="preserve">granting </w:t>
      </w:r>
      <w:r w:rsidR="00FC2F35" w:rsidRPr="00D81CDC">
        <w:rPr>
          <w:rFonts w:ascii="Times New Roman" w:hAnsi="Times New Roman" w:cs="Times New Roman"/>
          <w:color w:val="000000" w:themeColor="text1"/>
          <w:sz w:val="28"/>
          <w:szCs w:val="28"/>
        </w:rPr>
        <w:lastRenderedPageBreak/>
        <w:t xml:space="preserve">its long-time nonlawyer administrator </w:t>
      </w:r>
      <w:r w:rsidR="00133599" w:rsidRPr="00D81CDC">
        <w:rPr>
          <w:rFonts w:ascii="Times New Roman" w:hAnsi="Times New Roman" w:cs="Times New Roman"/>
          <w:color w:val="000000" w:themeColor="text1"/>
          <w:sz w:val="28"/>
          <w:szCs w:val="28"/>
        </w:rPr>
        <w:t xml:space="preserve">a partnership </w:t>
      </w:r>
      <w:r w:rsidRPr="00D81CDC">
        <w:rPr>
          <w:rFonts w:ascii="Times New Roman" w:hAnsi="Times New Roman" w:cs="Times New Roman"/>
          <w:color w:val="000000" w:themeColor="text1"/>
          <w:sz w:val="28"/>
          <w:szCs w:val="28"/>
        </w:rPr>
        <w:t xml:space="preserve">to one as complex as a </w:t>
      </w:r>
      <w:r w:rsidR="00401301" w:rsidRPr="00D81CDC">
        <w:rPr>
          <w:rFonts w:ascii="Times New Roman" w:hAnsi="Times New Roman" w:cs="Times New Roman"/>
          <w:color w:val="000000" w:themeColor="text1"/>
          <w:sz w:val="28"/>
          <w:szCs w:val="28"/>
        </w:rPr>
        <w:t>conglomerate</w:t>
      </w:r>
      <w:r w:rsidRPr="00D81CDC">
        <w:rPr>
          <w:rFonts w:ascii="Times New Roman" w:hAnsi="Times New Roman" w:cs="Times New Roman"/>
          <w:color w:val="000000" w:themeColor="text1"/>
          <w:sz w:val="28"/>
          <w:szCs w:val="28"/>
        </w:rPr>
        <w:t xml:space="preserve"> </w:t>
      </w:r>
      <w:r w:rsidR="006D1041" w:rsidRPr="00D81CDC">
        <w:rPr>
          <w:rFonts w:ascii="Times New Roman" w:hAnsi="Times New Roman" w:cs="Times New Roman"/>
          <w:color w:val="000000" w:themeColor="text1"/>
          <w:sz w:val="28"/>
          <w:szCs w:val="28"/>
        </w:rPr>
        <w:t xml:space="preserve">buying </w:t>
      </w:r>
      <w:r w:rsidR="00133599" w:rsidRPr="00D81CDC">
        <w:rPr>
          <w:rFonts w:ascii="Times New Roman" w:hAnsi="Times New Roman" w:cs="Times New Roman"/>
          <w:color w:val="000000" w:themeColor="text1"/>
          <w:sz w:val="28"/>
          <w:szCs w:val="28"/>
        </w:rPr>
        <w:t xml:space="preserve">and operating </w:t>
      </w:r>
      <w:r w:rsidR="006D1041" w:rsidRPr="00D81CDC">
        <w:rPr>
          <w:rFonts w:ascii="Times New Roman" w:hAnsi="Times New Roman" w:cs="Times New Roman"/>
          <w:color w:val="000000" w:themeColor="text1"/>
          <w:sz w:val="28"/>
          <w:szCs w:val="28"/>
        </w:rPr>
        <w:t>a law firm.</w:t>
      </w:r>
    </w:p>
    <w:p w:rsidR="00927675" w:rsidRPr="00D81CDC" w:rsidRDefault="004D1476" w:rsidP="00221286">
      <w:pPr>
        <w:tabs>
          <w:tab w:val="left" w:pos="360"/>
          <w:tab w:val="left" w:pos="720"/>
        </w:tabs>
        <w:spacing w:line="360" w:lineRule="auto"/>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ab/>
      </w:r>
      <w:r w:rsidRPr="00D81CDC">
        <w:rPr>
          <w:rFonts w:ascii="Times New Roman" w:hAnsi="Times New Roman" w:cs="Times New Roman"/>
          <w:color w:val="000000" w:themeColor="text1"/>
          <w:sz w:val="28"/>
          <w:szCs w:val="28"/>
        </w:rPr>
        <w:tab/>
      </w:r>
      <w:r w:rsidR="0089062C" w:rsidRPr="00D81CDC">
        <w:rPr>
          <w:rFonts w:ascii="Times New Roman" w:hAnsi="Times New Roman" w:cs="Times New Roman"/>
          <w:color w:val="000000" w:themeColor="text1"/>
          <w:sz w:val="28"/>
          <w:szCs w:val="28"/>
        </w:rPr>
        <w:t>Few</w:t>
      </w:r>
      <w:r w:rsidR="00924567" w:rsidRPr="00D81CDC">
        <w:rPr>
          <w:rFonts w:ascii="Times New Roman" w:hAnsi="Times New Roman" w:cs="Times New Roman"/>
          <w:color w:val="000000" w:themeColor="text1"/>
          <w:sz w:val="28"/>
          <w:szCs w:val="28"/>
        </w:rPr>
        <w:t xml:space="preserve"> </w:t>
      </w:r>
      <w:r w:rsidR="0089062C" w:rsidRPr="00D81CDC">
        <w:rPr>
          <w:rFonts w:ascii="Times New Roman" w:hAnsi="Times New Roman" w:cs="Times New Roman"/>
          <w:color w:val="000000" w:themeColor="text1"/>
          <w:sz w:val="28"/>
          <w:szCs w:val="28"/>
        </w:rPr>
        <w:t xml:space="preserve">conflicts may arise </w:t>
      </w:r>
      <w:r w:rsidR="00F03F49" w:rsidRPr="00D81CDC">
        <w:rPr>
          <w:rFonts w:ascii="Times New Roman" w:hAnsi="Times New Roman" w:cs="Times New Roman"/>
          <w:color w:val="000000" w:themeColor="text1"/>
          <w:sz w:val="28"/>
          <w:szCs w:val="28"/>
        </w:rPr>
        <w:t>if</w:t>
      </w:r>
      <w:r w:rsidR="0089062C" w:rsidRPr="00D81CDC">
        <w:rPr>
          <w:rFonts w:ascii="Times New Roman" w:hAnsi="Times New Roman" w:cs="Times New Roman"/>
          <w:color w:val="000000" w:themeColor="text1"/>
          <w:sz w:val="28"/>
          <w:szCs w:val="28"/>
        </w:rPr>
        <w:t xml:space="preserve"> the long-time </w:t>
      </w:r>
      <w:r w:rsidR="00133599" w:rsidRPr="00D81CDC">
        <w:rPr>
          <w:rFonts w:ascii="Times New Roman" w:hAnsi="Times New Roman" w:cs="Times New Roman"/>
          <w:color w:val="000000" w:themeColor="text1"/>
          <w:sz w:val="28"/>
          <w:szCs w:val="28"/>
        </w:rPr>
        <w:t xml:space="preserve">nonlawyer </w:t>
      </w:r>
      <w:r w:rsidR="0089062C" w:rsidRPr="00D81CDC">
        <w:rPr>
          <w:rFonts w:ascii="Times New Roman" w:hAnsi="Times New Roman" w:cs="Times New Roman"/>
          <w:color w:val="000000" w:themeColor="text1"/>
          <w:sz w:val="28"/>
          <w:szCs w:val="28"/>
        </w:rPr>
        <w:t xml:space="preserve">administrator </w:t>
      </w:r>
      <w:r w:rsidR="00F03F49" w:rsidRPr="00D81CDC">
        <w:rPr>
          <w:rFonts w:ascii="Times New Roman" w:hAnsi="Times New Roman" w:cs="Times New Roman"/>
          <w:color w:val="000000" w:themeColor="text1"/>
          <w:sz w:val="28"/>
          <w:szCs w:val="28"/>
        </w:rPr>
        <w:t>becomes</w:t>
      </w:r>
      <w:r w:rsidR="0089062C" w:rsidRPr="00D81CDC">
        <w:rPr>
          <w:rFonts w:ascii="Times New Roman" w:hAnsi="Times New Roman" w:cs="Times New Roman"/>
          <w:color w:val="000000" w:themeColor="text1"/>
          <w:sz w:val="28"/>
          <w:szCs w:val="28"/>
        </w:rPr>
        <w:t xml:space="preserve"> an owner.</w:t>
      </w:r>
      <w:r w:rsidR="00927675" w:rsidRPr="00D81CDC">
        <w:rPr>
          <w:rFonts w:ascii="Times New Roman" w:hAnsi="Times New Roman" w:cs="Times New Roman"/>
          <w:color w:val="000000" w:themeColor="text1"/>
          <w:sz w:val="28"/>
          <w:szCs w:val="28"/>
        </w:rPr>
        <w:t xml:space="preserve"> Those that do</w:t>
      </w:r>
      <w:r w:rsidR="001740EC">
        <w:rPr>
          <w:rFonts w:ascii="Times New Roman" w:hAnsi="Times New Roman" w:cs="Times New Roman"/>
          <w:color w:val="000000" w:themeColor="text1"/>
          <w:sz w:val="28"/>
          <w:szCs w:val="28"/>
        </w:rPr>
        <w:t>,</w:t>
      </w:r>
      <w:r w:rsidR="00927675" w:rsidRPr="00D81CDC">
        <w:rPr>
          <w:rFonts w:ascii="Times New Roman" w:hAnsi="Times New Roman" w:cs="Times New Roman"/>
          <w:color w:val="000000" w:themeColor="text1"/>
          <w:sz w:val="28"/>
          <w:szCs w:val="28"/>
        </w:rPr>
        <w:t xml:space="preserve"> more than likely than not</w:t>
      </w:r>
      <w:r w:rsidR="001740EC">
        <w:rPr>
          <w:rFonts w:ascii="Times New Roman" w:hAnsi="Times New Roman" w:cs="Times New Roman"/>
          <w:color w:val="000000" w:themeColor="text1"/>
          <w:sz w:val="28"/>
          <w:szCs w:val="28"/>
        </w:rPr>
        <w:t>,</w:t>
      </w:r>
      <w:r w:rsidR="00927675" w:rsidRPr="00D81CDC">
        <w:rPr>
          <w:rFonts w:ascii="Times New Roman" w:hAnsi="Times New Roman" w:cs="Times New Roman"/>
          <w:color w:val="000000" w:themeColor="text1"/>
          <w:sz w:val="28"/>
          <w:szCs w:val="28"/>
        </w:rPr>
        <w:t xml:space="preserve"> would be </w:t>
      </w:r>
      <w:proofErr w:type="gramStart"/>
      <w:r w:rsidR="00927675" w:rsidRPr="00D81CDC">
        <w:rPr>
          <w:rFonts w:ascii="Times New Roman" w:hAnsi="Times New Roman" w:cs="Times New Roman"/>
          <w:color w:val="000000" w:themeColor="text1"/>
          <w:sz w:val="28"/>
          <w:szCs w:val="28"/>
        </w:rPr>
        <w:t>similar to</w:t>
      </w:r>
      <w:proofErr w:type="gramEnd"/>
      <w:r w:rsidR="00927675" w:rsidRPr="00D81CDC">
        <w:rPr>
          <w:rFonts w:ascii="Times New Roman" w:hAnsi="Times New Roman" w:cs="Times New Roman"/>
          <w:color w:val="000000" w:themeColor="text1"/>
          <w:sz w:val="28"/>
          <w:szCs w:val="28"/>
        </w:rPr>
        <w:t xml:space="preserve"> conflicts that already arise, such as a lawyer having conflicting </w:t>
      </w:r>
      <w:r w:rsidR="00FC2F35">
        <w:rPr>
          <w:rFonts w:ascii="Times New Roman" w:hAnsi="Times New Roman" w:cs="Times New Roman"/>
          <w:color w:val="000000" w:themeColor="text1"/>
          <w:sz w:val="28"/>
          <w:szCs w:val="28"/>
        </w:rPr>
        <w:t>nonlawyer</w:t>
      </w:r>
      <w:r w:rsidR="00927675" w:rsidRPr="00D81CDC">
        <w:rPr>
          <w:rFonts w:ascii="Times New Roman" w:hAnsi="Times New Roman" w:cs="Times New Roman"/>
          <w:color w:val="000000" w:themeColor="text1"/>
          <w:sz w:val="28"/>
          <w:szCs w:val="28"/>
        </w:rPr>
        <w:t xml:space="preserve"> business interests or being related to someone who works for the adverse party or opposing law firm.</w:t>
      </w:r>
    </w:p>
    <w:p w:rsidR="00DC4F12" w:rsidRPr="00D81CDC" w:rsidRDefault="0089062C" w:rsidP="00221286">
      <w:pPr>
        <w:tabs>
          <w:tab w:val="left" w:pos="360"/>
          <w:tab w:val="left" w:pos="720"/>
        </w:tabs>
        <w:spacing w:line="360" w:lineRule="auto"/>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ab/>
      </w:r>
      <w:r w:rsidRPr="00D81CDC">
        <w:rPr>
          <w:rFonts w:ascii="Times New Roman" w:hAnsi="Times New Roman" w:cs="Times New Roman"/>
          <w:color w:val="000000" w:themeColor="text1"/>
          <w:sz w:val="28"/>
          <w:szCs w:val="28"/>
        </w:rPr>
        <w:tab/>
        <w:t xml:space="preserve">But </w:t>
      </w:r>
      <w:r w:rsidR="00401301" w:rsidRPr="00D81CDC">
        <w:rPr>
          <w:rFonts w:ascii="Times New Roman" w:hAnsi="Times New Roman" w:cs="Times New Roman"/>
          <w:color w:val="000000" w:themeColor="text1"/>
          <w:sz w:val="28"/>
          <w:szCs w:val="28"/>
        </w:rPr>
        <w:t>the conglomerate buying and operating a law firm could indeed be problematic</w:t>
      </w:r>
      <w:r w:rsidR="00302F85" w:rsidRPr="00D81CDC">
        <w:rPr>
          <w:rFonts w:ascii="Times New Roman" w:hAnsi="Times New Roman" w:cs="Times New Roman"/>
          <w:color w:val="000000" w:themeColor="text1"/>
          <w:sz w:val="28"/>
          <w:szCs w:val="28"/>
        </w:rPr>
        <w:t xml:space="preserve">. </w:t>
      </w:r>
      <w:r w:rsidR="00401301" w:rsidRPr="00D81CDC">
        <w:rPr>
          <w:rFonts w:ascii="Times New Roman" w:hAnsi="Times New Roman" w:cs="Times New Roman"/>
          <w:color w:val="000000" w:themeColor="text1"/>
          <w:sz w:val="28"/>
          <w:szCs w:val="28"/>
        </w:rPr>
        <w:t>For example</w:t>
      </w:r>
      <w:r w:rsidR="00302F85" w:rsidRPr="00D81CDC">
        <w:rPr>
          <w:rFonts w:ascii="Times New Roman" w:hAnsi="Times New Roman" w:cs="Times New Roman"/>
          <w:color w:val="000000" w:themeColor="text1"/>
          <w:sz w:val="28"/>
          <w:szCs w:val="28"/>
        </w:rPr>
        <w:t xml:space="preserve">, if </w:t>
      </w:r>
      <w:r w:rsidR="00401301" w:rsidRPr="00D81CDC">
        <w:rPr>
          <w:rFonts w:ascii="Times New Roman" w:hAnsi="Times New Roman" w:cs="Times New Roman"/>
          <w:color w:val="000000" w:themeColor="text1"/>
          <w:sz w:val="28"/>
          <w:szCs w:val="28"/>
        </w:rPr>
        <w:t xml:space="preserve">the conglomerate also owns an insurance company, </w:t>
      </w:r>
      <w:r w:rsidR="00924567" w:rsidRPr="00D81CDC">
        <w:rPr>
          <w:rFonts w:ascii="Times New Roman" w:hAnsi="Times New Roman" w:cs="Times New Roman"/>
          <w:color w:val="000000" w:themeColor="text1"/>
          <w:sz w:val="28"/>
          <w:szCs w:val="28"/>
        </w:rPr>
        <w:t xml:space="preserve">and the </w:t>
      </w:r>
      <w:r w:rsidR="00302F85" w:rsidRPr="00D81CDC">
        <w:rPr>
          <w:rFonts w:ascii="Times New Roman" w:hAnsi="Times New Roman" w:cs="Times New Roman"/>
          <w:color w:val="000000" w:themeColor="text1"/>
          <w:sz w:val="28"/>
          <w:szCs w:val="28"/>
        </w:rPr>
        <w:t xml:space="preserve">law firm the conglomerate owns </w:t>
      </w:r>
      <w:r w:rsidR="00401301" w:rsidRPr="00D81CDC">
        <w:rPr>
          <w:rFonts w:ascii="Times New Roman" w:hAnsi="Times New Roman" w:cs="Times New Roman"/>
          <w:color w:val="000000" w:themeColor="text1"/>
          <w:sz w:val="28"/>
          <w:szCs w:val="28"/>
        </w:rPr>
        <w:t>represent</w:t>
      </w:r>
      <w:r w:rsidR="00924567" w:rsidRPr="00D81CDC">
        <w:rPr>
          <w:rFonts w:ascii="Times New Roman" w:hAnsi="Times New Roman" w:cs="Times New Roman"/>
          <w:color w:val="000000" w:themeColor="text1"/>
          <w:sz w:val="28"/>
          <w:szCs w:val="28"/>
        </w:rPr>
        <w:t>s</w:t>
      </w:r>
      <w:r w:rsidR="00401301" w:rsidRPr="00D81CDC">
        <w:rPr>
          <w:rFonts w:ascii="Times New Roman" w:hAnsi="Times New Roman" w:cs="Times New Roman"/>
          <w:color w:val="000000" w:themeColor="text1"/>
          <w:sz w:val="28"/>
          <w:szCs w:val="28"/>
        </w:rPr>
        <w:t xml:space="preserve"> a client adverse to the insurance company</w:t>
      </w:r>
      <w:r w:rsidR="00924567" w:rsidRPr="00D81CDC">
        <w:rPr>
          <w:rFonts w:ascii="Times New Roman" w:hAnsi="Times New Roman" w:cs="Times New Roman"/>
          <w:color w:val="000000" w:themeColor="text1"/>
          <w:sz w:val="28"/>
          <w:szCs w:val="28"/>
        </w:rPr>
        <w:t xml:space="preserve">, then </w:t>
      </w:r>
      <w:r w:rsidR="00DC4F12" w:rsidRPr="00D81CDC">
        <w:rPr>
          <w:rFonts w:ascii="Times New Roman" w:hAnsi="Times New Roman" w:cs="Times New Roman"/>
          <w:color w:val="000000" w:themeColor="text1"/>
          <w:sz w:val="28"/>
          <w:szCs w:val="28"/>
        </w:rPr>
        <w:t>the same</w:t>
      </w:r>
      <w:r w:rsidR="00927675" w:rsidRPr="00D81CDC">
        <w:rPr>
          <w:rFonts w:ascii="Times New Roman" w:hAnsi="Times New Roman" w:cs="Times New Roman"/>
          <w:color w:val="000000" w:themeColor="text1"/>
          <w:sz w:val="28"/>
          <w:szCs w:val="28"/>
        </w:rPr>
        <w:t xml:space="preserve"> huge </w:t>
      </w:r>
      <w:r w:rsidR="00DC4F12" w:rsidRPr="00D81CDC">
        <w:rPr>
          <w:rFonts w:ascii="Times New Roman" w:hAnsi="Times New Roman" w:cs="Times New Roman"/>
          <w:color w:val="000000" w:themeColor="text1"/>
          <w:sz w:val="28"/>
          <w:szCs w:val="28"/>
        </w:rPr>
        <w:t xml:space="preserve">entity owns the </w:t>
      </w:r>
      <w:r w:rsidR="00927675" w:rsidRPr="00D81CDC">
        <w:rPr>
          <w:rFonts w:ascii="Times New Roman" w:hAnsi="Times New Roman" w:cs="Times New Roman"/>
          <w:color w:val="000000" w:themeColor="text1"/>
          <w:sz w:val="28"/>
          <w:szCs w:val="28"/>
        </w:rPr>
        <w:t>ABS</w:t>
      </w:r>
      <w:r w:rsidR="00DC4F12" w:rsidRPr="00D81CDC">
        <w:rPr>
          <w:rFonts w:ascii="Times New Roman" w:hAnsi="Times New Roman" w:cs="Times New Roman"/>
          <w:color w:val="000000" w:themeColor="text1"/>
          <w:sz w:val="28"/>
          <w:szCs w:val="28"/>
        </w:rPr>
        <w:t xml:space="preserve"> </w:t>
      </w:r>
      <w:r w:rsidR="00DC4F12" w:rsidRPr="00D81CDC">
        <w:rPr>
          <w:rFonts w:ascii="Times New Roman" w:hAnsi="Times New Roman" w:cs="Times New Roman"/>
          <w:i/>
          <w:iCs/>
          <w:color w:val="000000" w:themeColor="text1"/>
          <w:sz w:val="28"/>
          <w:szCs w:val="28"/>
        </w:rPr>
        <w:t>and</w:t>
      </w:r>
      <w:r w:rsidR="00DC4F12" w:rsidRPr="00D81CDC">
        <w:rPr>
          <w:rFonts w:ascii="Times New Roman" w:hAnsi="Times New Roman" w:cs="Times New Roman"/>
          <w:color w:val="000000" w:themeColor="text1"/>
          <w:sz w:val="28"/>
          <w:szCs w:val="28"/>
        </w:rPr>
        <w:t xml:space="preserve"> the opposing party.</w:t>
      </w:r>
      <w:r w:rsidR="00924567" w:rsidRPr="00D81CDC">
        <w:rPr>
          <w:rFonts w:ascii="Times New Roman" w:hAnsi="Times New Roman" w:cs="Times New Roman"/>
          <w:color w:val="000000" w:themeColor="text1"/>
          <w:sz w:val="28"/>
          <w:szCs w:val="28"/>
        </w:rPr>
        <w:t xml:space="preserve"> The </w:t>
      </w:r>
      <w:r w:rsidR="00927675" w:rsidRPr="00D81CDC">
        <w:rPr>
          <w:rFonts w:ascii="Times New Roman" w:hAnsi="Times New Roman" w:cs="Times New Roman"/>
          <w:color w:val="000000" w:themeColor="text1"/>
          <w:sz w:val="28"/>
          <w:szCs w:val="28"/>
        </w:rPr>
        <w:t xml:space="preserve">ABS </w:t>
      </w:r>
      <w:r w:rsidR="00924567" w:rsidRPr="00D81CDC">
        <w:rPr>
          <w:rFonts w:ascii="Times New Roman" w:hAnsi="Times New Roman" w:cs="Times New Roman"/>
          <w:color w:val="000000" w:themeColor="text1"/>
          <w:sz w:val="28"/>
          <w:szCs w:val="28"/>
        </w:rPr>
        <w:t>would have an ownership interest in the opposing party.</w:t>
      </w:r>
    </w:p>
    <w:p w:rsidR="006F7D40" w:rsidRPr="00D81CDC" w:rsidRDefault="006F7D40" w:rsidP="00221286">
      <w:pPr>
        <w:pStyle w:val="ListParagraph"/>
        <w:spacing w:after="0" w:line="360" w:lineRule="auto"/>
        <w:ind w:left="0"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 xml:space="preserve">The Task Force and the petition proposed addressing this issue </w:t>
      </w:r>
      <w:r w:rsidR="00642AD8" w:rsidRPr="00D81CDC">
        <w:rPr>
          <w:rFonts w:ascii="Times New Roman" w:hAnsi="Times New Roman" w:cs="Times New Roman"/>
          <w:color w:val="000000" w:themeColor="text1"/>
          <w:sz w:val="28"/>
          <w:szCs w:val="28"/>
        </w:rPr>
        <w:t>–</w:t>
      </w:r>
      <w:r w:rsidRPr="00D81CDC">
        <w:rPr>
          <w:rFonts w:ascii="Times New Roman" w:hAnsi="Times New Roman" w:cs="Times New Roman"/>
          <w:color w:val="000000" w:themeColor="text1"/>
          <w:sz w:val="28"/>
          <w:szCs w:val="28"/>
        </w:rPr>
        <w:t xml:space="preserve"> an ABS owning an interest in the opposing party – with a new subsection (f) to ER 1.10, which deals with imputing conflicts. As proposed, the new subsection would disqualify a law firm if a lawyer or nonlawyer in the firm owned all or part of any opposing party.</w:t>
      </w:r>
    </w:p>
    <w:p w:rsidR="00924567" w:rsidRPr="00D81CDC" w:rsidRDefault="006F7D40" w:rsidP="00221286">
      <w:pPr>
        <w:tabs>
          <w:tab w:val="left" w:pos="360"/>
          <w:tab w:val="left" w:pos="720"/>
        </w:tabs>
        <w:spacing w:line="360" w:lineRule="auto"/>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ab/>
      </w:r>
      <w:r w:rsidRPr="00D81CDC">
        <w:rPr>
          <w:rFonts w:ascii="Times New Roman" w:hAnsi="Times New Roman" w:cs="Times New Roman"/>
          <w:color w:val="000000" w:themeColor="text1"/>
          <w:sz w:val="28"/>
          <w:szCs w:val="28"/>
        </w:rPr>
        <w:tab/>
        <w:t>In the example above, t</w:t>
      </w:r>
      <w:r w:rsidR="00302F85" w:rsidRPr="00D81CDC">
        <w:rPr>
          <w:rFonts w:ascii="Times New Roman" w:hAnsi="Times New Roman" w:cs="Times New Roman"/>
          <w:color w:val="000000" w:themeColor="text1"/>
          <w:sz w:val="28"/>
          <w:szCs w:val="28"/>
        </w:rPr>
        <w:t xml:space="preserve">he involvement of the conglomerate also could have implications for </w:t>
      </w:r>
      <w:r w:rsidR="00924567" w:rsidRPr="00D81CDC">
        <w:rPr>
          <w:rFonts w:ascii="Times New Roman" w:hAnsi="Times New Roman" w:cs="Times New Roman"/>
          <w:color w:val="000000" w:themeColor="text1"/>
          <w:sz w:val="28"/>
          <w:szCs w:val="28"/>
        </w:rPr>
        <w:t>a</w:t>
      </w:r>
      <w:r w:rsidR="00302F85" w:rsidRPr="00D81CDC">
        <w:rPr>
          <w:rFonts w:ascii="Times New Roman" w:hAnsi="Times New Roman" w:cs="Times New Roman"/>
          <w:color w:val="000000" w:themeColor="text1"/>
          <w:sz w:val="28"/>
          <w:szCs w:val="28"/>
        </w:rPr>
        <w:t xml:space="preserve"> </w:t>
      </w:r>
      <w:r w:rsidR="00924567" w:rsidRPr="00D81CDC">
        <w:rPr>
          <w:rFonts w:ascii="Times New Roman" w:hAnsi="Times New Roman" w:cs="Times New Roman"/>
          <w:color w:val="000000" w:themeColor="text1"/>
          <w:sz w:val="28"/>
          <w:szCs w:val="28"/>
        </w:rPr>
        <w:t xml:space="preserve">private lawyer that represents the </w:t>
      </w:r>
      <w:r w:rsidRPr="00D81CDC">
        <w:rPr>
          <w:rFonts w:ascii="Times New Roman" w:hAnsi="Times New Roman" w:cs="Times New Roman"/>
          <w:color w:val="000000" w:themeColor="text1"/>
          <w:sz w:val="28"/>
          <w:szCs w:val="28"/>
        </w:rPr>
        <w:t xml:space="preserve">conglomerate-owned </w:t>
      </w:r>
      <w:r w:rsidR="00302F85" w:rsidRPr="00D81CDC">
        <w:rPr>
          <w:rFonts w:ascii="Times New Roman" w:hAnsi="Times New Roman" w:cs="Times New Roman"/>
          <w:color w:val="000000" w:themeColor="text1"/>
          <w:sz w:val="28"/>
          <w:szCs w:val="28"/>
        </w:rPr>
        <w:t xml:space="preserve">insurance </w:t>
      </w:r>
      <w:r w:rsidR="00924567" w:rsidRPr="00D81CDC">
        <w:rPr>
          <w:rFonts w:ascii="Times New Roman" w:hAnsi="Times New Roman" w:cs="Times New Roman"/>
          <w:color w:val="000000" w:themeColor="text1"/>
          <w:sz w:val="28"/>
          <w:szCs w:val="28"/>
        </w:rPr>
        <w:t>company</w:t>
      </w:r>
      <w:r w:rsidR="00302F85" w:rsidRPr="00D81CDC">
        <w:rPr>
          <w:rFonts w:ascii="Times New Roman" w:hAnsi="Times New Roman" w:cs="Times New Roman"/>
          <w:color w:val="000000" w:themeColor="text1"/>
          <w:sz w:val="28"/>
          <w:szCs w:val="28"/>
        </w:rPr>
        <w:t xml:space="preserve">. If </w:t>
      </w:r>
      <w:r w:rsidR="00924567" w:rsidRPr="00D81CDC">
        <w:rPr>
          <w:rFonts w:ascii="Times New Roman" w:hAnsi="Times New Roman" w:cs="Times New Roman"/>
          <w:color w:val="000000" w:themeColor="text1"/>
          <w:sz w:val="28"/>
          <w:szCs w:val="28"/>
        </w:rPr>
        <w:t xml:space="preserve">that lawyer </w:t>
      </w:r>
      <w:r w:rsidR="00302F85" w:rsidRPr="00D81CDC">
        <w:rPr>
          <w:rFonts w:ascii="Times New Roman" w:hAnsi="Times New Roman" w:cs="Times New Roman"/>
          <w:color w:val="000000" w:themeColor="text1"/>
          <w:sz w:val="28"/>
          <w:szCs w:val="28"/>
        </w:rPr>
        <w:t xml:space="preserve">happened to own </w:t>
      </w:r>
      <w:r w:rsidR="00DC4F12" w:rsidRPr="00D81CDC">
        <w:rPr>
          <w:rFonts w:ascii="Times New Roman" w:hAnsi="Times New Roman" w:cs="Times New Roman"/>
          <w:color w:val="000000" w:themeColor="text1"/>
          <w:sz w:val="28"/>
          <w:szCs w:val="28"/>
        </w:rPr>
        <w:t>10 shares of stock in the conglomerat</w:t>
      </w:r>
      <w:r w:rsidR="00302F85" w:rsidRPr="00D81CDC">
        <w:rPr>
          <w:rFonts w:ascii="Times New Roman" w:hAnsi="Times New Roman" w:cs="Times New Roman"/>
          <w:color w:val="000000" w:themeColor="text1"/>
          <w:sz w:val="28"/>
          <w:szCs w:val="28"/>
        </w:rPr>
        <w:t>e, then that</w:t>
      </w:r>
      <w:r w:rsidR="00DC4F12" w:rsidRPr="00D81CDC">
        <w:rPr>
          <w:rFonts w:ascii="Times New Roman" w:hAnsi="Times New Roman" w:cs="Times New Roman"/>
          <w:color w:val="000000" w:themeColor="text1"/>
          <w:sz w:val="28"/>
          <w:szCs w:val="28"/>
        </w:rPr>
        <w:t xml:space="preserve"> lawyer would have a</w:t>
      </w:r>
      <w:r w:rsidR="00924567" w:rsidRPr="00D81CDC">
        <w:rPr>
          <w:rFonts w:ascii="Times New Roman" w:hAnsi="Times New Roman" w:cs="Times New Roman"/>
          <w:color w:val="000000" w:themeColor="text1"/>
          <w:sz w:val="28"/>
          <w:szCs w:val="28"/>
        </w:rPr>
        <w:t xml:space="preserve">n </w:t>
      </w:r>
      <w:r w:rsidR="00DC4F12" w:rsidRPr="00D81CDC">
        <w:rPr>
          <w:rFonts w:ascii="Times New Roman" w:hAnsi="Times New Roman" w:cs="Times New Roman"/>
          <w:color w:val="000000" w:themeColor="text1"/>
          <w:sz w:val="28"/>
          <w:szCs w:val="28"/>
        </w:rPr>
        <w:t xml:space="preserve">ownership interest </w:t>
      </w:r>
      <w:r w:rsidRPr="00D81CDC">
        <w:rPr>
          <w:rFonts w:ascii="Times New Roman" w:hAnsi="Times New Roman" w:cs="Times New Roman"/>
          <w:color w:val="000000" w:themeColor="text1"/>
          <w:sz w:val="28"/>
          <w:szCs w:val="28"/>
        </w:rPr>
        <w:t xml:space="preserve">not in the opposing party but </w:t>
      </w:r>
      <w:r w:rsidR="00DC4F12" w:rsidRPr="00D81CDC">
        <w:rPr>
          <w:rFonts w:ascii="Times New Roman" w:hAnsi="Times New Roman" w:cs="Times New Roman"/>
          <w:color w:val="000000" w:themeColor="text1"/>
          <w:sz w:val="28"/>
          <w:szCs w:val="28"/>
        </w:rPr>
        <w:t>in the opposing law firm</w:t>
      </w:r>
      <w:r w:rsidR="00924567" w:rsidRPr="00D81CDC">
        <w:rPr>
          <w:rFonts w:ascii="Times New Roman" w:hAnsi="Times New Roman" w:cs="Times New Roman"/>
          <w:color w:val="000000" w:themeColor="text1"/>
          <w:sz w:val="28"/>
          <w:szCs w:val="28"/>
        </w:rPr>
        <w:t>.</w:t>
      </w:r>
    </w:p>
    <w:p w:rsidR="00BD5D70" w:rsidRPr="00D81CDC" w:rsidRDefault="00642AD8" w:rsidP="00221286">
      <w:pPr>
        <w:spacing w:line="360" w:lineRule="auto"/>
        <w:ind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After the petition was filed, t</w:t>
      </w:r>
      <w:r w:rsidR="003C1F2A" w:rsidRPr="00D81CDC">
        <w:rPr>
          <w:rFonts w:ascii="Times New Roman" w:hAnsi="Times New Roman" w:cs="Times New Roman"/>
          <w:color w:val="000000" w:themeColor="text1"/>
          <w:sz w:val="28"/>
          <w:szCs w:val="28"/>
        </w:rPr>
        <w:t>he Entity Regulation Work Group</w:t>
      </w:r>
      <w:r w:rsidR="006F7D40" w:rsidRPr="00D81CDC">
        <w:rPr>
          <w:rFonts w:ascii="Times New Roman" w:hAnsi="Times New Roman" w:cs="Times New Roman"/>
          <w:color w:val="000000" w:themeColor="text1"/>
          <w:sz w:val="28"/>
          <w:szCs w:val="28"/>
        </w:rPr>
        <w:t xml:space="preserve"> </w:t>
      </w:r>
      <w:r w:rsidR="003C1F2A" w:rsidRPr="00D81CDC">
        <w:rPr>
          <w:rFonts w:ascii="Times New Roman" w:hAnsi="Times New Roman" w:cs="Times New Roman"/>
          <w:color w:val="000000" w:themeColor="text1"/>
          <w:sz w:val="28"/>
          <w:szCs w:val="28"/>
        </w:rPr>
        <w:t xml:space="preserve">analyzed </w:t>
      </w:r>
      <w:r w:rsidR="006F7D40" w:rsidRPr="00D81CDC">
        <w:rPr>
          <w:rFonts w:ascii="Times New Roman" w:hAnsi="Times New Roman" w:cs="Times New Roman"/>
          <w:color w:val="000000" w:themeColor="text1"/>
          <w:sz w:val="28"/>
          <w:szCs w:val="28"/>
        </w:rPr>
        <w:t>these</w:t>
      </w:r>
      <w:r w:rsidR="003C1F2A" w:rsidRPr="00D81CDC">
        <w:rPr>
          <w:rFonts w:ascii="Times New Roman" w:hAnsi="Times New Roman" w:cs="Times New Roman"/>
          <w:color w:val="000000" w:themeColor="text1"/>
          <w:sz w:val="28"/>
          <w:szCs w:val="28"/>
        </w:rPr>
        <w:t xml:space="preserve"> issue</w:t>
      </w:r>
      <w:r w:rsidR="006F7D40" w:rsidRPr="00D81CDC">
        <w:rPr>
          <w:rFonts w:ascii="Times New Roman" w:hAnsi="Times New Roman" w:cs="Times New Roman"/>
          <w:color w:val="000000" w:themeColor="text1"/>
          <w:sz w:val="28"/>
          <w:szCs w:val="28"/>
        </w:rPr>
        <w:t>s</w:t>
      </w:r>
      <w:r w:rsidR="003C1F2A" w:rsidRPr="00D81CDC">
        <w:rPr>
          <w:rFonts w:ascii="Times New Roman" w:hAnsi="Times New Roman" w:cs="Times New Roman"/>
          <w:color w:val="000000" w:themeColor="text1"/>
          <w:sz w:val="28"/>
          <w:szCs w:val="28"/>
        </w:rPr>
        <w:t xml:space="preserve"> and </w:t>
      </w:r>
      <w:r w:rsidRPr="00D81CDC">
        <w:rPr>
          <w:rFonts w:ascii="Times New Roman" w:hAnsi="Times New Roman" w:cs="Times New Roman"/>
          <w:color w:val="000000" w:themeColor="text1"/>
          <w:sz w:val="28"/>
          <w:szCs w:val="28"/>
        </w:rPr>
        <w:t xml:space="preserve">has </w:t>
      </w:r>
      <w:r w:rsidR="003C1F2A" w:rsidRPr="00D81CDC">
        <w:rPr>
          <w:rFonts w:ascii="Times New Roman" w:hAnsi="Times New Roman" w:cs="Times New Roman"/>
          <w:color w:val="000000" w:themeColor="text1"/>
          <w:sz w:val="28"/>
          <w:szCs w:val="28"/>
        </w:rPr>
        <w:t xml:space="preserve">concluded that </w:t>
      </w:r>
      <w:r w:rsidR="006F7D40" w:rsidRPr="00D81CDC">
        <w:rPr>
          <w:rFonts w:ascii="Times New Roman" w:hAnsi="Times New Roman" w:cs="Times New Roman"/>
          <w:color w:val="000000" w:themeColor="text1"/>
          <w:sz w:val="28"/>
          <w:szCs w:val="28"/>
        </w:rPr>
        <w:t xml:space="preserve">proposed </w:t>
      </w:r>
      <w:r w:rsidR="003C1F2A" w:rsidRPr="00D81CDC">
        <w:rPr>
          <w:rFonts w:ascii="Times New Roman" w:hAnsi="Times New Roman" w:cs="Times New Roman"/>
          <w:color w:val="000000" w:themeColor="text1"/>
          <w:sz w:val="28"/>
          <w:szCs w:val="28"/>
        </w:rPr>
        <w:t>ER 1.10(f)</w:t>
      </w:r>
      <w:r w:rsidRPr="00D81CDC">
        <w:rPr>
          <w:rFonts w:ascii="Times New Roman" w:hAnsi="Times New Roman" w:cs="Times New Roman"/>
          <w:color w:val="000000" w:themeColor="text1"/>
          <w:sz w:val="28"/>
          <w:szCs w:val="28"/>
        </w:rPr>
        <w:t xml:space="preserve"> drew a clear line that</w:t>
      </w:r>
      <w:r w:rsidR="003C1F2A" w:rsidRPr="00D81CDC">
        <w:rPr>
          <w:rFonts w:ascii="Times New Roman" w:hAnsi="Times New Roman" w:cs="Times New Roman"/>
          <w:color w:val="000000" w:themeColor="text1"/>
          <w:sz w:val="28"/>
          <w:szCs w:val="28"/>
        </w:rPr>
        <w:t xml:space="preserve"> was too simplistic</w:t>
      </w:r>
      <w:r w:rsidR="00BD5D70" w:rsidRPr="00D81CDC">
        <w:rPr>
          <w:rFonts w:ascii="Times New Roman" w:hAnsi="Times New Roman" w:cs="Times New Roman"/>
          <w:color w:val="000000" w:themeColor="text1"/>
          <w:sz w:val="28"/>
          <w:szCs w:val="28"/>
        </w:rPr>
        <w:t xml:space="preserve"> and impractical.</w:t>
      </w:r>
      <w:r w:rsidR="006F7D40" w:rsidRPr="00D81CDC">
        <w:rPr>
          <w:rFonts w:ascii="Times New Roman" w:hAnsi="Times New Roman" w:cs="Times New Roman"/>
          <w:color w:val="000000" w:themeColor="text1"/>
          <w:sz w:val="28"/>
          <w:szCs w:val="28"/>
        </w:rPr>
        <w:t xml:space="preserve"> </w:t>
      </w:r>
      <w:r w:rsidR="004D1476" w:rsidRPr="00D81CDC">
        <w:rPr>
          <w:rFonts w:ascii="Times New Roman" w:hAnsi="Times New Roman" w:cs="Times New Roman"/>
          <w:color w:val="000000" w:themeColor="text1"/>
          <w:sz w:val="28"/>
          <w:szCs w:val="28"/>
        </w:rPr>
        <w:t xml:space="preserve">In particular, </w:t>
      </w:r>
      <w:r w:rsidR="006F7D40" w:rsidRPr="00D81CDC">
        <w:rPr>
          <w:rFonts w:ascii="Times New Roman" w:hAnsi="Times New Roman" w:cs="Times New Roman"/>
          <w:color w:val="000000" w:themeColor="text1"/>
          <w:sz w:val="28"/>
          <w:szCs w:val="28"/>
        </w:rPr>
        <w:t xml:space="preserve">the Work Group </w:t>
      </w:r>
      <w:r w:rsidR="00395E3E" w:rsidRPr="00D81CDC">
        <w:rPr>
          <w:rFonts w:ascii="Times New Roman" w:hAnsi="Times New Roman" w:cs="Times New Roman"/>
          <w:color w:val="000000" w:themeColor="text1"/>
          <w:sz w:val="28"/>
          <w:szCs w:val="28"/>
        </w:rPr>
        <w:t xml:space="preserve">decided that </w:t>
      </w:r>
      <w:r w:rsidR="004D1476" w:rsidRPr="00D81CDC">
        <w:rPr>
          <w:rFonts w:ascii="Times New Roman" w:hAnsi="Times New Roman" w:cs="Times New Roman"/>
          <w:color w:val="000000" w:themeColor="text1"/>
          <w:sz w:val="28"/>
          <w:szCs w:val="28"/>
        </w:rPr>
        <w:t xml:space="preserve">the scale of ownership </w:t>
      </w:r>
      <w:r w:rsidR="00BD5D70" w:rsidRPr="00D81CDC">
        <w:rPr>
          <w:rFonts w:ascii="Times New Roman" w:hAnsi="Times New Roman" w:cs="Times New Roman"/>
          <w:color w:val="000000" w:themeColor="text1"/>
          <w:sz w:val="28"/>
          <w:szCs w:val="28"/>
        </w:rPr>
        <w:t xml:space="preserve">– in either the opposing party or the opposing law firm </w:t>
      </w:r>
      <w:r w:rsidR="00F03F49" w:rsidRPr="00D81CDC">
        <w:rPr>
          <w:rFonts w:ascii="Times New Roman" w:hAnsi="Times New Roman" w:cs="Times New Roman"/>
          <w:color w:val="000000" w:themeColor="text1"/>
          <w:sz w:val="28"/>
          <w:szCs w:val="28"/>
        </w:rPr>
        <w:t>–</w:t>
      </w:r>
      <w:r w:rsidR="00BD5D70" w:rsidRPr="00D81CDC">
        <w:rPr>
          <w:rFonts w:ascii="Times New Roman" w:hAnsi="Times New Roman" w:cs="Times New Roman"/>
          <w:color w:val="000000" w:themeColor="text1"/>
          <w:sz w:val="28"/>
          <w:szCs w:val="28"/>
        </w:rPr>
        <w:t xml:space="preserve"> </w:t>
      </w:r>
      <w:r w:rsidR="00927675" w:rsidRPr="00D81CDC">
        <w:rPr>
          <w:rFonts w:ascii="Times New Roman" w:hAnsi="Times New Roman" w:cs="Times New Roman"/>
          <w:color w:val="000000" w:themeColor="text1"/>
          <w:sz w:val="28"/>
          <w:szCs w:val="28"/>
        </w:rPr>
        <w:t xml:space="preserve">or existence of management authority </w:t>
      </w:r>
      <w:r w:rsidR="004D1476" w:rsidRPr="00D81CDC">
        <w:rPr>
          <w:rFonts w:ascii="Times New Roman" w:hAnsi="Times New Roman" w:cs="Times New Roman"/>
          <w:color w:val="000000" w:themeColor="text1"/>
          <w:sz w:val="28"/>
          <w:szCs w:val="28"/>
        </w:rPr>
        <w:t>should be relevant to determining whether a</w:t>
      </w:r>
      <w:r w:rsidR="00BD5D70" w:rsidRPr="00D81CDC">
        <w:rPr>
          <w:rFonts w:ascii="Times New Roman" w:hAnsi="Times New Roman" w:cs="Times New Roman"/>
          <w:color w:val="000000" w:themeColor="text1"/>
          <w:sz w:val="28"/>
          <w:szCs w:val="28"/>
        </w:rPr>
        <w:t xml:space="preserve"> lawyer or nonlawyer</w:t>
      </w:r>
      <w:r w:rsidR="00BF1F1E" w:rsidRPr="00D81CDC">
        <w:rPr>
          <w:rFonts w:ascii="Times New Roman" w:hAnsi="Times New Roman" w:cs="Times New Roman"/>
          <w:color w:val="000000" w:themeColor="text1"/>
          <w:sz w:val="28"/>
          <w:szCs w:val="28"/>
        </w:rPr>
        <w:t>, and possibly the rest of the firm,</w:t>
      </w:r>
      <w:r w:rsidR="00BD5D70" w:rsidRPr="00D81CDC">
        <w:rPr>
          <w:rFonts w:ascii="Times New Roman" w:hAnsi="Times New Roman" w:cs="Times New Roman"/>
          <w:color w:val="000000" w:themeColor="text1"/>
          <w:sz w:val="28"/>
          <w:szCs w:val="28"/>
        </w:rPr>
        <w:t xml:space="preserve"> has a conflict</w:t>
      </w:r>
      <w:r w:rsidR="00BF1F1E" w:rsidRPr="00D81CDC">
        <w:rPr>
          <w:rFonts w:ascii="Times New Roman" w:hAnsi="Times New Roman" w:cs="Times New Roman"/>
          <w:color w:val="000000" w:themeColor="text1"/>
          <w:sz w:val="28"/>
          <w:szCs w:val="28"/>
        </w:rPr>
        <w:t>.</w:t>
      </w:r>
    </w:p>
    <w:p w:rsidR="00395E3E" w:rsidRPr="00D81CDC" w:rsidRDefault="004D1476" w:rsidP="00221286">
      <w:pPr>
        <w:spacing w:line="360" w:lineRule="auto"/>
        <w:ind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lastRenderedPageBreak/>
        <w:t xml:space="preserve">The </w:t>
      </w:r>
      <w:r w:rsidR="00395E3E" w:rsidRPr="00D81CDC">
        <w:rPr>
          <w:rFonts w:ascii="Times New Roman" w:hAnsi="Times New Roman" w:cs="Times New Roman"/>
          <w:color w:val="000000" w:themeColor="text1"/>
          <w:sz w:val="28"/>
          <w:szCs w:val="28"/>
        </w:rPr>
        <w:t>W</w:t>
      </w:r>
      <w:r w:rsidRPr="00D81CDC">
        <w:rPr>
          <w:rFonts w:ascii="Times New Roman" w:hAnsi="Times New Roman" w:cs="Times New Roman"/>
          <w:color w:val="000000" w:themeColor="text1"/>
          <w:sz w:val="28"/>
          <w:szCs w:val="28"/>
        </w:rPr>
        <w:t xml:space="preserve">ork </w:t>
      </w:r>
      <w:r w:rsidR="00395E3E" w:rsidRPr="00D81CDC">
        <w:rPr>
          <w:rFonts w:ascii="Times New Roman" w:hAnsi="Times New Roman" w:cs="Times New Roman"/>
          <w:color w:val="000000" w:themeColor="text1"/>
          <w:sz w:val="28"/>
          <w:szCs w:val="28"/>
        </w:rPr>
        <w:t>G</w:t>
      </w:r>
      <w:r w:rsidRPr="00D81CDC">
        <w:rPr>
          <w:rFonts w:ascii="Times New Roman" w:hAnsi="Times New Roman" w:cs="Times New Roman"/>
          <w:color w:val="000000" w:themeColor="text1"/>
          <w:sz w:val="28"/>
          <w:szCs w:val="28"/>
        </w:rPr>
        <w:t xml:space="preserve">roup concluded that instead of the proposed ER 1.10(f), </w:t>
      </w:r>
      <w:r w:rsidR="00395E3E" w:rsidRPr="00D81CDC">
        <w:rPr>
          <w:rFonts w:ascii="Times New Roman" w:hAnsi="Times New Roman" w:cs="Times New Roman"/>
          <w:color w:val="000000" w:themeColor="text1"/>
          <w:sz w:val="28"/>
          <w:szCs w:val="28"/>
        </w:rPr>
        <w:t xml:space="preserve">the conflicts that arise </w:t>
      </w:r>
      <w:r w:rsidR="00927675" w:rsidRPr="00D81CDC">
        <w:rPr>
          <w:rFonts w:ascii="Times New Roman" w:hAnsi="Times New Roman" w:cs="Times New Roman"/>
          <w:color w:val="000000" w:themeColor="text1"/>
          <w:sz w:val="28"/>
          <w:szCs w:val="28"/>
        </w:rPr>
        <w:t>when</w:t>
      </w:r>
      <w:r w:rsidR="00395E3E" w:rsidRPr="00D81CDC">
        <w:rPr>
          <w:rFonts w:ascii="Times New Roman" w:hAnsi="Times New Roman" w:cs="Times New Roman"/>
          <w:color w:val="000000" w:themeColor="text1"/>
          <w:sz w:val="28"/>
          <w:szCs w:val="28"/>
        </w:rPr>
        <w:t xml:space="preserve"> a lawyer or </w:t>
      </w:r>
      <w:r w:rsidR="001740EC">
        <w:rPr>
          <w:rFonts w:ascii="Times New Roman" w:hAnsi="Times New Roman" w:cs="Times New Roman"/>
          <w:color w:val="000000" w:themeColor="text1"/>
          <w:sz w:val="28"/>
          <w:szCs w:val="28"/>
        </w:rPr>
        <w:t xml:space="preserve">a </w:t>
      </w:r>
      <w:r w:rsidR="00395E3E" w:rsidRPr="00D81CDC">
        <w:rPr>
          <w:rFonts w:ascii="Times New Roman" w:hAnsi="Times New Roman" w:cs="Times New Roman"/>
          <w:color w:val="000000" w:themeColor="text1"/>
          <w:sz w:val="28"/>
          <w:szCs w:val="28"/>
        </w:rPr>
        <w:t>nonlawyer own</w:t>
      </w:r>
      <w:r w:rsidR="00927675" w:rsidRPr="00D81CDC">
        <w:rPr>
          <w:rFonts w:ascii="Times New Roman" w:hAnsi="Times New Roman" w:cs="Times New Roman"/>
          <w:color w:val="000000" w:themeColor="text1"/>
          <w:sz w:val="28"/>
          <w:szCs w:val="28"/>
        </w:rPr>
        <w:t>s</w:t>
      </w:r>
      <w:r w:rsidR="00395E3E" w:rsidRPr="00D81CDC">
        <w:rPr>
          <w:rFonts w:ascii="Times New Roman" w:hAnsi="Times New Roman" w:cs="Times New Roman"/>
          <w:color w:val="000000" w:themeColor="text1"/>
          <w:sz w:val="28"/>
          <w:szCs w:val="28"/>
        </w:rPr>
        <w:t xml:space="preserve"> an interest in either the opposing party or the opposing law firm </w:t>
      </w:r>
      <w:r w:rsidR="00927675" w:rsidRPr="00D81CDC">
        <w:rPr>
          <w:rFonts w:ascii="Times New Roman" w:hAnsi="Times New Roman" w:cs="Times New Roman"/>
          <w:color w:val="000000" w:themeColor="text1"/>
          <w:sz w:val="28"/>
          <w:szCs w:val="28"/>
        </w:rPr>
        <w:t xml:space="preserve">or has dual management authority </w:t>
      </w:r>
      <w:r w:rsidR="00395E3E" w:rsidRPr="00D81CDC">
        <w:rPr>
          <w:rFonts w:ascii="Times New Roman" w:hAnsi="Times New Roman" w:cs="Times New Roman"/>
          <w:color w:val="000000" w:themeColor="text1"/>
          <w:sz w:val="28"/>
          <w:szCs w:val="28"/>
        </w:rPr>
        <w:t>should be part of ER 1.7</w:t>
      </w:r>
      <w:r w:rsidR="006F7D40" w:rsidRPr="00D81CDC">
        <w:rPr>
          <w:rFonts w:ascii="Times New Roman" w:hAnsi="Times New Roman" w:cs="Times New Roman"/>
          <w:color w:val="000000" w:themeColor="text1"/>
          <w:sz w:val="28"/>
          <w:szCs w:val="28"/>
        </w:rPr>
        <w:t>, which deals with current-client conflicts.</w:t>
      </w:r>
    </w:p>
    <w:p w:rsidR="00A22D69" w:rsidRPr="00D81CDC" w:rsidRDefault="006F7D40" w:rsidP="00221286">
      <w:pPr>
        <w:spacing w:line="360" w:lineRule="auto"/>
        <w:ind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 xml:space="preserve">First, to address a lawyer or </w:t>
      </w:r>
      <w:r w:rsidR="001740EC">
        <w:rPr>
          <w:rFonts w:ascii="Times New Roman" w:hAnsi="Times New Roman" w:cs="Times New Roman"/>
          <w:color w:val="000000" w:themeColor="text1"/>
          <w:sz w:val="28"/>
          <w:szCs w:val="28"/>
        </w:rPr>
        <w:t xml:space="preserve">a </w:t>
      </w:r>
      <w:r w:rsidRPr="00D81CDC">
        <w:rPr>
          <w:rFonts w:ascii="Times New Roman" w:hAnsi="Times New Roman" w:cs="Times New Roman"/>
          <w:color w:val="000000" w:themeColor="text1"/>
          <w:sz w:val="28"/>
          <w:szCs w:val="28"/>
        </w:rPr>
        <w:t xml:space="preserve">nonlawyer in one firm having an ownership interest </w:t>
      </w:r>
      <w:r w:rsidR="00927675" w:rsidRPr="00D81CDC">
        <w:rPr>
          <w:rFonts w:ascii="Times New Roman" w:hAnsi="Times New Roman" w:cs="Times New Roman"/>
          <w:color w:val="000000" w:themeColor="text1"/>
          <w:sz w:val="28"/>
          <w:szCs w:val="28"/>
        </w:rPr>
        <w:t xml:space="preserve">or management authority </w:t>
      </w:r>
      <w:r w:rsidRPr="00D81CDC">
        <w:rPr>
          <w:rFonts w:ascii="Times New Roman" w:hAnsi="Times New Roman" w:cs="Times New Roman"/>
          <w:color w:val="000000" w:themeColor="text1"/>
          <w:sz w:val="28"/>
          <w:szCs w:val="28"/>
        </w:rPr>
        <w:t xml:space="preserve">in the </w:t>
      </w:r>
      <w:r w:rsidRPr="00D81CDC">
        <w:rPr>
          <w:rFonts w:ascii="Times New Roman" w:hAnsi="Times New Roman" w:cs="Times New Roman"/>
          <w:i/>
          <w:iCs/>
          <w:color w:val="000000" w:themeColor="text1"/>
          <w:sz w:val="28"/>
          <w:szCs w:val="28"/>
        </w:rPr>
        <w:t>opposing firm</w:t>
      </w:r>
      <w:r w:rsidRPr="00D81CDC">
        <w:rPr>
          <w:rFonts w:ascii="Times New Roman" w:hAnsi="Times New Roman" w:cs="Times New Roman"/>
          <w:color w:val="000000" w:themeColor="text1"/>
          <w:sz w:val="28"/>
          <w:szCs w:val="28"/>
        </w:rPr>
        <w:t>, t</w:t>
      </w:r>
      <w:r w:rsidR="00395E3E" w:rsidRPr="00D81CDC">
        <w:rPr>
          <w:rFonts w:ascii="Times New Roman" w:hAnsi="Times New Roman" w:cs="Times New Roman"/>
          <w:color w:val="000000" w:themeColor="text1"/>
          <w:sz w:val="28"/>
          <w:szCs w:val="28"/>
        </w:rPr>
        <w:t xml:space="preserve">he Work Group proposed adding to </w:t>
      </w:r>
      <w:r w:rsidR="00BF1F1E" w:rsidRPr="00D81CDC">
        <w:rPr>
          <w:rFonts w:ascii="Times New Roman" w:hAnsi="Times New Roman" w:cs="Times New Roman"/>
          <w:color w:val="000000" w:themeColor="text1"/>
          <w:sz w:val="28"/>
          <w:szCs w:val="28"/>
        </w:rPr>
        <w:t xml:space="preserve">ER 1.7 </w:t>
      </w:r>
      <w:r w:rsidR="004D1476" w:rsidRPr="00D81CDC">
        <w:rPr>
          <w:rFonts w:ascii="Times New Roman" w:hAnsi="Times New Roman" w:cs="Times New Roman"/>
          <w:color w:val="000000" w:themeColor="text1"/>
          <w:sz w:val="28"/>
          <w:szCs w:val="28"/>
        </w:rPr>
        <w:t>a new subsection (c)</w:t>
      </w:r>
      <w:r w:rsidRPr="00D81CDC">
        <w:rPr>
          <w:rFonts w:ascii="Times New Roman" w:hAnsi="Times New Roman" w:cs="Times New Roman"/>
          <w:color w:val="000000" w:themeColor="text1"/>
          <w:sz w:val="28"/>
          <w:szCs w:val="28"/>
        </w:rPr>
        <w:t>:</w:t>
      </w:r>
    </w:p>
    <w:p w:rsidR="004D1476" w:rsidRPr="00D81CDC" w:rsidRDefault="004C52B0" w:rsidP="00AD2F7E">
      <w:pPr>
        <w:ind w:left="720" w:right="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A lawyer may not represent a party in asserting a claim against another party represented by a firm if the same person or entity holds, directly or indirectly, an ownership interest of 10 percent or more, or has managerial authority comparable to that of a partner, in the lawyer’s f</w:t>
      </w:r>
      <w:r w:rsidR="00395E3E" w:rsidRPr="00D81CDC">
        <w:rPr>
          <w:rFonts w:ascii="Times New Roman" w:hAnsi="Times New Roman" w:cs="Times New Roman"/>
          <w:color w:val="000000" w:themeColor="text1"/>
          <w:sz w:val="28"/>
          <w:szCs w:val="28"/>
        </w:rPr>
        <w:t>i</w:t>
      </w:r>
      <w:r w:rsidRPr="00D81CDC">
        <w:rPr>
          <w:rFonts w:ascii="Times New Roman" w:hAnsi="Times New Roman" w:cs="Times New Roman"/>
          <w:color w:val="000000" w:themeColor="text1"/>
          <w:sz w:val="28"/>
          <w:szCs w:val="28"/>
        </w:rPr>
        <w:t>rm and the other firm.</w:t>
      </w:r>
    </w:p>
    <w:p w:rsidR="00642AD8" w:rsidRPr="00D81CDC" w:rsidRDefault="00642AD8" w:rsidP="00221286">
      <w:pPr>
        <w:spacing w:line="360" w:lineRule="auto"/>
        <w:ind w:left="720" w:right="720"/>
        <w:jc w:val="both"/>
        <w:rPr>
          <w:rFonts w:ascii="Times New Roman" w:hAnsi="Times New Roman" w:cs="Times New Roman"/>
          <w:color w:val="000000" w:themeColor="text1"/>
          <w:sz w:val="28"/>
          <w:szCs w:val="28"/>
        </w:rPr>
      </w:pPr>
    </w:p>
    <w:p w:rsidR="009406BB" w:rsidRPr="00D81CDC" w:rsidRDefault="00BD5D70" w:rsidP="00221286">
      <w:pPr>
        <w:spacing w:line="360" w:lineRule="auto"/>
        <w:ind w:firstLine="720"/>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 xml:space="preserve">As a result of this new subsection, it would be a nonwaivable conflict </w:t>
      </w:r>
      <w:r w:rsidR="00BF1F1E" w:rsidRPr="00D81CDC">
        <w:rPr>
          <w:rFonts w:ascii="Times New Roman" w:hAnsi="Times New Roman" w:cs="Times New Roman"/>
          <w:color w:val="000000" w:themeColor="text1"/>
          <w:sz w:val="28"/>
          <w:szCs w:val="28"/>
        </w:rPr>
        <w:t xml:space="preserve">for a law firm if any of its lawyers or nonlawyers have </w:t>
      </w:r>
      <w:r w:rsidRPr="00D81CDC">
        <w:rPr>
          <w:rFonts w:ascii="Times New Roman" w:hAnsi="Times New Roman" w:cs="Times New Roman"/>
          <w:color w:val="000000" w:themeColor="text1"/>
          <w:sz w:val="28"/>
          <w:szCs w:val="28"/>
        </w:rPr>
        <w:t>a 10</w:t>
      </w:r>
      <w:r w:rsidR="00BF1F1E" w:rsidRPr="00D81CDC">
        <w:rPr>
          <w:rFonts w:ascii="Times New Roman" w:hAnsi="Times New Roman" w:cs="Times New Roman"/>
          <w:color w:val="000000" w:themeColor="text1"/>
          <w:sz w:val="28"/>
          <w:szCs w:val="28"/>
        </w:rPr>
        <w:t>-</w:t>
      </w:r>
      <w:r w:rsidRPr="00D81CDC">
        <w:rPr>
          <w:rFonts w:ascii="Times New Roman" w:hAnsi="Times New Roman" w:cs="Times New Roman"/>
          <w:color w:val="000000" w:themeColor="text1"/>
          <w:sz w:val="28"/>
          <w:szCs w:val="28"/>
        </w:rPr>
        <w:t>percent</w:t>
      </w:r>
      <w:r w:rsidR="00BF1F1E" w:rsidRPr="00D81CDC">
        <w:rPr>
          <w:rFonts w:ascii="Times New Roman" w:hAnsi="Times New Roman" w:cs="Times New Roman"/>
          <w:color w:val="000000" w:themeColor="text1"/>
          <w:sz w:val="28"/>
          <w:szCs w:val="28"/>
        </w:rPr>
        <w:t xml:space="preserve"> or more</w:t>
      </w:r>
      <w:r w:rsidRPr="00D81CDC">
        <w:rPr>
          <w:rFonts w:ascii="Times New Roman" w:hAnsi="Times New Roman" w:cs="Times New Roman"/>
          <w:color w:val="000000" w:themeColor="text1"/>
          <w:sz w:val="28"/>
          <w:szCs w:val="28"/>
        </w:rPr>
        <w:t xml:space="preserve"> ownership interest or </w:t>
      </w:r>
      <w:r w:rsidR="006F7D40" w:rsidRPr="00D81CDC">
        <w:rPr>
          <w:rFonts w:ascii="Times New Roman" w:hAnsi="Times New Roman" w:cs="Times New Roman"/>
          <w:color w:val="000000" w:themeColor="text1"/>
          <w:sz w:val="28"/>
          <w:szCs w:val="28"/>
        </w:rPr>
        <w:t xml:space="preserve">if they have </w:t>
      </w:r>
      <w:r w:rsidRPr="00D81CDC">
        <w:rPr>
          <w:rFonts w:ascii="Times New Roman" w:hAnsi="Times New Roman" w:cs="Times New Roman"/>
          <w:color w:val="000000" w:themeColor="text1"/>
          <w:sz w:val="28"/>
          <w:szCs w:val="28"/>
        </w:rPr>
        <w:t>dual managemen</w:t>
      </w:r>
      <w:r w:rsidR="00EB0116" w:rsidRPr="00D81CDC">
        <w:rPr>
          <w:rFonts w:ascii="Times New Roman" w:hAnsi="Times New Roman" w:cs="Times New Roman"/>
          <w:color w:val="000000" w:themeColor="text1"/>
          <w:sz w:val="28"/>
          <w:szCs w:val="28"/>
        </w:rPr>
        <w:t>t authority</w:t>
      </w:r>
      <w:r w:rsidRPr="00D81CDC">
        <w:rPr>
          <w:rFonts w:ascii="Times New Roman" w:hAnsi="Times New Roman" w:cs="Times New Roman"/>
          <w:color w:val="000000" w:themeColor="text1"/>
          <w:sz w:val="28"/>
          <w:szCs w:val="28"/>
        </w:rPr>
        <w:t xml:space="preserve"> in </w:t>
      </w:r>
      <w:r w:rsidR="006F7D40" w:rsidRPr="00D81CDC">
        <w:rPr>
          <w:rFonts w:ascii="Times New Roman" w:hAnsi="Times New Roman" w:cs="Times New Roman"/>
          <w:color w:val="000000" w:themeColor="text1"/>
          <w:sz w:val="28"/>
          <w:szCs w:val="28"/>
        </w:rPr>
        <w:t>firms on both sides of a matter</w:t>
      </w:r>
      <w:r w:rsidRPr="00D81CDC">
        <w:rPr>
          <w:rFonts w:ascii="Times New Roman" w:hAnsi="Times New Roman" w:cs="Times New Roman"/>
          <w:color w:val="000000" w:themeColor="text1"/>
          <w:sz w:val="28"/>
          <w:szCs w:val="28"/>
        </w:rPr>
        <w:t>.</w:t>
      </w:r>
      <w:r w:rsidR="00BF1F1E" w:rsidRPr="00D81CDC">
        <w:rPr>
          <w:rFonts w:ascii="Times New Roman" w:hAnsi="Times New Roman" w:cs="Times New Roman"/>
          <w:color w:val="000000" w:themeColor="text1"/>
          <w:sz w:val="28"/>
          <w:szCs w:val="28"/>
        </w:rPr>
        <w:t xml:space="preserve"> A proposed new comment explains that the conflict of a lawyer or </w:t>
      </w:r>
      <w:r w:rsidR="001740EC">
        <w:rPr>
          <w:rFonts w:ascii="Times New Roman" w:hAnsi="Times New Roman" w:cs="Times New Roman"/>
          <w:color w:val="000000" w:themeColor="text1"/>
          <w:sz w:val="28"/>
          <w:szCs w:val="28"/>
        </w:rPr>
        <w:t xml:space="preserve">a </w:t>
      </w:r>
      <w:r w:rsidR="00BF1F1E" w:rsidRPr="00D81CDC">
        <w:rPr>
          <w:rFonts w:ascii="Times New Roman" w:hAnsi="Times New Roman" w:cs="Times New Roman"/>
          <w:color w:val="000000" w:themeColor="text1"/>
          <w:sz w:val="28"/>
          <w:szCs w:val="28"/>
        </w:rPr>
        <w:t>nonlawyer who has less ownership or does not have dual management authority would be determined based on the general conflict provisions of ER 1.7(a) and (b).</w:t>
      </w:r>
    </w:p>
    <w:p w:rsidR="00BF1F1E" w:rsidRPr="00D81CDC" w:rsidRDefault="00BF1F1E" w:rsidP="00221286">
      <w:pPr>
        <w:spacing w:line="360" w:lineRule="auto"/>
        <w:jc w:val="both"/>
        <w:rPr>
          <w:rFonts w:ascii="Times New Roman" w:hAnsi="Times New Roman" w:cs="Times New Roman"/>
          <w:color w:val="000000" w:themeColor="text1"/>
          <w:sz w:val="28"/>
          <w:szCs w:val="28"/>
        </w:rPr>
      </w:pPr>
      <w:r w:rsidRPr="00D81CDC">
        <w:rPr>
          <w:rFonts w:ascii="Times New Roman" w:hAnsi="Times New Roman" w:cs="Times New Roman"/>
          <w:color w:val="000000" w:themeColor="text1"/>
          <w:sz w:val="28"/>
          <w:szCs w:val="28"/>
        </w:rPr>
        <w:tab/>
      </w:r>
      <w:r w:rsidR="006F7D40" w:rsidRPr="00D81CDC">
        <w:rPr>
          <w:rFonts w:ascii="Times New Roman" w:hAnsi="Times New Roman" w:cs="Times New Roman"/>
          <w:color w:val="000000" w:themeColor="text1"/>
          <w:sz w:val="28"/>
          <w:szCs w:val="28"/>
        </w:rPr>
        <w:t>Second, i</w:t>
      </w:r>
      <w:r w:rsidRPr="00D81CDC">
        <w:rPr>
          <w:rFonts w:ascii="Times New Roman" w:hAnsi="Times New Roman" w:cs="Times New Roman"/>
          <w:color w:val="000000" w:themeColor="text1"/>
          <w:sz w:val="28"/>
          <w:szCs w:val="28"/>
        </w:rPr>
        <w:t xml:space="preserve">f a lawyer or </w:t>
      </w:r>
      <w:r w:rsidR="00CF75AB" w:rsidRPr="00D81CDC">
        <w:rPr>
          <w:rFonts w:ascii="Times New Roman" w:hAnsi="Times New Roman" w:cs="Times New Roman"/>
          <w:color w:val="000000" w:themeColor="text1"/>
          <w:sz w:val="28"/>
          <w:szCs w:val="28"/>
        </w:rPr>
        <w:t>other</w:t>
      </w:r>
      <w:r w:rsidRPr="00D81CDC">
        <w:rPr>
          <w:rFonts w:ascii="Times New Roman" w:hAnsi="Times New Roman" w:cs="Times New Roman"/>
          <w:color w:val="000000" w:themeColor="text1"/>
          <w:sz w:val="28"/>
          <w:szCs w:val="28"/>
        </w:rPr>
        <w:t xml:space="preserve"> owner of a firm has a financial interest in an </w:t>
      </w:r>
      <w:r w:rsidRPr="00D81CDC">
        <w:rPr>
          <w:rFonts w:ascii="Times New Roman" w:hAnsi="Times New Roman" w:cs="Times New Roman"/>
          <w:i/>
          <w:iCs/>
          <w:color w:val="000000" w:themeColor="text1"/>
          <w:sz w:val="28"/>
          <w:szCs w:val="28"/>
        </w:rPr>
        <w:t>opposing party</w:t>
      </w:r>
      <w:r w:rsidRPr="00D81CDC">
        <w:rPr>
          <w:rFonts w:ascii="Times New Roman" w:hAnsi="Times New Roman" w:cs="Times New Roman"/>
          <w:color w:val="000000" w:themeColor="text1"/>
          <w:sz w:val="28"/>
          <w:szCs w:val="28"/>
        </w:rPr>
        <w:t xml:space="preserve">, the interest will be considered a personal interest that </w:t>
      </w:r>
      <w:r w:rsidR="00395E3E" w:rsidRPr="00D81CDC">
        <w:rPr>
          <w:rFonts w:ascii="Times New Roman" w:hAnsi="Times New Roman" w:cs="Times New Roman"/>
          <w:color w:val="000000" w:themeColor="text1"/>
          <w:sz w:val="28"/>
          <w:szCs w:val="28"/>
        </w:rPr>
        <w:t>would</w:t>
      </w:r>
      <w:r w:rsidRPr="00D81CDC">
        <w:rPr>
          <w:rFonts w:ascii="Times New Roman" w:hAnsi="Times New Roman" w:cs="Times New Roman"/>
          <w:color w:val="000000" w:themeColor="text1"/>
          <w:sz w:val="28"/>
          <w:szCs w:val="28"/>
        </w:rPr>
        <w:t xml:space="preserve"> not be imputed to other lawyers in the firm unless t</w:t>
      </w:r>
      <w:r w:rsidR="00642AD8" w:rsidRPr="00D81CDC">
        <w:rPr>
          <w:rFonts w:ascii="Times New Roman" w:hAnsi="Times New Roman" w:cs="Times New Roman"/>
          <w:color w:val="000000" w:themeColor="text1"/>
          <w:sz w:val="28"/>
          <w:szCs w:val="28"/>
        </w:rPr>
        <w:t>he</w:t>
      </w:r>
      <w:r w:rsidRPr="00D81CDC">
        <w:rPr>
          <w:rFonts w:ascii="Times New Roman" w:hAnsi="Times New Roman" w:cs="Times New Roman"/>
          <w:color w:val="000000" w:themeColor="text1"/>
          <w:sz w:val="28"/>
          <w:szCs w:val="28"/>
        </w:rPr>
        <w:t xml:space="preserve"> personal interest would materially limit the other lawyers’ independent professional judgment. Even if the personal-interest conflict would not be imputed, the lawyer would need to disclose the interest to the firm’s client and obtain the client’s informed consent, confirmed in writing, to proceed with the representation.</w:t>
      </w:r>
    </w:p>
    <w:p w:rsidR="00FE49E2" w:rsidRPr="00D81CDC" w:rsidRDefault="00AF46F1" w:rsidP="00450C4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This </w:t>
      </w:r>
      <w:r w:rsidR="00DF3024">
        <w:rPr>
          <w:rFonts w:ascii="Times New Roman" w:hAnsi="Times New Roman" w:cs="Times New Roman"/>
          <w:sz w:val="28"/>
          <w:szCs w:val="28"/>
        </w:rPr>
        <w:t>Re</w:t>
      </w:r>
      <w:r w:rsidR="00D81CDC">
        <w:rPr>
          <w:rFonts w:ascii="Times New Roman" w:hAnsi="Times New Roman" w:cs="Times New Roman"/>
          <w:sz w:val="28"/>
          <w:szCs w:val="28"/>
        </w:rPr>
        <w:t>ply</w:t>
      </w:r>
      <w:r w:rsidRPr="00D81CDC">
        <w:rPr>
          <w:rFonts w:ascii="Times New Roman" w:hAnsi="Times New Roman" w:cs="Times New Roman"/>
          <w:sz w:val="28"/>
          <w:szCs w:val="28"/>
        </w:rPr>
        <w:t xml:space="preserve"> and </w:t>
      </w:r>
      <w:r w:rsidR="00DF3024">
        <w:rPr>
          <w:rFonts w:ascii="Times New Roman" w:hAnsi="Times New Roman" w:cs="Times New Roman"/>
          <w:sz w:val="28"/>
          <w:szCs w:val="28"/>
        </w:rPr>
        <w:t>Final</w:t>
      </w:r>
      <w:r w:rsidRPr="00D81CDC">
        <w:rPr>
          <w:rFonts w:ascii="Times New Roman" w:hAnsi="Times New Roman" w:cs="Times New Roman"/>
          <w:sz w:val="28"/>
          <w:szCs w:val="28"/>
        </w:rPr>
        <w:t xml:space="preserve"> </w:t>
      </w:r>
      <w:r w:rsidR="00DF3024">
        <w:rPr>
          <w:rFonts w:ascii="Times New Roman" w:hAnsi="Times New Roman" w:cs="Times New Roman"/>
          <w:sz w:val="28"/>
          <w:szCs w:val="28"/>
        </w:rPr>
        <w:t>A</w:t>
      </w:r>
      <w:r w:rsidRPr="00D81CDC">
        <w:rPr>
          <w:rFonts w:ascii="Times New Roman" w:hAnsi="Times New Roman" w:cs="Times New Roman"/>
          <w:sz w:val="28"/>
          <w:szCs w:val="28"/>
        </w:rPr>
        <w:t xml:space="preserve">mended </w:t>
      </w:r>
      <w:r w:rsidR="00DF3024">
        <w:rPr>
          <w:rFonts w:ascii="Times New Roman" w:hAnsi="Times New Roman" w:cs="Times New Roman"/>
          <w:sz w:val="28"/>
          <w:szCs w:val="28"/>
        </w:rPr>
        <w:t>P</w:t>
      </w:r>
      <w:r w:rsidRPr="00D81CDC">
        <w:rPr>
          <w:rFonts w:ascii="Times New Roman" w:hAnsi="Times New Roman" w:cs="Times New Roman"/>
          <w:sz w:val="28"/>
          <w:szCs w:val="28"/>
        </w:rPr>
        <w:t xml:space="preserve">etition adopts the Entity Regulation Work Group’s substitute proposal to add language to ER 1.7. </w:t>
      </w:r>
      <w:r w:rsidR="00642AD8" w:rsidRPr="00D81CDC">
        <w:rPr>
          <w:rFonts w:ascii="Times New Roman" w:hAnsi="Times New Roman" w:cs="Times New Roman"/>
          <w:sz w:val="28"/>
          <w:szCs w:val="28"/>
        </w:rPr>
        <w:t>It therefore eliminates the</w:t>
      </w:r>
      <w:r w:rsidRPr="00D81CDC">
        <w:rPr>
          <w:rFonts w:ascii="Times New Roman" w:hAnsi="Times New Roman" w:cs="Times New Roman"/>
          <w:sz w:val="28"/>
          <w:szCs w:val="28"/>
        </w:rPr>
        <w:t xml:space="preserve"> </w:t>
      </w:r>
      <w:r w:rsidR="00642AD8" w:rsidRPr="00D81CDC">
        <w:rPr>
          <w:rFonts w:ascii="Times New Roman" w:hAnsi="Times New Roman" w:cs="Times New Roman"/>
          <w:sz w:val="28"/>
          <w:szCs w:val="28"/>
        </w:rPr>
        <w:lastRenderedPageBreak/>
        <w:t xml:space="preserve">proposed </w:t>
      </w:r>
      <w:r w:rsidRPr="00D81CDC">
        <w:rPr>
          <w:rFonts w:ascii="Times New Roman" w:hAnsi="Times New Roman" w:cs="Times New Roman"/>
          <w:sz w:val="28"/>
          <w:szCs w:val="28"/>
        </w:rPr>
        <w:t>ER 1.10</w:t>
      </w:r>
      <w:r w:rsidR="00642AD8" w:rsidRPr="00D81CDC">
        <w:rPr>
          <w:rFonts w:ascii="Times New Roman" w:hAnsi="Times New Roman" w:cs="Times New Roman"/>
          <w:sz w:val="28"/>
          <w:szCs w:val="28"/>
        </w:rPr>
        <w:t xml:space="preserve">(f) provision </w:t>
      </w:r>
      <w:r w:rsidRPr="00D81CDC">
        <w:rPr>
          <w:rFonts w:ascii="Times New Roman" w:hAnsi="Times New Roman" w:cs="Times New Roman"/>
          <w:sz w:val="28"/>
          <w:szCs w:val="28"/>
        </w:rPr>
        <w:t xml:space="preserve">and substitutes the </w:t>
      </w:r>
      <w:r w:rsidR="00642AD8" w:rsidRPr="00D81CDC">
        <w:rPr>
          <w:rFonts w:ascii="Times New Roman" w:hAnsi="Times New Roman" w:cs="Times New Roman"/>
          <w:sz w:val="28"/>
          <w:szCs w:val="28"/>
        </w:rPr>
        <w:t xml:space="preserve">proposed </w:t>
      </w:r>
      <w:r w:rsidRPr="00D81CDC">
        <w:rPr>
          <w:rFonts w:ascii="Times New Roman" w:hAnsi="Times New Roman" w:cs="Times New Roman"/>
          <w:sz w:val="28"/>
          <w:szCs w:val="28"/>
        </w:rPr>
        <w:t>ER 1.7 language</w:t>
      </w:r>
      <w:r w:rsidR="00DF3024">
        <w:rPr>
          <w:rFonts w:ascii="Times New Roman" w:hAnsi="Times New Roman" w:cs="Times New Roman"/>
          <w:sz w:val="28"/>
          <w:szCs w:val="28"/>
        </w:rPr>
        <w:t xml:space="preserve"> (See Appendix 1)</w:t>
      </w:r>
      <w:r w:rsidRPr="00D81CDC">
        <w:rPr>
          <w:rFonts w:ascii="Times New Roman" w:hAnsi="Times New Roman" w:cs="Times New Roman"/>
          <w:sz w:val="28"/>
          <w:szCs w:val="28"/>
        </w:rPr>
        <w:t>.</w:t>
      </w:r>
    </w:p>
    <w:p w:rsidR="009D53BD" w:rsidRPr="00543F6D" w:rsidRDefault="008E45B4" w:rsidP="003B4763">
      <w:pPr>
        <w:pStyle w:val="ListParagraph"/>
        <w:numPr>
          <w:ilvl w:val="0"/>
          <w:numId w:val="2"/>
        </w:numPr>
        <w:spacing w:after="0" w:line="360" w:lineRule="auto"/>
        <w:ind w:left="1800" w:right="720"/>
        <w:jc w:val="both"/>
        <w:rPr>
          <w:rFonts w:ascii="Times New Roman" w:hAnsi="Times New Roman" w:cs="Times New Roman"/>
          <w:b/>
          <w:bCs/>
          <w:sz w:val="28"/>
          <w:szCs w:val="28"/>
        </w:rPr>
      </w:pPr>
      <w:r w:rsidRPr="00543F6D">
        <w:rPr>
          <w:rFonts w:ascii="Times New Roman" w:hAnsi="Times New Roman" w:cs="Times New Roman"/>
          <w:b/>
          <w:bCs/>
          <w:sz w:val="28"/>
          <w:szCs w:val="28"/>
        </w:rPr>
        <w:t>Issue</w:t>
      </w:r>
      <w:r w:rsidR="002550A1" w:rsidRPr="00543F6D">
        <w:rPr>
          <w:rFonts w:ascii="Times New Roman" w:hAnsi="Times New Roman" w:cs="Times New Roman"/>
          <w:b/>
          <w:bCs/>
          <w:sz w:val="28"/>
          <w:szCs w:val="28"/>
        </w:rPr>
        <w:t xml:space="preserve">: </w:t>
      </w:r>
      <w:r w:rsidR="00154F2A" w:rsidRPr="00543F6D">
        <w:rPr>
          <w:rFonts w:ascii="Times New Roman" w:hAnsi="Times New Roman" w:cs="Times New Roman"/>
          <w:b/>
          <w:bCs/>
          <w:sz w:val="28"/>
          <w:szCs w:val="28"/>
        </w:rPr>
        <w:t>Protecting the c</w:t>
      </w:r>
      <w:r w:rsidR="003D3E75" w:rsidRPr="00543F6D">
        <w:rPr>
          <w:rFonts w:ascii="Times New Roman" w:hAnsi="Times New Roman" w:cs="Times New Roman"/>
          <w:b/>
          <w:bCs/>
          <w:sz w:val="28"/>
          <w:szCs w:val="28"/>
        </w:rPr>
        <w:t>onfidentialit</w:t>
      </w:r>
      <w:r w:rsidR="00CF75AB" w:rsidRPr="00543F6D">
        <w:rPr>
          <w:rFonts w:ascii="Times New Roman" w:hAnsi="Times New Roman" w:cs="Times New Roman"/>
          <w:b/>
          <w:bCs/>
          <w:sz w:val="28"/>
          <w:szCs w:val="28"/>
        </w:rPr>
        <w:t>y</w:t>
      </w:r>
      <w:r w:rsidR="00154F2A" w:rsidRPr="00543F6D">
        <w:rPr>
          <w:rFonts w:ascii="Times New Roman" w:hAnsi="Times New Roman" w:cs="Times New Roman"/>
          <w:b/>
          <w:bCs/>
          <w:sz w:val="28"/>
          <w:szCs w:val="28"/>
        </w:rPr>
        <w:t xml:space="preserve"> of client information if nonlawyers own the law firm.</w:t>
      </w:r>
    </w:p>
    <w:p w:rsidR="00162E77" w:rsidRPr="00D81CDC" w:rsidRDefault="008E45B4"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The Task Force and the original petition proposed extending </w:t>
      </w:r>
      <w:r w:rsidR="00162E77" w:rsidRPr="00D81CDC">
        <w:rPr>
          <w:rFonts w:ascii="Times New Roman" w:hAnsi="Times New Roman" w:cs="Times New Roman"/>
          <w:sz w:val="28"/>
          <w:szCs w:val="28"/>
        </w:rPr>
        <w:t>a</w:t>
      </w:r>
      <w:r w:rsidRPr="00D81CDC">
        <w:rPr>
          <w:rFonts w:ascii="Times New Roman" w:hAnsi="Times New Roman" w:cs="Times New Roman"/>
          <w:sz w:val="28"/>
          <w:szCs w:val="28"/>
        </w:rPr>
        <w:t xml:space="preserve"> lawyer’s duty of confidentiality to all clients of an ABS, regardless whether those clients receive legal or nonlegal services</w:t>
      </w:r>
      <w:r w:rsidR="00BE3F3A" w:rsidRPr="00D81CDC">
        <w:rPr>
          <w:rFonts w:ascii="Times New Roman" w:hAnsi="Times New Roman" w:cs="Times New Roman"/>
          <w:sz w:val="28"/>
          <w:szCs w:val="28"/>
        </w:rPr>
        <w:t xml:space="preserve">. </w:t>
      </w:r>
      <w:r w:rsidR="00FC2F35">
        <w:rPr>
          <w:rFonts w:ascii="Times New Roman" w:hAnsi="Times New Roman" w:cs="Times New Roman"/>
          <w:sz w:val="28"/>
          <w:szCs w:val="28"/>
        </w:rPr>
        <w:t>Under that proposal, i</w:t>
      </w:r>
      <w:r w:rsidR="00162E77" w:rsidRPr="00D81CDC">
        <w:rPr>
          <w:rFonts w:ascii="Times New Roman" w:hAnsi="Times New Roman" w:cs="Times New Roman"/>
          <w:sz w:val="28"/>
          <w:szCs w:val="28"/>
        </w:rPr>
        <w:t xml:space="preserve">f, for example, an accountant who owned an interest in a law firm provided nonlegal services to accounting clients of the firm, those clients would be entitled to the same confidentiality as the firm’s legal clients. In other words, information pertaining to the representation of all clients of an ABS would be treated </w:t>
      </w:r>
      <w:r w:rsidR="00BE3F3A" w:rsidRPr="00D81CDC">
        <w:rPr>
          <w:rFonts w:ascii="Times New Roman" w:hAnsi="Times New Roman" w:cs="Times New Roman"/>
          <w:sz w:val="28"/>
          <w:szCs w:val="28"/>
        </w:rPr>
        <w:t xml:space="preserve">the same </w:t>
      </w:r>
      <w:r w:rsidR="001740EC">
        <w:rPr>
          <w:rFonts w:ascii="Times New Roman" w:hAnsi="Times New Roman" w:cs="Times New Roman"/>
          <w:sz w:val="28"/>
          <w:szCs w:val="28"/>
        </w:rPr>
        <w:t>––</w:t>
      </w:r>
      <w:r w:rsidR="00BE3F3A" w:rsidRPr="00D81CDC">
        <w:rPr>
          <w:rFonts w:ascii="Times New Roman" w:hAnsi="Times New Roman" w:cs="Times New Roman"/>
          <w:sz w:val="28"/>
          <w:szCs w:val="28"/>
        </w:rPr>
        <w:t xml:space="preserve"> </w:t>
      </w:r>
      <w:r w:rsidR="00162E77" w:rsidRPr="00D81CDC">
        <w:rPr>
          <w:rFonts w:ascii="Times New Roman" w:hAnsi="Times New Roman" w:cs="Times New Roman"/>
          <w:sz w:val="28"/>
          <w:szCs w:val="28"/>
        </w:rPr>
        <w:t xml:space="preserve">as confidential. A lawyer in an ABS </w:t>
      </w:r>
      <w:r w:rsidR="003A6BA3" w:rsidRPr="00D81CDC">
        <w:rPr>
          <w:rFonts w:ascii="Times New Roman" w:hAnsi="Times New Roman" w:cs="Times New Roman"/>
          <w:sz w:val="28"/>
          <w:szCs w:val="28"/>
        </w:rPr>
        <w:t xml:space="preserve">thus </w:t>
      </w:r>
      <w:r w:rsidR="00162E77" w:rsidRPr="00D81CDC">
        <w:rPr>
          <w:rFonts w:ascii="Times New Roman" w:hAnsi="Times New Roman" w:cs="Times New Roman"/>
          <w:sz w:val="28"/>
          <w:szCs w:val="28"/>
        </w:rPr>
        <w:t>would need to make reasonable efforts to prevent inadvertent or unauthorized disclosure of confidential information about all firm clients, even if the services the firm provides to the client are purely nonlegal.</w:t>
      </w:r>
    </w:p>
    <w:p w:rsidR="00A22D69" w:rsidRPr="00D81CDC" w:rsidRDefault="00642AD8" w:rsidP="00AD2F7E">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The</w:t>
      </w:r>
      <w:r w:rsidR="00BE3F3A" w:rsidRPr="00D81CDC">
        <w:rPr>
          <w:rFonts w:ascii="Times New Roman" w:hAnsi="Times New Roman" w:cs="Times New Roman"/>
          <w:sz w:val="28"/>
          <w:szCs w:val="28"/>
        </w:rPr>
        <w:t xml:space="preserve"> Task Force and the original petition proposed amending ER 1.6(e) to state:</w:t>
      </w:r>
    </w:p>
    <w:p w:rsidR="00BE3F3A" w:rsidRPr="00D81CDC" w:rsidRDefault="00BE3F3A" w:rsidP="00AD2F7E">
      <w:pPr>
        <w:ind w:left="720" w:right="720"/>
        <w:jc w:val="both"/>
        <w:rPr>
          <w:rFonts w:ascii="Times New Roman" w:hAnsi="Times New Roman" w:cs="Times New Roman"/>
          <w:sz w:val="28"/>
          <w:szCs w:val="28"/>
        </w:rPr>
      </w:pPr>
      <w:r w:rsidRPr="00D81CDC">
        <w:rPr>
          <w:rFonts w:ascii="Times New Roman" w:hAnsi="Times New Roman" w:cs="Times New Roman"/>
          <w:sz w:val="28"/>
          <w:szCs w:val="28"/>
        </w:rPr>
        <w:t>A lawyer shall make reasonable efforts to prevent the inadvertent or unauthorized disclosure of, or unauthorized access to, information relating to the representation of a client</w:t>
      </w:r>
      <w:r w:rsidRPr="00D81CDC">
        <w:rPr>
          <w:rFonts w:ascii="Times New Roman" w:hAnsi="Times New Roman" w:cs="Times New Roman"/>
          <w:sz w:val="28"/>
          <w:szCs w:val="28"/>
          <w:u w:val="single"/>
        </w:rPr>
        <w:t>, even if the firm provides the client with only nonlegal services</w:t>
      </w:r>
      <w:r w:rsidRPr="00D81CDC">
        <w:rPr>
          <w:rFonts w:ascii="Times New Roman" w:hAnsi="Times New Roman" w:cs="Times New Roman"/>
          <w:sz w:val="28"/>
          <w:szCs w:val="28"/>
        </w:rPr>
        <w:t>.</w:t>
      </w:r>
    </w:p>
    <w:p w:rsidR="00BE3F3A" w:rsidRPr="00D81CDC" w:rsidRDefault="00BE3F3A" w:rsidP="00221286">
      <w:pPr>
        <w:spacing w:line="360" w:lineRule="auto"/>
        <w:ind w:firstLine="720"/>
        <w:jc w:val="both"/>
        <w:rPr>
          <w:rFonts w:ascii="Times New Roman" w:hAnsi="Times New Roman" w:cs="Times New Roman"/>
          <w:sz w:val="28"/>
          <w:szCs w:val="28"/>
        </w:rPr>
      </w:pPr>
    </w:p>
    <w:p w:rsidR="00BE3F3A" w:rsidRPr="00D81CDC" w:rsidRDefault="00BE3F3A" w:rsidP="00221286">
      <w:pPr>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 xml:space="preserve">Comments [1], [5] and [22] also </w:t>
      </w:r>
      <w:r w:rsidR="00154F2A" w:rsidRPr="00D81CDC">
        <w:rPr>
          <w:rFonts w:ascii="Times New Roman" w:hAnsi="Times New Roman" w:cs="Times New Roman"/>
          <w:sz w:val="28"/>
          <w:szCs w:val="28"/>
        </w:rPr>
        <w:t>would be</w:t>
      </w:r>
      <w:r w:rsidRPr="00D81CDC">
        <w:rPr>
          <w:rFonts w:ascii="Times New Roman" w:hAnsi="Times New Roman" w:cs="Times New Roman"/>
          <w:sz w:val="28"/>
          <w:szCs w:val="28"/>
        </w:rPr>
        <w:t xml:space="preserve"> amended</w:t>
      </w:r>
      <w:r w:rsidR="007C2855" w:rsidRPr="00D81CDC">
        <w:rPr>
          <w:rFonts w:ascii="Times New Roman" w:hAnsi="Times New Roman" w:cs="Times New Roman"/>
          <w:sz w:val="28"/>
          <w:szCs w:val="28"/>
        </w:rPr>
        <w:t xml:space="preserve"> accordingly</w:t>
      </w:r>
      <w:r w:rsidRPr="00D81CDC">
        <w:rPr>
          <w:rFonts w:ascii="Times New Roman" w:hAnsi="Times New Roman" w:cs="Times New Roman"/>
          <w:sz w:val="28"/>
          <w:szCs w:val="28"/>
        </w:rPr>
        <w:t>.</w:t>
      </w:r>
    </w:p>
    <w:p w:rsidR="00154F2A" w:rsidRPr="00D81CDC" w:rsidRDefault="00154F2A" w:rsidP="00221286">
      <w:pPr>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t>In recommending this change, the Task Force recognized it would be “imperative to protect clients and the confidentially of representations” and explained that the proposed amendment “preserves that protection and clarifies that regardless whether a client is receiving legal services from a lawyer or receiving nonlegal services from a nonlawyer, the traditional protections of the client’s information apply to all aspects of the business.”</w:t>
      </w:r>
    </w:p>
    <w:p w:rsidR="00154F2A" w:rsidRPr="00D81CDC" w:rsidRDefault="00154F2A"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lastRenderedPageBreak/>
        <w:t>Upon further consideration, the</w:t>
      </w:r>
      <w:r w:rsidR="006A1EE4"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Entity Regulation Work Group concluded that it would be unnecessary to require that lawyers in an ABS firm make reasonable efforts to prevent the inadvertent or unauthorized disclosure of information relating to a </w:t>
      </w:r>
      <w:r w:rsidR="00FC2F35">
        <w:rPr>
          <w:rFonts w:ascii="Times New Roman" w:hAnsi="Times New Roman" w:cs="Times New Roman"/>
          <w:sz w:val="28"/>
          <w:szCs w:val="28"/>
        </w:rPr>
        <w:t>nonlegal</w:t>
      </w:r>
      <w:r w:rsidRPr="00D81CDC">
        <w:rPr>
          <w:rFonts w:ascii="Times New Roman" w:hAnsi="Times New Roman" w:cs="Times New Roman"/>
          <w:sz w:val="28"/>
          <w:szCs w:val="28"/>
        </w:rPr>
        <w:t xml:space="preserve"> client who receives </w:t>
      </w:r>
      <w:r w:rsidR="00FC2F35">
        <w:rPr>
          <w:rFonts w:ascii="Times New Roman" w:hAnsi="Times New Roman" w:cs="Times New Roman"/>
          <w:sz w:val="28"/>
          <w:szCs w:val="28"/>
        </w:rPr>
        <w:t>nonlegal</w:t>
      </w:r>
      <w:r w:rsidRPr="00D81CDC">
        <w:rPr>
          <w:rFonts w:ascii="Times New Roman" w:hAnsi="Times New Roman" w:cs="Times New Roman"/>
          <w:sz w:val="28"/>
          <w:szCs w:val="28"/>
        </w:rPr>
        <w:t xml:space="preserve"> services from a nonlawyer. Lawyers in an ABS should not be obligated to make reasonable efforts that the nonlawyers in the firm protect the confidentiality of information relating to the </w:t>
      </w:r>
      <w:r w:rsidR="00FC2F35">
        <w:rPr>
          <w:rFonts w:ascii="Times New Roman" w:hAnsi="Times New Roman" w:cs="Times New Roman"/>
          <w:sz w:val="28"/>
          <w:szCs w:val="28"/>
        </w:rPr>
        <w:t>nonlegal</w:t>
      </w:r>
      <w:r w:rsidRPr="00D81CDC">
        <w:rPr>
          <w:rFonts w:ascii="Times New Roman" w:hAnsi="Times New Roman" w:cs="Times New Roman"/>
          <w:sz w:val="28"/>
          <w:szCs w:val="28"/>
        </w:rPr>
        <w:t xml:space="preserve"> services they provide to their clients. Only client information obtained in the attorney-client context would fall within ER 1.6.</w:t>
      </w:r>
    </w:p>
    <w:p w:rsidR="00460C62" w:rsidRPr="00D81CDC" w:rsidRDefault="00154F2A"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With the amendment to ER 1.6, the policy question arose as to whether ER 5.3</w:t>
      </w:r>
      <w:r w:rsidR="00460C62" w:rsidRPr="00D81CDC">
        <w:rPr>
          <w:rFonts w:ascii="Times New Roman" w:hAnsi="Times New Roman" w:cs="Times New Roman"/>
          <w:sz w:val="28"/>
          <w:szCs w:val="28"/>
        </w:rPr>
        <w:t xml:space="preserve">, which governs lawyers’ </w:t>
      </w:r>
      <w:r w:rsidR="00AD2F7E" w:rsidRPr="00D81CDC">
        <w:rPr>
          <w:rFonts w:ascii="Times New Roman" w:hAnsi="Times New Roman" w:cs="Times New Roman"/>
          <w:sz w:val="28"/>
          <w:szCs w:val="28"/>
        </w:rPr>
        <w:t>responsibilities</w:t>
      </w:r>
      <w:r w:rsidR="00460C62" w:rsidRPr="00D81CDC">
        <w:rPr>
          <w:rFonts w:ascii="Times New Roman" w:hAnsi="Times New Roman" w:cs="Times New Roman"/>
          <w:sz w:val="28"/>
          <w:szCs w:val="28"/>
        </w:rPr>
        <w:t xml:space="preserve"> over nonlawyers in the firm, </w:t>
      </w:r>
      <w:r w:rsidRPr="00D81CDC">
        <w:rPr>
          <w:rFonts w:ascii="Times New Roman" w:hAnsi="Times New Roman" w:cs="Times New Roman"/>
          <w:sz w:val="28"/>
          <w:szCs w:val="28"/>
        </w:rPr>
        <w:t xml:space="preserve">should apply </w:t>
      </w:r>
      <w:r w:rsidR="001740EC">
        <w:rPr>
          <w:rFonts w:ascii="Times New Roman" w:hAnsi="Times New Roman" w:cs="Times New Roman"/>
          <w:sz w:val="28"/>
          <w:szCs w:val="28"/>
        </w:rPr>
        <w:t xml:space="preserve">only </w:t>
      </w:r>
      <w:r w:rsidRPr="00D81CDC">
        <w:rPr>
          <w:rFonts w:ascii="Times New Roman" w:hAnsi="Times New Roman" w:cs="Times New Roman"/>
          <w:sz w:val="28"/>
          <w:szCs w:val="28"/>
        </w:rPr>
        <w:t xml:space="preserve">to nonlawyers in an ABS who either are engaged in ABS activities that are part of an attorney-client relationship (such as paralegals and lawyer assistants) or </w:t>
      </w:r>
      <w:r w:rsidR="00460C62" w:rsidRPr="00D81CDC">
        <w:rPr>
          <w:rFonts w:ascii="Times New Roman" w:hAnsi="Times New Roman" w:cs="Times New Roman"/>
          <w:sz w:val="28"/>
          <w:szCs w:val="28"/>
        </w:rPr>
        <w:t xml:space="preserve">to those </w:t>
      </w:r>
      <w:r w:rsidRPr="00D81CDC">
        <w:rPr>
          <w:rFonts w:ascii="Times New Roman" w:hAnsi="Times New Roman" w:cs="Times New Roman"/>
          <w:sz w:val="28"/>
          <w:szCs w:val="28"/>
        </w:rPr>
        <w:t>who have access to attorney-client confidential information.</w:t>
      </w:r>
      <w:r w:rsidR="00460C62" w:rsidRPr="00D81CDC">
        <w:rPr>
          <w:rFonts w:ascii="Times New Roman" w:hAnsi="Times New Roman" w:cs="Times New Roman"/>
          <w:sz w:val="28"/>
          <w:szCs w:val="28"/>
        </w:rPr>
        <w:t xml:space="preserve"> S</w:t>
      </w:r>
      <w:r w:rsidRPr="00D81CDC">
        <w:rPr>
          <w:rFonts w:ascii="Times New Roman" w:hAnsi="Times New Roman" w:cs="Times New Roman"/>
          <w:sz w:val="28"/>
          <w:szCs w:val="28"/>
        </w:rPr>
        <w:t xml:space="preserve">ome nonlawyers in an ABS may have no involvement in the delivery of legal services at all and may be members of other professions that have their own ethical responsibilities to ABS customers. For example, an ABS may </w:t>
      </w:r>
      <w:r w:rsidR="00C12209" w:rsidRPr="00D81CDC">
        <w:rPr>
          <w:rFonts w:ascii="Times New Roman" w:hAnsi="Times New Roman" w:cs="Times New Roman"/>
          <w:sz w:val="28"/>
          <w:szCs w:val="28"/>
        </w:rPr>
        <w:t xml:space="preserve">include CPAs </w:t>
      </w:r>
      <w:r w:rsidRPr="00D81CDC">
        <w:rPr>
          <w:rFonts w:ascii="Times New Roman" w:hAnsi="Times New Roman" w:cs="Times New Roman"/>
          <w:sz w:val="28"/>
          <w:szCs w:val="28"/>
        </w:rPr>
        <w:t>who may have clients of their own – clients that receive only CPA services and no legal services. Those professionals do not need to adhere to the lawyer’s ethical obligations</w:t>
      </w:r>
      <w:r w:rsidR="006A1EE4" w:rsidRPr="00D81CDC">
        <w:rPr>
          <w:rFonts w:ascii="Times New Roman" w:hAnsi="Times New Roman" w:cs="Times New Roman"/>
          <w:sz w:val="28"/>
          <w:szCs w:val="28"/>
        </w:rPr>
        <w:t xml:space="preserve">, </w:t>
      </w:r>
      <w:r w:rsidRPr="00D81CDC">
        <w:rPr>
          <w:rFonts w:ascii="Times New Roman" w:hAnsi="Times New Roman" w:cs="Times New Roman"/>
          <w:sz w:val="28"/>
          <w:szCs w:val="28"/>
        </w:rPr>
        <w:t>unless they have access to lawyer client confidential information.</w:t>
      </w:r>
    </w:p>
    <w:p w:rsidR="00460C62" w:rsidRPr="00D81CDC" w:rsidRDefault="00460C62"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The Entity Regulation Work Group recommended avoiding overly restrictive provisions by limiting ER 5.3 to its traditional application</w:t>
      </w:r>
      <w:r w:rsidR="006A1EE4" w:rsidRPr="00D81CDC">
        <w:rPr>
          <w:rFonts w:ascii="Times New Roman" w:hAnsi="Times New Roman" w:cs="Times New Roman"/>
          <w:sz w:val="28"/>
          <w:szCs w:val="28"/>
        </w:rPr>
        <w:t xml:space="preserve">: </w:t>
      </w:r>
      <w:r w:rsidRPr="00D81CDC">
        <w:rPr>
          <w:rFonts w:ascii="Times New Roman" w:hAnsi="Times New Roman" w:cs="Times New Roman"/>
          <w:sz w:val="28"/>
          <w:szCs w:val="28"/>
        </w:rPr>
        <w:t>protecting lawyer clients, not extending to customers of an ABS who have no attorney-client relationship with any lawyer within an ABS.</w:t>
      </w:r>
      <w:r w:rsidR="00587AD7" w:rsidRPr="00D81CDC">
        <w:rPr>
          <w:rFonts w:ascii="Times New Roman" w:hAnsi="Times New Roman" w:cs="Times New Roman"/>
          <w:sz w:val="28"/>
          <w:szCs w:val="28"/>
        </w:rPr>
        <w:t xml:space="preserve"> Extending the ethical duty of confidentiality to include protecting information about these ABS customers appeared to be overly inclusive and unnecessary.</w:t>
      </w:r>
    </w:p>
    <w:p w:rsidR="00460C62" w:rsidRPr="00D81CDC" w:rsidRDefault="00460C62"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lastRenderedPageBreak/>
        <w:t>To achieve this, the Work Group recommended eliminating the Task Force’s proposed amendment to ER 1.6(e) and</w:t>
      </w:r>
      <w:r w:rsidR="00081206" w:rsidRPr="00D81CDC">
        <w:rPr>
          <w:rFonts w:ascii="Times New Roman" w:hAnsi="Times New Roman" w:cs="Times New Roman"/>
          <w:sz w:val="28"/>
          <w:szCs w:val="28"/>
        </w:rPr>
        <w:t>,</w:t>
      </w:r>
      <w:r w:rsidRPr="00D81CDC">
        <w:rPr>
          <w:rFonts w:ascii="Times New Roman" w:hAnsi="Times New Roman" w:cs="Times New Roman"/>
          <w:sz w:val="28"/>
          <w:szCs w:val="28"/>
        </w:rPr>
        <w:t xml:space="preserve"> instead</w:t>
      </w:r>
      <w:r w:rsidR="00081206"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proposed a </w:t>
      </w:r>
      <w:r w:rsidR="00081206" w:rsidRPr="00D81CDC">
        <w:rPr>
          <w:rFonts w:ascii="Times New Roman" w:hAnsi="Times New Roman" w:cs="Times New Roman"/>
          <w:sz w:val="28"/>
          <w:szCs w:val="28"/>
        </w:rPr>
        <w:t xml:space="preserve">slightly </w:t>
      </w:r>
      <w:r w:rsidRPr="00D81CDC">
        <w:rPr>
          <w:rFonts w:ascii="Times New Roman" w:hAnsi="Times New Roman" w:cs="Times New Roman"/>
          <w:sz w:val="28"/>
          <w:szCs w:val="28"/>
        </w:rPr>
        <w:t>revised amendment to ER 5.3</w:t>
      </w:r>
      <w:r w:rsidR="00081206" w:rsidRPr="00D81CDC">
        <w:rPr>
          <w:rFonts w:ascii="Times New Roman" w:hAnsi="Times New Roman" w:cs="Times New Roman"/>
          <w:sz w:val="28"/>
          <w:szCs w:val="28"/>
        </w:rPr>
        <w:t>:</w:t>
      </w:r>
    </w:p>
    <w:p w:rsidR="00460C62" w:rsidRPr="00D81CDC" w:rsidRDefault="00460C62" w:rsidP="00221286">
      <w:pPr>
        <w:pStyle w:val="BodyText"/>
        <w:kinsoku w:val="0"/>
        <w:overflowPunct w:val="0"/>
        <w:spacing w:after="0" w:line="360" w:lineRule="auto"/>
        <w:ind w:left="360" w:right="720"/>
        <w:jc w:val="both"/>
        <w:rPr>
          <w:sz w:val="28"/>
          <w:szCs w:val="28"/>
        </w:rPr>
      </w:pPr>
      <w:r w:rsidRPr="00D81CDC">
        <w:rPr>
          <w:strike/>
          <w:sz w:val="28"/>
          <w:szCs w:val="28"/>
        </w:rPr>
        <w:t>With respect to a nonlawyer employed or retained by or associated with a</w:t>
      </w:r>
      <w:r w:rsidRPr="00D81CDC">
        <w:rPr>
          <w:sz w:val="28"/>
          <w:szCs w:val="28"/>
        </w:rPr>
        <w:t xml:space="preserve"> </w:t>
      </w:r>
      <w:r w:rsidRPr="00D81CDC">
        <w:rPr>
          <w:strike/>
          <w:sz w:val="28"/>
          <w:szCs w:val="28"/>
        </w:rPr>
        <w:t>lawyer:</w:t>
      </w:r>
    </w:p>
    <w:p w:rsidR="00460C62" w:rsidRPr="00D81CDC" w:rsidRDefault="00460C62" w:rsidP="003B4763">
      <w:pPr>
        <w:pStyle w:val="ListParagraph"/>
        <w:numPr>
          <w:ilvl w:val="0"/>
          <w:numId w:val="7"/>
        </w:numPr>
        <w:tabs>
          <w:tab w:val="left" w:pos="521"/>
        </w:tabs>
        <w:kinsoku w:val="0"/>
        <w:overflowPunct w:val="0"/>
        <w:autoSpaceDE w:val="0"/>
        <w:autoSpaceDN w:val="0"/>
        <w:adjustRightInd w:val="0"/>
        <w:spacing w:after="0" w:line="360" w:lineRule="auto"/>
        <w:ind w:right="720"/>
        <w:jc w:val="both"/>
        <w:rPr>
          <w:rFonts w:ascii="Times New Roman" w:hAnsi="Times New Roman" w:cs="Times New Roman"/>
          <w:sz w:val="28"/>
          <w:szCs w:val="28"/>
        </w:rPr>
      </w:pPr>
      <w:r w:rsidRPr="00D81CDC">
        <w:rPr>
          <w:rFonts w:ascii="Times New Roman" w:hAnsi="Times New Roman" w:cs="Times New Roman"/>
          <w:strike/>
          <w:sz w:val="28"/>
          <w:szCs w:val="28"/>
        </w:rPr>
        <w:t>a partner, and a lawyer who individually or together with other lawyers possess comparable managerial authority in a law firm shall reasonable efforts to ensure that the firm has in effect measures giving reasonable assurance</w:t>
      </w:r>
      <w:r w:rsidRPr="00D81CDC">
        <w:rPr>
          <w:rFonts w:ascii="Times New Roman" w:hAnsi="Times New Roman" w:cs="Times New Roman"/>
          <w:strike/>
          <w:spacing w:val="-23"/>
          <w:sz w:val="28"/>
          <w:szCs w:val="28"/>
        </w:rPr>
        <w:t xml:space="preserve"> </w:t>
      </w:r>
      <w:r w:rsidRPr="00D81CDC">
        <w:rPr>
          <w:rFonts w:ascii="Times New Roman" w:hAnsi="Times New Roman" w:cs="Times New Roman"/>
          <w:strike/>
          <w:sz w:val="28"/>
          <w:szCs w:val="28"/>
        </w:rPr>
        <w:t>that the person’s conduct is compatible with the professional obligations of the lawyer;</w:t>
      </w:r>
      <w:r w:rsidRPr="00D81CDC">
        <w:rPr>
          <w:rFonts w:ascii="Times New Roman" w:hAnsi="Times New Roman" w:cs="Times New Roman"/>
          <w:sz w:val="28"/>
          <w:szCs w:val="28"/>
        </w:rPr>
        <w:t>.</w:t>
      </w:r>
    </w:p>
    <w:p w:rsidR="00460C62" w:rsidRPr="00D81CDC" w:rsidRDefault="00460C62" w:rsidP="00221286">
      <w:pPr>
        <w:tabs>
          <w:tab w:val="left" w:pos="521"/>
        </w:tabs>
        <w:kinsoku w:val="0"/>
        <w:overflowPunct w:val="0"/>
        <w:autoSpaceDE w:val="0"/>
        <w:autoSpaceDN w:val="0"/>
        <w:adjustRightInd w:val="0"/>
        <w:spacing w:line="360" w:lineRule="auto"/>
        <w:ind w:left="648" w:right="720" w:hanging="288"/>
        <w:jc w:val="both"/>
        <w:rPr>
          <w:rFonts w:ascii="Times New Roman" w:hAnsi="Times New Roman" w:cs="Times New Roman"/>
          <w:sz w:val="28"/>
          <w:szCs w:val="28"/>
        </w:rPr>
      </w:pPr>
      <w:r w:rsidRPr="00D81CDC">
        <w:rPr>
          <w:rFonts w:ascii="Times New Roman" w:hAnsi="Times New Roman" w:cs="Times New Roman"/>
          <w:b/>
          <w:bCs/>
          <w:sz w:val="28"/>
          <w:szCs w:val="28"/>
        </w:rPr>
        <w:t>(</w:t>
      </w:r>
      <w:r w:rsidRPr="00D81CDC">
        <w:rPr>
          <w:rFonts w:ascii="Times New Roman" w:hAnsi="Times New Roman" w:cs="Times New Roman"/>
          <w:b/>
          <w:bCs/>
          <w:sz w:val="28"/>
          <w:szCs w:val="28"/>
          <w:u w:val="thick"/>
        </w:rPr>
        <w:t>a</w:t>
      </w:r>
      <w:r w:rsidRPr="00D81CDC">
        <w:rPr>
          <w:rFonts w:ascii="Times New Roman" w:hAnsi="Times New Roman" w:cs="Times New Roman"/>
          <w:b/>
          <w:bCs/>
          <w:spacing w:val="56"/>
          <w:sz w:val="28"/>
          <w:szCs w:val="28"/>
        </w:rPr>
        <w:t xml:space="preserve"> </w:t>
      </w:r>
      <w:r w:rsidRPr="00D81CDC">
        <w:rPr>
          <w:rFonts w:ascii="Times New Roman" w:hAnsi="Times New Roman" w:cs="Times New Roman"/>
          <w:b/>
          <w:bCs/>
          <w:strike/>
          <w:sz w:val="28"/>
          <w:szCs w:val="28"/>
        </w:rPr>
        <w:t>b</w:t>
      </w:r>
      <w:r w:rsidRPr="00D81CDC">
        <w:rPr>
          <w:rFonts w:ascii="Times New Roman" w:hAnsi="Times New Roman" w:cs="Times New Roman"/>
          <w:b/>
          <w:bCs/>
          <w:sz w:val="28"/>
          <w:szCs w:val="28"/>
        </w:rPr>
        <w:t xml:space="preserve">) </w:t>
      </w:r>
      <w:r w:rsidRPr="00D81CDC">
        <w:rPr>
          <w:rFonts w:ascii="Times New Roman" w:hAnsi="Times New Roman" w:cs="Times New Roman"/>
          <w:strike/>
          <w:sz w:val="28"/>
          <w:szCs w:val="28"/>
        </w:rPr>
        <w:t>a</w:t>
      </w:r>
      <w:r w:rsidRPr="00D81CDC">
        <w:rPr>
          <w:rFonts w:ascii="Times New Roman" w:hAnsi="Times New Roman" w:cs="Times New Roman"/>
          <w:strike/>
          <w:spacing w:val="53"/>
          <w:sz w:val="28"/>
          <w:szCs w:val="28"/>
        </w:rPr>
        <w:t xml:space="preserve"> </w:t>
      </w:r>
      <w:r w:rsidRPr="00D81CDC">
        <w:rPr>
          <w:rFonts w:ascii="Times New Roman" w:hAnsi="Times New Roman" w:cs="Times New Roman"/>
          <w:strike/>
          <w:sz w:val="28"/>
          <w:szCs w:val="28"/>
        </w:rPr>
        <w:t>lawyer</w:t>
      </w:r>
      <w:r w:rsidRPr="00D81CDC">
        <w:rPr>
          <w:rFonts w:ascii="Times New Roman" w:hAnsi="Times New Roman" w:cs="Times New Roman"/>
          <w:strike/>
          <w:spacing w:val="54"/>
          <w:sz w:val="28"/>
          <w:szCs w:val="28"/>
        </w:rPr>
        <w:t xml:space="preserve"> </w:t>
      </w:r>
      <w:r w:rsidRPr="00D81CDC">
        <w:rPr>
          <w:rFonts w:ascii="Times New Roman" w:hAnsi="Times New Roman" w:cs="Times New Roman"/>
          <w:strike/>
          <w:sz w:val="28"/>
          <w:szCs w:val="28"/>
        </w:rPr>
        <w:t>having</w:t>
      </w:r>
      <w:r w:rsidRPr="00D81CDC">
        <w:rPr>
          <w:rFonts w:ascii="Times New Roman" w:hAnsi="Times New Roman" w:cs="Times New Roman"/>
          <w:strike/>
          <w:spacing w:val="55"/>
          <w:sz w:val="28"/>
          <w:szCs w:val="28"/>
        </w:rPr>
        <w:t xml:space="preserve"> </w:t>
      </w:r>
      <w:r w:rsidRPr="00D81CDC">
        <w:rPr>
          <w:rFonts w:ascii="Times New Roman" w:hAnsi="Times New Roman" w:cs="Times New Roman"/>
          <w:strike/>
          <w:sz w:val="28"/>
          <w:szCs w:val="28"/>
        </w:rPr>
        <w:t>direct</w:t>
      </w:r>
      <w:r w:rsidRPr="00D81CDC">
        <w:rPr>
          <w:rFonts w:ascii="Times New Roman" w:hAnsi="Times New Roman" w:cs="Times New Roman"/>
          <w:strike/>
          <w:spacing w:val="55"/>
          <w:sz w:val="28"/>
          <w:szCs w:val="28"/>
        </w:rPr>
        <w:t xml:space="preserve"> </w:t>
      </w:r>
      <w:r w:rsidRPr="00D81CDC">
        <w:rPr>
          <w:rFonts w:ascii="Times New Roman" w:hAnsi="Times New Roman" w:cs="Times New Roman"/>
          <w:strike/>
          <w:sz w:val="28"/>
          <w:szCs w:val="28"/>
        </w:rPr>
        <w:t>supervisory</w:t>
      </w:r>
      <w:r w:rsidRPr="00D81CDC">
        <w:rPr>
          <w:rFonts w:ascii="Times New Roman" w:hAnsi="Times New Roman" w:cs="Times New Roman"/>
          <w:strike/>
          <w:spacing w:val="51"/>
          <w:sz w:val="28"/>
          <w:szCs w:val="28"/>
        </w:rPr>
        <w:t xml:space="preserve"> </w:t>
      </w:r>
      <w:r w:rsidRPr="00D81CDC">
        <w:rPr>
          <w:rFonts w:ascii="Times New Roman" w:hAnsi="Times New Roman" w:cs="Times New Roman"/>
          <w:strike/>
          <w:sz w:val="28"/>
          <w:szCs w:val="28"/>
        </w:rPr>
        <w:t>authority over</w:t>
      </w:r>
      <w:r w:rsidRPr="00D81CDC">
        <w:rPr>
          <w:rFonts w:ascii="Times New Roman" w:hAnsi="Times New Roman" w:cs="Times New Roman"/>
          <w:strike/>
          <w:spacing w:val="54"/>
          <w:sz w:val="28"/>
          <w:szCs w:val="28"/>
        </w:rPr>
        <w:t xml:space="preserve"> </w:t>
      </w:r>
      <w:r w:rsidRPr="00D81CDC">
        <w:rPr>
          <w:rFonts w:ascii="Times New Roman" w:hAnsi="Times New Roman" w:cs="Times New Roman"/>
          <w:strike/>
          <w:sz w:val="28"/>
          <w:szCs w:val="28"/>
        </w:rPr>
        <w:t>the</w:t>
      </w:r>
      <w:r w:rsidRPr="00D81CDC">
        <w:rPr>
          <w:rFonts w:ascii="Times New Roman" w:hAnsi="Times New Roman" w:cs="Times New Roman"/>
          <w:strike/>
          <w:spacing w:val="52"/>
          <w:sz w:val="28"/>
          <w:szCs w:val="28"/>
        </w:rPr>
        <w:t xml:space="preserve"> </w:t>
      </w:r>
      <w:r w:rsidRPr="00D81CDC">
        <w:rPr>
          <w:rFonts w:ascii="Times New Roman" w:hAnsi="Times New Roman" w:cs="Times New Roman"/>
          <w:strike/>
          <w:sz w:val="28"/>
          <w:szCs w:val="28"/>
        </w:rPr>
        <w:t>nonlawyer</w:t>
      </w:r>
      <w:r w:rsidRPr="00D81CDC">
        <w:rPr>
          <w:rFonts w:ascii="Times New Roman" w:hAnsi="Times New Roman" w:cs="Times New Roman"/>
          <w:spacing w:val="68"/>
          <w:sz w:val="28"/>
          <w:szCs w:val="28"/>
        </w:rPr>
        <w:t xml:space="preserve"> </w:t>
      </w:r>
      <w:r w:rsidRPr="00D81CDC">
        <w:rPr>
          <w:rFonts w:ascii="Times New Roman" w:hAnsi="Times New Roman" w:cs="Times New Roman"/>
          <w:sz w:val="28"/>
          <w:szCs w:val="28"/>
          <w:u w:val="single"/>
        </w:rPr>
        <w:t xml:space="preserve">A lawyer in a firm </w:t>
      </w:r>
      <w:r w:rsidRPr="00D81CDC">
        <w:rPr>
          <w:rFonts w:ascii="Times New Roman" w:hAnsi="Times New Roman" w:cs="Times New Roman"/>
          <w:sz w:val="28"/>
          <w:szCs w:val="28"/>
        </w:rPr>
        <w:t>shall make reasonable efforts to ensure that the</w:t>
      </w:r>
      <w:r w:rsidRPr="00D81CDC">
        <w:rPr>
          <w:rFonts w:ascii="Times New Roman" w:hAnsi="Times New Roman" w:cs="Times New Roman"/>
          <w:strike/>
          <w:sz w:val="28"/>
          <w:szCs w:val="28"/>
        </w:rPr>
        <w:t xml:space="preserve"> person’s</w:t>
      </w:r>
      <w:r w:rsidRPr="00D81CDC">
        <w:rPr>
          <w:rFonts w:ascii="Times New Roman" w:hAnsi="Times New Roman" w:cs="Times New Roman"/>
          <w:sz w:val="28"/>
          <w:szCs w:val="28"/>
        </w:rPr>
        <w:t xml:space="preserve"> </w:t>
      </w:r>
      <w:r w:rsidRPr="00D81CDC">
        <w:rPr>
          <w:rFonts w:ascii="Times New Roman" w:hAnsi="Times New Roman" w:cs="Times New Roman"/>
          <w:strike/>
          <w:sz w:val="28"/>
          <w:szCs w:val="28"/>
        </w:rPr>
        <w:t>conduct</w:t>
      </w:r>
      <w:r w:rsidRPr="00D81CDC">
        <w:rPr>
          <w:rFonts w:ascii="Times New Roman" w:hAnsi="Times New Roman" w:cs="Times New Roman"/>
          <w:spacing w:val="54"/>
          <w:sz w:val="28"/>
          <w:szCs w:val="28"/>
        </w:rPr>
        <w:t xml:space="preserve"> </w:t>
      </w:r>
      <w:r w:rsidRPr="00D81CDC">
        <w:rPr>
          <w:rFonts w:ascii="Times New Roman" w:hAnsi="Times New Roman" w:cs="Times New Roman"/>
          <w:sz w:val="28"/>
          <w:szCs w:val="28"/>
          <w:u w:val="single"/>
        </w:rPr>
        <w:t>firm has</w:t>
      </w:r>
      <w:r w:rsidRPr="00D81CDC">
        <w:rPr>
          <w:rFonts w:ascii="Times New Roman" w:hAnsi="Times New Roman" w:cs="Times New Roman"/>
          <w:spacing w:val="53"/>
          <w:sz w:val="28"/>
          <w:szCs w:val="28"/>
          <w:u w:val="single"/>
        </w:rPr>
        <w:t xml:space="preserve"> </w:t>
      </w:r>
      <w:r w:rsidRPr="00D81CDC">
        <w:rPr>
          <w:rFonts w:ascii="Times New Roman" w:hAnsi="Times New Roman" w:cs="Times New Roman"/>
          <w:sz w:val="28"/>
          <w:szCs w:val="28"/>
          <w:u w:val="single"/>
        </w:rPr>
        <w:t>in</w:t>
      </w:r>
      <w:r w:rsidRPr="00D81CDC">
        <w:rPr>
          <w:rFonts w:ascii="Times New Roman" w:hAnsi="Times New Roman" w:cs="Times New Roman"/>
          <w:spacing w:val="53"/>
          <w:sz w:val="28"/>
          <w:szCs w:val="28"/>
          <w:u w:val="single"/>
        </w:rPr>
        <w:t xml:space="preserve"> </w:t>
      </w:r>
      <w:r w:rsidRPr="00D81CDC">
        <w:rPr>
          <w:rFonts w:ascii="Times New Roman" w:hAnsi="Times New Roman" w:cs="Times New Roman"/>
          <w:sz w:val="28"/>
          <w:szCs w:val="28"/>
          <w:u w:val="single"/>
        </w:rPr>
        <w:t>effect</w:t>
      </w:r>
      <w:r w:rsidRPr="00D81CDC">
        <w:rPr>
          <w:rFonts w:ascii="Times New Roman" w:hAnsi="Times New Roman" w:cs="Times New Roman"/>
          <w:spacing w:val="55"/>
          <w:sz w:val="28"/>
          <w:szCs w:val="28"/>
          <w:u w:val="single"/>
        </w:rPr>
        <w:t xml:space="preserve"> </w:t>
      </w:r>
      <w:r w:rsidRPr="00D81CDC">
        <w:rPr>
          <w:rFonts w:ascii="Times New Roman" w:hAnsi="Times New Roman" w:cs="Times New Roman"/>
          <w:sz w:val="28"/>
          <w:szCs w:val="28"/>
          <w:u w:val="single"/>
        </w:rPr>
        <w:t>measures</w:t>
      </w:r>
      <w:r w:rsidRPr="00D81CDC">
        <w:rPr>
          <w:rFonts w:ascii="Times New Roman" w:hAnsi="Times New Roman" w:cs="Times New Roman"/>
          <w:spacing w:val="53"/>
          <w:sz w:val="28"/>
          <w:szCs w:val="28"/>
          <w:u w:val="single"/>
        </w:rPr>
        <w:t xml:space="preserve"> </w:t>
      </w:r>
      <w:r w:rsidRPr="00D81CDC">
        <w:rPr>
          <w:rFonts w:ascii="Times New Roman" w:hAnsi="Times New Roman" w:cs="Times New Roman"/>
          <w:sz w:val="28"/>
          <w:szCs w:val="28"/>
          <w:u w:val="single"/>
        </w:rPr>
        <w:t>giving</w:t>
      </w:r>
      <w:r w:rsidRPr="00D81CDC">
        <w:rPr>
          <w:rFonts w:ascii="Times New Roman" w:hAnsi="Times New Roman" w:cs="Times New Roman"/>
          <w:spacing w:val="53"/>
          <w:sz w:val="28"/>
          <w:szCs w:val="28"/>
          <w:u w:val="single"/>
        </w:rPr>
        <w:t xml:space="preserve"> </w:t>
      </w:r>
      <w:r w:rsidRPr="00D81CDC">
        <w:rPr>
          <w:rFonts w:ascii="Times New Roman" w:hAnsi="Times New Roman" w:cs="Times New Roman"/>
          <w:sz w:val="28"/>
          <w:szCs w:val="28"/>
          <w:u w:val="single"/>
        </w:rPr>
        <w:t>reasonable</w:t>
      </w:r>
      <w:r w:rsidRPr="00D81CDC">
        <w:rPr>
          <w:rFonts w:ascii="Times New Roman" w:hAnsi="Times New Roman" w:cs="Times New Roman"/>
          <w:spacing w:val="52"/>
          <w:sz w:val="28"/>
          <w:szCs w:val="28"/>
          <w:u w:val="single"/>
        </w:rPr>
        <w:t xml:space="preserve"> </w:t>
      </w:r>
      <w:r w:rsidRPr="00D81CDC">
        <w:rPr>
          <w:rFonts w:ascii="Times New Roman" w:hAnsi="Times New Roman" w:cs="Times New Roman"/>
          <w:sz w:val="28"/>
          <w:szCs w:val="28"/>
          <w:u w:val="single"/>
        </w:rPr>
        <w:t>assurance</w:t>
      </w:r>
      <w:r w:rsidRPr="00D81CDC">
        <w:rPr>
          <w:rFonts w:ascii="Times New Roman" w:hAnsi="Times New Roman" w:cs="Times New Roman"/>
          <w:spacing w:val="52"/>
          <w:sz w:val="28"/>
          <w:szCs w:val="28"/>
          <w:u w:val="single"/>
        </w:rPr>
        <w:t xml:space="preserve"> </w:t>
      </w:r>
      <w:r w:rsidRPr="00D81CDC">
        <w:rPr>
          <w:rFonts w:ascii="Times New Roman" w:hAnsi="Times New Roman" w:cs="Times New Roman"/>
          <w:sz w:val="28"/>
          <w:szCs w:val="28"/>
          <w:u w:val="single"/>
        </w:rPr>
        <w:t>that</w:t>
      </w:r>
      <w:r w:rsidRPr="00D81CDC">
        <w:rPr>
          <w:rFonts w:ascii="Times New Roman" w:hAnsi="Times New Roman" w:cs="Times New Roman"/>
          <w:spacing w:val="53"/>
          <w:sz w:val="28"/>
          <w:szCs w:val="28"/>
          <w:u w:val="single"/>
        </w:rPr>
        <w:t xml:space="preserve"> </w:t>
      </w:r>
      <w:r w:rsidRPr="00D81CDC">
        <w:rPr>
          <w:rFonts w:ascii="Times New Roman" w:hAnsi="Times New Roman" w:cs="Times New Roman"/>
          <w:sz w:val="28"/>
          <w:szCs w:val="28"/>
          <w:u w:val="single"/>
        </w:rPr>
        <w:t>the conduct of nonlawyers</w:t>
      </w:r>
      <w:r w:rsidR="00587AD7" w:rsidRPr="00D81CDC">
        <w:rPr>
          <w:rFonts w:ascii="Times New Roman" w:hAnsi="Times New Roman" w:cs="Times New Roman"/>
          <w:sz w:val="28"/>
          <w:szCs w:val="28"/>
          <w:u w:val="single"/>
        </w:rPr>
        <w:t xml:space="preserve"> engaged in activities assisting lawyers in providing legal services and who have access to attorney-client information </w:t>
      </w:r>
      <w:r w:rsidRPr="00D81CDC">
        <w:rPr>
          <w:rFonts w:ascii="Times New Roman" w:hAnsi="Times New Roman" w:cs="Times New Roman"/>
          <w:sz w:val="28"/>
          <w:szCs w:val="28"/>
        </w:rPr>
        <w:t>is</w:t>
      </w:r>
      <w:r w:rsidRPr="00D81CDC">
        <w:rPr>
          <w:rFonts w:ascii="Times New Roman" w:hAnsi="Times New Roman" w:cs="Times New Roman"/>
          <w:spacing w:val="62"/>
          <w:sz w:val="28"/>
          <w:szCs w:val="28"/>
        </w:rPr>
        <w:t xml:space="preserve"> </w:t>
      </w:r>
      <w:r w:rsidRPr="00D81CDC">
        <w:rPr>
          <w:rFonts w:ascii="Times New Roman" w:hAnsi="Times New Roman" w:cs="Times New Roman"/>
          <w:sz w:val="28"/>
          <w:szCs w:val="28"/>
        </w:rPr>
        <w:t>compatible</w:t>
      </w:r>
      <w:r w:rsidRPr="00D81CDC">
        <w:rPr>
          <w:rFonts w:ascii="Times New Roman" w:hAnsi="Times New Roman" w:cs="Times New Roman"/>
          <w:spacing w:val="59"/>
          <w:sz w:val="28"/>
          <w:szCs w:val="28"/>
        </w:rPr>
        <w:t xml:space="preserve"> </w:t>
      </w:r>
      <w:r w:rsidRPr="00D81CDC">
        <w:rPr>
          <w:rFonts w:ascii="Times New Roman" w:hAnsi="Times New Roman" w:cs="Times New Roman"/>
          <w:sz w:val="28"/>
          <w:szCs w:val="28"/>
        </w:rPr>
        <w:t>with</w:t>
      </w:r>
      <w:r w:rsidRPr="00D81CDC">
        <w:rPr>
          <w:rFonts w:ascii="Times New Roman" w:hAnsi="Times New Roman" w:cs="Times New Roman"/>
          <w:spacing w:val="62"/>
          <w:sz w:val="28"/>
          <w:szCs w:val="28"/>
        </w:rPr>
        <w:t xml:space="preserve"> </w:t>
      </w:r>
      <w:r w:rsidRPr="00D81CDC">
        <w:rPr>
          <w:rFonts w:ascii="Times New Roman" w:hAnsi="Times New Roman" w:cs="Times New Roman"/>
          <w:sz w:val="28"/>
          <w:szCs w:val="28"/>
        </w:rPr>
        <w:t>the</w:t>
      </w:r>
      <w:r w:rsidRPr="00D81CDC">
        <w:rPr>
          <w:rFonts w:ascii="Times New Roman" w:hAnsi="Times New Roman" w:cs="Times New Roman"/>
          <w:spacing w:val="59"/>
          <w:sz w:val="28"/>
          <w:szCs w:val="28"/>
        </w:rPr>
        <w:t xml:space="preserve"> </w:t>
      </w:r>
      <w:r w:rsidRPr="00D81CDC">
        <w:rPr>
          <w:rFonts w:ascii="Times New Roman" w:hAnsi="Times New Roman" w:cs="Times New Roman"/>
          <w:sz w:val="28"/>
          <w:szCs w:val="28"/>
        </w:rPr>
        <w:t>professional</w:t>
      </w:r>
      <w:r w:rsidRPr="00D81CDC">
        <w:rPr>
          <w:rFonts w:ascii="Times New Roman" w:hAnsi="Times New Roman" w:cs="Times New Roman"/>
          <w:spacing w:val="62"/>
          <w:sz w:val="28"/>
          <w:szCs w:val="28"/>
        </w:rPr>
        <w:t xml:space="preserve"> </w:t>
      </w:r>
      <w:r w:rsidRPr="00D81CDC">
        <w:rPr>
          <w:rFonts w:ascii="Times New Roman" w:hAnsi="Times New Roman" w:cs="Times New Roman"/>
          <w:sz w:val="28"/>
          <w:szCs w:val="28"/>
        </w:rPr>
        <w:t>obligations</w:t>
      </w:r>
      <w:r w:rsidRPr="00D81CDC">
        <w:rPr>
          <w:rFonts w:ascii="Times New Roman" w:hAnsi="Times New Roman" w:cs="Times New Roman"/>
          <w:spacing w:val="60"/>
          <w:sz w:val="28"/>
          <w:szCs w:val="28"/>
        </w:rPr>
        <w:t xml:space="preserve"> </w:t>
      </w:r>
      <w:r w:rsidRPr="00D81CDC">
        <w:rPr>
          <w:rFonts w:ascii="Times New Roman" w:hAnsi="Times New Roman" w:cs="Times New Roman"/>
          <w:sz w:val="28"/>
          <w:szCs w:val="28"/>
        </w:rPr>
        <w:t>of</w:t>
      </w:r>
      <w:r w:rsidRPr="00D81CDC">
        <w:rPr>
          <w:rFonts w:ascii="Times New Roman" w:hAnsi="Times New Roman" w:cs="Times New Roman"/>
          <w:spacing w:val="59"/>
          <w:sz w:val="28"/>
          <w:szCs w:val="28"/>
        </w:rPr>
        <w:t xml:space="preserve"> </w:t>
      </w:r>
      <w:r w:rsidRPr="00D81CDC">
        <w:rPr>
          <w:rFonts w:ascii="Times New Roman" w:hAnsi="Times New Roman" w:cs="Times New Roman"/>
          <w:sz w:val="28"/>
          <w:szCs w:val="28"/>
        </w:rPr>
        <w:t>the</w:t>
      </w:r>
      <w:r w:rsidRPr="00D81CDC">
        <w:rPr>
          <w:rFonts w:ascii="Times New Roman" w:hAnsi="Times New Roman" w:cs="Times New Roman"/>
          <w:spacing w:val="59"/>
          <w:sz w:val="28"/>
          <w:szCs w:val="28"/>
        </w:rPr>
        <w:t xml:space="preserve"> </w:t>
      </w:r>
      <w:r w:rsidRPr="00D81CDC">
        <w:rPr>
          <w:rFonts w:ascii="Times New Roman" w:hAnsi="Times New Roman" w:cs="Times New Roman"/>
          <w:sz w:val="28"/>
          <w:szCs w:val="28"/>
        </w:rPr>
        <w:t>lawyer.</w:t>
      </w:r>
      <w:r w:rsidRPr="00D81CDC">
        <w:rPr>
          <w:rFonts w:ascii="Times New Roman" w:hAnsi="Times New Roman" w:cs="Times New Roman"/>
          <w:strike/>
          <w:sz w:val="28"/>
          <w:szCs w:val="28"/>
        </w:rPr>
        <w:t>;</w:t>
      </w:r>
      <w:r w:rsidRPr="00D81CDC">
        <w:rPr>
          <w:rFonts w:ascii="Times New Roman" w:hAnsi="Times New Roman" w:cs="Times New Roman"/>
          <w:strike/>
          <w:spacing w:val="62"/>
          <w:sz w:val="28"/>
          <w:szCs w:val="28"/>
        </w:rPr>
        <w:t xml:space="preserve"> </w:t>
      </w:r>
      <w:r w:rsidRPr="00D81CDC">
        <w:rPr>
          <w:rFonts w:ascii="Times New Roman" w:hAnsi="Times New Roman" w:cs="Times New Roman"/>
          <w:strike/>
          <w:sz w:val="28"/>
          <w:szCs w:val="28"/>
        </w:rPr>
        <w:t>and</w:t>
      </w:r>
      <w:r w:rsidRPr="00D81CDC">
        <w:rPr>
          <w:rFonts w:ascii="Times New Roman" w:hAnsi="Times New Roman" w:cs="Times New Roman"/>
          <w:sz w:val="28"/>
          <w:szCs w:val="28"/>
        </w:rPr>
        <w:t xml:space="preserve"> </w:t>
      </w:r>
      <w:r w:rsidRPr="00D81CDC">
        <w:rPr>
          <w:rFonts w:ascii="Times New Roman" w:hAnsi="Times New Roman" w:cs="Times New Roman"/>
          <w:sz w:val="28"/>
          <w:szCs w:val="28"/>
          <w:u w:val="single"/>
        </w:rPr>
        <w:t>Reasonable measures include, but are not limited to, adopting and enforcing policies and procedures designed</w:t>
      </w:r>
      <w:r w:rsidRPr="00D81CDC">
        <w:rPr>
          <w:rFonts w:ascii="Times New Roman" w:hAnsi="Times New Roman" w:cs="Times New Roman"/>
          <w:sz w:val="28"/>
          <w:szCs w:val="28"/>
        </w:rPr>
        <w:t>:</w:t>
      </w:r>
    </w:p>
    <w:p w:rsidR="00460C62" w:rsidRPr="00D81CDC" w:rsidRDefault="00460C62" w:rsidP="003B4763">
      <w:pPr>
        <w:pStyle w:val="ListParagraph"/>
        <w:numPr>
          <w:ilvl w:val="0"/>
          <w:numId w:val="6"/>
        </w:numPr>
        <w:tabs>
          <w:tab w:val="left" w:pos="960"/>
        </w:tabs>
        <w:kinsoku w:val="0"/>
        <w:overflowPunct w:val="0"/>
        <w:autoSpaceDE w:val="0"/>
        <w:autoSpaceDN w:val="0"/>
        <w:adjustRightInd w:val="0"/>
        <w:spacing w:after="0" w:line="360" w:lineRule="auto"/>
        <w:ind w:right="720"/>
        <w:contextualSpacing w:val="0"/>
        <w:jc w:val="both"/>
        <w:rPr>
          <w:rFonts w:ascii="Times New Roman" w:hAnsi="Times New Roman" w:cs="Times New Roman"/>
          <w:sz w:val="28"/>
          <w:szCs w:val="28"/>
        </w:rPr>
      </w:pPr>
      <w:r w:rsidRPr="00D81CDC">
        <w:rPr>
          <w:rFonts w:ascii="Times New Roman" w:hAnsi="Times New Roman" w:cs="Times New Roman"/>
          <w:sz w:val="28"/>
          <w:szCs w:val="28"/>
          <w:u w:val="single"/>
        </w:rPr>
        <w:t>to prevent nonlawyers in a firm from directing, controlling</w:t>
      </w:r>
      <w:r w:rsidRPr="00D81CDC">
        <w:rPr>
          <w:rFonts w:ascii="Times New Roman" w:hAnsi="Times New Roman" w:cs="Times New Roman"/>
          <w:spacing w:val="53"/>
          <w:sz w:val="28"/>
          <w:szCs w:val="28"/>
          <w:u w:val="single"/>
        </w:rPr>
        <w:t xml:space="preserve"> </w:t>
      </w:r>
      <w:r w:rsidRPr="00D81CDC">
        <w:rPr>
          <w:rFonts w:ascii="Times New Roman" w:hAnsi="Times New Roman" w:cs="Times New Roman"/>
          <w:sz w:val="28"/>
          <w:szCs w:val="28"/>
          <w:u w:val="single"/>
        </w:rPr>
        <w:t>or materially limiting the lawyer’s independent professional judgment on behalf of clients or materially influencing which clients a lawyer does or does not represent; and</w:t>
      </w:r>
    </w:p>
    <w:p w:rsidR="00460C62" w:rsidRPr="00D81CDC" w:rsidRDefault="00460C62" w:rsidP="003B4763">
      <w:pPr>
        <w:pStyle w:val="ListParagraph"/>
        <w:numPr>
          <w:ilvl w:val="0"/>
          <w:numId w:val="6"/>
        </w:numPr>
        <w:tabs>
          <w:tab w:val="left" w:pos="408"/>
        </w:tabs>
        <w:kinsoku w:val="0"/>
        <w:overflowPunct w:val="0"/>
        <w:autoSpaceDE w:val="0"/>
        <w:autoSpaceDN w:val="0"/>
        <w:adjustRightInd w:val="0"/>
        <w:spacing w:after="0" w:line="360" w:lineRule="auto"/>
        <w:ind w:right="720"/>
        <w:contextualSpacing w:val="0"/>
        <w:jc w:val="both"/>
        <w:rPr>
          <w:rFonts w:ascii="Times New Roman" w:hAnsi="Times New Roman" w:cs="Times New Roman"/>
          <w:sz w:val="28"/>
          <w:szCs w:val="28"/>
          <w:u w:val="single"/>
        </w:rPr>
      </w:pPr>
      <w:r w:rsidRPr="00D81CDC">
        <w:rPr>
          <w:rFonts w:ascii="Times New Roman" w:hAnsi="Times New Roman" w:cs="Times New Roman"/>
          <w:sz w:val="28"/>
          <w:szCs w:val="28"/>
          <w:u w:val="single"/>
        </w:rPr>
        <w:t xml:space="preserve">to ensure that nonlawyers </w:t>
      </w:r>
      <w:r w:rsidR="00587AD7" w:rsidRPr="00D81CDC">
        <w:rPr>
          <w:rFonts w:ascii="Times New Roman" w:hAnsi="Times New Roman" w:cs="Times New Roman"/>
          <w:sz w:val="28"/>
          <w:szCs w:val="28"/>
          <w:u w:val="single"/>
        </w:rPr>
        <w:t xml:space="preserve">assisting in the delivery of legal services or working under the supervision of an attorney </w:t>
      </w:r>
      <w:r w:rsidRPr="00D81CDC">
        <w:rPr>
          <w:rFonts w:ascii="Times New Roman" w:hAnsi="Times New Roman" w:cs="Times New Roman"/>
          <w:sz w:val="28"/>
          <w:szCs w:val="28"/>
          <w:u w:val="single"/>
        </w:rPr>
        <w:t>comport themselves in accordance with</w:t>
      </w:r>
      <w:r w:rsidRPr="00D81CDC">
        <w:rPr>
          <w:rFonts w:ascii="Times New Roman" w:hAnsi="Times New Roman" w:cs="Times New Roman"/>
          <w:spacing w:val="48"/>
          <w:sz w:val="28"/>
          <w:szCs w:val="28"/>
          <w:u w:val="single"/>
        </w:rPr>
        <w:t xml:space="preserve"> </w:t>
      </w:r>
      <w:r w:rsidRPr="00D81CDC">
        <w:rPr>
          <w:rFonts w:ascii="Times New Roman" w:hAnsi="Times New Roman" w:cs="Times New Roman"/>
          <w:sz w:val="28"/>
          <w:szCs w:val="28"/>
          <w:u w:val="single"/>
        </w:rPr>
        <w:t>the lawyer’s ethical obligations, including, but not limited to, avoiding</w:t>
      </w:r>
      <w:r w:rsidRPr="00D81CDC">
        <w:rPr>
          <w:rFonts w:ascii="Times New Roman" w:hAnsi="Times New Roman" w:cs="Times New Roman"/>
          <w:spacing w:val="1"/>
          <w:sz w:val="28"/>
          <w:szCs w:val="28"/>
          <w:u w:val="single"/>
        </w:rPr>
        <w:t xml:space="preserve"> </w:t>
      </w:r>
      <w:r w:rsidRPr="00D81CDC">
        <w:rPr>
          <w:rFonts w:ascii="Times New Roman" w:hAnsi="Times New Roman" w:cs="Times New Roman"/>
          <w:sz w:val="28"/>
          <w:szCs w:val="28"/>
          <w:u w:val="single"/>
        </w:rPr>
        <w:t xml:space="preserve">conflicts of interest and </w:t>
      </w:r>
      <w:r w:rsidRPr="00D81CDC">
        <w:rPr>
          <w:rFonts w:ascii="Times New Roman" w:hAnsi="Times New Roman" w:cs="Times New Roman"/>
          <w:sz w:val="28"/>
          <w:szCs w:val="28"/>
          <w:u w:val="single"/>
        </w:rPr>
        <w:lastRenderedPageBreak/>
        <w:t xml:space="preserve">maintaining the confidentiality of all </w:t>
      </w:r>
      <w:r w:rsidR="00587AD7" w:rsidRPr="00D81CDC">
        <w:rPr>
          <w:rFonts w:ascii="Times New Roman" w:hAnsi="Times New Roman" w:cs="Times New Roman"/>
          <w:sz w:val="28"/>
          <w:szCs w:val="28"/>
          <w:u w:val="single"/>
        </w:rPr>
        <w:t xml:space="preserve">lawyer </w:t>
      </w:r>
      <w:r w:rsidRPr="00D81CDC">
        <w:rPr>
          <w:rFonts w:ascii="Times New Roman" w:hAnsi="Times New Roman" w:cs="Times New Roman"/>
          <w:sz w:val="28"/>
          <w:szCs w:val="28"/>
          <w:u w:val="single"/>
        </w:rPr>
        <w:t>client information</w:t>
      </w:r>
      <w:r w:rsidR="00587AD7" w:rsidRPr="00D81CDC">
        <w:rPr>
          <w:rFonts w:ascii="Times New Roman" w:hAnsi="Times New Roman" w:cs="Times New Roman"/>
          <w:sz w:val="28"/>
          <w:szCs w:val="28"/>
          <w:u w:val="single"/>
        </w:rPr>
        <w:t xml:space="preserve"> protected by ER 1.6</w:t>
      </w:r>
      <w:r w:rsidRPr="00D81CDC">
        <w:rPr>
          <w:rFonts w:ascii="Times New Roman" w:hAnsi="Times New Roman" w:cs="Times New Roman"/>
          <w:sz w:val="28"/>
          <w:szCs w:val="28"/>
          <w:u w:val="single"/>
        </w:rPr>
        <w:t>.</w:t>
      </w:r>
    </w:p>
    <w:p w:rsidR="00587AD7" w:rsidRPr="00D81CDC" w:rsidRDefault="00587AD7" w:rsidP="00221286">
      <w:pPr>
        <w:pStyle w:val="BodyText"/>
        <w:kinsoku w:val="0"/>
        <w:overflowPunct w:val="0"/>
        <w:spacing w:after="0" w:line="360" w:lineRule="auto"/>
        <w:ind w:left="720" w:right="720"/>
        <w:jc w:val="both"/>
        <w:rPr>
          <w:sz w:val="28"/>
          <w:szCs w:val="28"/>
          <w:u w:val="single"/>
        </w:rPr>
      </w:pPr>
      <w:r w:rsidRPr="00D81CDC">
        <w:rPr>
          <w:sz w:val="28"/>
          <w:szCs w:val="28"/>
          <w:u w:val="single"/>
        </w:rPr>
        <w:t>(b) A lawyer having supervisory authority over a nonlawyer within or outside a firm shall make reasonable efforts to ensure that the nonlawyer’s conduct is compatible with the professional obligations of the lawyer.</w:t>
      </w:r>
    </w:p>
    <w:p w:rsidR="00587AD7" w:rsidRPr="00D81CDC" w:rsidRDefault="00587AD7" w:rsidP="00221286">
      <w:pPr>
        <w:pStyle w:val="BodyText"/>
        <w:kinsoku w:val="0"/>
        <w:overflowPunct w:val="0"/>
        <w:spacing w:after="0" w:line="360" w:lineRule="auto"/>
        <w:ind w:left="1440" w:right="720"/>
        <w:jc w:val="both"/>
        <w:rPr>
          <w:sz w:val="28"/>
          <w:szCs w:val="28"/>
          <w:u w:val="single"/>
        </w:rPr>
      </w:pPr>
      <w:r w:rsidRPr="00D81CDC">
        <w:rPr>
          <w:sz w:val="28"/>
          <w:szCs w:val="28"/>
          <w:u w:val="single"/>
        </w:rPr>
        <w:t>(1) Reasonable efforts include providing to nonlawyers appropriate instruction and supervision concerning the ethical aspects of their employment or retention, particularly regarding the obligation not to disclose information relating to the representation of the client.</w:t>
      </w:r>
    </w:p>
    <w:p w:rsidR="00587AD7" w:rsidRPr="00D81CDC" w:rsidRDefault="00587AD7" w:rsidP="00221286">
      <w:pPr>
        <w:pStyle w:val="BodyText"/>
        <w:kinsoku w:val="0"/>
        <w:overflowPunct w:val="0"/>
        <w:spacing w:after="0" w:line="360" w:lineRule="auto"/>
        <w:ind w:left="1440" w:right="720"/>
        <w:jc w:val="both"/>
        <w:rPr>
          <w:sz w:val="28"/>
          <w:szCs w:val="28"/>
          <w:u w:val="single"/>
        </w:rPr>
      </w:pPr>
      <w:r w:rsidRPr="00D81CDC">
        <w:rPr>
          <w:sz w:val="28"/>
          <w:szCs w:val="28"/>
          <w:u w:val="single"/>
        </w:rPr>
        <w:t>(2) Measures employed in supervising nonlawyers should take into account that they may not have legal training and are not subject to professional discipline.</w:t>
      </w:r>
    </w:p>
    <w:p w:rsidR="00587AD7" w:rsidRPr="00D81CDC" w:rsidRDefault="00587AD7" w:rsidP="00221286">
      <w:pPr>
        <w:pStyle w:val="BodyText"/>
        <w:kinsoku w:val="0"/>
        <w:overflowPunct w:val="0"/>
        <w:spacing w:after="0" w:line="360" w:lineRule="auto"/>
        <w:ind w:left="1440" w:right="720"/>
        <w:jc w:val="both"/>
        <w:rPr>
          <w:sz w:val="28"/>
          <w:szCs w:val="28"/>
          <w:u w:val="single"/>
        </w:rPr>
      </w:pPr>
      <w:r w:rsidRPr="00D81CDC">
        <w:rPr>
          <w:sz w:val="28"/>
          <w:szCs w:val="28"/>
          <w:u w:val="single"/>
        </w:rPr>
        <w:t>(3) When retaining or directing a nonlawyer outside the firm to assist in the lawyer’s delivery of legal services, a lawyer should communicate directions appropriate under the circumstances to give reasonable assurance that the nonlawyer's conduct is compatible with the professional obligations of the lawyer.</w:t>
      </w:r>
    </w:p>
    <w:p w:rsidR="00460C62" w:rsidRPr="00D81CDC" w:rsidRDefault="00587AD7" w:rsidP="00221286">
      <w:pPr>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 xml:space="preserve">(The </w:t>
      </w:r>
      <w:r w:rsidR="00081206" w:rsidRPr="00D81CDC">
        <w:rPr>
          <w:rFonts w:ascii="Times New Roman" w:hAnsi="Times New Roman" w:cs="Times New Roman"/>
          <w:sz w:val="28"/>
          <w:szCs w:val="28"/>
        </w:rPr>
        <w:t>remainder</w:t>
      </w:r>
      <w:r w:rsidRPr="00D81CDC">
        <w:rPr>
          <w:rFonts w:ascii="Times New Roman" w:hAnsi="Times New Roman" w:cs="Times New Roman"/>
          <w:sz w:val="28"/>
          <w:szCs w:val="28"/>
        </w:rPr>
        <w:t xml:space="preserve"> of ER 5.3 would be as the Task Force and the petition proposed.)</w:t>
      </w:r>
    </w:p>
    <w:p w:rsidR="00A22D69" w:rsidRPr="00D81CDC" w:rsidRDefault="00460C62"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This </w:t>
      </w:r>
      <w:r w:rsidR="001740EC">
        <w:rPr>
          <w:rFonts w:ascii="Times New Roman" w:hAnsi="Times New Roman" w:cs="Times New Roman"/>
          <w:sz w:val="28"/>
          <w:szCs w:val="28"/>
        </w:rPr>
        <w:t>R</w:t>
      </w:r>
      <w:r w:rsidR="00D81CDC">
        <w:rPr>
          <w:rFonts w:ascii="Times New Roman" w:hAnsi="Times New Roman" w:cs="Times New Roman"/>
          <w:sz w:val="28"/>
          <w:szCs w:val="28"/>
        </w:rPr>
        <w:t>eply</w:t>
      </w:r>
      <w:r w:rsidRPr="00D81CDC">
        <w:rPr>
          <w:rFonts w:ascii="Times New Roman" w:hAnsi="Times New Roman" w:cs="Times New Roman"/>
          <w:sz w:val="28"/>
          <w:szCs w:val="28"/>
        </w:rPr>
        <w:t xml:space="preserve"> and </w:t>
      </w:r>
      <w:r w:rsidR="001740EC">
        <w:rPr>
          <w:rFonts w:ascii="Times New Roman" w:hAnsi="Times New Roman" w:cs="Times New Roman"/>
          <w:sz w:val="28"/>
          <w:szCs w:val="28"/>
        </w:rPr>
        <w:t>F</w:t>
      </w:r>
      <w:r w:rsidR="00543F6D">
        <w:rPr>
          <w:rFonts w:ascii="Times New Roman" w:hAnsi="Times New Roman" w:cs="Times New Roman"/>
          <w:sz w:val="28"/>
          <w:szCs w:val="28"/>
        </w:rPr>
        <w:t>inal</w:t>
      </w:r>
      <w:r w:rsidRPr="00D81CDC">
        <w:rPr>
          <w:rFonts w:ascii="Times New Roman" w:hAnsi="Times New Roman" w:cs="Times New Roman"/>
          <w:sz w:val="28"/>
          <w:szCs w:val="28"/>
        </w:rPr>
        <w:t xml:space="preserve"> </w:t>
      </w:r>
      <w:r w:rsidR="001740EC">
        <w:rPr>
          <w:rFonts w:ascii="Times New Roman" w:hAnsi="Times New Roman" w:cs="Times New Roman"/>
          <w:sz w:val="28"/>
          <w:szCs w:val="28"/>
        </w:rPr>
        <w:t>A</w:t>
      </w:r>
      <w:r w:rsidRPr="00D81CDC">
        <w:rPr>
          <w:rFonts w:ascii="Times New Roman" w:hAnsi="Times New Roman" w:cs="Times New Roman"/>
          <w:sz w:val="28"/>
          <w:szCs w:val="28"/>
        </w:rPr>
        <w:t xml:space="preserve">mended </w:t>
      </w:r>
      <w:r w:rsidR="001740EC">
        <w:rPr>
          <w:rFonts w:ascii="Times New Roman" w:hAnsi="Times New Roman" w:cs="Times New Roman"/>
          <w:sz w:val="28"/>
          <w:szCs w:val="28"/>
        </w:rPr>
        <w:t>P</w:t>
      </w:r>
      <w:r w:rsidRPr="00D81CDC">
        <w:rPr>
          <w:rFonts w:ascii="Times New Roman" w:hAnsi="Times New Roman" w:cs="Times New Roman"/>
          <w:sz w:val="28"/>
          <w:szCs w:val="28"/>
        </w:rPr>
        <w:t>etition adopts the Entity Regulation Work Group’s substitute proposal</w:t>
      </w:r>
      <w:r w:rsidR="00587AD7" w:rsidRPr="00D81CDC">
        <w:rPr>
          <w:rFonts w:ascii="Times New Roman" w:hAnsi="Times New Roman" w:cs="Times New Roman"/>
          <w:sz w:val="28"/>
          <w:szCs w:val="28"/>
        </w:rPr>
        <w:t xml:space="preserve"> for ER 5.3, sections (a) and (b)</w:t>
      </w:r>
      <w:r w:rsidR="00543F6D">
        <w:rPr>
          <w:rFonts w:ascii="Times New Roman" w:hAnsi="Times New Roman" w:cs="Times New Roman"/>
          <w:sz w:val="28"/>
          <w:szCs w:val="28"/>
        </w:rPr>
        <w:t xml:space="preserve"> (see Appendix 1)</w:t>
      </w:r>
      <w:r w:rsidR="00587AD7" w:rsidRPr="00D81CDC">
        <w:rPr>
          <w:rFonts w:ascii="Times New Roman" w:hAnsi="Times New Roman" w:cs="Times New Roman"/>
          <w:sz w:val="28"/>
          <w:szCs w:val="28"/>
        </w:rPr>
        <w:t>. The</w:t>
      </w:r>
      <w:r w:rsidR="00154F2A" w:rsidRPr="00D81CDC">
        <w:rPr>
          <w:rFonts w:ascii="Times New Roman" w:hAnsi="Times New Roman" w:cs="Times New Roman"/>
          <w:sz w:val="28"/>
          <w:szCs w:val="28"/>
        </w:rPr>
        <w:t xml:space="preserve"> final amended petition strik</w:t>
      </w:r>
      <w:r w:rsidR="00AF46F1" w:rsidRPr="00D81CDC">
        <w:rPr>
          <w:rFonts w:ascii="Times New Roman" w:hAnsi="Times New Roman" w:cs="Times New Roman"/>
          <w:sz w:val="28"/>
          <w:szCs w:val="28"/>
        </w:rPr>
        <w:t>es</w:t>
      </w:r>
      <w:r w:rsidR="00154F2A" w:rsidRPr="00D81CDC">
        <w:rPr>
          <w:rFonts w:ascii="Times New Roman" w:hAnsi="Times New Roman" w:cs="Times New Roman"/>
          <w:sz w:val="28"/>
          <w:szCs w:val="28"/>
        </w:rPr>
        <w:t xml:space="preserve"> </w:t>
      </w:r>
      <w:r w:rsidR="00AF46F1" w:rsidRPr="00D81CDC">
        <w:rPr>
          <w:rFonts w:ascii="Times New Roman" w:hAnsi="Times New Roman" w:cs="Times New Roman"/>
          <w:sz w:val="28"/>
          <w:szCs w:val="28"/>
        </w:rPr>
        <w:t>the</w:t>
      </w:r>
      <w:r w:rsidR="00154F2A" w:rsidRPr="00D81CDC">
        <w:rPr>
          <w:rFonts w:ascii="Times New Roman" w:hAnsi="Times New Roman" w:cs="Times New Roman"/>
          <w:sz w:val="28"/>
          <w:szCs w:val="28"/>
        </w:rPr>
        <w:t xml:space="preserve"> language that extended the ethical rule to client information if the client received only </w:t>
      </w:r>
      <w:r w:rsidR="00FC2F35">
        <w:rPr>
          <w:rFonts w:ascii="Times New Roman" w:hAnsi="Times New Roman" w:cs="Times New Roman"/>
          <w:sz w:val="28"/>
          <w:szCs w:val="28"/>
        </w:rPr>
        <w:t>nonlegal</w:t>
      </w:r>
      <w:r w:rsidR="00154F2A" w:rsidRPr="00D81CDC">
        <w:rPr>
          <w:rFonts w:ascii="Times New Roman" w:hAnsi="Times New Roman" w:cs="Times New Roman"/>
          <w:sz w:val="28"/>
          <w:szCs w:val="28"/>
        </w:rPr>
        <w:t xml:space="preserve"> services from a nonlawyer in the ABS</w:t>
      </w:r>
      <w:r w:rsidR="00274A44" w:rsidRPr="00D81CDC">
        <w:rPr>
          <w:rFonts w:ascii="Times New Roman" w:hAnsi="Times New Roman" w:cs="Times New Roman"/>
          <w:sz w:val="28"/>
          <w:szCs w:val="28"/>
        </w:rPr>
        <w:t>.</w:t>
      </w:r>
    </w:p>
    <w:p w:rsidR="009D53BD" w:rsidRPr="00543F6D" w:rsidRDefault="000429D0" w:rsidP="003B4763">
      <w:pPr>
        <w:pStyle w:val="ListParagraph"/>
        <w:numPr>
          <w:ilvl w:val="0"/>
          <w:numId w:val="2"/>
        </w:numPr>
        <w:spacing w:after="0" w:line="360" w:lineRule="auto"/>
        <w:ind w:left="1800" w:right="720"/>
        <w:jc w:val="both"/>
        <w:rPr>
          <w:rFonts w:ascii="Times New Roman" w:hAnsi="Times New Roman" w:cs="Times New Roman"/>
          <w:b/>
          <w:bCs/>
          <w:sz w:val="28"/>
          <w:szCs w:val="28"/>
        </w:rPr>
      </w:pPr>
      <w:r w:rsidRPr="00D81CDC">
        <w:rPr>
          <w:rFonts w:ascii="Times New Roman" w:hAnsi="Times New Roman" w:cs="Times New Roman"/>
          <w:b/>
          <w:bCs/>
          <w:sz w:val="28"/>
          <w:szCs w:val="28"/>
        </w:rPr>
        <w:lastRenderedPageBreak/>
        <w:t xml:space="preserve"> </w:t>
      </w:r>
      <w:r w:rsidR="002550A1" w:rsidRPr="00543F6D">
        <w:rPr>
          <w:rFonts w:ascii="Times New Roman" w:hAnsi="Times New Roman" w:cs="Times New Roman"/>
          <w:b/>
          <w:bCs/>
          <w:sz w:val="28"/>
          <w:szCs w:val="28"/>
        </w:rPr>
        <w:t xml:space="preserve">Objection: </w:t>
      </w:r>
      <w:r w:rsidRPr="00543F6D">
        <w:rPr>
          <w:rFonts w:ascii="Times New Roman" w:hAnsi="Times New Roman" w:cs="Times New Roman"/>
          <w:b/>
          <w:bCs/>
          <w:sz w:val="28"/>
          <w:szCs w:val="28"/>
        </w:rPr>
        <w:t xml:space="preserve">The </w:t>
      </w:r>
      <w:r w:rsidR="00E34BD3" w:rsidRPr="00543F6D">
        <w:rPr>
          <w:rFonts w:ascii="Times New Roman" w:hAnsi="Times New Roman" w:cs="Times New Roman"/>
          <w:b/>
          <w:bCs/>
          <w:sz w:val="28"/>
          <w:szCs w:val="28"/>
        </w:rPr>
        <w:t>compliance lawyer</w:t>
      </w:r>
      <w:r w:rsidRPr="00543F6D">
        <w:rPr>
          <w:rFonts w:ascii="Times New Roman" w:hAnsi="Times New Roman" w:cs="Times New Roman"/>
          <w:b/>
          <w:bCs/>
          <w:sz w:val="28"/>
          <w:szCs w:val="28"/>
        </w:rPr>
        <w:t xml:space="preserve"> should be an “authorized person”</w:t>
      </w:r>
      <w:r w:rsidR="009520DF" w:rsidRPr="00543F6D">
        <w:rPr>
          <w:rFonts w:ascii="Times New Roman" w:hAnsi="Times New Roman" w:cs="Times New Roman"/>
          <w:b/>
          <w:bCs/>
          <w:sz w:val="28"/>
          <w:szCs w:val="28"/>
        </w:rPr>
        <w:t xml:space="preserve"> to have sufficient control and clout within the ABS.</w:t>
      </w:r>
    </w:p>
    <w:p w:rsidR="00110568" w:rsidRPr="00D81CDC" w:rsidRDefault="00110568" w:rsidP="00221286">
      <w:pPr>
        <w:pStyle w:val="Body"/>
        <w:widowControl w:val="0"/>
        <w:spacing w:line="360" w:lineRule="auto"/>
        <w:ind w:firstLine="720"/>
        <w:jc w:val="both"/>
        <w:rPr>
          <w:sz w:val="28"/>
          <w:szCs w:val="28"/>
        </w:rPr>
      </w:pPr>
      <w:r w:rsidRPr="00D81CDC">
        <w:rPr>
          <w:rStyle w:val="BodyTextChar"/>
          <w:sz w:val="28"/>
          <w:szCs w:val="28"/>
        </w:rPr>
        <w:t xml:space="preserve">As proposed, an ABS would have to have a compliance lawyer </w:t>
      </w:r>
      <w:r w:rsidRPr="00D81CDC">
        <w:rPr>
          <w:rFonts w:eastAsiaTheme="minorHAnsi"/>
          <w:bCs/>
          <w:sz w:val="28"/>
          <w:szCs w:val="28"/>
        </w:rPr>
        <w:t>who would be required to “t</w:t>
      </w:r>
      <w:r w:rsidRPr="00D81CDC">
        <w:rPr>
          <w:sz w:val="28"/>
          <w:szCs w:val="28"/>
        </w:rPr>
        <w:t>ake all reasonable steps” to ensure, among other things, that the lawyers in the ABS act ethically and that the ABS’s “authorized persons” comply with their obligations. The compliance lawyer will be required to be a manager or</w:t>
      </w:r>
      <w:r w:rsidR="001740EC">
        <w:rPr>
          <w:sz w:val="28"/>
          <w:szCs w:val="28"/>
        </w:rPr>
        <w:t xml:space="preserve"> an</w:t>
      </w:r>
      <w:r w:rsidRPr="00D81CDC">
        <w:rPr>
          <w:sz w:val="28"/>
          <w:szCs w:val="28"/>
        </w:rPr>
        <w:t xml:space="preserve"> employee of the ABS but need not be an “authorized person,” who the regulations define as someone who owns a 10-percent or more economic interest in the ABS or who has the “legal right to exercise decision-making authority” on the ABS’s behalf.</w:t>
      </w:r>
      <w:r w:rsidRPr="00D81CDC">
        <w:rPr>
          <w:rStyle w:val="BodyTextChar"/>
          <w:sz w:val="28"/>
          <w:szCs w:val="28"/>
        </w:rPr>
        <w:t xml:space="preserve"> </w:t>
      </w:r>
      <w:r w:rsidRPr="00D81CDC">
        <w:rPr>
          <w:color w:val="000000" w:themeColor="text1"/>
          <w:sz w:val="28"/>
          <w:szCs w:val="28"/>
        </w:rPr>
        <w:t>ACJA § 7-209(A).</w:t>
      </w:r>
    </w:p>
    <w:p w:rsidR="00110568" w:rsidRPr="00D81CDC" w:rsidRDefault="00110568" w:rsidP="00221286">
      <w:pPr>
        <w:pStyle w:val="Body"/>
        <w:widowControl w:val="0"/>
        <w:spacing w:line="360" w:lineRule="auto"/>
        <w:ind w:firstLine="720"/>
        <w:jc w:val="both"/>
        <w:rPr>
          <w:rStyle w:val="BodyTextChar"/>
          <w:sz w:val="28"/>
          <w:szCs w:val="28"/>
        </w:rPr>
      </w:pPr>
      <w:r w:rsidRPr="00D81CDC">
        <w:rPr>
          <w:rStyle w:val="BodyTextChar"/>
          <w:sz w:val="28"/>
          <w:szCs w:val="28"/>
        </w:rPr>
        <w:t xml:space="preserve">The State Bar has suggested that the compliance </w:t>
      </w:r>
      <w:r w:rsidR="00491AD7" w:rsidRPr="00D81CDC">
        <w:rPr>
          <w:rStyle w:val="BodyTextChar"/>
          <w:sz w:val="28"/>
          <w:szCs w:val="28"/>
        </w:rPr>
        <w:t>lawyer</w:t>
      </w:r>
      <w:r w:rsidRPr="00D81CDC">
        <w:rPr>
          <w:rStyle w:val="BodyTextChar"/>
          <w:sz w:val="28"/>
          <w:szCs w:val="28"/>
        </w:rPr>
        <w:t xml:space="preserve"> must be an </w:t>
      </w:r>
      <w:r w:rsidR="00491AD7" w:rsidRPr="00D81CDC">
        <w:rPr>
          <w:rStyle w:val="BodyTextChar"/>
          <w:sz w:val="28"/>
          <w:szCs w:val="28"/>
        </w:rPr>
        <w:t>“</w:t>
      </w:r>
      <w:r w:rsidRPr="00D81CDC">
        <w:rPr>
          <w:rStyle w:val="BodyTextChar"/>
          <w:sz w:val="28"/>
          <w:szCs w:val="28"/>
        </w:rPr>
        <w:t>authorized person</w:t>
      </w:r>
      <w:r w:rsidR="00491AD7" w:rsidRPr="00D81CDC">
        <w:rPr>
          <w:rStyle w:val="BodyTextChar"/>
          <w:sz w:val="28"/>
          <w:szCs w:val="28"/>
        </w:rPr>
        <w:t xml:space="preserve">” </w:t>
      </w:r>
      <w:r w:rsidRPr="00D81CDC">
        <w:rPr>
          <w:rStyle w:val="BodyTextChar"/>
          <w:sz w:val="28"/>
          <w:szCs w:val="28"/>
        </w:rPr>
        <w:t>to have sufficient control and authority within the ABS.</w:t>
      </w:r>
    </w:p>
    <w:p w:rsidR="000429D0" w:rsidRPr="00D81CDC" w:rsidRDefault="00491AD7"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The Entity Regulation Work Group </w:t>
      </w:r>
      <w:r w:rsidR="0065708E" w:rsidRPr="00D81CDC">
        <w:rPr>
          <w:rFonts w:ascii="Times New Roman" w:hAnsi="Times New Roman" w:cs="Times New Roman"/>
          <w:sz w:val="28"/>
          <w:szCs w:val="28"/>
        </w:rPr>
        <w:t>concluded</w:t>
      </w:r>
      <w:r w:rsidRPr="00D81CDC">
        <w:rPr>
          <w:rFonts w:ascii="Times New Roman" w:hAnsi="Times New Roman" w:cs="Times New Roman"/>
          <w:sz w:val="28"/>
          <w:szCs w:val="28"/>
        </w:rPr>
        <w:t xml:space="preserve"> it </w:t>
      </w:r>
      <w:r w:rsidR="0065708E" w:rsidRPr="00D81CDC">
        <w:rPr>
          <w:rFonts w:ascii="Times New Roman" w:hAnsi="Times New Roman" w:cs="Times New Roman"/>
          <w:sz w:val="28"/>
          <w:szCs w:val="28"/>
        </w:rPr>
        <w:t>would be</w:t>
      </w:r>
      <w:r w:rsidRPr="00D81CDC">
        <w:rPr>
          <w:rFonts w:ascii="Times New Roman" w:hAnsi="Times New Roman" w:cs="Times New Roman"/>
          <w:sz w:val="28"/>
          <w:szCs w:val="28"/>
        </w:rPr>
        <w:t xml:space="preserve"> unnecessary for the compliance lawyer to be an “authorized person” to effectively discharge their duties. The compliance lawyer need not have an ownership interest in the ABS nor have decision-making authority to establish policies and procedures within the entity to assure that nonlawyer owners and managers comply with the ABS code of conduct.</w:t>
      </w:r>
    </w:p>
    <w:p w:rsidR="00573305" w:rsidRPr="00D81CDC" w:rsidRDefault="006D7ED2" w:rsidP="00AD2F7E">
      <w:pPr>
        <w:spacing w:line="360" w:lineRule="auto"/>
        <w:ind w:firstLine="720"/>
        <w:jc w:val="both"/>
        <w:rPr>
          <w:rStyle w:val="BodyTextChar"/>
          <w:rFonts w:eastAsiaTheme="minorHAnsi"/>
          <w:sz w:val="28"/>
          <w:szCs w:val="28"/>
        </w:rPr>
      </w:pPr>
      <w:r w:rsidRPr="00D81CDC">
        <w:rPr>
          <w:rFonts w:ascii="Times New Roman" w:hAnsi="Times New Roman" w:cs="Times New Roman"/>
          <w:sz w:val="28"/>
          <w:szCs w:val="28"/>
        </w:rPr>
        <w:t>In fact, the compliance lawyer might be more objective about whether the ABS has complied with the regulatory framework if they are not part of the ownership structure.</w:t>
      </w:r>
      <w:r w:rsidR="001C4B6F">
        <w:rPr>
          <w:rFonts w:ascii="Times New Roman" w:hAnsi="Times New Roman" w:cs="Times New Roman"/>
          <w:sz w:val="28"/>
          <w:szCs w:val="28"/>
        </w:rPr>
        <w:t xml:space="preserve"> </w:t>
      </w:r>
    </w:p>
    <w:p w:rsidR="00573305" w:rsidRPr="00543F6D" w:rsidRDefault="002550A1" w:rsidP="003B4763">
      <w:pPr>
        <w:pStyle w:val="ListParagraph"/>
        <w:numPr>
          <w:ilvl w:val="0"/>
          <w:numId w:val="2"/>
        </w:numPr>
        <w:spacing w:line="360" w:lineRule="auto"/>
        <w:ind w:left="1800"/>
        <w:jc w:val="both"/>
        <w:rPr>
          <w:rStyle w:val="BodyTextChar"/>
          <w:rFonts w:eastAsiaTheme="minorHAnsi"/>
          <w:b/>
          <w:bCs/>
          <w:sz w:val="28"/>
          <w:szCs w:val="28"/>
        </w:rPr>
      </w:pPr>
      <w:r w:rsidRPr="00D81CDC">
        <w:rPr>
          <w:rStyle w:val="BodyTextChar"/>
          <w:rFonts w:eastAsiaTheme="minorHAnsi"/>
          <w:b/>
          <w:bCs/>
          <w:sz w:val="28"/>
          <w:szCs w:val="28"/>
        </w:rPr>
        <w:t xml:space="preserve"> </w:t>
      </w:r>
      <w:r w:rsidRPr="00543F6D">
        <w:rPr>
          <w:rStyle w:val="BodyTextChar"/>
          <w:rFonts w:eastAsiaTheme="minorHAnsi"/>
          <w:b/>
          <w:bCs/>
          <w:sz w:val="28"/>
          <w:szCs w:val="28"/>
        </w:rPr>
        <w:t xml:space="preserve">Objection: </w:t>
      </w:r>
      <w:r w:rsidR="00AD266A" w:rsidRPr="00543F6D">
        <w:rPr>
          <w:rStyle w:val="BodyTextChar"/>
          <w:rFonts w:eastAsiaTheme="minorHAnsi"/>
          <w:b/>
          <w:bCs/>
          <w:sz w:val="28"/>
          <w:szCs w:val="28"/>
        </w:rPr>
        <w:t>Elimina</w:t>
      </w:r>
      <w:r w:rsidR="00E41769" w:rsidRPr="00543F6D">
        <w:rPr>
          <w:rStyle w:val="BodyTextChar"/>
          <w:rFonts w:eastAsiaTheme="minorHAnsi"/>
          <w:b/>
          <w:bCs/>
          <w:sz w:val="28"/>
          <w:szCs w:val="28"/>
        </w:rPr>
        <w:t>tion</w:t>
      </w:r>
      <w:r w:rsidR="00573305" w:rsidRPr="00543F6D">
        <w:rPr>
          <w:rStyle w:val="BodyTextChar"/>
          <w:rFonts w:eastAsiaTheme="minorHAnsi"/>
          <w:b/>
          <w:bCs/>
          <w:sz w:val="28"/>
          <w:szCs w:val="28"/>
        </w:rPr>
        <w:t xml:space="preserve"> of</w:t>
      </w:r>
      <w:r w:rsidR="00E41769" w:rsidRPr="00543F6D">
        <w:rPr>
          <w:rStyle w:val="BodyTextChar"/>
          <w:rFonts w:eastAsiaTheme="minorHAnsi"/>
          <w:b/>
          <w:bCs/>
          <w:sz w:val="28"/>
          <w:szCs w:val="28"/>
        </w:rPr>
        <w:t xml:space="preserve"> ER</w:t>
      </w:r>
      <w:r w:rsidR="00573305" w:rsidRPr="00543F6D">
        <w:rPr>
          <w:rStyle w:val="BodyTextChar"/>
          <w:rFonts w:eastAsiaTheme="minorHAnsi"/>
          <w:b/>
          <w:bCs/>
          <w:sz w:val="28"/>
          <w:szCs w:val="28"/>
        </w:rPr>
        <w:t xml:space="preserve"> 5.7</w:t>
      </w:r>
    </w:p>
    <w:p w:rsidR="005705BA" w:rsidRPr="00D81CDC" w:rsidRDefault="00E41769" w:rsidP="00221286">
      <w:pPr>
        <w:pStyle w:val="Body"/>
        <w:widowControl w:val="0"/>
        <w:spacing w:line="360" w:lineRule="auto"/>
        <w:ind w:firstLine="720"/>
        <w:jc w:val="both"/>
        <w:rPr>
          <w:sz w:val="28"/>
          <w:szCs w:val="28"/>
        </w:rPr>
      </w:pPr>
      <w:r w:rsidRPr="00D81CDC">
        <w:rPr>
          <w:rStyle w:val="BodyTextChar"/>
          <w:sz w:val="28"/>
          <w:szCs w:val="28"/>
        </w:rPr>
        <w:t xml:space="preserve">The State Bar questions the </w:t>
      </w:r>
      <w:r w:rsidR="009D53BD" w:rsidRPr="00D81CDC">
        <w:rPr>
          <w:rStyle w:val="BodyTextChar"/>
          <w:sz w:val="28"/>
          <w:szCs w:val="28"/>
        </w:rPr>
        <w:t xml:space="preserve">proposal </w:t>
      </w:r>
      <w:r w:rsidR="008801D2" w:rsidRPr="00D81CDC">
        <w:rPr>
          <w:rStyle w:val="BodyTextChar"/>
          <w:sz w:val="28"/>
          <w:szCs w:val="28"/>
        </w:rPr>
        <w:t>t</w:t>
      </w:r>
      <w:r w:rsidRPr="00D81CDC">
        <w:rPr>
          <w:rStyle w:val="BodyTextChar"/>
          <w:sz w:val="28"/>
          <w:szCs w:val="28"/>
        </w:rPr>
        <w:t>hat ER 5.7 be eliminated.</w:t>
      </w:r>
      <w:r w:rsidR="009D53BD" w:rsidRPr="00D81CDC">
        <w:rPr>
          <w:rStyle w:val="BodyTextChar"/>
          <w:sz w:val="28"/>
          <w:szCs w:val="28"/>
        </w:rPr>
        <w:t xml:space="preserve"> </w:t>
      </w:r>
      <w:r w:rsidR="008801D2" w:rsidRPr="00D81CDC">
        <w:rPr>
          <w:color w:val="000000"/>
          <w:sz w:val="28"/>
          <w:szCs w:val="28"/>
        </w:rPr>
        <w:t>Under ER 5.7, and depending on the circumstances, a lawyer may be obligated to provide the recipient of “law-related services” the full panoply of protections enjoyed by the lawyer-client relationship</w:t>
      </w:r>
      <w:r w:rsidR="005705BA" w:rsidRPr="00D81CDC">
        <w:rPr>
          <w:color w:val="000000"/>
          <w:sz w:val="28"/>
          <w:szCs w:val="28"/>
        </w:rPr>
        <w:t>:</w:t>
      </w:r>
    </w:p>
    <w:p w:rsidR="008801D2" w:rsidRPr="00D81CDC" w:rsidRDefault="005705BA" w:rsidP="00AD2F7E">
      <w:pPr>
        <w:autoSpaceDE w:val="0"/>
        <w:autoSpaceDN w:val="0"/>
        <w:adjustRightInd w:val="0"/>
        <w:ind w:left="720" w:right="720"/>
        <w:jc w:val="both"/>
        <w:rPr>
          <w:rFonts w:ascii="Times New Roman" w:hAnsi="Times New Roman" w:cs="Times New Roman"/>
          <w:sz w:val="28"/>
          <w:szCs w:val="28"/>
        </w:rPr>
      </w:pPr>
      <w:r w:rsidRPr="00D81CDC">
        <w:rPr>
          <w:rFonts w:ascii="Times New Roman" w:hAnsi="Times New Roman" w:cs="Times New Roman"/>
          <w:color w:val="000000"/>
          <w:sz w:val="28"/>
          <w:szCs w:val="28"/>
        </w:rPr>
        <w:lastRenderedPageBreak/>
        <w:t>[L]</w:t>
      </w:r>
      <w:proofErr w:type="spellStart"/>
      <w:r w:rsidRPr="00D81CDC">
        <w:rPr>
          <w:rFonts w:ascii="Times New Roman" w:hAnsi="Times New Roman" w:cs="Times New Roman"/>
          <w:sz w:val="28"/>
          <w:szCs w:val="28"/>
        </w:rPr>
        <w:t>awyers</w:t>
      </w:r>
      <w:proofErr w:type="spellEnd"/>
      <w:r w:rsidRPr="00D81CDC">
        <w:rPr>
          <w:rFonts w:ascii="Times New Roman" w:hAnsi="Times New Roman" w:cs="Times New Roman"/>
          <w:sz w:val="28"/>
          <w:szCs w:val="28"/>
        </w:rPr>
        <w:t xml:space="preserve"> and law firms are allowed to offer law-related services through ownership or operation of separate consulting entities—so-called “ancillary businesses.” The rule neither touts nor criticizes such enterprises but instead uses a “safe harbor” approach through which lawyers may provide law-related services—without requiring the business to comply with all legal ethics rules—by clearly distinguishing for customers how the ancillary business differs from the provision of legal advice and making clear what protections customers will and will not have that clients of attorneys enjoy.</w:t>
      </w:r>
    </w:p>
    <w:p w:rsidR="005705BA" w:rsidRPr="00D81CDC" w:rsidRDefault="005705BA" w:rsidP="00221286">
      <w:pPr>
        <w:autoSpaceDE w:val="0"/>
        <w:autoSpaceDN w:val="0"/>
        <w:adjustRightInd w:val="0"/>
        <w:spacing w:line="360" w:lineRule="auto"/>
        <w:jc w:val="both"/>
        <w:rPr>
          <w:rFonts w:ascii="Times New Roman" w:hAnsi="Times New Roman" w:cs="Times New Roman"/>
          <w:sz w:val="28"/>
          <w:szCs w:val="28"/>
        </w:rPr>
      </w:pPr>
    </w:p>
    <w:p w:rsidR="005705BA" w:rsidRPr="00D81CDC" w:rsidRDefault="008801D2" w:rsidP="00221286">
      <w:pPr>
        <w:autoSpaceDE w:val="0"/>
        <w:autoSpaceDN w:val="0"/>
        <w:adjustRightInd w:val="0"/>
        <w:spacing w:line="360" w:lineRule="auto"/>
        <w:jc w:val="both"/>
        <w:rPr>
          <w:rStyle w:val="BodyTextChar"/>
          <w:rFonts w:eastAsiaTheme="minorHAnsi"/>
          <w:sz w:val="28"/>
          <w:szCs w:val="28"/>
        </w:rPr>
      </w:pPr>
      <w:r w:rsidRPr="00D81CDC">
        <w:rPr>
          <w:rStyle w:val="BodyTextChar"/>
          <w:rFonts w:eastAsiaTheme="minorHAnsi"/>
          <w:sz w:val="28"/>
          <w:szCs w:val="28"/>
        </w:rPr>
        <w:t xml:space="preserve">ABA/BNA Lawyers Manual on </w:t>
      </w:r>
      <w:r w:rsidR="00AD2F7E" w:rsidRPr="00D81CDC">
        <w:rPr>
          <w:rStyle w:val="BodyTextChar"/>
          <w:rFonts w:eastAsiaTheme="minorHAnsi"/>
          <w:sz w:val="28"/>
          <w:szCs w:val="28"/>
        </w:rPr>
        <w:t>Professional</w:t>
      </w:r>
      <w:r w:rsidRPr="00D81CDC">
        <w:rPr>
          <w:rStyle w:val="BodyTextChar"/>
          <w:rFonts w:eastAsiaTheme="minorHAnsi"/>
          <w:sz w:val="28"/>
          <w:szCs w:val="28"/>
        </w:rPr>
        <w:t xml:space="preserve"> Conduct </w:t>
      </w:r>
      <w:r w:rsidR="005705BA" w:rsidRPr="00D81CDC">
        <w:rPr>
          <w:rFonts w:ascii="Times New Roman" w:hAnsi="Times New Roman" w:cs="Times New Roman"/>
          <w:sz w:val="28"/>
          <w:szCs w:val="28"/>
        </w:rPr>
        <w:t xml:space="preserve">§ </w:t>
      </w:r>
      <w:r w:rsidRPr="00D81CDC">
        <w:rPr>
          <w:rFonts w:ascii="Times New Roman" w:hAnsi="Times New Roman" w:cs="Times New Roman"/>
          <w:sz w:val="28"/>
          <w:szCs w:val="28"/>
        </w:rPr>
        <w:t>91:4</w:t>
      </w:r>
      <w:r w:rsidR="005705BA" w:rsidRPr="00D81CDC">
        <w:rPr>
          <w:rFonts w:ascii="Times New Roman" w:hAnsi="Times New Roman" w:cs="Times New Roman"/>
          <w:sz w:val="28"/>
          <w:szCs w:val="28"/>
        </w:rPr>
        <w:t>01</w:t>
      </w:r>
      <w:r w:rsidR="00136F49">
        <w:rPr>
          <w:rFonts w:ascii="Times New Roman" w:hAnsi="Times New Roman" w:cs="Times New Roman"/>
          <w:sz w:val="28"/>
          <w:szCs w:val="28"/>
        </w:rPr>
        <w:t xml:space="preserve"> (construing American Bar Association Model Rule 5.7, which does not differ in substance from Arizona’s ER 5.7)</w:t>
      </w:r>
      <w:r w:rsidR="005705BA" w:rsidRPr="00D81CDC">
        <w:rPr>
          <w:rFonts w:ascii="Times New Roman" w:hAnsi="Times New Roman" w:cs="Times New Roman"/>
          <w:sz w:val="28"/>
          <w:szCs w:val="28"/>
        </w:rPr>
        <w:t>.</w:t>
      </w:r>
    </w:p>
    <w:p w:rsidR="005705BA" w:rsidRPr="00D81CDC" w:rsidRDefault="008801D2" w:rsidP="00221286">
      <w:pPr>
        <w:pStyle w:val="Body"/>
        <w:widowControl w:val="0"/>
        <w:spacing w:line="360" w:lineRule="auto"/>
        <w:ind w:firstLine="720"/>
        <w:jc w:val="both"/>
        <w:rPr>
          <w:rStyle w:val="BodyTextChar"/>
          <w:sz w:val="28"/>
          <w:szCs w:val="28"/>
        </w:rPr>
      </w:pPr>
      <w:r w:rsidRPr="00D81CDC">
        <w:rPr>
          <w:rStyle w:val="BodyTextChar"/>
          <w:sz w:val="28"/>
          <w:szCs w:val="28"/>
        </w:rPr>
        <w:t>The Task Force concluded that</w:t>
      </w:r>
      <w:r w:rsidR="001740EC">
        <w:rPr>
          <w:rStyle w:val="BodyTextChar"/>
          <w:sz w:val="28"/>
          <w:szCs w:val="28"/>
        </w:rPr>
        <w:t>,</w:t>
      </w:r>
      <w:r w:rsidRPr="00D81CDC">
        <w:rPr>
          <w:rStyle w:val="BodyTextChar"/>
          <w:sz w:val="28"/>
          <w:szCs w:val="28"/>
        </w:rPr>
        <w:t xml:space="preserve"> </w:t>
      </w:r>
      <w:proofErr w:type="gramStart"/>
      <w:r w:rsidRPr="00D81CDC">
        <w:rPr>
          <w:rStyle w:val="BodyTextChar"/>
          <w:sz w:val="28"/>
          <w:szCs w:val="28"/>
        </w:rPr>
        <w:t>in light of</w:t>
      </w:r>
      <w:proofErr w:type="gramEnd"/>
      <w:r w:rsidRPr="00D81CDC">
        <w:rPr>
          <w:rStyle w:val="BodyTextChar"/>
          <w:sz w:val="28"/>
          <w:szCs w:val="28"/>
        </w:rPr>
        <w:t xml:space="preserve"> its recommendation to eliminate ER 5.4 and thus allow lawyers to partner with nonlawyers, ER 5.7 seemed unnecessary and restrictive of innovation</w:t>
      </w:r>
      <w:r w:rsidR="005705BA" w:rsidRPr="00D81CDC">
        <w:rPr>
          <w:rStyle w:val="BodyTextChar"/>
          <w:sz w:val="28"/>
          <w:szCs w:val="28"/>
        </w:rPr>
        <w:t xml:space="preserve">. </w:t>
      </w:r>
    </w:p>
    <w:p w:rsidR="00465847" w:rsidRPr="00D81CDC" w:rsidRDefault="005705BA" w:rsidP="00221286">
      <w:pPr>
        <w:pStyle w:val="Body"/>
        <w:widowControl w:val="0"/>
        <w:spacing w:line="360" w:lineRule="auto"/>
        <w:ind w:firstLine="720"/>
        <w:jc w:val="both"/>
        <w:rPr>
          <w:rStyle w:val="BodyTextChar"/>
          <w:sz w:val="28"/>
          <w:szCs w:val="28"/>
        </w:rPr>
      </w:pPr>
      <w:r w:rsidRPr="00D81CDC">
        <w:rPr>
          <w:rStyle w:val="BodyTextChar"/>
          <w:sz w:val="28"/>
          <w:szCs w:val="28"/>
        </w:rPr>
        <w:t>Retaining it, in fact, would complicate the concept and effect of allowing nonlawyer ownership</w:t>
      </w:r>
      <w:r w:rsidR="00465847" w:rsidRPr="00D81CDC">
        <w:rPr>
          <w:rStyle w:val="BodyTextChar"/>
          <w:sz w:val="28"/>
          <w:szCs w:val="28"/>
        </w:rPr>
        <w:t>.</w:t>
      </w:r>
    </w:p>
    <w:p w:rsidR="0054517E" w:rsidRPr="00D81CDC" w:rsidRDefault="005705BA" w:rsidP="00221286">
      <w:pPr>
        <w:pStyle w:val="Body"/>
        <w:widowControl w:val="0"/>
        <w:spacing w:line="360" w:lineRule="auto"/>
        <w:ind w:firstLine="720"/>
        <w:jc w:val="both"/>
        <w:rPr>
          <w:rStyle w:val="BodyTextChar"/>
          <w:sz w:val="28"/>
          <w:szCs w:val="28"/>
        </w:rPr>
      </w:pPr>
      <w:r w:rsidRPr="00D81CDC">
        <w:rPr>
          <w:rStyle w:val="BodyTextChar"/>
          <w:sz w:val="28"/>
          <w:szCs w:val="28"/>
        </w:rPr>
        <w:t xml:space="preserve">For example, if ER 5.4 is eliminated, then a lawyer and an accountant could </w:t>
      </w:r>
      <w:r w:rsidR="00465847" w:rsidRPr="00D81CDC">
        <w:rPr>
          <w:rStyle w:val="BodyTextChar"/>
          <w:sz w:val="28"/>
          <w:szCs w:val="28"/>
        </w:rPr>
        <w:t>be partners. In their partnership, the lawyer could provide legal services to law clients</w:t>
      </w:r>
      <w:r w:rsidR="001740EC">
        <w:rPr>
          <w:rStyle w:val="BodyTextChar"/>
          <w:sz w:val="28"/>
          <w:szCs w:val="28"/>
        </w:rPr>
        <w:t>,</w:t>
      </w:r>
      <w:r w:rsidR="00465847" w:rsidRPr="00D81CDC">
        <w:rPr>
          <w:rStyle w:val="BodyTextChar"/>
          <w:sz w:val="28"/>
          <w:szCs w:val="28"/>
        </w:rPr>
        <w:t xml:space="preserve"> and the accountant could provide accounting services to accounting clients. But “accounting” is considered a law-related service (ER 5.7, comment [9]), and the accounting services would be provided “in circumstances that are not distinct from the lawyer’s provision of legal services</w:t>
      </w:r>
      <w:r w:rsidR="0054517E" w:rsidRPr="00D81CDC">
        <w:rPr>
          <w:rStyle w:val="BodyTextChar"/>
          <w:sz w:val="28"/>
          <w:szCs w:val="28"/>
        </w:rPr>
        <w:t xml:space="preserve">.” As a result, the lawyer would be obligated to accord that accounting client the protections of </w:t>
      </w:r>
      <w:proofErr w:type="gramStart"/>
      <w:r w:rsidR="0054517E" w:rsidRPr="00D81CDC">
        <w:rPr>
          <w:rStyle w:val="BodyTextChar"/>
          <w:sz w:val="28"/>
          <w:szCs w:val="28"/>
        </w:rPr>
        <w:t>all of</w:t>
      </w:r>
      <w:proofErr w:type="gramEnd"/>
      <w:r w:rsidR="0054517E" w:rsidRPr="00D81CDC">
        <w:rPr>
          <w:rStyle w:val="BodyTextChar"/>
          <w:sz w:val="28"/>
          <w:szCs w:val="28"/>
        </w:rPr>
        <w:t xml:space="preserve"> the Ethical Rules that apply to the client-lawyer relationship </w:t>
      </w:r>
      <w:r w:rsidR="001740EC">
        <w:rPr>
          <w:rStyle w:val="BodyTextChar"/>
          <w:sz w:val="28"/>
          <w:szCs w:val="28"/>
        </w:rPr>
        <w:t>–</w:t>
      </w:r>
      <w:r w:rsidR="0054517E" w:rsidRPr="00D81CDC">
        <w:rPr>
          <w:rStyle w:val="BodyTextChar"/>
          <w:sz w:val="28"/>
          <w:szCs w:val="28"/>
        </w:rPr>
        <w:t xml:space="preserve"> even though the lawyer does not provide any legal services to the accounting client.</w:t>
      </w:r>
    </w:p>
    <w:p w:rsidR="00C12209" w:rsidRPr="00D81CDC" w:rsidRDefault="00C12209" w:rsidP="00221286">
      <w:pPr>
        <w:spacing w:line="360" w:lineRule="auto"/>
        <w:ind w:firstLine="720"/>
        <w:jc w:val="both"/>
        <w:rPr>
          <w:rStyle w:val="BodyTextChar"/>
          <w:rFonts w:eastAsiaTheme="minorHAnsi"/>
          <w:sz w:val="28"/>
          <w:szCs w:val="28"/>
        </w:rPr>
      </w:pPr>
      <w:r w:rsidRPr="00D81CDC">
        <w:rPr>
          <w:rFonts w:ascii="Times New Roman" w:hAnsi="Times New Roman" w:cs="Times New Roman"/>
          <w:sz w:val="28"/>
          <w:szCs w:val="28"/>
        </w:rPr>
        <w:t xml:space="preserve">This directly conflicts with, for example, this final amended petition’s proposal, described above, that lawyers in an ABS should not be obligated to make </w:t>
      </w:r>
      <w:r w:rsidRPr="00D81CDC">
        <w:rPr>
          <w:rFonts w:ascii="Times New Roman" w:hAnsi="Times New Roman" w:cs="Times New Roman"/>
          <w:sz w:val="28"/>
          <w:szCs w:val="28"/>
        </w:rPr>
        <w:lastRenderedPageBreak/>
        <w:t xml:space="preserve">reasonable efforts that the nonlawyers in the firm protect the confidentiality of information relating to the </w:t>
      </w:r>
      <w:r w:rsidR="00FC2F35">
        <w:rPr>
          <w:rFonts w:ascii="Times New Roman" w:hAnsi="Times New Roman" w:cs="Times New Roman"/>
          <w:sz w:val="28"/>
          <w:szCs w:val="28"/>
        </w:rPr>
        <w:t>nonlegal</w:t>
      </w:r>
      <w:r w:rsidRPr="00D81CDC">
        <w:rPr>
          <w:rFonts w:ascii="Times New Roman" w:hAnsi="Times New Roman" w:cs="Times New Roman"/>
          <w:sz w:val="28"/>
          <w:szCs w:val="28"/>
        </w:rPr>
        <w:t xml:space="preserve"> services they provide to their clients.</w:t>
      </w:r>
    </w:p>
    <w:p w:rsidR="00C12209" w:rsidRPr="00D81CDC" w:rsidRDefault="0054517E" w:rsidP="00C8014C">
      <w:pPr>
        <w:pStyle w:val="Body"/>
        <w:widowControl w:val="0"/>
        <w:spacing w:line="360" w:lineRule="auto"/>
        <w:ind w:firstLine="720"/>
        <w:jc w:val="both"/>
        <w:rPr>
          <w:rStyle w:val="BodyTextChar"/>
          <w:rFonts w:eastAsiaTheme="minorHAnsi"/>
          <w:sz w:val="28"/>
          <w:szCs w:val="28"/>
        </w:rPr>
      </w:pPr>
      <w:r w:rsidRPr="00D81CDC">
        <w:rPr>
          <w:rStyle w:val="BodyTextChar"/>
          <w:sz w:val="28"/>
          <w:szCs w:val="28"/>
        </w:rPr>
        <w:t xml:space="preserve">ER 5.7 simply </w:t>
      </w:r>
      <w:r w:rsidR="002D710B" w:rsidRPr="00D81CDC">
        <w:rPr>
          <w:rStyle w:val="BodyTextChar"/>
          <w:sz w:val="28"/>
          <w:szCs w:val="28"/>
        </w:rPr>
        <w:t>will not</w:t>
      </w:r>
      <w:r w:rsidRPr="00D81CDC">
        <w:rPr>
          <w:rStyle w:val="BodyTextChar"/>
          <w:sz w:val="28"/>
          <w:szCs w:val="28"/>
        </w:rPr>
        <w:t xml:space="preserve"> work</w:t>
      </w:r>
      <w:r w:rsidR="00C12209" w:rsidRPr="00D81CDC">
        <w:rPr>
          <w:rStyle w:val="BodyTextChar"/>
          <w:sz w:val="28"/>
          <w:szCs w:val="28"/>
        </w:rPr>
        <w:t xml:space="preserve"> when lawyers are able to partner with other professionals who may provide nonlegal services to nonlegal clients. The rule is intended to avoid confusion </w:t>
      </w:r>
      <w:r w:rsidR="00C12209" w:rsidRPr="00D81CDC">
        <w:rPr>
          <w:rStyle w:val="BodyTextChar"/>
          <w:rFonts w:eastAsiaTheme="minorHAnsi"/>
          <w:sz w:val="28"/>
          <w:szCs w:val="28"/>
        </w:rPr>
        <w:t xml:space="preserve">regarding the protections a client can expect when that client receives law-related services, but it would only promote confusion </w:t>
      </w:r>
      <w:r w:rsidR="002D710B" w:rsidRPr="00D81CDC">
        <w:rPr>
          <w:rStyle w:val="BodyTextChar"/>
          <w:rFonts w:eastAsiaTheme="minorHAnsi"/>
          <w:sz w:val="28"/>
          <w:szCs w:val="28"/>
        </w:rPr>
        <w:t xml:space="preserve">under the </w:t>
      </w:r>
      <w:r w:rsidR="00C12209" w:rsidRPr="00D81CDC">
        <w:rPr>
          <w:rStyle w:val="BodyTextChar"/>
          <w:rFonts w:eastAsiaTheme="minorHAnsi"/>
          <w:sz w:val="28"/>
          <w:szCs w:val="28"/>
        </w:rPr>
        <w:t xml:space="preserve"> </w:t>
      </w:r>
      <w:r w:rsidR="00FE47DF" w:rsidRPr="00D81CDC">
        <w:rPr>
          <w:rStyle w:val="BodyTextChar"/>
          <w:rFonts w:eastAsiaTheme="minorHAnsi"/>
          <w:sz w:val="28"/>
          <w:szCs w:val="28"/>
        </w:rPr>
        <w:t>proposed</w:t>
      </w:r>
      <w:r w:rsidR="00C12209" w:rsidRPr="00D81CDC">
        <w:rPr>
          <w:rStyle w:val="BodyTextChar"/>
          <w:rFonts w:eastAsiaTheme="minorHAnsi"/>
          <w:sz w:val="28"/>
          <w:szCs w:val="28"/>
        </w:rPr>
        <w:t xml:space="preserve"> paradigm.</w:t>
      </w:r>
    </w:p>
    <w:p w:rsidR="00C8014C" w:rsidRPr="00543F6D" w:rsidRDefault="000C5A75" w:rsidP="003B4763">
      <w:pPr>
        <w:pStyle w:val="ListParagraph"/>
        <w:numPr>
          <w:ilvl w:val="0"/>
          <w:numId w:val="2"/>
        </w:numPr>
        <w:spacing w:line="360" w:lineRule="auto"/>
        <w:jc w:val="both"/>
        <w:rPr>
          <w:rFonts w:ascii="Times New Roman" w:hAnsi="Times New Roman" w:cs="Times New Roman"/>
          <w:b/>
          <w:bCs/>
          <w:sz w:val="28"/>
          <w:szCs w:val="28"/>
        </w:rPr>
      </w:pPr>
      <w:r w:rsidRPr="00543F6D">
        <w:rPr>
          <w:rFonts w:ascii="Times New Roman" w:hAnsi="Times New Roman" w:cs="Times New Roman"/>
          <w:b/>
          <w:bCs/>
          <w:sz w:val="28"/>
          <w:szCs w:val="28"/>
        </w:rPr>
        <w:t>Issue: Additional</w:t>
      </w:r>
      <w:r w:rsidR="00C8014C" w:rsidRPr="00543F6D">
        <w:rPr>
          <w:rFonts w:ascii="Times New Roman" w:hAnsi="Times New Roman" w:cs="Times New Roman"/>
          <w:b/>
          <w:bCs/>
          <w:sz w:val="28"/>
          <w:szCs w:val="28"/>
        </w:rPr>
        <w:t xml:space="preserve"> amendments to proposed rules</w:t>
      </w:r>
    </w:p>
    <w:p w:rsidR="00C8014C" w:rsidRPr="00D81CDC" w:rsidRDefault="00C8014C" w:rsidP="003B4763">
      <w:pPr>
        <w:pStyle w:val="ListParagraph"/>
        <w:numPr>
          <w:ilvl w:val="0"/>
          <w:numId w:val="15"/>
        </w:numPr>
        <w:spacing w:line="360" w:lineRule="auto"/>
        <w:rPr>
          <w:rFonts w:ascii="Times New Roman" w:hAnsi="Times New Roman" w:cs="Times New Roman"/>
          <w:sz w:val="28"/>
          <w:szCs w:val="28"/>
        </w:rPr>
      </w:pPr>
      <w:r w:rsidRPr="00D81CDC">
        <w:rPr>
          <w:rFonts w:ascii="Times New Roman" w:hAnsi="Times New Roman" w:cs="Times New Roman"/>
          <w:sz w:val="28"/>
          <w:szCs w:val="28"/>
        </w:rPr>
        <w:t xml:space="preserve">Rule 43, Ariz. R. Sup. Ct., which governs trust accounts, has been amended to reflect </w:t>
      </w:r>
      <w:r w:rsidR="000C5A75" w:rsidRPr="00D81CDC">
        <w:rPr>
          <w:rFonts w:ascii="Times New Roman" w:hAnsi="Times New Roman" w:cs="Times New Roman"/>
          <w:sz w:val="28"/>
          <w:szCs w:val="28"/>
        </w:rPr>
        <w:t>the proposed change in the definition of “firm”</w:t>
      </w:r>
      <w:r w:rsidR="001C4B6F">
        <w:rPr>
          <w:rFonts w:ascii="Times New Roman" w:hAnsi="Times New Roman" w:cs="Times New Roman"/>
          <w:sz w:val="28"/>
          <w:szCs w:val="28"/>
        </w:rPr>
        <w:t xml:space="preserve"> in ER 1.0(c)</w:t>
      </w:r>
      <w:r w:rsidR="000C5A75" w:rsidRPr="00D81CDC">
        <w:rPr>
          <w:rFonts w:ascii="Times New Roman" w:hAnsi="Times New Roman" w:cs="Times New Roman"/>
          <w:sz w:val="28"/>
          <w:szCs w:val="28"/>
        </w:rPr>
        <w:t xml:space="preserve"> so that </w:t>
      </w:r>
      <w:r w:rsidRPr="00D81CDC">
        <w:rPr>
          <w:rFonts w:ascii="Times New Roman" w:hAnsi="Times New Roman" w:cs="Times New Roman"/>
          <w:sz w:val="28"/>
          <w:szCs w:val="28"/>
        </w:rPr>
        <w:t xml:space="preserve">it </w:t>
      </w:r>
      <w:r w:rsidR="000C5A75" w:rsidRPr="00D81CDC">
        <w:rPr>
          <w:rFonts w:ascii="Times New Roman" w:hAnsi="Times New Roman" w:cs="Times New Roman"/>
          <w:sz w:val="28"/>
          <w:szCs w:val="28"/>
        </w:rPr>
        <w:t xml:space="preserve">would </w:t>
      </w:r>
      <w:r w:rsidR="00136F49">
        <w:rPr>
          <w:rFonts w:ascii="Times New Roman" w:hAnsi="Times New Roman" w:cs="Times New Roman"/>
          <w:sz w:val="28"/>
          <w:szCs w:val="28"/>
        </w:rPr>
        <w:t>apply</w:t>
      </w:r>
      <w:r w:rsidR="000C5A75" w:rsidRPr="00D81CDC">
        <w:rPr>
          <w:rFonts w:ascii="Times New Roman" w:hAnsi="Times New Roman" w:cs="Times New Roman"/>
          <w:sz w:val="28"/>
          <w:szCs w:val="28"/>
        </w:rPr>
        <w:t xml:space="preserve"> to ABSs holding legal services client funds</w:t>
      </w:r>
      <w:r w:rsidRPr="00D81CDC">
        <w:rPr>
          <w:rFonts w:ascii="Times New Roman" w:hAnsi="Times New Roman" w:cs="Times New Roman"/>
          <w:sz w:val="28"/>
          <w:szCs w:val="28"/>
        </w:rPr>
        <w:t>.</w:t>
      </w:r>
    </w:p>
    <w:p w:rsidR="000C5A75" w:rsidRPr="00543F6D" w:rsidRDefault="000C5A75" w:rsidP="00D4669C">
      <w:pPr>
        <w:pStyle w:val="ListParagraph"/>
        <w:widowControl w:val="0"/>
        <w:numPr>
          <w:ilvl w:val="0"/>
          <w:numId w:val="15"/>
        </w:numPr>
        <w:spacing w:line="360" w:lineRule="auto"/>
        <w:jc w:val="both"/>
        <w:rPr>
          <w:rStyle w:val="BodyTextChar"/>
          <w:rFonts w:eastAsiaTheme="minorHAnsi"/>
          <w:sz w:val="28"/>
          <w:szCs w:val="28"/>
        </w:rPr>
      </w:pPr>
      <w:r w:rsidRPr="001C4B6F">
        <w:rPr>
          <w:rFonts w:ascii="Times New Roman" w:hAnsi="Times New Roman" w:cs="Times New Roman"/>
          <w:sz w:val="28"/>
          <w:szCs w:val="28"/>
        </w:rPr>
        <w:t xml:space="preserve">ACJA </w:t>
      </w:r>
      <w:r w:rsidR="00C8014C" w:rsidRPr="001C4B6F">
        <w:rPr>
          <w:rFonts w:ascii="Times New Roman" w:hAnsi="Times New Roman" w:cs="Times New Roman"/>
          <w:sz w:val="28"/>
          <w:szCs w:val="28"/>
        </w:rPr>
        <w:t xml:space="preserve">§ </w:t>
      </w:r>
      <w:r w:rsidRPr="001C4B6F">
        <w:rPr>
          <w:rFonts w:ascii="Times New Roman" w:hAnsi="Times New Roman" w:cs="Times New Roman"/>
          <w:sz w:val="28"/>
          <w:szCs w:val="28"/>
        </w:rPr>
        <w:t xml:space="preserve">7-209 now reflects that persons denied admission to practice of law, disbarred from practice, or currently suspended from practice cannot be an </w:t>
      </w:r>
      <w:r w:rsidRPr="00543F6D">
        <w:rPr>
          <w:rFonts w:ascii="Times New Roman" w:hAnsi="Times New Roman" w:cs="Times New Roman"/>
          <w:sz w:val="28"/>
          <w:szCs w:val="28"/>
        </w:rPr>
        <w:t>authorized person in an ABS.</w:t>
      </w:r>
      <w:r w:rsidR="00136F49" w:rsidRPr="00543F6D">
        <w:rPr>
          <w:rStyle w:val="FootnoteReference"/>
          <w:rFonts w:ascii="Times New Roman" w:hAnsi="Times New Roman" w:cs="Times New Roman"/>
          <w:sz w:val="28"/>
          <w:szCs w:val="28"/>
        </w:rPr>
        <w:footnoteReference w:id="11"/>
      </w:r>
    </w:p>
    <w:p w:rsidR="000640EE" w:rsidRPr="00543F6D" w:rsidRDefault="000640EE" w:rsidP="003B4763">
      <w:pPr>
        <w:pStyle w:val="ListParagraph"/>
        <w:numPr>
          <w:ilvl w:val="0"/>
          <w:numId w:val="1"/>
        </w:numPr>
        <w:tabs>
          <w:tab w:val="left" w:pos="450"/>
          <w:tab w:val="left" w:pos="720"/>
        </w:tabs>
        <w:spacing w:line="240" w:lineRule="auto"/>
        <w:ind w:left="720" w:right="720"/>
        <w:jc w:val="both"/>
        <w:rPr>
          <w:rFonts w:ascii="Times New Roman" w:hAnsi="Times New Roman" w:cs="Times New Roman"/>
          <w:b/>
          <w:bCs/>
          <w:sz w:val="28"/>
          <w:szCs w:val="28"/>
        </w:rPr>
      </w:pPr>
      <w:r w:rsidRPr="00543F6D">
        <w:rPr>
          <w:rFonts w:ascii="Times New Roman" w:hAnsi="Times New Roman" w:cs="Times New Roman"/>
          <w:b/>
          <w:bCs/>
          <w:sz w:val="28"/>
          <w:szCs w:val="28"/>
        </w:rPr>
        <w:t>P</w:t>
      </w:r>
      <w:r w:rsidR="009D53BD" w:rsidRPr="00543F6D">
        <w:rPr>
          <w:rFonts w:ascii="Times New Roman" w:hAnsi="Times New Roman" w:cs="Times New Roman"/>
          <w:b/>
          <w:bCs/>
          <w:sz w:val="28"/>
          <w:szCs w:val="28"/>
        </w:rPr>
        <w:t>roposed new category of legal</w:t>
      </w:r>
      <w:r w:rsidRPr="00543F6D">
        <w:rPr>
          <w:rFonts w:ascii="Times New Roman" w:hAnsi="Times New Roman" w:cs="Times New Roman"/>
          <w:b/>
          <w:bCs/>
          <w:sz w:val="28"/>
          <w:szCs w:val="28"/>
        </w:rPr>
        <w:t>-service provider</w:t>
      </w:r>
    </w:p>
    <w:p w:rsidR="00A22D69" w:rsidRPr="00543F6D" w:rsidRDefault="00A22D69" w:rsidP="00AD2F7E">
      <w:pPr>
        <w:pStyle w:val="ListParagraph"/>
        <w:tabs>
          <w:tab w:val="left" w:pos="450"/>
          <w:tab w:val="left" w:pos="720"/>
        </w:tabs>
        <w:spacing w:line="240" w:lineRule="auto"/>
        <w:ind w:right="720"/>
        <w:jc w:val="both"/>
        <w:rPr>
          <w:rFonts w:ascii="Times New Roman" w:hAnsi="Times New Roman" w:cs="Times New Roman"/>
          <w:b/>
          <w:bCs/>
          <w:sz w:val="28"/>
          <w:szCs w:val="28"/>
        </w:rPr>
      </w:pPr>
    </w:p>
    <w:p w:rsidR="007A1C2F" w:rsidRPr="00543F6D" w:rsidRDefault="00221973" w:rsidP="001C4B6F">
      <w:pPr>
        <w:pStyle w:val="ListParagraph"/>
        <w:numPr>
          <w:ilvl w:val="0"/>
          <w:numId w:val="4"/>
        </w:numPr>
        <w:spacing w:after="120" w:line="240" w:lineRule="auto"/>
        <w:ind w:right="720"/>
        <w:jc w:val="both"/>
        <w:rPr>
          <w:rFonts w:ascii="Times New Roman" w:hAnsi="Times New Roman" w:cs="Times New Roman"/>
          <w:b/>
          <w:bCs/>
          <w:sz w:val="28"/>
          <w:szCs w:val="28"/>
        </w:rPr>
      </w:pPr>
      <w:r w:rsidRPr="00543F6D">
        <w:rPr>
          <w:rFonts w:ascii="Times New Roman" w:hAnsi="Times New Roman" w:cs="Times New Roman"/>
          <w:b/>
          <w:bCs/>
          <w:sz w:val="28"/>
          <w:szCs w:val="28"/>
        </w:rPr>
        <w:t xml:space="preserve">Establishing a new </w:t>
      </w:r>
      <w:r w:rsidR="000640EE" w:rsidRPr="00543F6D">
        <w:rPr>
          <w:rFonts w:ascii="Times New Roman" w:hAnsi="Times New Roman" w:cs="Times New Roman"/>
          <w:b/>
          <w:bCs/>
          <w:sz w:val="28"/>
          <w:szCs w:val="28"/>
        </w:rPr>
        <w:t xml:space="preserve">paraprofessional </w:t>
      </w:r>
      <w:r w:rsidRPr="00543F6D">
        <w:rPr>
          <w:rFonts w:ascii="Times New Roman" w:hAnsi="Times New Roman" w:cs="Times New Roman"/>
          <w:b/>
          <w:bCs/>
          <w:sz w:val="28"/>
          <w:szCs w:val="28"/>
        </w:rPr>
        <w:t>category is viable and justified</w:t>
      </w:r>
      <w:r w:rsidR="001740EC">
        <w:rPr>
          <w:rFonts w:ascii="Times New Roman" w:hAnsi="Times New Roman" w:cs="Times New Roman"/>
          <w:b/>
          <w:bCs/>
          <w:sz w:val="28"/>
          <w:szCs w:val="28"/>
        </w:rPr>
        <w:t>,</w:t>
      </w:r>
      <w:r w:rsidRPr="00543F6D">
        <w:rPr>
          <w:rFonts w:ascii="Times New Roman" w:hAnsi="Times New Roman" w:cs="Times New Roman"/>
          <w:b/>
          <w:bCs/>
          <w:sz w:val="28"/>
          <w:szCs w:val="28"/>
        </w:rPr>
        <w:t xml:space="preserve"> despite</w:t>
      </w:r>
      <w:r w:rsidR="000640EE" w:rsidRPr="00543F6D">
        <w:rPr>
          <w:rFonts w:ascii="Times New Roman" w:hAnsi="Times New Roman" w:cs="Times New Roman"/>
          <w:b/>
          <w:bCs/>
          <w:sz w:val="28"/>
          <w:szCs w:val="28"/>
        </w:rPr>
        <w:t xml:space="preserve"> Washington’s decision to </w:t>
      </w:r>
      <w:r w:rsidR="007A1C2F" w:rsidRPr="00543F6D">
        <w:rPr>
          <w:rFonts w:ascii="Times New Roman" w:hAnsi="Times New Roman" w:cs="Times New Roman"/>
          <w:b/>
          <w:bCs/>
          <w:sz w:val="28"/>
          <w:szCs w:val="28"/>
        </w:rPr>
        <w:t>end</w:t>
      </w:r>
      <w:r w:rsidR="000640EE" w:rsidRPr="00543F6D">
        <w:rPr>
          <w:rFonts w:ascii="Times New Roman" w:hAnsi="Times New Roman" w:cs="Times New Roman"/>
          <w:b/>
          <w:bCs/>
          <w:sz w:val="28"/>
          <w:szCs w:val="28"/>
        </w:rPr>
        <w:t xml:space="preserve"> its program.</w:t>
      </w:r>
    </w:p>
    <w:p w:rsidR="00856F0C" w:rsidRPr="00D81CDC" w:rsidRDefault="007A1C2F"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The Washington Supreme Court voted earlier this month to end its Limited License Legal Technician (LLLT) program</w:t>
      </w:r>
      <w:r w:rsidR="000E325F" w:rsidRPr="00D81CDC">
        <w:rPr>
          <w:rFonts w:ascii="Times New Roman" w:hAnsi="Times New Roman" w:cs="Times New Roman"/>
          <w:sz w:val="28"/>
          <w:szCs w:val="28"/>
        </w:rPr>
        <w:t>, which it called an “innovative attempt to increase access to legal services” that it created in 2012.</w:t>
      </w:r>
      <w:r w:rsidR="000E325F" w:rsidRPr="00D81CDC">
        <w:rPr>
          <w:rStyle w:val="FootnoteReference"/>
          <w:rFonts w:ascii="Times New Roman" w:hAnsi="Times New Roman" w:cs="Times New Roman"/>
          <w:sz w:val="28"/>
          <w:szCs w:val="28"/>
        </w:rPr>
        <w:footnoteReference w:id="12"/>
      </w:r>
      <w:r w:rsidR="00856F0C" w:rsidRPr="00D81CDC">
        <w:rPr>
          <w:rFonts w:ascii="Times New Roman" w:hAnsi="Times New Roman" w:cs="Times New Roman"/>
          <w:sz w:val="28"/>
          <w:szCs w:val="28"/>
        </w:rPr>
        <w:t xml:space="preserve"> The Washington court said it had determined that the LLLT program was “not an effective way” to increase access to legal services because of the “overall costs of sustaining the program and the small number of interested individuals.”</w:t>
      </w:r>
    </w:p>
    <w:p w:rsidR="000E325F" w:rsidRPr="00D81CDC" w:rsidRDefault="000E325F"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lastRenderedPageBreak/>
        <w:t>Washington’s action, however, should not deter Arizona’s efforts to create a paraprofessional category</w:t>
      </w:r>
      <w:r w:rsidR="00856F0C" w:rsidRPr="00D81CDC">
        <w:rPr>
          <w:rFonts w:ascii="Times New Roman" w:hAnsi="Times New Roman" w:cs="Times New Roman"/>
          <w:sz w:val="28"/>
          <w:szCs w:val="28"/>
        </w:rPr>
        <w:t xml:space="preserve"> of legal-service provider</w:t>
      </w:r>
      <w:r w:rsidRPr="00D81CDC">
        <w:rPr>
          <w:rFonts w:ascii="Times New Roman" w:hAnsi="Times New Roman" w:cs="Times New Roman"/>
          <w:sz w:val="28"/>
          <w:szCs w:val="28"/>
        </w:rPr>
        <w:t>.</w:t>
      </w:r>
    </w:p>
    <w:p w:rsidR="00180E5E" w:rsidRPr="00D81CDC" w:rsidRDefault="000E325F"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The Task Force deliberately did not pattern its paraprofessional proposal on Washington’s LLLT prog</w:t>
      </w:r>
      <w:r w:rsidR="00180E5E" w:rsidRPr="00D81CDC">
        <w:rPr>
          <w:rFonts w:ascii="Times New Roman" w:hAnsi="Times New Roman" w:cs="Times New Roman"/>
          <w:sz w:val="28"/>
          <w:szCs w:val="28"/>
        </w:rPr>
        <w:t>r</w:t>
      </w:r>
      <w:r w:rsidRPr="00D81CDC">
        <w:rPr>
          <w:rFonts w:ascii="Times New Roman" w:hAnsi="Times New Roman" w:cs="Times New Roman"/>
          <w:sz w:val="28"/>
          <w:szCs w:val="28"/>
        </w:rPr>
        <w:t>am</w:t>
      </w:r>
      <w:r w:rsidR="00856F0C" w:rsidRPr="00D81CDC">
        <w:rPr>
          <w:rFonts w:ascii="Times New Roman" w:hAnsi="Times New Roman" w:cs="Times New Roman"/>
          <w:sz w:val="28"/>
          <w:szCs w:val="28"/>
        </w:rPr>
        <w:t xml:space="preserve">, in part because of </w:t>
      </w:r>
      <w:r w:rsidR="00180E5E" w:rsidRPr="00D81CDC">
        <w:rPr>
          <w:rFonts w:ascii="Times New Roman" w:hAnsi="Times New Roman" w:cs="Times New Roman"/>
          <w:sz w:val="28"/>
          <w:szCs w:val="28"/>
        </w:rPr>
        <w:t xml:space="preserve">that program’s high experiential learning requirement. Although Washington required only an </w:t>
      </w:r>
      <w:proofErr w:type="gramStart"/>
      <w:r w:rsidR="00180E5E" w:rsidRPr="00D81CDC">
        <w:rPr>
          <w:rFonts w:ascii="Times New Roman" w:hAnsi="Times New Roman" w:cs="Times New Roman"/>
          <w:sz w:val="28"/>
          <w:szCs w:val="28"/>
        </w:rPr>
        <w:t>associate’s</w:t>
      </w:r>
      <w:proofErr w:type="gramEnd"/>
      <w:r w:rsidR="00180E5E" w:rsidRPr="00D81CDC">
        <w:rPr>
          <w:rFonts w:ascii="Times New Roman" w:hAnsi="Times New Roman" w:cs="Times New Roman"/>
          <w:sz w:val="28"/>
          <w:szCs w:val="28"/>
        </w:rPr>
        <w:t xml:space="preserve"> degree in a paralegal program as base education, it also required </w:t>
      </w:r>
      <w:r w:rsidR="00856F0C" w:rsidRPr="00D81CDC">
        <w:rPr>
          <w:rFonts w:ascii="Times New Roman" w:hAnsi="Times New Roman" w:cs="Times New Roman"/>
          <w:sz w:val="28"/>
          <w:szCs w:val="28"/>
        </w:rPr>
        <w:t xml:space="preserve">15 </w:t>
      </w:r>
      <w:r w:rsidR="00180E5E" w:rsidRPr="00D81CDC">
        <w:rPr>
          <w:rFonts w:ascii="Times New Roman" w:hAnsi="Times New Roman" w:cs="Times New Roman"/>
          <w:sz w:val="28"/>
          <w:szCs w:val="28"/>
        </w:rPr>
        <w:t xml:space="preserve">additional credits at an ABA-accredited law school plus 3,000 hours working under the supervision of a licensed lawyer. </w:t>
      </w:r>
    </w:p>
    <w:p w:rsidR="000E325F" w:rsidRPr="00D81CDC" w:rsidRDefault="00221973"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The</w:t>
      </w:r>
      <w:r w:rsidR="00180E5E" w:rsidRPr="00D81CDC">
        <w:rPr>
          <w:rFonts w:ascii="Times New Roman" w:hAnsi="Times New Roman" w:cs="Times New Roman"/>
          <w:sz w:val="28"/>
          <w:szCs w:val="28"/>
        </w:rPr>
        <w:t xml:space="preserve"> Task Force</w:t>
      </w:r>
      <w:r w:rsidRPr="00D81CDC">
        <w:rPr>
          <w:rFonts w:ascii="Times New Roman" w:hAnsi="Times New Roman" w:cs="Times New Roman"/>
          <w:sz w:val="28"/>
          <w:szCs w:val="28"/>
        </w:rPr>
        <w:t xml:space="preserve">’s proposal also differed from Washington’s program in that </w:t>
      </w:r>
      <w:r w:rsidR="00180E5E" w:rsidRPr="00D81CDC">
        <w:rPr>
          <w:rFonts w:ascii="Times New Roman" w:hAnsi="Times New Roman" w:cs="Times New Roman"/>
          <w:sz w:val="28"/>
          <w:szCs w:val="28"/>
        </w:rPr>
        <w:t xml:space="preserve">Washington </w:t>
      </w:r>
      <w:r w:rsidR="000E325F" w:rsidRPr="00D81CDC">
        <w:rPr>
          <w:rFonts w:ascii="Times New Roman" w:hAnsi="Times New Roman" w:cs="Times New Roman"/>
          <w:sz w:val="28"/>
          <w:szCs w:val="28"/>
        </w:rPr>
        <w:t>did not allow its LLLTs to represent clients in court.</w:t>
      </w:r>
    </w:p>
    <w:p w:rsidR="00221973" w:rsidRPr="00543F6D" w:rsidRDefault="00221973"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If the Court adopts this new legal-service provider category, it would join </w:t>
      </w:r>
      <w:r w:rsidRPr="00543F6D">
        <w:rPr>
          <w:rFonts w:ascii="Times New Roman" w:hAnsi="Times New Roman" w:cs="Times New Roman"/>
          <w:sz w:val="28"/>
          <w:szCs w:val="28"/>
        </w:rPr>
        <w:t>Ontario, Canada, and Utah in licensing nonlawyers to provide limited legal services.</w:t>
      </w:r>
    </w:p>
    <w:p w:rsidR="00A22D69" w:rsidRPr="00543F6D" w:rsidRDefault="00FE42AC" w:rsidP="003B4763">
      <w:pPr>
        <w:pStyle w:val="ListParagraph"/>
        <w:numPr>
          <w:ilvl w:val="0"/>
          <w:numId w:val="4"/>
        </w:numPr>
        <w:spacing w:after="0" w:line="360" w:lineRule="auto"/>
        <w:ind w:right="720"/>
        <w:jc w:val="both"/>
        <w:rPr>
          <w:rFonts w:ascii="Times New Roman" w:hAnsi="Times New Roman" w:cs="Times New Roman"/>
          <w:b/>
          <w:bCs/>
          <w:sz w:val="28"/>
          <w:szCs w:val="28"/>
        </w:rPr>
      </w:pPr>
      <w:r w:rsidRPr="00543F6D">
        <w:rPr>
          <w:rFonts w:ascii="Times New Roman" w:hAnsi="Times New Roman" w:cs="Times New Roman"/>
          <w:b/>
          <w:bCs/>
          <w:sz w:val="28"/>
          <w:szCs w:val="28"/>
        </w:rPr>
        <w:t xml:space="preserve">Specific </w:t>
      </w:r>
      <w:r w:rsidR="009D53BD" w:rsidRPr="00543F6D">
        <w:rPr>
          <w:rFonts w:ascii="Times New Roman" w:hAnsi="Times New Roman" w:cs="Times New Roman"/>
          <w:b/>
          <w:bCs/>
          <w:sz w:val="28"/>
          <w:szCs w:val="28"/>
        </w:rPr>
        <w:t xml:space="preserve">issues and </w:t>
      </w:r>
      <w:r w:rsidRPr="00543F6D">
        <w:rPr>
          <w:rFonts w:ascii="Times New Roman" w:hAnsi="Times New Roman" w:cs="Times New Roman"/>
          <w:b/>
          <w:bCs/>
          <w:sz w:val="28"/>
          <w:szCs w:val="28"/>
        </w:rPr>
        <w:t>obje</w:t>
      </w:r>
      <w:r w:rsidR="00E34BD3" w:rsidRPr="00543F6D">
        <w:rPr>
          <w:rFonts w:ascii="Times New Roman" w:hAnsi="Times New Roman" w:cs="Times New Roman"/>
          <w:b/>
          <w:bCs/>
          <w:sz w:val="28"/>
          <w:szCs w:val="28"/>
        </w:rPr>
        <w:t>c</w:t>
      </w:r>
      <w:r w:rsidRPr="00543F6D">
        <w:rPr>
          <w:rFonts w:ascii="Times New Roman" w:hAnsi="Times New Roman" w:cs="Times New Roman"/>
          <w:b/>
          <w:bCs/>
          <w:sz w:val="28"/>
          <w:szCs w:val="28"/>
        </w:rPr>
        <w:t>tions</w:t>
      </w:r>
      <w:r w:rsidR="009D53BD" w:rsidRPr="00543F6D">
        <w:rPr>
          <w:rFonts w:ascii="Times New Roman" w:hAnsi="Times New Roman" w:cs="Times New Roman"/>
          <w:b/>
          <w:bCs/>
          <w:sz w:val="28"/>
          <w:szCs w:val="28"/>
        </w:rPr>
        <w:t xml:space="preserve"> raised by commenters and stakeholders</w:t>
      </w:r>
    </w:p>
    <w:p w:rsidR="00573305" w:rsidRPr="00543F6D" w:rsidRDefault="009D53BD" w:rsidP="003B4763">
      <w:pPr>
        <w:pStyle w:val="ListParagraph"/>
        <w:numPr>
          <w:ilvl w:val="0"/>
          <w:numId w:val="10"/>
        </w:numPr>
        <w:spacing w:line="360" w:lineRule="auto"/>
        <w:ind w:left="1800"/>
        <w:jc w:val="both"/>
        <w:rPr>
          <w:rFonts w:ascii="Times New Roman" w:hAnsi="Times New Roman" w:cs="Times New Roman"/>
          <w:b/>
          <w:bCs/>
          <w:sz w:val="28"/>
          <w:szCs w:val="28"/>
        </w:rPr>
      </w:pPr>
      <w:r w:rsidRPr="00543F6D">
        <w:rPr>
          <w:rFonts w:ascii="Times New Roman" w:hAnsi="Times New Roman" w:cs="Times New Roman"/>
          <w:b/>
          <w:bCs/>
          <w:sz w:val="28"/>
          <w:szCs w:val="28"/>
        </w:rPr>
        <w:t>Issue</w:t>
      </w:r>
      <w:r w:rsidR="00FE42AC" w:rsidRPr="00543F6D">
        <w:rPr>
          <w:rFonts w:ascii="Times New Roman" w:hAnsi="Times New Roman" w:cs="Times New Roman"/>
          <w:b/>
          <w:bCs/>
          <w:sz w:val="28"/>
          <w:szCs w:val="28"/>
        </w:rPr>
        <w:t>: Name</w:t>
      </w:r>
      <w:r w:rsidRPr="00543F6D">
        <w:rPr>
          <w:rFonts w:ascii="Times New Roman" w:hAnsi="Times New Roman" w:cs="Times New Roman"/>
          <w:b/>
          <w:bCs/>
          <w:sz w:val="28"/>
          <w:szCs w:val="28"/>
        </w:rPr>
        <w:t xml:space="preserve"> of new </w:t>
      </w:r>
      <w:r w:rsidR="006E7AF8" w:rsidRPr="00543F6D">
        <w:rPr>
          <w:rFonts w:ascii="Times New Roman" w:hAnsi="Times New Roman" w:cs="Times New Roman"/>
          <w:b/>
          <w:bCs/>
          <w:sz w:val="28"/>
          <w:szCs w:val="28"/>
        </w:rPr>
        <w:t>legal-service</w:t>
      </w:r>
      <w:r w:rsidR="007B3793" w:rsidRPr="00543F6D">
        <w:rPr>
          <w:rFonts w:ascii="Times New Roman" w:hAnsi="Times New Roman" w:cs="Times New Roman"/>
          <w:b/>
          <w:bCs/>
          <w:sz w:val="28"/>
          <w:szCs w:val="28"/>
        </w:rPr>
        <w:t xml:space="preserve"> </w:t>
      </w:r>
      <w:r w:rsidR="006E7AF8" w:rsidRPr="00543F6D">
        <w:rPr>
          <w:rFonts w:ascii="Times New Roman" w:hAnsi="Times New Roman" w:cs="Times New Roman"/>
          <w:b/>
          <w:bCs/>
          <w:sz w:val="28"/>
          <w:szCs w:val="28"/>
        </w:rPr>
        <w:t>provider</w:t>
      </w:r>
    </w:p>
    <w:p w:rsidR="00EB26CA" w:rsidRPr="00D81CDC" w:rsidRDefault="00EB26CA" w:rsidP="00221286">
      <w:pPr>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t xml:space="preserve">Some sources have suggested that “limited license legal practitioner” is a cumbersome </w:t>
      </w:r>
      <w:r w:rsidR="006E7AF8" w:rsidRPr="00D81CDC">
        <w:rPr>
          <w:rFonts w:ascii="Times New Roman" w:hAnsi="Times New Roman" w:cs="Times New Roman"/>
          <w:sz w:val="28"/>
          <w:szCs w:val="28"/>
        </w:rPr>
        <w:t>name</w:t>
      </w:r>
      <w:r w:rsidRPr="00D81CDC">
        <w:rPr>
          <w:rFonts w:ascii="Times New Roman" w:hAnsi="Times New Roman" w:cs="Times New Roman"/>
          <w:sz w:val="28"/>
          <w:szCs w:val="28"/>
        </w:rPr>
        <w:t xml:space="preserve"> for the proposed new tier of legal</w:t>
      </w:r>
      <w:r w:rsidR="009D53BD" w:rsidRPr="00D81CDC">
        <w:rPr>
          <w:rFonts w:ascii="Times New Roman" w:hAnsi="Times New Roman" w:cs="Times New Roman"/>
          <w:sz w:val="28"/>
          <w:szCs w:val="28"/>
        </w:rPr>
        <w:t>-</w:t>
      </w:r>
      <w:r w:rsidRPr="00D81CDC">
        <w:rPr>
          <w:rFonts w:ascii="Times New Roman" w:hAnsi="Times New Roman" w:cs="Times New Roman"/>
          <w:sz w:val="28"/>
          <w:szCs w:val="28"/>
        </w:rPr>
        <w:t xml:space="preserve">service providers. Several participants in Arizona Town Hall events, particularly members of legal aid agencies, nonprofits serving the under-represented, and law librarians, commented that </w:t>
      </w:r>
      <w:r w:rsidR="006E7AF8" w:rsidRPr="00D81CDC">
        <w:rPr>
          <w:rFonts w:ascii="Times New Roman" w:hAnsi="Times New Roman" w:cs="Times New Roman"/>
          <w:sz w:val="28"/>
          <w:szCs w:val="28"/>
        </w:rPr>
        <w:t xml:space="preserve">the name or even the acronym </w:t>
      </w:r>
      <w:r w:rsidR="009D53BD" w:rsidRPr="00D81CDC">
        <w:rPr>
          <w:rFonts w:ascii="Times New Roman" w:hAnsi="Times New Roman" w:cs="Times New Roman"/>
          <w:sz w:val="28"/>
          <w:szCs w:val="28"/>
        </w:rPr>
        <w:t>“</w:t>
      </w:r>
      <w:r w:rsidRPr="00D81CDC">
        <w:rPr>
          <w:rFonts w:ascii="Times New Roman" w:hAnsi="Times New Roman" w:cs="Times New Roman"/>
          <w:sz w:val="28"/>
          <w:szCs w:val="28"/>
        </w:rPr>
        <w:t>LLLP</w:t>
      </w:r>
      <w:r w:rsidR="009D53BD" w:rsidRPr="00D81CDC">
        <w:rPr>
          <w:rFonts w:ascii="Times New Roman" w:hAnsi="Times New Roman" w:cs="Times New Roman"/>
          <w:sz w:val="28"/>
          <w:szCs w:val="28"/>
        </w:rPr>
        <w:t>”</w:t>
      </w:r>
      <w:r w:rsidRPr="00D81CDC">
        <w:rPr>
          <w:rFonts w:ascii="Times New Roman" w:hAnsi="Times New Roman" w:cs="Times New Roman"/>
          <w:sz w:val="28"/>
          <w:szCs w:val="28"/>
        </w:rPr>
        <w:t xml:space="preserve"> would be difficult </w:t>
      </w:r>
      <w:r w:rsidR="009D53BD" w:rsidRPr="00D81CDC">
        <w:rPr>
          <w:rFonts w:ascii="Times New Roman" w:hAnsi="Times New Roman" w:cs="Times New Roman"/>
          <w:sz w:val="28"/>
          <w:szCs w:val="28"/>
        </w:rPr>
        <w:t>for many</w:t>
      </w:r>
      <w:r w:rsidRPr="00D81CDC">
        <w:rPr>
          <w:rFonts w:ascii="Times New Roman" w:hAnsi="Times New Roman" w:cs="Times New Roman"/>
          <w:sz w:val="28"/>
          <w:szCs w:val="28"/>
        </w:rPr>
        <w:t xml:space="preserve"> self-represented litigants</w:t>
      </w:r>
      <w:r w:rsidR="009D53BD" w:rsidRPr="00D81CDC">
        <w:rPr>
          <w:rFonts w:ascii="Times New Roman" w:hAnsi="Times New Roman" w:cs="Times New Roman"/>
          <w:sz w:val="28"/>
          <w:szCs w:val="28"/>
        </w:rPr>
        <w:t xml:space="preserve"> to remember.</w:t>
      </w:r>
    </w:p>
    <w:p w:rsidR="006E7AF8" w:rsidRPr="00D81CDC" w:rsidRDefault="006E7AF8" w:rsidP="00221286">
      <w:pPr>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t xml:space="preserve">Therefore, </w:t>
      </w:r>
      <w:r w:rsidR="005354F9" w:rsidRPr="00D81CDC">
        <w:rPr>
          <w:rFonts w:ascii="Times New Roman" w:hAnsi="Times New Roman" w:cs="Times New Roman"/>
          <w:sz w:val="28"/>
          <w:szCs w:val="28"/>
        </w:rPr>
        <w:t>three</w:t>
      </w:r>
      <w:r w:rsidRPr="00D81CDC">
        <w:rPr>
          <w:rFonts w:ascii="Times New Roman" w:hAnsi="Times New Roman" w:cs="Times New Roman"/>
          <w:sz w:val="28"/>
          <w:szCs w:val="28"/>
        </w:rPr>
        <w:t xml:space="preserve"> additional names should be considered: “legal practitioner</w:t>
      </w:r>
      <w:r w:rsidR="005354F9" w:rsidRPr="00D81CDC">
        <w:rPr>
          <w:rFonts w:ascii="Times New Roman" w:hAnsi="Times New Roman" w:cs="Times New Roman"/>
          <w:sz w:val="28"/>
          <w:szCs w:val="28"/>
        </w:rPr>
        <w:t>,</w:t>
      </w:r>
      <w:r w:rsidRPr="00D81CDC">
        <w:rPr>
          <w:rFonts w:ascii="Times New Roman" w:hAnsi="Times New Roman" w:cs="Times New Roman"/>
          <w:sz w:val="28"/>
          <w:szCs w:val="28"/>
        </w:rPr>
        <w:t xml:space="preserve">” </w:t>
      </w:r>
      <w:r w:rsidR="00136F49">
        <w:rPr>
          <w:rFonts w:ascii="Times New Roman" w:hAnsi="Times New Roman" w:cs="Times New Roman"/>
          <w:sz w:val="28"/>
          <w:szCs w:val="28"/>
        </w:rPr>
        <w:t>“</w:t>
      </w:r>
      <w:r w:rsidR="005354F9" w:rsidRPr="00D81CDC">
        <w:rPr>
          <w:rFonts w:ascii="Times New Roman" w:hAnsi="Times New Roman" w:cs="Times New Roman"/>
          <w:sz w:val="28"/>
          <w:szCs w:val="28"/>
        </w:rPr>
        <w:t>independent license</w:t>
      </w:r>
      <w:r w:rsidR="00136F49">
        <w:rPr>
          <w:rFonts w:ascii="Times New Roman" w:hAnsi="Times New Roman" w:cs="Times New Roman"/>
          <w:sz w:val="28"/>
          <w:szCs w:val="28"/>
        </w:rPr>
        <w:t>d</w:t>
      </w:r>
      <w:r w:rsidR="005354F9" w:rsidRPr="00D81CDC">
        <w:rPr>
          <w:rFonts w:ascii="Times New Roman" w:hAnsi="Times New Roman" w:cs="Times New Roman"/>
          <w:sz w:val="28"/>
          <w:szCs w:val="28"/>
        </w:rPr>
        <w:t xml:space="preserve"> paralegal” </w:t>
      </w:r>
      <w:r w:rsidRPr="00D81CDC">
        <w:rPr>
          <w:rFonts w:ascii="Times New Roman" w:hAnsi="Times New Roman" w:cs="Times New Roman"/>
          <w:sz w:val="28"/>
          <w:szCs w:val="28"/>
        </w:rPr>
        <w:t>and “licensed paralegal.”</w:t>
      </w:r>
    </w:p>
    <w:p w:rsidR="009D53BD" w:rsidRPr="00D81CDC" w:rsidRDefault="006E7AF8" w:rsidP="00221286">
      <w:pPr>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t xml:space="preserve">When the Task Force debated potential names for the new tier of legal-service provider, the </w:t>
      </w:r>
      <w:r w:rsidR="009D53BD" w:rsidRPr="00D81CDC">
        <w:rPr>
          <w:rFonts w:ascii="Times New Roman" w:hAnsi="Times New Roman" w:cs="Times New Roman"/>
          <w:sz w:val="28"/>
          <w:szCs w:val="28"/>
        </w:rPr>
        <w:t xml:space="preserve">simpler </w:t>
      </w:r>
      <w:r w:rsidRPr="00D81CDC">
        <w:rPr>
          <w:rFonts w:ascii="Times New Roman" w:hAnsi="Times New Roman" w:cs="Times New Roman"/>
          <w:sz w:val="28"/>
          <w:szCs w:val="28"/>
        </w:rPr>
        <w:t>title</w:t>
      </w:r>
      <w:r w:rsidR="00EB26CA" w:rsidRPr="00D81CDC">
        <w:rPr>
          <w:rFonts w:ascii="Times New Roman" w:hAnsi="Times New Roman" w:cs="Times New Roman"/>
          <w:sz w:val="28"/>
          <w:szCs w:val="28"/>
        </w:rPr>
        <w:t xml:space="preserve"> “</w:t>
      </w:r>
      <w:r w:rsidR="009D53BD" w:rsidRPr="00D81CDC">
        <w:rPr>
          <w:rFonts w:ascii="Times New Roman" w:hAnsi="Times New Roman" w:cs="Times New Roman"/>
          <w:sz w:val="28"/>
          <w:szCs w:val="28"/>
        </w:rPr>
        <w:t>l</w:t>
      </w:r>
      <w:r w:rsidR="00EB26CA" w:rsidRPr="00D81CDC">
        <w:rPr>
          <w:rFonts w:ascii="Times New Roman" w:hAnsi="Times New Roman" w:cs="Times New Roman"/>
          <w:sz w:val="28"/>
          <w:szCs w:val="28"/>
        </w:rPr>
        <w:t xml:space="preserve">egal </w:t>
      </w:r>
      <w:r w:rsidR="009D53BD" w:rsidRPr="00D81CDC">
        <w:rPr>
          <w:rFonts w:ascii="Times New Roman" w:hAnsi="Times New Roman" w:cs="Times New Roman"/>
          <w:sz w:val="28"/>
          <w:szCs w:val="28"/>
        </w:rPr>
        <w:t>p</w:t>
      </w:r>
      <w:r w:rsidR="00EB26CA" w:rsidRPr="00D81CDC">
        <w:rPr>
          <w:rFonts w:ascii="Times New Roman" w:hAnsi="Times New Roman" w:cs="Times New Roman"/>
          <w:sz w:val="28"/>
          <w:szCs w:val="28"/>
        </w:rPr>
        <w:t xml:space="preserve">ractitioner” garnered significant support. </w:t>
      </w:r>
      <w:r w:rsidR="009D53BD" w:rsidRPr="00D81CDC">
        <w:rPr>
          <w:rFonts w:ascii="Times New Roman" w:hAnsi="Times New Roman" w:cs="Times New Roman"/>
          <w:sz w:val="28"/>
          <w:szCs w:val="28"/>
        </w:rPr>
        <w:t>The</w:t>
      </w:r>
      <w:r w:rsidR="00EB26CA" w:rsidRPr="00D81CDC">
        <w:rPr>
          <w:rFonts w:ascii="Times New Roman" w:hAnsi="Times New Roman" w:cs="Times New Roman"/>
          <w:sz w:val="28"/>
          <w:szCs w:val="28"/>
        </w:rPr>
        <w:t xml:space="preserve"> </w:t>
      </w:r>
      <w:r w:rsidR="009D53BD" w:rsidRPr="00D81CDC">
        <w:rPr>
          <w:rFonts w:ascii="Times New Roman" w:hAnsi="Times New Roman" w:cs="Times New Roman"/>
          <w:sz w:val="28"/>
          <w:szCs w:val="28"/>
        </w:rPr>
        <w:t>name</w:t>
      </w:r>
      <w:r w:rsidR="00EB26CA" w:rsidRPr="00D81CDC">
        <w:rPr>
          <w:rFonts w:ascii="Times New Roman" w:hAnsi="Times New Roman" w:cs="Times New Roman"/>
          <w:sz w:val="28"/>
          <w:szCs w:val="28"/>
        </w:rPr>
        <w:t xml:space="preserve"> </w:t>
      </w:r>
      <w:r w:rsidR="00EB26CA" w:rsidRPr="00D81CDC">
        <w:rPr>
          <w:rFonts w:ascii="Times New Roman" w:hAnsi="Times New Roman" w:cs="Times New Roman"/>
          <w:sz w:val="28"/>
          <w:szCs w:val="28"/>
        </w:rPr>
        <w:lastRenderedPageBreak/>
        <w:t>was not adopted</w:t>
      </w:r>
      <w:r w:rsidRPr="00D81CDC">
        <w:rPr>
          <w:rFonts w:ascii="Times New Roman" w:hAnsi="Times New Roman" w:cs="Times New Roman"/>
          <w:sz w:val="28"/>
          <w:szCs w:val="28"/>
        </w:rPr>
        <w:t>, however,</w:t>
      </w:r>
      <w:r w:rsidR="00EB26CA" w:rsidRPr="00D81CDC">
        <w:rPr>
          <w:rFonts w:ascii="Times New Roman" w:hAnsi="Times New Roman" w:cs="Times New Roman"/>
          <w:sz w:val="28"/>
          <w:szCs w:val="28"/>
        </w:rPr>
        <w:t xml:space="preserve"> </w:t>
      </w:r>
      <w:r w:rsidR="009D53BD" w:rsidRPr="00D81CDC">
        <w:rPr>
          <w:rFonts w:ascii="Times New Roman" w:hAnsi="Times New Roman" w:cs="Times New Roman"/>
          <w:sz w:val="28"/>
          <w:szCs w:val="28"/>
        </w:rPr>
        <w:t>because</w:t>
      </w:r>
      <w:r w:rsidR="00EB26CA"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some </w:t>
      </w:r>
      <w:r w:rsidR="00EB26CA" w:rsidRPr="00D81CDC">
        <w:rPr>
          <w:rFonts w:ascii="Times New Roman" w:hAnsi="Times New Roman" w:cs="Times New Roman"/>
          <w:sz w:val="28"/>
          <w:szCs w:val="28"/>
        </w:rPr>
        <w:t xml:space="preserve">Task Force </w:t>
      </w:r>
      <w:r w:rsidR="009D53BD" w:rsidRPr="00D81CDC">
        <w:rPr>
          <w:rFonts w:ascii="Times New Roman" w:hAnsi="Times New Roman" w:cs="Times New Roman"/>
          <w:sz w:val="28"/>
          <w:szCs w:val="28"/>
        </w:rPr>
        <w:t xml:space="preserve">members </w:t>
      </w:r>
      <w:r w:rsidR="00EB26CA" w:rsidRPr="00D81CDC">
        <w:rPr>
          <w:rFonts w:ascii="Times New Roman" w:hAnsi="Times New Roman" w:cs="Times New Roman"/>
          <w:sz w:val="28"/>
          <w:szCs w:val="28"/>
        </w:rPr>
        <w:t xml:space="preserve">noted that – technically speaking </w:t>
      </w:r>
      <w:r w:rsidR="001740EC">
        <w:rPr>
          <w:rFonts w:ascii="Times New Roman" w:hAnsi="Times New Roman" w:cs="Times New Roman"/>
          <w:sz w:val="28"/>
          <w:szCs w:val="28"/>
        </w:rPr>
        <w:t>–</w:t>
      </w:r>
      <w:r w:rsidR="00EB26CA" w:rsidRPr="00D81CDC">
        <w:rPr>
          <w:rFonts w:ascii="Times New Roman" w:hAnsi="Times New Roman" w:cs="Times New Roman"/>
          <w:sz w:val="28"/>
          <w:szCs w:val="28"/>
        </w:rPr>
        <w:t xml:space="preserve"> lawyers are “legal practitioners</w:t>
      </w:r>
      <w:r w:rsidR="009D53BD" w:rsidRPr="00D81CDC">
        <w:rPr>
          <w:rFonts w:ascii="Times New Roman" w:hAnsi="Times New Roman" w:cs="Times New Roman"/>
          <w:sz w:val="28"/>
          <w:szCs w:val="28"/>
        </w:rPr>
        <w:t>.”</w:t>
      </w:r>
    </w:p>
    <w:p w:rsidR="006E7AF8" w:rsidRPr="00D81CDC" w:rsidRDefault="006E7AF8"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“Legal practitioner” is nonetheless a viable candidate, and not only because it is a simpler name. This petition </w:t>
      </w:r>
      <w:r w:rsidR="00EB26CA" w:rsidRPr="00D81CDC">
        <w:rPr>
          <w:rFonts w:ascii="Times New Roman" w:hAnsi="Times New Roman" w:cs="Times New Roman"/>
          <w:sz w:val="28"/>
          <w:szCs w:val="28"/>
        </w:rPr>
        <w:t>propos</w:t>
      </w:r>
      <w:r w:rsidRPr="00D81CDC">
        <w:rPr>
          <w:rFonts w:ascii="Times New Roman" w:hAnsi="Times New Roman" w:cs="Times New Roman"/>
          <w:sz w:val="28"/>
          <w:szCs w:val="28"/>
        </w:rPr>
        <w:t>es</w:t>
      </w:r>
      <w:r w:rsidR="00EB26CA" w:rsidRPr="00D81CDC">
        <w:rPr>
          <w:rFonts w:ascii="Times New Roman" w:hAnsi="Times New Roman" w:cs="Times New Roman"/>
          <w:sz w:val="28"/>
          <w:szCs w:val="28"/>
        </w:rPr>
        <w:t xml:space="preserve"> creat</w:t>
      </w:r>
      <w:r w:rsidRPr="00D81CDC">
        <w:rPr>
          <w:rFonts w:ascii="Times New Roman" w:hAnsi="Times New Roman" w:cs="Times New Roman"/>
          <w:sz w:val="28"/>
          <w:szCs w:val="28"/>
        </w:rPr>
        <w:t>ing</w:t>
      </w:r>
      <w:r w:rsidR="00EB26CA" w:rsidRPr="00D81CDC">
        <w:rPr>
          <w:rFonts w:ascii="Times New Roman" w:hAnsi="Times New Roman" w:cs="Times New Roman"/>
          <w:sz w:val="28"/>
          <w:szCs w:val="28"/>
        </w:rPr>
        <w:t xml:space="preserve"> a second tier of legal practitioner – one that is distinct from lawyers by name and scope of practice. More importantly, by virtue of the </w:t>
      </w:r>
      <w:r w:rsidRPr="00D81CDC">
        <w:rPr>
          <w:rFonts w:ascii="Times New Roman" w:hAnsi="Times New Roman" w:cs="Times New Roman"/>
          <w:sz w:val="28"/>
          <w:szCs w:val="28"/>
        </w:rPr>
        <w:t>n</w:t>
      </w:r>
      <w:r w:rsidR="00EB26CA" w:rsidRPr="00D81CDC">
        <w:rPr>
          <w:rFonts w:ascii="Times New Roman" w:hAnsi="Times New Roman" w:cs="Times New Roman"/>
          <w:sz w:val="28"/>
          <w:szCs w:val="28"/>
        </w:rPr>
        <w:t xml:space="preserve">urse </w:t>
      </w:r>
      <w:r w:rsidRPr="00D81CDC">
        <w:rPr>
          <w:rFonts w:ascii="Times New Roman" w:hAnsi="Times New Roman" w:cs="Times New Roman"/>
          <w:sz w:val="28"/>
          <w:szCs w:val="28"/>
        </w:rPr>
        <w:t>p</w:t>
      </w:r>
      <w:r w:rsidR="00EB26CA" w:rsidRPr="00D81CDC">
        <w:rPr>
          <w:rFonts w:ascii="Times New Roman" w:hAnsi="Times New Roman" w:cs="Times New Roman"/>
          <w:sz w:val="28"/>
          <w:szCs w:val="28"/>
        </w:rPr>
        <w:t xml:space="preserve">ractitioner model, the public </w:t>
      </w:r>
      <w:r w:rsidR="005354F9" w:rsidRPr="00D81CDC">
        <w:rPr>
          <w:rFonts w:ascii="Times New Roman" w:hAnsi="Times New Roman" w:cs="Times New Roman"/>
          <w:sz w:val="28"/>
          <w:szCs w:val="28"/>
        </w:rPr>
        <w:t>may</w:t>
      </w:r>
      <w:r w:rsidR="00EB26CA" w:rsidRPr="00D81CDC">
        <w:rPr>
          <w:rFonts w:ascii="Times New Roman" w:hAnsi="Times New Roman" w:cs="Times New Roman"/>
          <w:sz w:val="28"/>
          <w:szCs w:val="28"/>
        </w:rPr>
        <w:t xml:space="preserve"> quickly</w:t>
      </w:r>
      <w:r w:rsidRPr="00D81CDC">
        <w:rPr>
          <w:rFonts w:ascii="Times New Roman" w:hAnsi="Times New Roman" w:cs="Times New Roman"/>
          <w:sz w:val="28"/>
          <w:szCs w:val="28"/>
        </w:rPr>
        <w:t xml:space="preserve"> understand</w:t>
      </w:r>
      <w:r w:rsidR="00EB26CA" w:rsidRPr="00D81CDC">
        <w:rPr>
          <w:rFonts w:ascii="Times New Roman" w:hAnsi="Times New Roman" w:cs="Times New Roman"/>
          <w:sz w:val="28"/>
          <w:szCs w:val="28"/>
        </w:rPr>
        <w:t xml:space="preserve"> that the </w:t>
      </w:r>
      <w:r w:rsidRPr="00D81CDC">
        <w:rPr>
          <w:rFonts w:ascii="Times New Roman" w:hAnsi="Times New Roman" w:cs="Times New Roman"/>
          <w:sz w:val="28"/>
          <w:szCs w:val="28"/>
        </w:rPr>
        <w:t>l</w:t>
      </w:r>
      <w:r w:rsidR="00EB26CA" w:rsidRPr="00D81CDC">
        <w:rPr>
          <w:rFonts w:ascii="Times New Roman" w:hAnsi="Times New Roman" w:cs="Times New Roman"/>
          <w:sz w:val="28"/>
          <w:szCs w:val="28"/>
        </w:rPr>
        <w:t xml:space="preserve">egal </w:t>
      </w:r>
      <w:r w:rsidRPr="00D81CDC">
        <w:rPr>
          <w:rFonts w:ascii="Times New Roman" w:hAnsi="Times New Roman" w:cs="Times New Roman"/>
          <w:sz w:val="28"/>
          <w:szCs w:val="28"/>
        </w:rPr>
        <w:t>p</w:t>
      </w:r>
      <w:r w:rsidR="00EB26CA" w:rsidRPr="00D81CDC">
        <w:rPr>
          <w:rFonts w:ascii="Times New Roman" w:hAnsi="Times New Roman" w:cs="Times New Roman"/>
          <w:sz w:val="28"/>
          <w:szCs w:val="28"/>
        </w:rPr>
        <w:t xml:space="preserve">ractitioner is one who </w:t>
      </w:r>
      <w:r w:rsidRPr="00D81CDC">
        <w:rPr>
          <w:rFonts w:ascii="Times New Roman" w:hAnsi="Times New Roman" w:cs="Times New Roman"/>
          <w:sz w:val="28"/>
          <w:szCs w:val="28"/>
        </w:rPr>
        <w:t xml:space="preserve">works </w:t>
      </w:r>
      <w:r w:rsidR="00EB26CA" w:rsidRPr="00D81CDC">
        <w:rPr>
          <w:rFonts w:ascii="Times New Roman" w:hAnsi="Times New Roman" w:cs="Times New Roman"/>
          <w:sz w:val="28"/>
          <w:szCs w:val="28"/>
        </w:rPr>
        <w:t>in the legal field</w:t>
      </w:r>
      <w:r w:rsidRPr="00D81CDC">
        <w:rPr>
          <w:rFonts w:ascii="Times New Roman" w:hAnsi="Times New Roman" w:cs="Times New Roman"/>
          <w:sz w:val="28"/>
          <w:szCs w:val="28"/>
        </w:rPr>
        <w:t xml:space="preserve"> but is </w:t>
      </w:r>
      <w:r w:rsidR="00EB26CA" w:rsidRPr="00D81CDC">
        <w:rPr>
          <w:rFonts w:ascii="Times New Roman" w:hAnsi="Times New Roman" w:cs="Times New Roman"/>
          <w:sz w:val="28"/>
          <w:szCs w:val="28"/>
        </w:rPr>
        <w:t>not a full-fledged lawyer.</w:t>
      </w:r>
    </w:p>
    <w:p w:rsidR="00EB26CA" w:rsidRPr="00D81CDC" w:rsidRDefault="006E7AF8"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 xml:space="preserve">Members of the Entity Regulation Work Group, which was tasked with developing the regulatory framework for the ABS proposal, endorsed </w:t>
      </w:r>
      <w:r w:rsidR="0074437B" w:rsidRPr="00D81CDC">
        <w:rPr>
          <w:rFonts w:ascii="Times New Roman" w:hAnsi="Times New Roman" w:cs="Times New Roman"/>
          <w:sz w:val="28"/>
          <w:szCs w:val="28"/>
        </w:rPr>
        <w:t xml:space="preserve">the name “legal practitioner” for the same reasons. </w:t>
      </w:r>
      <w:r w:rsidR="00EB26CA" w:rsidRPr="00D81CDC">
        <w:rPr>
          <w:rFonts w:ascii="Times New Roman" w:hAnsi="Times New Roman" w:cs="Times New Roman"/>
          <w:sz w:val="28"/>
          <w:szCs w:val="28"/>
        </w:rPr>
        <w:t>That work</w:t>
      </w:r>
      <w:r w:rsidR="0074437B" w:rsidRPr="00D81CDC">
        <w:rPr>
          <w:rFonts w:ascii="Times New Roman" w:hAnsi="Times New Roman" w:cs="Times New Roman"/>
          <w:sz w:val="28"/>
          <w:szCs w:val="28"/>
        </w:rPr>
        <w:t xml:space="preserve"> </w:t>
      </w:r>
      <w:r w:rsidR="00EB26CA" w:rsidRPr="00D81CDC">
        <w:rPr>
          <w:rFonts w:ascii="Times New Roman" w:hAnsi="Times New Roman" w:cs="Times New Roman"/>
          <w:sz w:val="28"/>
          <w:szCs w:val="28"/>
        </w:rPr>
        <w:t>group</w:t>
      </w:r>
      <w:r w:rsidR="0074437B" w:rsidRPr="00D81CDC">
        <w:rPr>
          <w:rFonts w:ascii="Times New Roman" w:hAnsi="Times New Roman" w:cs="Times New Roman"/>
          <w:sz w:val="28"/>
          <w:szCs w:val="28"/>
        </w:rPr>
        <w:t xml:space="preserve">, </w:t>
      </w:r>
      <w:r w:rsidR="00EB26CA" w:rsidRPr="00D81CDC">
        <w:rPr>
          <w:rFonts w:ascii="Times New Roman" w:hAnsi="Times New Roman" w:cs="Times New Roman"/>
          <w:sz w:val="28"/>
          <w:szCs w:val="28"/>
        </w:rPr>
        <w:t>which included former Task Force members and lawyers from other states and countries, concurred that the name “legal practitioner” would resonate with the public better, because “legal practitioner” is part of the already existing name being used. The more abbreviated and focused name is a logical improvement of the new tier and avoids issues with any label that involve the term “paralegal.”</w:t>
      </w:r>
    </w:p>
    <w:p w:rsidR="0074437B" w:rsidRPr="00D81CDC" w:rsidRDefault="00EB26CA" w:rsidP="00221286">
      <w:pPr>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r>
      <w:r w:rsidR="0074437B" w:rsidRPr="00D81CDC">
        <w:rPr>
          <w:rFonts w:ascii="Times New Roman" w:hAnsi="Times New Roman" w:cs="Times New Roman"/>
          <w:sz w:val="28"/>
          <w:szCs w:val="28"/>
        </w:rPr>
        <w:t>The name</w:t>
      </w:r>
      <w:r w:rsidR="005354F9" w:rsidRPr="00D81CDC">
        <w:rPr>
          <w:rFonts w:ascii="Times New Roman" w:hAnsi="Times New Roman" w:cs="Times New Roman"/>
          <w:sz w:val="28"/>
          <w:szCs w:val="28"/>
        </w:rPr>
        <w:t>s</w:t>
      </w:r>
      <w:r w:rsidR="0074437B" w:rsidRPr="00D81CDC">
        <w:rPr>
          <w:rFonts w:ascii="Times New Roman" w:hAnsi="Times New Roman" w:cs="Times New Roman"/>
          <w:sz w:val="28"/>
          <w:szCs w:val="28"/>
        </w:rPr>
        <w:t xml:space="preserve"> </w:t>
      </w:r>
      <w:r w:rsidRPr="00D81CDC">
        <w:rPr>
          <w:rFonts w:ascii="Times New Roman" w:hAnsi="Times New Roman" w:cs="Times New Roman"/>
          <w:sz w:val="28"/>
          <w:szCs w:val="28"/>
        </w:rPr>
        <w:t>“licensed paralegal</w:t>
      </w:r>
      <w:r w:rsidR="0074437B" w:rsidRPr="00D81CDC">
        <w:rPr>
          <w:rFonts w:ascii="Times New Roman" w:hAnsi="Times New Roman" w:cs="Times New Roman"/>
          <w:sz w:val="28"/>
          <w:szCs w:val="28"/>
        </w:rPr>
        <w:t xml:space="preserve">” </w:t>
      </w:r>
      <w:r w:rsidR="005354F9" w:rsidRPr="00D81CDC">
        <w:rPr>
          <w:rFonts w:ascii="Times New Roman" w:hAnsi="Times New Roman" w:cs="Times New Roman"/>
          <w:sz w:val="28"/>
          <w:szCs w:val="28"/>
        </w:rPr>
        <w:t xml:space="preserve">and “independent licensed paralegal” </w:t>
      </w:r>
      <w:r w:rsidR="0074437B" w:rsidRPr="00D81CDC">
        <w:rPr>
          <w:rFonts w:ascii="Times New Roman" w:hAnsi="Times New Roman" w:cs="Times New Roman"/>
          <w:sz w:val="28"/>
          <w:szCs w:val="28"/>
        </w:rPr>
        <w:t xml:space="preserve">also </w:t>
      </w:r>
      <w:r w:rsidR="005354F9" w:rsidRPr="00D81CDC">
        <w:rPr>
          <w:rFonts w:ascii="Times New Roman" w:hAnsi="Times New Roman" w:cs="Times New Roman"/>
          <w:sz w:val="28"/>
          <w:szCs w:val="28"/>
        </w:rPr>
        <w:t>have</w:t>
      </w:r>
      <w:r w:rsidR="0074437B" w:rsidRPr="00D81CDC">
        <w:rPr>
          <w:rFonts w:ascii="Times New Roman" w:hAnsi="Times New Roman" w:cs="Times New Roman"/>
          <w:sz w:val="28"/>
          <w:szCs w:val="28"/>
        </w:rPr>
        <w:t xml:space="preserve"> some attraction. </w:t>
      </w:r>
      <w:r w:rsidRPr="00D81CDC">
        <w:rPr>
          <w:rFonts w:ascii="Times New Roman" w:hAnsi="Times New Roman" w:cs="Times New Roman"/>
          <w:sz w:val="28"/>
          <w:szCs w:val="28"/>
        </w:rPr>
        <w:t xml:space="preserve">Although </w:t>
      </w:r>
      <w:r w:rsidR="000C5A75" w:rsidRPr="00D81CDC">
        <w:rPr>
          <w:rFonts w:ascii="Times New Roman" w:hAnsi="Times New Roman" w:cs="Times New Roman"/>
          <w:sz w:val="28"/>
          <w:szCs w:val="28"/>
        </w:rPr>
        <w:t>these</w:t>
      </w:r>
      <w:r w:rsidRPr="00D81CDC">
        <w:rPr>
          <w:rFonts w:ascii="Times New Roman" w:hAnsi="Times New Roman" w:cs="Times New Roman"/>
          <w:sz w:val="28"/>
          <w:szCs w:val="28"/>
        </w:rPr>
        <w:t xml:space="preserve"> name</w:t>
      </w:r>
      <w:r w:rsidR="000C5A75" w:rsidRPr="00D81CDC">
        <w:rPr>
          <w:rFonts w:ascii="Times New Roman" w:hAnsi="Times New Roman" w:cs="Times New Roman"/>
          <w:sz w:val="28"/>
          <w:szCs w:val="28"/>
        </w:rPr>
        <w:t>s</w:t>
      </w:r>
      <w:r w:rsidRPr="00D81CDC">
        <w:rPr>
          <w:rFonts w:ascii="Times New Roman" w:hAnsi="Times New Roman" w:cs="Times New Roman"/>
          <w:sz w:val="28"/>
          <w:szCs w:val="28"/>
        </w:rPr>
        <w:t xml:space="preserve"> </w:t>
      </w:r>
      <w:r w:rsidR="000C5A75" w:rsidRPr="00D81CDC">
        <w:rPr>
          <w:rFonts w:ascii="Times New Roman" w:hAnsi="Times New Roman" w:cs="Times New Roman"/>
          <w:sz w:val="28"/>
          <w:szCs w:val="28"/>
        </w:rPr>
        <w:t>are</w:t>
      </w:r>
      <w:r w:rsidRPr="00D81CDC">
        <w:rPr>
          <w:rFonts w:ascii="Times New Roman" w:hAnsi="Times New Roman" w:cs="Times New Roman"/>
          <w:sz w:val="28"/>
          <w:szCs w:val="28"/>
        </w:rPr>
        <w:t xml:space="preserve"> shorter</w:t>
      </w:r>
      <w:r w:rsidR="000C5A75" w:rsidRPr="00D81CDC">
        <w:rPr>
          <w:rFonts w:ascii="Times New Roman" w:hAnsi="Times New Roman" w:cs="Times New Roman"/>
          <w:sz w:val="28"/>
          <w:szCs w:val="28"/>
        </w:rPr>
        <w:t xml:space="preserve"> than limited license legal practitioner</w:t>
      </w:r>
      <w:r w:rsidR="0074437B" w:rsidRPr="00D81CDC">
        <w:rPr>
          <w:rFonts w:ascii="Times New Roman" w:hAnsi="Times New Roman" w:cs="Times New Roman"/>
          <w:sz w:val="28"/>
          <w:szCs w:val="28"/>
        </w:rPr>
        <w:t xml:space="preserve">, </w:t>
      </w:r>
      <w:r w:rsidRPr="00D81CDC">
        <w:rPr>
          <w:rFonts w:ascii="Times New Roman" w:hAnsi="Times New Roman" w:cs="Times New Roman"/>
          <w:sz w:val="28"/>
          <w:szCs w:val="28"/>
        </w:rPr>
        <w:t>the term “paralegal”</w:t>
      </w:r>
      <w:r w:rsidR="000C5A75" w:rsidRPr="00D81CDC">
        <w:rPr>
          <w:rFonts w:ascii="Times New Roman" w:hAnsi="Times New Roman" w:cs="Times New Roman"/>
          <w:sz w:val="28"/>
          <w:szCs w:val="28"/>
        </w:rPr>
        <w:t xml:space="preserve"> might be problematic. It</w:t>
      </w:r>
      <w:r w:rsidRPr="00D81CDC">
        <w:rPr>
          <w:rFonts w:ascii="Times New Roman" w:hAnsi="Times New Roman" w:cs="Times New Roman"/>
          <w:sz w:val="28"/>
          <w:szCs w:val="28"/>
        </w:rPr>
        <w:t xml:space="preserve"> is widely understood to mean a person working under </w:t>
      </w:r>
      <w:r w:rsidR="0074437B" w:rsidRPr="00D81CDC">
        <w:rPr>
          <w:rFonts w:ascii="Times New Roman" w:hAnsi="Times New Roman" w:cs="Times New Roman"/>
          <w:sz w:val="28"/>
          <w:szCs w:val="28"/>
        </w:rPr>
        <w:t xml:space="preserve">a lawyer’s </w:t>
      </w:r>
      <w:r w:rsidRPr="00D81CDC">
        <w:rPr>
          <w:rFonts w:ascii="Times New Roman" w:hAnsi="Times New Roman" w:cs="Times New Roman"/>
          <w:sz w:val="28"/>
          <w:szCs w:val="28"/>
        </w:rPr>
        <w:t xml:space="preserve">supervision. </w:t>
      </w:r>
      <w:r w:rsidR="0074437B" w:rsidRPr="00D81CDC">
        <w:rPr>
          <w:rFonts w:ascii="Times New Roman" w:hAnsi="Times New Roman" w:cs="Times New Roman"/>
          <w:sz w:val="28"/>
          <w:szCs w:val="28"/>
        </w:rPr>
        <w:t>Current Rule 31(a)(2)(C), Ariz. R. Sup. Ct., even defines “legal assistant/paralegal” in part as a person “</w:t>
      </w:r>
      <w:r w:rsidR="0074437B" w:rsidRPr="00D81CDC">
        <w:rPr>
          <w:rFonts w:ascii="Times New Roman" w:hAnsi="Times New Roman" w:cs="Times New Roman"/>
          <w:color w:val="212121"/>
          <w:sz w:val="28"/>
          <w:szCs w:val="28"/>
        </w:rPr>
        <w:t>who is supervised by an active member of the State Bar of</w:t>
      </w:r>
      <w:r w:rsidR="0074437B" w:rsidRPr="00D81CDC">
        <w:rPr>
          <w:rFonts w:ascii="Times New Roman" w:hAnsi="Times New Roman" w:cs="Times New Roman"/>
          <w:sz w:val="28"/>
          <w:szCs w:val="28"/>
        </w:rPr>
        <w:t xml:space="preserve"> </w:t>
      </w:r>
      <w:r w:rsidR="0074437B" w:rsidRPr="00D81CDC">
        <w:rPr>
          <w:rFonts w:ascii="Times New Roman" w:hAnsi="Times New Roman" w:cs="Times New Roman"/>
          <w:color w:val="212121"/>
          <w:sz w:val="28"/>
          <w:szCs w:val="28"/>
        </w:rPr>
        <w:t xml:space="preserve">Arizona, and for whom an active member of the state bar is responsible, unless otherwise authorized by supreme court rule.” </w:t>
      </w:r>
    </w:p>
    <w:p w:rsidR="00EB26CA" w:rsidRPr="00D81CDC" w:rsidRDefault="0074437B" w:rsidP="00221286">
      <w:pPr>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t xml:space="preserve">In addition, “licensed paralegal” could be confused with “certified paralegal.” </w:t>
      </w:r>
      <w:r w:rsidR="00EB26CA" w:rsidRPr="00D81CDC">
        <w:rPr>
          <w:rFonts w:ascii="Times New Roman" w:hAnsi="Times New Roman" w:cs="Times New Roman"/>
          <w:sz w:val="28"/>
          <w:szCs w:val="28"/>
        </w:rPr>
        <w:t xml:space="preserve">Several national paralegal organizations certify paralegals by way of examination. That certification is a basis for the pay rate a paralegal can garner in the workplace as well as a basis to support the hourly rate a law firm bills clients or seeks when </w:t>
      </w:r>
      <w:r w:rsidR="00EB26CA" w:rsidRPr="00D81CDC">
        <w:rPr>
          <w:rFonts w:ascii="Times New Roman" w:hAnsi="Times New Roman" w:cs="Times New Roman"/>
          <w:sz w:val="28"/>
          <w:szCs w:val="28"/>
        </w:rPr>
        <w:lastRenderedPageBreak/>
        <w:t>petitioning a court for attorneys’ fees.  Arizona’s Phoenix College runs a preparatory course for one of those certification exams; many of its graduates obtain that certification and refer to themselves or list themselves as “certified paralegal,” a term that could be conflated with “licensed paralegal.”</w:t>
      </w:r>
      <w:r w:rsidR="005354F9" w:rsidRPr="00D81CDC">
        <w:rPr>
          <w:rFonts w:ascii="Times New Roman" w:hAnsi="Times New Roman" w:cs="Times New Roman"/>
          <w:sz w:val="28"/>
          <w:szCs w:val="28"/>
        </w:rPr>
        <w:t xml:space="preserve"> It was suggested that the name “independent licensed paralegal” may avoid the issue of confusion with the term “certified paralegal” because the use of ‘independent’ may signal to a consumer the person is not working under the supervision of a lawyer.</w:t>
      </w:r>
    </w:p>
    <w:p w:rsidR="00A22D69" w:rsidRPr="00D81CDC" w:rsidRDefault="00EB26CA" w:rsidP="00221286">
      <w:pPr>
        <w:spacing w:line="360" w:lineRule="auto"/>
        <w:jc w:val="both"/>
        <w:rPr>
          <w:rFonts w:ascii="Times New Roman" w:hAnsi="Times New Roman" w:cs="Times New Roman"/>
          <w:sz w:val="28"/>
          <w:szCs w:val="28"/>
        </w:rPr>
      </w:pPr>
      <w:r w:rsidRPr="00D81CDC">
        <w:rPr>
          <w:rFonts w:ascii="Times New Roman" w:hAnsi="Times New Roman" w:cs="Times New Roman"/>
          <w:sz w:val="28"/>
          <w:szCs w:val="28"/>
        </w:rPr>
        <w:tab/>
        <w:t>A number of participants in Arizona Town Hall events noted that the name of the new legal</w:t>
      </w:r>
      <w:r w:rsidR="0074437B" w:rsidRPr="00D81CDC">
        <w:rPr>
          <w:rFonts w:ascii="Times New Roman" w:hAnsi="Times New Roman" w:cs="Times New Roman"/>
          <w:sz w:val="28"/>
          <w:szCs w:val="28"/>
        </w:rPr>
        <w:t>-</w:t>
      </w:r>
      <w:r w:rsidRPr="00D81CDC">
        <w:rPr>
          <w:rFonts w:ascii="Times New Roman" w:hAnsi="Times New Roman" w:cs="Times New Roman"/>
          <w:sz w:val="28"/>
          <w:szCs w:val="28"/>
        </w:rPr>
        <w:t>service</w:t>
      </w:r>
      <w:r w:rsidR="007B3793" w:rsidRPr="00D81CDC">
        <w:rPr>
          <w:rFonts w:ascii="Times New Roman" w:hAnsi="Times New Roman" w:cs="Times New Roman"/>
          <w:sz w:val="28"/>
          <w:szCs w:val="28"/>
        </w:rPr>
        <w:t xml:space="preserve"> </w:t>
      </w:r>
      <w:r w:rsidRPr="00D81CDC">
        <w:rPr>
          <w:rFonts w:ascii="Times New Roman" w:hAnsi="Times New Roman" w:cs="Times New Roman"/>
          <w:sz w:val="28"/>
          <w:szCs w:val="28"/>
        </w:rPr>
        <w:t xml:space="preserve">provider should not be similar to any other common terminology a lay person would use or be aware of as being used by persons who work in the legal field. </w:t>
      </w:r>
      <w:r w:rsidR="0074437B" w:rsidRPr="00D81CDC">
        <w:rPr>
          <w:rFonts w:ascii="Times New Roman" w:hAnsi="Times New Roman" w:cs="Times New Roman"/>
          <w:sz w:val="28"/>
          <w:szCs w:val="28"/>
        </w:rPr>
        <w:t>The</w:t>
      </w:r>
      <w:r w:rsidRPr="00D81CDC">
        <w:rPr>
          <w:rFonts w:ascii="Times New Roman" w:hAnsi="Times New Roman" w:cs="Times New Roman"/>
          <w:sz w:val="28"/>
          <w:szCs w:val="28"/>
        </w:rPr>
        <w:t xml:space="preserve"> name “licensed paralegal” might lead a lay person to believe the licensed paralegal is being supervised by a lawyer and</w:t>
      </w:r>
      <w:r w:rsidR="001740EC">
        <w:rPr>
          <w:rFonts w:ascii="Times New Roman" w:hAnsi="Times New Roman" w:cs="Times New Roman"/>
          <w:sz w:val="28"/>
          <w:szCs w:val="28"/>
        </w:rPr>
        <w:t>,</w:t>
      </w:r>
      <w:r w:rsidRPr="00D81CDC">
        <w:rPr>
          <w:rFonts w:ascii="Times New Roman" w:hAnsi="Times New Roman" w:cs="Times New Roman"/>
          <w:sz w:val="28"/>
          <w:szCs w:val="28"/>
        </w:rPr>
        <w:t xml:space="preserve"> therefore</w:t>
      </w:r>
      <w:r w:rsidR="001740EC">
        <w:rPr>
          <w:rFonts w:ascii="Times New Roman" w:hAnsi="Times New Roman" w:cs="Times New Roman"/>
          <w:sz w:val="28"/>
          <w:szCs w:val="28"/>
        </w:rPr>
        <w:t>,</w:t>
      </w:r>
      <w:r w:rsidRPr="00D81CDC">
        <w:rPr>
          <w:rFonts w:ascii="Times New Roman" w:hAnsi="Times New Roman" w:cs="Times New Roman"/>
          <w:sz w:val="28"/>
          <w:szCs w:val="28"/>
        </w:rPr>
        <w:t xml:space="preserve"> the litigant is receiving the assistance, tangentially, of a lawyer. </w:t>
      </w:r>
      <w:r w:rsidR="0074437B" w:rsidRPr="00D81CDC">
        <w:rPr>
          <w:rFonts w:ascii="Times New Roman" w:hAnsi="Times New Roman" w:cs="Times New Roman"/>
          <w:sz w:val="28"/>
          <w:szCs w:val="28"/>
        </w:rPr>
        <w:t>Because of that, t</w:t>
      </w:r>
      <w:r w:rsidRPr="00D81CDC">
        <w:rPr>
          <w:rFonts w:ascii="Times New Roman" w:hAnsi="Times New Roman" w:cs="Times New Roman"/>
          <w:sz w:val="28"/>
          <w:szCs w:val="28"/>
        </w:rPr>
        <w:t xml:space="preserve">he Task Force </w:t>
      </w:r>
      <w:r w:rsidR="0074437B" w:rsidRPr="00D81CDC">
        <w:rPr>
          <w:rFonts w:ascii="Times New Roman" w:hAnsi="Times New Roman" w:cs="Times New Roman"/>
          <w:sz w:val="28"/>
          <w:szCs w:val="28"/>
        </w:rPr>
        <w:t>opted</w:t>
      </w:r>
      <w:r w:rsidRPr="00D81CDC">
        <w:rPr>
          <w:rFonts w:ascii="Times New Roman" w:hAnsi="Times New Roman" w:cs="Times New Roman"/>
          <w:sz w:val="28"/>
          <w:szCs w:val="28"/>
        </w:rPr>
        <w:t xml:space="preserve"> not to use the word “paralegal” in the name for the new tie</w:t>
      </w:r>
      <w:r w:rsidR="0074437B" w:rsidRPr="00D81CDC">
        <w:rPr>
          <w:rFonts w:ascii="Times New Roman" w:hAnsi="Times New Roman" w:cs="Times New Roman"/>
          <w:sz w:val="28"/>
          <w:szCs w:val="28"/>
        </w:rPr>
        <w:t>r.</w:t>
      </w:r>
      <w:r w:rsidRPr="00D81CDC">
        <w:rPr>
          <w:rFonts w:ascii="Times New Roman" w:hAnsi="Times New Roman" w:cs="Times New Roman"/>
          <w:sz w:val="28"/>
          <w:szCs w:val="28"/>
        </w:rPr>
        <w:tab/>
        <w:t>Recognizing that the term “limited license legal practitioner” is cumbersome and may not easily be remembered or understood by the public, there is support for a new name. Input from the public and various groups that have had a chance to share their thoughts on the topic</w:t>
      </w:r>
      <w:r w:rsidR="0074437B" w:rsidRPr="00D81CDC">
        <w:rPr>
          <w:rFonts w:ascii="Times New Roman" w:hAnsi="Times New Roman" w:cs="Times New Roman"/>
          <w:sz w:val="28"/>
          <w:szCs w:val="28"/>
        </w:rPr>
        <w:t xml:space="preserve"> </w:t>
      </w:r>
      <w:r w:rsidRPr="00D81CDC">
        <w:rPr>
          <w:rFonts w:ascii="Times New Roman" w:hAnsi="Times New Roman" w:cs="Times New Roman"/>
          <w:sz w:val="28"/>
          <w:szCs w:val="28"/>
        </w:rPr>
        <w:t>have suggested that “legal practitioner” be the term chosen. It is shorte</w:t>
      </w:r>
      <w:r w:rsidR="0074437B" w:rsidRPr="00D81CDC">
        <w:rPr>
          <w:rFonts w:ascii="Times New Roman" w:hAnsi="Times New Roman" w:cs="Times New Roman"/>
          <w:sz w:val="28"/>
          <w:szCs w:val="28"/>
        </w:rPr>
        <w:t>r, and i</w:t>
      </w:r>
      <w:r w:rsidRPr="00D81CDC">
        <w:rPr>
          <w:rFonts w:ascii="Times New Roman" w:hAnsi="Times New Roman" w:cs="Times New Roman"/>
          <w:sz w:val="28"/>
          <w:szCs w:val="28"/>
        </w:rPr>
        <w:t>t does not use the word “paralegal</w:t>
      </w:r>
      <w:r w:rsidR="0074437B" w:rsidRPr="00D81CDC">
        <w:rPr>
          <w:rFonts w:ascii="Times New Roman" w:hAnsi="Times New Roman" w:cs="Times New Roman"/>
          <w:sz w:val="28"/>
          <w:szCs w:val="28"/>
        </w:rPr>
        <w:t>,</w:t>
      </w:r>
      <w:r w:rsidRPr="00D81CDC">
        <w:rPr>
          <w:rFonts w:ascii="Times New Roman" w:hAnsi="Times New Roman" w:cs="Times New Roman"/>
          <w:sz w:val="28"/>
          <w:szCs w:val="28"/>
        </w:rPr>
        <w:t>” which avoids potential confusion, misrepresentation to the public, and conflict with the long-established meaning of that term.</w:t>
      </w:r>
    </w:p>
    <w:p w:rsidR="00A739C2" w:rsidRPr="00543F6D" w:rsidRDefault="00DA0080" w:rsidP="003B4763">
      <w:pPr>
        <w:pStyle w:val="ListParagraph"/>
        <w:numPr>
          <w:ilvl w:val="0"/>
          <w:numId w:val="10"/>
        </w:numPr>
        <w:spacing w:after="0" w:line="360" w:lineRule="auto"/>
        <w:ind w:left="1800"/>
        <w:jc w:val="both"/>
        <w:rPr>
          <w:rFonts w:ascii="Times New Roman" w:hAnsi="Times New Roman" w:cs="Times New Roman"/>
          <w:b/>
          <w:bCs/>
          <w:sz w:val="28"/>
          <w:szCs w:val="28"/>
        </w:rPr>
      </w:pPr>
      <w:r w:rsidRPr="00543F6D">
        <w:rPr>
          <w:rFonts w:ascii="Times New Roman" w:hAnsi="Times New Roman" w:cs="Times New Roman"/>
          <w:b/>
          <w:bCs/>
          <w:sz w:val="28"/>
          <w:szCs w:val="28"/>
        </w:rPr>
        <w:t xml:space="preserve">Issue: </w:t>
      </w:r>
      <w:r w:rsidR="007B3793" w:rsidRPr="00543F6D">
        <w:rPr>
          <w:rFonts w:ascii="Times New Roman" w:hAnsi="Times New Roman" w:cs="Times New Roman"/>
          <w:b/>
          <w:bCs/>
          <w:sz w:val="28"/>
          <w:szCs w:val="28"/>
        </w:rPr>
        <w:t>Q</w:t>
      </w:r>
      <w:r w:rsidR="00B05220" w:rsidRPr="00543F6D">
        <w:rPr>
          <w:rFonts w:ascii="Times New Roman" w:hAnsi="Times New Roman" w:cs="Times New Roman"/>
          <w:b/>
          <w:bCs/>
          <w:sz w:val="28"/>
          <w:szCs w:val="28"/>
        </w:rPr>
        <w:t xml:space="preserve">ualifications </w:t>
      </w:r>
      <w:r w:rsidR="007B3793" w:rsidRPr="00543F6D">
        <w:rPr>
          <w:rFonts w:ascii="Times New Roman" w:hAnsi="Times New Roman" w:cs="Times New Roman"/>
          <w:b/>
          <w:bCs/>
          <w:sz w:val="28"/>
          <w:szCs w:val="28"/>
        </w:rPr>
        <w:t>of new legal-service provider</w:t>
      </w:r>
    </w:p>
    <w:p w:rsidR="007B3793" w:rsidRPr="00D81CDC" w:rsidRDefault="00773005" w:rsidP="00221286">
      <w:pPr>
        <w:spacing w:line="360" w:lineRule="auto"/>
        <w:ind w:firstLine="720"/>
        <w:jc w:val="both"/>
        <w:rPr>
          <w:rFonts w:ascii="Times New Roman" w:hAnsi="Times New Roman" w:cs="Times New Roman"/>
          <w:sz w:val="28"/>
          <w:szCs w:val="28"/>
        </w:rPr>
      </w:pPr>
      <w:r w:rsidRPr="00D81CDC">
        <w:rPr>
          <w:rFonts w:ascii="Times New Roman" w:hAnsi="Times New Roman" w:cs="Times New Roman"/>
          <w:sz w:val="28"/>
          <w:szCs w:val="28"/>
        </w:rPr>
        <w:t>Several</w:t>
      </w:r>
      <w:r w:rsidR="007B3793" w:rsidRPr="00D81CDC">
        <w:rPr>
          <w:rFonts w:ascii="Times New Roman" w:hAnsi="Times New Roman" w:cs="Times New Roman"/>
          <w:sz w:val="28"/>
          <w:szCs w:val="28"/>
        </w:rPr>
        <w:t xml:space="preserve"> commenters questioned the sufficiency of the licensing requirements </w:t>
      </w:r>
      <w:r w:rsidR="000640EE" w:rsidRPr="00D81CDC">
        <w:rPr>
          <w:rFonts w:ascii="Times New Roman" w:hAnsi="Times New Roman" w:cs="Times New Roman"/>
          <w:sz w:val="28"/>
          <w:szCs w:val="28"/>
        </w:rPr>
        <w:t>for</w:t>
      </w:r>
      <w:r w:rsidR="007B3793" w:rsidRPr="00D81CDC">
        <w:rPr>
          <w:rFonts w:ascii="Times New Roman" w:hAnsi="Times New Roman" w:cs="Times New Roman"/>
          <w:sz w:val="28"/>
          <w:szCs w:val="28"/>
        </w:rPr>
        <w:t xml:space="preserve"> the new legal-service provider. One in particular </w:t>
      </w:r>
      <w:r w:rsidR="00856F0C" w:rsidRPr="00D81CDC">
        <w:rPr>
          <w:rFonts w:ascii="Times New Roman" w:hAnsi="Times New Roman" w:cs="Times New Roman"/>
          <w:sz w:val="28"/>
          <w:szCs w:val="28"/>
        </w:rPr>
        <w:t xml:space="preserve">suggested </w:t>
      </w:r>
      <w:r w:rsidR="0065708E" w:rsidRPr="00D81CDC">
        <w:rPr>
          <w:rFonts w:ascii="Times New Roman" w:hAnsi="Times New Roman" w:cs="Times New Roman"/>
          <w:sz w:val="28"/>
          <w:szCs w:val="28"/>
        </w:rPr>
        <w:t xml:space="preserve">that </w:t>
      </w:r>
      <w:r w:rsidR="00856F0C" w:rsidRPr="00D81CDC">
        <w:rPr>
          <w:rFonts w:ascii="Times New Roman" w:hAnsi="Times New Roman" w:cs="Times New Roman"/>
          <w:sz w:val="28"/>
          <w:szCs w:val="28"/>
        </w:rPr>
        <w:t>a</w:t>
      </w:r>
      <w:r w:rsidR="000640EE" w:rsidRPr="00D81CDC">
        <w:rPr>
          <w:rFonts w:ascii="Times New Roman" w:hAnsi="Times New Roman" w:cs="Times New Roman"/>
          <w:sz w:val="28"/>
          <w:szCs w:val="28"/>
        </w:rPr>
        <w:t xml:space="preserve"> hypothetical new legal-service provider </w:t>
      </w:r>
      <w:r w:rsidRPr="00D81CDC">
        <w:rPr>
          <w:rFonts w:ascii="Times New Roman" w:hAnsi="Times New Roman" w:cs="Times New Roman"/>
          <w:sz w:val="28"/>
          <w:szCs w:val="28"/>
        </w:rPr>
        <w:t>could have</w:t>
      </w:r>
      <w:r w:rsidR="000640EE" w:rsidRPr="00D81CDC">
        <w:rPr>
          <w:rFonts w:ascii="Times New Roman" w:hAnsi="Times New Roman" w:cs="Times New Roman"/>
          <w:sz w:val="28"/>
          <w:szCs w:val="28"/>
        </w:rPr>
        <w:t xml:space="preserve"> only “an </w:t>
      </w:r>
      <w:r w:rsidR="007B3793" w:rsidRPr="00D81CDC">
        <w:rPr>
          <w:rFonts w:ascii="Times New Roman" w:hAnsi="Times New Roman" w:cs="Times New Roman"/>
          <w:sz w:val="28"/>
          <w:szCs w:val="28"/>
        </w:rPr>
        <w:t xml:space="preserve">online bachelor’s degree in music composition and </w:t>
      </w:r>
      <w:r w:rsidR="000640EE" w:rsidRPr="00D81CDC">
        <w:rPr>
          <w:rFonts w:ascii="Times New Roman" w:hAnsi="Times New Roman" w:cs="Times New Roman"/>
          <w:sz w:val="28"/>
          <w:szCs w:val="28"/>
        </w:rPr>
        <w:t>‘</w:t>
      </w:r>
      <w:r w:rsidR="007B3793" w:rsidRPr="00D81CDC">
        <w:rPr>
          <w:rFonts w:ascii="Times New Roman" w:hAnsi="Times New Roman" w:cs="Times New Roman"/>
          <w:sz w:val="28"/>
          <w:szCs w:val="28"/>
        </w:rPr>
        <w:t>additional studies in paralegal studies or certificate programs, plus additional training and experiential learning.</w:t>
      </w:r>
      <w:r w:rsidR="000640EE" w:rsidRPr="00D81CDC">
        <w:rPr>
          <w:rFonts w:ascii="Times New Roman" w:hAnsi="Times New Roman" w:cs="Times New Roman"/>
          <w:sz w:val="28"/>
          <w:szCs w:val="28"/>
        </w:rPr>
        <w:t>’”</w:t>
      </w:r>
    </w:p>
    <w:p w:rsidR="006E7C64" w:rsidRPr="00D81CDC" w:rsidRDefault="006E7C64" w:rsidP="00221286">
      <w:pPr>
        <w:pStyle w:val="BodyText"/>
        <w:tabs>
          <w:tab w:val="left" w:pos="711"/>
        </w:tabs>
        <w:spacing w:line="360" w:lineRule="auto"/>
        <w:jc w:val="both"/>
        <w:rPr>
          <w:sz w:val="28"/>
          <w:szCs w:val="28"/>
        </w:rPr>
      </w:pPr>
      <w:r w:rsidRPr="00D81CDC">
        <w:rPr>
          <w:color w:val="000000" w:themeColor="text1"/>
          <w:sz w:val="28"/>
          <w:szCs w:val="28"/>
        </w:rPr>
        <w:lastRenderedPageBreak/>
        <w:tab/>
        <w:t xml:space="preserve">Under the proposed regulations, an applicant could meet education </w:t>
      </w:r>
      <w:r w:rsidR="00AD2F7E" w:rsidRPr="00D81CDC">
        <w:rPr>
          <w:color w:val="000000" w:themeColor="text1"/>
          <w:sz w:val="28"/>
          <w:szCs w:val="28"/>
        </w:rPr>
        <w:t>requirements</w:t>
      </w:r>
      <w:r w:rsidRPr="00D81CDC">
        <w:rPr>
          <w:color w:val="000000" w:themeColor="text1"/>
          <w:sz w:val="28"/>
          <w:szCs w:val="28"/>
        </w:rPr>
        <w:t xml:space="preserve"> in different ways: a four-year degree from an accredited university or college in any subject</w:t>
      </w:r>
      <w:r w:rsidR="001740EC">
        <w:rPr>
          <w:color w:val="000000" w:themeColor="text1"/>
          <w:sz w:val="28"/>
          <w:szCs w:val="28"/>
        </w:rPr>
        <w:t>,</w:t>
      </w:r>
      <w:r w:rsidRPr="00D81CDC">
        <w:rPr>
          <w:color w:val="000000" w:themeColor="text1"/>
          <w:sz w:val="28"/>
          <w:szCs w:val="28"/>
        </w:rPr>
        <w:t xml:space="preserve"> plus additional specific paralegal training; a four-year degree in law from an accredited college or university with specific coursework; </w:t>
      </w:r>
      <w:r w:rsidRPr="00D81CDC">
        <w:rPr>
          <w:sz w:val="28"/>
          <w:szCs w:val="28"/>
        </w:rPr>
        <w:t xml:space="preserve">or a </w:t>
      </w:r>
      <w:proofErr w:type="gramStart"/>
      <w:r w:rsidRPr="00D81CDC">
        <w:rPr>
          <w:sz w:val="28"/>
          <w:szCs w:val="28"/>
        </w:rPr>
        <w:t>master of legal studies</w:t>
      </w:r>
      <w:proofErr w:type="gramEnd"/>
      <w:r w:rsidRPr="00D81CDC">
        <w:rPr>
          <w:sz w:val="28"/>
          <w:szCs w:val="28"/>
        </w:rPr>
        <w:t xml:space="preserve"> or juris doctor degree from American Bar Association</w:t>
      </w:r>
      <w:r w:rsidR="00B006D3">
        <w:rPr>
          <w:sz w:val="28"/>
          <w:szCs w:val="28"/>
        </w:rPr>
        <w:t>-</w:t>
      </w:r>
      <w:r w:rsidRPr="00D81CDC">
        <w:rPr>
          <w:sz w:val="28"/>
          <w:szCs w:val="28"/>
        </w:rPr>
        <w:t>accredited law schools.</w:t>
      </w:r>
    </w:p>
    <w:p w:rsidR="000C5A75" w:rsidRPr="00D81CDC" w:rsidRDefault="000C5A75" w:rsidP="00221286">
      <w:pPr>
        <w:pStyle w:val="BodyText"/>
        <w:tabs>
          <w:tab w:val="left" w:pos="711"/>
        </w:tabs>
        <w:spacing w:line="360" w:lineRule="auto"/>
        <w:jc w:val="both"/>
        <w:rPr>
          <w:sz w:val="28"/>
          <w:szCs w:val="28"/>
        </w:rPr>
      </w:pPr>
      <w:r w:rsidRPr="00D81CDC">
        <w:rPr>
          <w:sz w:val="28"/>
          <w:szCs w:val="28"/>
        </w:rPr>
        <w:tab/>
        <w:t xml:space="preserve">If an applicant has earned an online bachelor’s degree in music composition from an accredited college or university, it is indeed possible that that could suffice as the baseline education requirement for the new legal-services practitioner, who also would be required to obtain additional legal-related studies. That </w:t>
      </w:r>
      <w:r w:rsidR="00136F49">
        <w:rPr>
          <w:sz w:val="28"/>
          <w:szCs w:val="28"/>
        </w:rPr>
        <w:t xml:space="preserve">same degree </w:t>
      </w:r>
      <w:r w:rsidRPr="00D81CDC">
        <w:rPr>
          <w:sz w:val="28"/>
          <w:szCs w:val="28"/>
        </w:rPr>
        <w:t>also could suffice as the baseline undergraduate requirement for a law student who ultimately becomes a lawyer.</w:t>
      </w:r>
    </w:p>
    <w:p w:rsidR="006E7C64" w:rsidRPr="00D81CDC" w:rsidRDefault="006E7C64" w:rsidP="00221286">
      <w:pPr>
        <w:pStyle w:val="BodyText"/>
        <w:tabs>
          <w:tab w:val="left" w:pos="711"/>
        </w:tabs>
        <w:spacing w:line="360" w:lineRule="auto"/>
        <w:jc w:val="both"/>
        <w:rPr>
          <w:sz w:val="28"/>
          <w:szCs w:val="28"/>
        </w:rPr>
      </w:pPr>
      <w:r w:rsidRPr="00D81CDC">
        <w:rPr>
          <w:sz w:val="28"/>
          <w:szCs w:val="28"/>
        </w:rPr>
        <w:tab/>
        <w:t xml:space="preserve">For the first three years of the </w:t>
      </w:r>
      <w:r w:rsidR="000C5A75" w:rsidRPr="00D81CDC">
        <w:rPr>
          <w:sz w:val="28"/>
          <w:szCs w:val="28"/>
        </w:rPr>
        <w:t xml:space="preserve">new legal-services practitioner </w:t>
      </w:r>
      <w:r w:rsidRPr="00D81CDC">
        <w:rPr>
          <w:sz w:val="28"/>
          <w:szCs w:val="28"/>
        </w:rPr>
        <w:t xml:space="preserve">program, the new Board of Nonlawyer Legal Service Providers </w:t>
      </w:r>
      <w:r w:rsidR="00D81CDC" w:rsidRPr="00D81CDC">
        <w:rPr>
          <w:sz w:val="28"/>
          <w:szCs w:val="28"/>
        </w:rPr>
        <w:t xml:space="preserve">(the former Legal Document Preparer Board) </w:t>
      </w:r>
      <w:r w:rsidRPr="00D81CDC">
        <w:rPr>
          <w:sz w:val="28"/>
          <w:szCs w:val="28"/>
        </w:rPr>
        <w:t>could waive the educational requirements for applicants who have completed seven years of full-time substantive law related experience within the 10 years preceding the application.</w:t>
      </w:r>
    </w:p>
    <w:p w:rsidR="00FE42AC" w:rsidRPr="00D81CDC" w:rsidRDefault="001F5B6E" w:rsidP="00C05BB7">
      <w:pPr>
        <w:pStyle w:val="BodyText"/>
        <w:tabs>
          <w:tab w:val="left" w:pos="711"/>
        </w:tabs>
        <w:spacing w:line="360" w:lineRule="auto"/>
        <w:jc w:val="both"/>
        <w:rPr>
          <w:color w:val="000000" w:themeColor="text1"/>
          <w:sz w:val="28"/>
          <w:szCs w:val="28"/>
        </w:rPr>
      </w:pPr>
      <w:r w:rsidRPr="00D81CDC">
        <w:rPr>
          <w:sz w:val="28"/>
          <w:szCs w:val="28"/>
        </w:rPr>
        <w:tab/>
      </w:r>
      <w:r w:rsidRPr="00D81CDC">
        <w:rPr>
          <w:color w:val="000000" w:themeColor="text1"/>
          <w:sz w:val="28"/>
          <w:szCs w:val="28"/>
        </w:rPr>
        <w:t>The new tier of legal-service provider will have education, training, and ethical requirements that exceed those of the many persons who are allowed under the existing numerous Rule 31 exceptions to practice law and nonlawyer real estate professionals allowed to practice real estate law.</w:t>
      </w:r>
    </w:p>
    <w:p w:rsidR="00C8014C" w:rsidRPr="0000490C" w:rsidRDefault="00C8014C" w:rsidP="003B4763">
      <w:pPr>
        <w:pStyle w:val="ListParagraph"/>
        <w:numPr>
          <w:ilvl w:val="0"/>
          <w:numId w:val="10"/>
        </w:numPr>
        <w:spacing w:after="0" w:line="360" w:lineRule="auto"/>
        <w:jc w:val="both"/>
        <w:rPr>
          <w:rFonts w:ascii="Times New Roman" w:hAnsi="Times New Roman" w:cs="Times New Roman"/>
          <w:b/>
          <w:bCs/>
          <w:sz w:val="28"/>
          <w:szCs w:val="28"/>
        </w:rPr>
      </w:pPr>
      <w:r w:rsidRPr="0000490C">
        <w:rPr>
          <w:rFonts w:ascii="Times New Roman" w:hAnsi="Times New Roman" w:cs="Times New Roman"/>
          <w:b/>
          <w:bCs/>
          <w:sz w:val="28"/>
          <w:szCs w:val="28"/>
        </w:rPr>
        <w:t>Issue: Additional amendments to proposed rules</w:t>
      </w:r>
    </w:p>
    <w:p w:rsidR="00C8014C" w:rsidRPr="00D81CDC" w:rsidRDefault="00ED413B" w:rsidP="00ED413B">
      <w:pPr>
        <w:pStyle w:val="BodyText"/>
        <w:spacing w:line="360" w:lineRule="auto"/>
        <w:jc w:val="both"/>
        <w:rPr>
          <w:color w:val="000000" w:themeColor="text1"/>
          <w:sz w:val="28"/>
          <w:szCs w:val="28"/>
        </w:rPr>
      </w:pPr>
      <w:r>
        <w:rPr>
          <w:sz w:val="28"/>
          <w:szCs w:val="28"/>
        </w:rPr>
        <w:tab/>
      </w:r>
      <w:r w:rsidR="00C8014C" w:rsidRPr="00D81CDC">
        <w:rPr>
          <w:sz w:val="28"/>
          <w:szCs w:val="28"/>
        </w:rPr>
        <w:t xml:space="preserve">Several rules </w:t>
      </w:r>
      <w:r w:rsidR="00D81CDC" w:rsidRPr="00D81CDC">
        <w:rPr>
          <w:sz w:val="28"/>
          <w:szCs w:val="28"/>
        </w:rPr>
        <w:t xml:space="preserve">and code sections </w:t>
      </w:r>
      <w:r w:rsidR="00C8014C" w:rsidRPr="00D81CDC">
        <w:rPr>
          <w:sz w:val="28"/>
          <w:szCs w:val="28"/>
        </w:rPr>
        <w:t>have been amended to apply to the new category of legal-services provider:</w:t>
      </w:r>
    </w:p>
    <w:p w:rsidR="00C8014C" w:rsidRPr="00D81CDC" w:rsidRDefault="00C8014C" w:rsidP="00ED413B">
      <w:pPr>
        <w:pStyle w:val="BodyText"/>
        <w:numPr>
          <w:ilvl w:val="0"/>
          <w:numId w:val="16"/>
        </w:numPr>
        <w:tabs>
          <w:tab w:val="left" w:pos="711"/>
        </w:tabs>
        <w:spacing w:line="360" w:lineRule="auto"/>
        <w:jc w:val="both"/>
        <w:rPr>
          <w:color w:val="000000" w:themeColor="text1"/>
          <w:sz w:val="28"/>
          <w:szCs w:val="28"/>
        </w:rPr>
      </w:pPr>
      <w:r w:rsidRPr="00D81CDC">
        <w:rPr>
          <w:sz w:val="28"/>
          <w:szCs w:val="28"/>
        </w:rPr>
        <w:lastRenderedPageBreak/>
        <w:t xml:space="preserve">Rule 41, Ariz. R. Sup. Ct., now requires that </w:t>
      </w:r>
      <w:r w:rsidR="00ED413B">
        <w:rPr>
          <w:sz w:val="28"/>
          <w:szCs w:val="28"/>
        </w:rPr>
        <w:t>limited license legal practitioners</w:t>
      </w:r>
      <w:r w:rsidRPr="00D81CDC">
        <w:rPr>
          <w:sz w:val="28"/>
          <w:szCs w:val="28"/>
        </w:rPr>
        <w:t xml:space="preserve"> abide by the Creed of Professionalism as amended and applies the concept of “unprofessional conduct” to them.</w:t>
      </w:r>
    </w:p>
    <w:p w:rsidR="00C8014C" w:rsidRPr="00D81CDC" w:rsidRDefault="00C8014C" w:rsidP="00ED413B">
      <w:pPr>
        <w:pStyle w:val="BodyText"/>
        <w:numPr>
          <w:ilvl w:val="0"/>
          <w:numId w:val="16"/>
        </w:numPr>
        <w:tabs>
          <w:tab w:val="left" w:pos="711"/>
        </w:tabs>
        <w:spacing w:line="360" w:lineRule="auto"/>
        <w:jc w:val="both"/>
        <w:rPr>
          <w:color w:val="000000" w:themeColor="text1"/>
          <w:sz w:val="28"/>
          <w:szCs w:val="28"/>
        </w:rPr>
      </w:pPr>
      <w:r w:rsidRPr="00D81CDC">
        <w:rPr>
          <w:sz w:val="28"/>
          <w:szCs w:val="28"/>
        </w:rPr>
        <w:t xml:space="preserve">Rule 43, Ariz. R. Sup. Ct., which states trust </w:t>
      </w:r>
      <w:r w:rsidR="00ED413B" w:rsidRPr="00D81CDC">
        <w:rPr>
          <w:sz w:val="28"/>
          <w:szCs w:val="28"/>
        </w:rPr>
        <w:t>account</w:t>
      </w:r>
      <w:r w:rsidRPr="00D81CDC">
        <w:rPr>
          <w:sz w:val="28"/>
          <w:szCs w:val="28"/>
        </w:rPr>
        <w:t xml:space="preserve"> </w:t>
      </w:r>
      <w:r w:rsidR="00ED413B" w:rsidRPr="00D81CDC">
        <w:rPr>
          <w:sz w:val="28"/>
          <w:szCs w:val="28"/>
        </w:rPr>
        <w:t>requirements</w:t>
      </w:r>
      <w:r w:rsidRPr="00D81CDC">
        <w:rPr>
          <w:sz w:val="28"/>
          <w:szCs w:val="28"/>
        </w:rPr>
        <w:t>, now applies</w:t>
      </w:r>
      <w:r w:rsidR="00ED413B">
        <w:rPr>
          <w:sz w:val="28"/>
          <w:szCs w:val="28"/>
        </w:rPr>
        <w:t xml:space="preserve"> to limited license legal practitioners</w:t>
      </w:r>
      <w:r w:rsidRPr="00D81CDC">
        <w:rPr>
          <w:sz w:val="28"/>
          <w:szCs w:val="28"/>
        </w:rPr>
        <w:t>, who as proposed will need to comply with ER 1.15 (safekeeping of property).</w:t>
      </w:r>
    </w:p>
    <w:p w:rsidR="00C8014C" w:rsidRPr="00D81CDC" w:rsidRDefault="00C8014C" w:rsidP="00ED413B">
      <w:pPr>
        <w:pStyle w:val="BodyText"/>
        <w:numPr>
          <w:ilvl w:val="0"/>
          <w:numId w:val="16"/>
        </w:numPr>
        <w:tabs>
          <w:tab w:val="left" w:pos="711"/>
        </w:tabs>
        <w:spacing w:line="360" w:lineRule="auto"/>
        <w:jc w:val="both"/>
        <w:rPr>
          <w:color w:val="000000" w:themeColor="text1"/>
          <w:sz w:val="28"/>
          <w:szCs w:val="28"/>
        </w:rPr>
      </w:pPr>
      <w:r w:rsidRPr="00D81CDC">
        <w:rPr>
          <w:sz w:val="28"/>
          <w:szCs w:val="28"/>
        </w:rPr>
        <w:t xml:space="preserve">Rule 63, Ariz. R. Sup. Ct., </w:t>
      </w:r>
      <w:r w:rsidR="00ED413B">
        <w:rPr>
          <w:sz w:val="28"/>
          <w:szCs w:val="28"/>
        </w:rPr>
        <w:t>was amended to ensure limited license legal practitioners could be transferred to disability inactive status. This provides additional necessary protections to the public</w:t>
      </w:r>
      <w:r w:rsidR="00D81CDC" w:rsidRPr="00D81CDC">
        <w:rPr>
          <w:sz w:val="28"/>
          <w:szCs w:val="28"/>
        </w:rPr>
        <w:t>.</w:t>
      </w:r>
    </w:p>
    <w:p w:rsidR="00D81CDC" w:rsidRPr="00D81CDC" w:rsidRDefault="00C8014C" w:rsidP="00ED413B">
      <w:pPr>
        <w:pStyle w:val="BodyText"/>
        <w:numPr>
          <w:ilvl w:val="0"/>
          <w:numId w:val="16"/>
        </w:numPr>
        <w:tabs>
          <w:tab w:val="left" w:pos="711"/>
        </w:tabs>
        <w:spacing w:line="360" w:lineRule="auto"/>
        <w:jc w:val="both"/>
        <w:rPr>
          <w:color w:val="000000" w:themeColor="text1"/>
          <w:sz w:val="28"/>
          <w:szCs w:val="28"/>
        </w:rPr>
      </w:pPr>
      <w:r w:rsidRPr="00D81CDC">
        <w:rPr>
          <w:sz w:val="28"/>
          <w:szCs w:val="28"/>
        </w:rPr>
        <w:t>Rules 66-67</w:t>
      </w:r>
      <w:r w:rsidR="00D81CDC" w:rsidRPr="00D81CDC">
        <w:rPr>
          <w:sz w:val="28"/>
          <w:szCs w:val="28"/>
        </w:rPr>
        <w:t xml:space="preserve">, Ariz. R. Sup. Ct., </w:t>
      </w:r>
      <w:r w:rsidR="00ED413B">
        <w:rPr>
          <w:sz w:val="28"/>
          <w:szCs w:val="28"/>
        </w:rPr>
        <w:t xml:space="preserve">were amended to </w:t>
      </w:r>
      <w:r w:rsidR="00D81CDC" w:rsidRPr="00D81CDC">
        <w:rPr>
          <w:sz w:val="28"/>
          <w:szCs w:val="28"/>
        </w:rPr>
        <w:t>include the new legal-services provider in conservator rules so that the State Bar may initiate conservatorship proceedings against them if necessary.</w:t>
      </w:r>
    </w:p>
    <w:p w:rsidR="00D81CDC" w:rsidRPr="00D81CDC" w:rsidRDefault="00D81CDC" w:rsidP="00ED413B">
      <w:pPr>
        <w:pStyle w:val="BodyText"/>
        <w:numPr>
          <w:ilvl w:val="0"/>
          <w:numId w:val="16"/>
        </w:numPr>
        <w:tabs>
          <w:tab w:val="left" w:pos="711"/>
        </w:tabs>
        <w:spacing w:line="360" w:lineRule="auto"/>
        <w:jc w:val="both"/>
        <w:rPr>
          <w:sz w:val="28"/>
          <w:szCs w:val="28"/>
        </w:rPr>
      </w:pPr>
      <w:r w:rsidRPr="00D81CDC">
        <w:rPr>
          <w:sz w:val="28"/>
          <w:szCs w:val="28"/>
        </w:rPr>
        <w:t xml:space="preserve"> </w:t>
      </w:r>
      <w:r w:rsidR="00C8014C" w:rsidRPr="00D81CDC">
        <w:rPr>
          <w:sz w:val="28"/>
          <w:szCs w:val="28"/>
        </w:rPr>
        <w:t xml:space="preserve">ACJA </w:t>
      </w:r>
      <w:r w:rsidRPr="00D81CDC">
        <w:rPr>
          <w:sz w:val="28"/>
          <w:szCs w:val="28"/>
        </w:rPr>
        <w:t xml:space="preserve">§ </w:t>
      </w:r>
      <w:r w:rsidR="00C8014C" w:rsidRPr="00D81CDC">
        <w:rPr>
          <w:sz w:val="28"/>
          <w:szCs w:val="28"/>
        </w:rPr>
        <w:t xml:space="preserve">7-210 </w:t>
      </w:r>
      <w:r w:rsidR="00ED413B">
        <w:rPr>
          <w:sz w:val="28"/>
          <w:szCs w:val="28"/>
        </w:rPr>
        <w:t xml:space="preserve">now </w:t>
      </w:r>
      <w:r w:rsidR="00C8014C" w:rsidRPr="00D81CDC">
        <w:rPr>
          <w:sz w:val="28"/>
          <w:szCs w:val="28"/>
        </w:rPr>
        <w:t>reflect</w:t>
      </w:r>
      <w:r w:rsidRPr="00D81CDC">
        <w:rPr>
          <w:sz w:val="28"/>
          <w:szCs w:val="28"/>
        </w:rPr>
        <w:t>s</w:t>
      </w:r>
      <w:r w:rsidR="00C8014C" w:rsidRPr="00D81CDC">
        <w:rPr>
          <w:sz w:val="28"/>
          <w:szCs w:val="28"/>
        </w:rPr>
        <w:t>, consistent with proposed Rule 31.3(e)(4)</w:t>
      </w:r>
      <w:r w:rsidRPr="00D81CDC">
        <w:rPr>
          <w:sz w:val="28"/>
          <w:szCs w:val="28"/>
        </w:rPr>
        <w:t>,</w:t>
      </w:r>
      <w:r w:rsidR="00C8014C" w:rsidRPr="00D81CDC">
        <w:rPr>
          <w:sz w:val="28"/>
          <w:szCs w:val="28"/>
        </w:rPr>
        <w:t xml:space="preserve"> that suspended and disbarred lawyers can be licensed as </w:t>
      </w:r>
      <w:r w:rsidRPr="00D81CDC">
        <w:rPr>
          <w:sz w:val="28"/>
          <w:szCs w:val="28"/>
        </w:rPr>
        <w:t xml:space="preserve">the new nonlawyer legal </w:t>
      </w:r>
      <w:r w:rsidR="00ED413B">
        <w:rPr>
          <w:sz w:val="28"/>
          <w:szCs w:val="28"/>
        </w:rPr>
        <w:t xml:space="preserve">service </w:t>
      </w:r>
      <w:r w:rsidRPr="00D81CDC">
        <w:rPr>
          <w:sz w:val="28"/>
          <w:szCs w:val="28"/>
        </w:rPr>
        <w:t>provider</w:t>
      </w:r>
      <w:r w:rsidR="00C8014C" w:rsidRPr="00D81CDC">
        <w:rPr>
          <w:sz w:val="28"/>
          <w:szCs w:val="28"/>
        </w:rPr>
        <w:t xml:space="preserve"> </w:t>
      </w:r>
      <w:r w:rsidR="00B006D3">
        <w:rPr>
          <w:sz w:val="28"/>
          <w:szCs w:val="28"/>
        </w:rPr>
        <w:t xml:space="preserve">only </w:t>
      </w:r>
      <w:r w:rsidR="00C8014C" w:rsidRPr="00D81CDC">
        <w:rPr>
          <w:sz w:val="28"/>
          <w:szCs w:val="28"/>
        </w:rPr>
        <w:t xml:space="preserve">with </w:t>
      </w:r>
      <w:r w:rsidRPr="00D81CDC">
        <w:rPr>
          <w:sz w:val="28"/>
          <w:szCs w:val="28"/>
        </w:rPr>
        <w:t>S</w:t>
      </w:r>
      <w:r w:rsidR="00C8014C" w:rsidRPr="00D81CDC">
        <w:rPr>
          <w:sz w:val="28"/>
          <w:szCs w:val="28"/>
        </w:rPr>
        <w:t xml:space="preserve">upreme </w:t>
      </w:r>
      <w:r w:rsidRPr="00D81CDC">
        <w:rPr>
          <w:sz w:val="28"/>
          <w:szCs w:val="28"/>
        </w:rPr>
        <w:t>C</w:t>
      </w:r>
      <w:r w:rsidR="00C8014C" w:rsidRPr="00D81CDC">
        <w:rPr>
          <w:sz w:val="28"/>
          <w:szCs w:val="28"/>
        </w:rPr>
        <w:t xml:space="preserve">ourt approval, which is the same process used for </w:t>
      </w:r>
      <w:r w:rsidRPr="00D81CDC">
        <w:rPr>
          <w:sz w:val="28"/>
          <w:szCs w:val="28"/>
        </w:rPr>
        <w:t>legal document preparers.</w:t>
      </w:r>
    </w:p>
    <w:p w:rsidR="00D81CDC" w:rsidRPr="00D81CDC" w:rsidRDefault="00C8014C" w:rsidP="00ED413B">
      <w:pPr>
        <w:pStyle w:val="BodyText"/>
        <w:numPr>
          <w:ilvl w:val="0"/>
          <w:numId w:val="16"/>
        </w:numPr>
        <w:tabs>
          <w:tab w:val="left" w:pos="711"/>
        </w:tabs>
        <w:spacing w:line="360" w:lineRule="auto"/>
        <w:jc w:val="both"/>
        <w:rPr>
          <w:sz w:val="28"/>
          <w:szCs w:val="28"/>
        </w:rPr>
      </w:pPr>
      <w:r w:rsidRPr="00D81CDC">
        <w:rPr>
          <w:sz w:val="28"/>
          <w:szCs w:val="28"/>
        </w:rPr>
        <w:t>ACJA</w:t>
      </w:r>
      <w:r w:rsidR="00D81CDC" w:rsidRPr="00D81CDC">
        <w:rPr>
          <w:sz w:val="28"/>
          <w:szCs w:val="28"/>
        </w:rPr>
        <w:t xml:space="preserve"> §</w:t>
      </w:r>
      <w:r w:rsidRPr="00D81CDC">
        <w:rPr>
          <w:sz w:val="28"/>
          <w:szCs w:val="28"/>
        </w:rPr>
        <w:t xml:space="preserve"> 7-210 </w:t>
      </w:r>
      <w:r w:rsidR="00D81CDC" w:rsidRPr="00D81CDC">
        <w:rPr>
          <w:sz w:val="28"/>
          <w:szCs w:val="28"/>
        </w:rPr>
        <w:t>has been clarified to provide that</w:t>
      </w:r>
      <w:r w:rsidRPr="00D81CDC">
        <w:rPr>
          <w:sz w:val="28"/>
          <w:szCs w:val="28"/>
        </w:rPr>
        <w:t xml:space="preserve"> lawyers who may also be </w:t>
      </w:r>
      <w:r w:rsidR="00D81CDC" w:rsidRPr="00D81CDC">
        <w:rPr>
          <w:sz w:val="28"/>
          <w:szCs w:val="28"/>
        </w:rPr>
        <w:t xml:space="preserve">licensed as the new nonlawyer legal provider must </w:t>
      </w:r>
      <w:r w:rsidRPr="00D81CDC">
        <w:rPr>
          <w:sz w:val="28"/>
          <w:szCs w:val="28"/>
        </w:rPr>
        <w:t>report</w:t>
      </w:r>
      <w:r w:rsidR="00D81CDC" w:rsidRPr="00D81CDC">
        <w:rPr>
          <w:sz w:val="28"/>
          <w:szCs w:val="28"/>
        </w:rPr>
        <w:t xml:space="preserve"> if they have been suspended or disbarred to </w:t>
      </w:r>
      <w:r w:rsidRPr="00D81CDC">
        <w:rPr>
          <w:sz w:val="28"/>
          <w:szCs w:val="28"/>
        </w:rPr>
        <w:t xml:space="preserve">the </w:t>
      </w:r>
      <w:r w:rsidR="00D81CDC" w:rsidRPr="00D81CDC">
        <w:rPr>
          <w:sz w:val="28"/>
          <w:szCs w:val="28"/>
        </w:rPr>
        <w:t xml:space="preserve">new </w:t>
      </w:r>
      <w:r w:rsidRPr="00D81CDC">
        <w:rPr>
          <w:sz w:val="28"/>
          <w:szCs w:val="28"/>
        </w:rPr>
        <w:t>Board of Nonlawyer Legal Service Providers (</w:t>
      </w:r>
      <w:r w:rsidR="00D81CDC" w:rsidRPr="00D81CDC">
        <w:rPr>
          <w:sz w:val="28"/>
          <w:szCs w:val="28"/>
        </w:rPr>
        <w:t>the f</w:t>
      </w:r>
      <w:r w:rsidRPr="00D81CDC">
        <w:rPr>
          <w:sz w:val="28"/>
          <w:szCs w:val="28"/>
        </w:rPr>
        <w:t xml:space="preserve">ormer Legal Document Preparer Board) and </w:t>
      </w:r>
      <w:r w:rsidR="00D81CDC" w:rsidRPr="00D81CDC">
        <w:rPr>
          <w:sz w:val="28"/>
          <w:szCs w:val="28"/>
        </w:rPr>
        <w:t>to the State Bar.</w:t>
      </w:r>
    </w:p>
    <w:p w:rsidR="00C8014C" w:rsidRPr="00D81CDC" w:rsidRDefault="00D81CDC" w:rsidP="00ED413B">
      <w:pPr>
        <w:pStyle w:val="BodyText"/>
        <w:numPr>
          <w:ilvl w:val="0"/>
          <w:numId w:val="16"/>
        </w:numPr>
        <w:tabs>
          <w:tab w:val="left" w:pos="711"/>
        </w:tabs>
        <w:spacing w:line="360" w:lineRule="auto"/>
        <w:jc w:val="both"/>
        <w:rPr>
          <w:sz w:val="28"/>
          <w:szCs w:val="28"/>
        </w:rPr>
      </w:pPr>
      <w:r w:rsidRPr="00D81CDC">
        <w:rPr>
          <w:sz w:val="28"/>
          <w:szCs w:val="28"/>
        </w:rPr>
        <w:t xml:space="preserve">New </w:t>
      </w:r>
      <w:r w:rsidR="00C8014C" w:rsidRPr="00D81CDC">
        <w:rPr>
          <w:sz w:val="28"/>
          <w:szCs w:val="28"/>
        </w:rPr>
        <w:t xml:space="preserve">ACJA </w:t>
      </w:r>
      <w:r w:rsidRPr="00D81CDC">
        <w:rPr>
          <w:sz w:val="28"/>
          <w:szCs w:val="28"/>
        </w:rPr>
        <w:t xml:space="preserve">§ </w:t>
      </w:r>
      <w:r w:rsidR="00C8014C" w:rsidRPr="00D81CDC">
        <w:rPr>
          <w:sz w:val="28"/>
          <w:szCs w:val="28"/>
        </w:rPr>
        <w:t>7-210(K) was added (moving existing (K) Fee Schedule to (L)) to create the</w:t>
      </w:r>
      <w:r w:rsidRPr="00D81CDC">
        <w:rPr>
          <w:sz w:val="28"/>
          <w:szCs w:val="28"/>
        </w:rPr>
        <w:t xml:space="preserve"> nonlawyer legal services provider/client </w:t>
      </w:r>
      <w:r w:rsidR="00C8014C" w:rsidRPr="00D81CDC">
        <w:rPr>
          <w:sz w:val="28"/>
          <w:szCs w:val="28"/>
        </w:rPr>
        <w:t>privilege</w:t>
      </w:r>
      <w:r w:rsidRPr="00D81CDC">
        <w:rPr>
          <w:sz w:val="28"/>
          <w:szCs w:val="28"/>
        </w:rPr>
        <w:t>.</w:t>
      </w:r>
    </w:p>
    <w:p w:rsidR="00FE42AC" w:rsidRPr="0000490C" w:rsidRDefault="00FE42AC" w:rsidP="003B4763">
      <w:pPr>
        <w:pStyle w:val="ListParagraph"/>
        <w:numPr>
          <w:ilvl w:val="0"/>
          <w:numId w:val="1"/>
        </w:numPr>
        <w:tabs>
          <w:tab w:val="left" w:pos="720"/>
        </w:tabs>
        <w:spacing w:line="360" w:lineRule="auto"/>
        <w:ind w:left="720"/>
        <w:jc w:val="both"/>
        <w:rPr>
          <w:rFonts w:ascii="Times New Roman" w:hAnsi="Times New Roman" w:cs="Times New Roman"/>
          <w:b/>
          <w:bCs/>
          <w:sz w:val="28"/>
          <w:szCs w:val="28"/>
        </w:rPr>
      </w:pPr>
      <w:r w:rsidRPr="0000490C">
        <w:rPr>
          <w:rFonts w:ascii="Times New Roman" w:hAnsi="Times New Roman" w:cs="Times New Roman"/>
          <w:b/>
          <w:bCs/>
          <w:sz w:val="28"/>
          <w:szCs w:val="28"/>
        </w:rPr>
        <w:t>Other proposals</w:t>
      </w:r>
    </w:p>
    <w:p w:rsidR="003D3E75" w:rsidRPr="0000490C" w:rsidRDefault="001F5B6E" w:rsidP="003B4763">
      <w:pPr>
        <w:pStyle w:val="ListParagraph"/>
        <w:numPr>
          <w:ilvl w:val="0"/>
          <w:numId w:val="5"/>
        </w:numPr>
        <w:tabs>
          <w:tab w:val="left" w:pos="720"/>
        </w:tabs>
        <w:spacing w:line="360" w:lineRule="auto"/>
        <w:jc w:val="both"/>
        <w:rPr>
          <w:rFonts w:ascii="Times New Roman" w:hAnsi="Times New Roman" w:cs="Times New Roman"/>
          <w:b/>
          <w:bCs/>
          <w:sz w:val="28"/>
          <w:szCs w:val="28"/>
        </w:rPr>
      </w:pPr>
      <w:r w:rsidRPr="0000490C">
        <w:rPr>
          <w:rFonts w:ascii="Times New Roman" w:hAnsi="Times New Roman" w:cs="Times New Roman"/>
          <w:b/>
          <w:bCs/>
          <w:sz w:val="28"/>
          <w:szCs w:val="28"/>
        </w:rPr>
        <w:t>Issue</w:t>
      </w:r>
      <w:r w:rsidR="00FE42AC" w:rsidRPr="0000490C">
        <w:rPr>
          <w:rFonts w:ascii="Times New Roman" w:hAnsi="Times New Roman" w:cs="Times New Roman"/>
          <w:b/>
          <w:bCs/>
          <w:sz w:val="28"/>
          <w:szCs w:val="28"/>
        </w:rPr>
        <w:t xml:space="preserve">: </w:t>
      </w:r>
      <w:r w:rsidRPr="0000490C">
        <w:rPr>
          <w:rFonts w:ascii="Times New Roman" w:hAnsi="Times New Roman" w:cs="Times New Roman"/>
          <w:b/>
          <w:bCs/>
          <w:sz w:val="28"/>
          <w:szCs w:val="28"/>
        </w:rPr>
        <w:t>The petition proposes to eliminate part of ER 1.5(e)’s current criteria for dividing a fee.</w:t>
      </w:r>
    </w:p>
    <w:p w:rsidR="005537D5" w:rsidRPr="00A739C2" w:rsidRDefault="005537D5" w:rsidP="00221286">
      <w:pPr>
        <w:spacing w:line="360" w:lineRule="auto"/>
        <w:ind w:firstLine="720"/>
        <w:jc w:val="both"/>
        <w:rPr>
          <w:rFonts w:ascii="Times New Roman" w:hAnsi="Times New Roman" w:cs="Times New Roman"/>
          <w:sz w:val="28"/>
          <w:szCs w:val="28"/>
        </w:rPr>
      </w:pPr>
      <w:r w:rsidRPr="00A739C2">
        <w:rPr>
          <w:rFonts w:ascii="Times New Roman" w:hAnsi="Times New Roman" w:cs="Times New Roman"/>
          <w:sz w:val="28"/>
          <w:szCs w:val="28"/>
        </w:rPr>
        <w:lastRenderedPageBreak/>
        <w:t>ER 1.5(e)(1) provides that two lawyers in different firms have two alternatives for dividing one legal fee. The two may assume joint responsibility for the representation</w:t>
      </w:r>
      <w:r w:rsidR="00B006D3">
        <w:rPr>
          <w:rFonts w:ascii="Times New Roman" w:hAnsi="Times New Roman" w:cs="Times New Roman"/>
          <w:sz w:val="28"/>
          <w:szCs w:val="28"/>
        </w:rPr>
        <w:t>,</w:t>
      </w:r>
      <w:r w:rsidRPr="00A739C2">
        <w:rPr>
          <w:rFonts w:ascii="Times New Roman" w:hAnsi="Times New Roman" w:cs="Times New Roman"/>
          <w:sz w:val="28"/>
          <w:szCs w:val="28"/>
        </w:rPr>
        <w:t xml:space="preserve"> or they may divide a fee in proportion to the services they perform.</w:t>
      </w:r>
      <w:r w:rsidR="000C7EB2" w:rsidRPr="00A739C2">
        <w:rPr>
          <w:rFonts w:ascii="Times New Roman" w:hAnsi="Times New Roman" w:cs="Times New Roman"/>
          <w:sz w:val="28"/>
          <w:szCs w:val="28"/>
        </w:rPr>
        <w:t xml:space="preserve"> </w:t>
      </w:r>
      <w:r w:rsidRPr="00A739C2">
        <w:rPr>
          <w:rFonts w:ascii="Times New Roman" w:hAnsi="Times New Roman" w:cs="Times New Roman"/>
          <w:sz w:val="28"/>
          <w:szCs w:val="28"/>
        </w:rPr>
        <w:t>The State Bar questions the proposal to eliminate the joint-responsibility option.</w:t>
      </w:r>
    </w:p>
    <w:p w:rsidR="005537D5" w:rsidRPr="00A739C2" w:rsidRDefault="00822ED5" w:rsidP="00221286">
      <w:pPr>
        <w:spacing w:line="360" w:lineRule="auto"/>
        <w:ind w:firstLine="720"/>
        <w:jc w:val="both"/>
        <w:rPr>
          <w:rFonts w:ascii="Times New Roman" w:hAnsi="Times New Roman" w:cs="Times New Roman"/>
          <w:sz w:val="28"/>
          <w:szCs w:val="28"/>
        </w:rPr>
      </w:pPr>
      <w:r w:rsidRPr="00A739C2">
        <w:rPr>
          <w:rFonts w:ascii="Times New Roman" w:hAnsi="Times New Roman" w:cs="Times New Roman"/>
          <w:sz w:val="28"/>
          <w:szCs w:val="28"/>
        </w:rPr>
        <w:t xml:space="preserve">One of the Task Force’s work groups spent </w:t>
      </w:r>
      <w:r w:rsidR="000C5A75">
        <w:rPr>
          <w:rFonts w:ascii="Times New Roman" w:hAnsi="Times New Roman" w:cs="Times New Roman"/>
          <w:sz w:val="28"/>
          <w:szCs w:val="28"/>
        </w:rPr>
        <w:t>considerable</w:t>
      </w:r>
      <w:r w:rsidRPr="00A739C2">
        <w:rPr>
          <w:rFonts w:ascii="Times New Roman" w:hAnsi="Times New Roman" w:cs="Times New Roman"/>
          <w:sz w:val="28"/>
          <w:szCs w:val="28"/>
        </w:rPr>
        <w:t xml:space="preserve"> time discussing impediments to limited-scope representation. In the course of addressing that topic, the work group was advised that </w:t>
      </w:r>
      <w:r w:rsidR="00972463" w:rsidRPr="00A739C2">
        <w:rPr>
          <w:rFonts w:ascii="Times New Roman" w:hAnsi="Times New Roman" w:cs="Times New Roman"/>
          <w:sz w:val="28"/>
          <w:szCs w:val="28"/>
        </w:rPr>
        <w:t xml:space="preserve">a lawyer who has a small or narrow role in a case may be reluctant to divide a fee if </w:t>
      </w:r>
      <w:r w:rsidR="005537D5" w:rsidRPr="00A739C2">
        <w:rPr>
          <w:rFonts w:ascii="Times New Roman" w:hAnsi="Times New Roman" w:cs="Times New Roman"/>
          <w:sz w:val="28"/>
          <w:szCs w:val="28"/>
        </w:rPr>
        <w:t>the lawyer</w:t>
      </w:r>
      <w:r w:rsidRPr="00A739C2">
        <w:rPr>
          <w:rFonts w:ascii="Times New Roman" w:hAnsi="Times New Roman" w:cs="Times New Roman"/>
          <w:sz w:val="28"/>
          <w:szCs w:val="28"/>
        </w:rPr>
        <w:t xml:space="preserve"> must assume joint responsibility for the entire representatio</w:t>
      </w:r>
      <w:r w:rsidR="00972463" w:rsidRPr="00A739C2">
        <w:rPr>
          <w:rFonts w:ascii="Times New Roman" w:hAnsi="Times New Roman" w:cs="Times New Roman"/>
          <w:sz w:val="28"/>
          <w:szCs w:val="28"/>
        </w:rPr>
        <w:t>n</w:t>
      </w:r>
      <w:r w:rsidRPr="00A739C2">
        <w:rPr>
          <w:rFonts w:ascii="Times New Roman" w:hAnsi="Times New Roman" w:cs="Times New Roman"/>
          <w:sz w:val="28"/>
          <w:szCs w:val="28"/>
        </w:rPr>
        <w:t>.</w:t>
      </w:r>
      <w:r w:rsidR="00972463" w:rsidRPr="00A739C2">
        <w:rPr>
          <w:rFonts w:ascii="Times New Roman" w:hAnsi="Times New Roman" w:cs="Times New Roman"/>
          <w:sz w:val="28"/>
          <w:szCs w:val="28"/>
        </w:rPr>
        <w:t xml:space="preserve"> </w:t>
      </w:r>
      <w:r w:rsidR="005537D5" w:rsidRPr="00A739C2">
        <w:rPr>
          <w:rFonts w:ascii="Times New Roman" w:hAnsi="Times New Roman" w:cs="Times New Roman"/>
          <w:sz w:val="28"/>
          <w:szCs w:val="28"/>
        </w:rPr>
        <w:t>The joint-responsibility option was therefore thought to be an impediment to lawyers putting together teams to handle matters.</w:t>
      </w:r>
    </w:p>
    <w:p w:rsidR="001F5B6E" w:rsidRPr="00A739C2" w:rsidRDefault="005537D5" w:rsidP="00C05BB7">
      <w:pPr>
        <w:spacing w:line="360" w:lineRule="auto"/>
        <w:ind w:firstLine="720"/>
        <w:jc w:val="both"/>
        <w:rPr>
          <w:rFonts w:ascii="Times New Roman" w:hAnsi="Times New Roman" w:cs="Times New Roman"/>
          <w:sz w:val="28"/>
          <w:szCs w:val="28"/>
        </w:rPr>
      </w:pPr>
      <w:r w:rsidRPr="00A739C2">
        <w:rPr>
          <w:rFonts w:ascii="Times New Roman" w:hAnsi="Times New Roman" w:cs="Times New Roman"/>
          <w:sz w:val="28"/>
          <w:szCs w:val="28"/>
        </w:rPr>
        <w:t>The proposed amendment deletes the alternative grounds and instead requires</w:t>
      </w:r>
      <w:r w:rsidR="007B7BC3" w:rsidRPr="00A739C2">
        <w:rPr>
          <w:rFonts w:ascii="Times New Roman" w:hAnsi="Times New Roman" w:cs="Times New Roman"/>
          <w:sz w:val="28"/>
          <w:szCs w:val="28"/>
        </w:rPr>
        <w:t xml:space="preserve">, among other things, </w:t>
      </w:r>
      <w:r w:rsidRPr="00A739C2">
        <w:rPr>
          <w:rFonts w:ascii="Times New Roman" w:hAnsi="Times New Roman" w:cs="Times New Roman"/>
          <w:sz w:val="28"/>
          <w:szCs w:val="28"/>
        </w:rPr>
        <w:t xml:space="preserve">the lawyers to disclose </w:t>
      </w:r>
      <w:r w:rsidR="007B7BC3" w:rsidRPr="00A739C2">
        <w:rPr>
          <w:rFonts w:ascii="Times New Roman" w:hAnsi="Times New Roman" w:cs="Times New Roman"/>
          <w:sz w:val="28"/>
          <w:szCs w:val="28"/>
        </w:rPr>
        <w:t xml:space="preserve">to the client, in writing, </w:t>
      </w:r>
      <w:r w:rsidRPr="00A739C2">
        <w:rPr>
          <w:rFonts w:ascii="Times New Roman" w:hAnsi="Times New Roman" w:cs="Times New Roman"/>
          <w:sz w:val="28"/>
          <w:szCs w:val="28"/>
        </w:rPr>
        <w:t>the basis for division of the fees</w:t>
      </w:r>
      <w:r w:rsidR="007B7BC3" w:rsidRPr="00A739C2">
        <w:rPr>
          <w:rFonts w:ascii="Times New Roman" w:hAnsi="Times New Roman" w:cs="Times New Roman"/>
          <w:sz w:val="28"/>
          <w:szCs w:val="28"/>
        </w:rPr>
        <w:t xml:space="preserve"> and obtain the client’s consent.</w:t>
      </w:r>
    </w:p>
    <w:p w:rsidR="00A739C2" w:rsidRPr="0000490C" w:rsidRDefault="00267D23" w:rsidP="003B4763">
      <w:pPr>
        <w:pStyle w:val="ListParagraph"/>
        <w:numPr>
          <w:ilvl w:val="0"/>
          <w:numId w:val="5"/>
        </w:numPr>
        <w:spacing w:after="0" w:line="360" w:lineRule="auto"/>
        <w:jc w:val="both"/>
        <w:rPr>
          <w:rStyle w:val="BodyTextChar"/>
          <w:rFonts w:eastAsiaTheme="minorHAnsi"/>
          <w:b/>
          <w:bCs/>
          <w:sz w:val="28"/>
          <w:szCs w:val="28"/>
        </w:rPr>
      </w:pPr>
      <w:r w:rsidRPr="0000490C">
        <w:rPr>
          <w:rStyle w:val="BodyTextChar"/>
          <w:rFonts w:eastAsiaTheme="minorHAnsi"/>
          <w:b/>
          <w:bCs/>
          <w:sz w:val="28"/>
          <w:szCs w:val="28"/>
        </w:rPr>
        <w:t>Issue</w:t>
      </w:r>
      <w:r w:rsidR="00FE42AC" w:rsidRPr="0000490C">
        <w:rPr>
          <w:rStyle w:val="BodyTextChar"/>
          <w:rFonts w:eastAsiaTheme="minorHAnsi"/>
          <w:b/>
          <w:bCs/>
          <w:sz w:val="28"/>
          <w:szCs w:val="28"/>
        </w:rPr>
        <w:t>: Eliminat</w:t>
      </w:r>
      <w:r w:rsidRPr="0000490C">
        <w:rPr>
          <w:rStyle w:val="BodyTextChar"/>
          <w:rFonts w:eastAsiaTheme="minorHAnsi"/>
          <w:b/>
          <w:bCs/>
          <w:sz w:val="28"/>
          <w:szCs w:val="28"/>
        </w:rPr>
        <w:t>ion of many i</w:t>
      </w:r>
      <w:r w:rsidR="009520DF" w:rsidRPr="0000490C">
        <w:rPr>
          <w:rStyle w:val="BodyTextChar"/>
          <w:rFonts w:eastAsiaTheme="minorHAnsi"/>
          <w:b/>
          <w:bCs/>
          <w:sz w:val="28"/>
          <w:szCs w:val="28"/>
        </w:rPr>
        <w:t>nstructional comments</w:t>
      </w:r>
    </w:p>
    <w:p w:rsidR="00512A87" w:rsidRPr="00A739C2" w:rsidRDefault="00FF7FB5" w:rsidP="00221286">
      <w:pPr>
        <w:spacing w:line="360" w:lineRule="auto"/>
        <w:ind w:firstLine="720"/>
        <w:jc w:val="both"/>
        <w:rPr>
          <w:rFonts w:ascii="Times New Roman" w:hAnsi="Times New Roman" w:cs="Times New Roman"/>
          <w:sz w:val="28"/>
          <w:szCs w:val="28"/>
        </w:rPr>
      </w:pPr>
      <w:r w:rsidRPr="00A739C2">
        <w:rPr>
          <w:rFonts w:ascii="Times New Roman" w:hAnsi="Times New Roman" w:cs="Times New Roman"/>
          <w:sz w:val="28"/>
          <w:szCs w:val="28"/>
        </w:rPr>
        <w:t xml:space="preserve">After deciding to recommend eliminating ER 5.4, the Task Force determined that other Ethical Rules needed amendments, with the goal of protecting core values of professional independence, confidentiality of client information, and conflict-free representation. In the course of making those changes, </w:t>
      </w:r>
      <w:r w:rsidR="00941DB0" w:rsidRPr="00A739C2">
        <w:rPr>
          <w:rFonts w:ascii="Times New Roman" w:hAnsi="Times New Roman" w:cs="Times New Roman"/>
          <w:sz w:val="28"/>
          <w:szCs w:val="28"/>
        </w:rPr>
        <w:t xml:space="preserve">the Task Force also </w:t>
      </w:r>
      <w:r w:rsidR="00512A87" w:rsidRPr="00A739C2">
        <w:rPr>
          <w:rFonts w:ascii="Times New Roman" w:hAnsi="Times New Roman" w:cs="Times New Roman"/>
          <w:sz w:val="28"/>
          <w:szCs w:val="28"/>
        </w:rPr>
        <w:t>approved moving some content from the comments into the rules themselves and eliminating comments where possible.</w:t>
      </w:r>
    </w:p>
    <w:p w:rsidR="00FF7FB5" w:rsidRPr="00A739C2" w:rsidRDefault="00FF7FB5" w:rsidP="00221286">
      <w:pPr>
        <w:spacing w:line="360" w:lineRule="auto"/>
        <w:ind w:firstLine="720"/>
        <w:jc w:val="both"/>
        <w:rPr>
          <w:rStyle w:val="BodyTextChar"/>
          <w:rFonts w:eastAsiaTheme="minorHAnsi"/>
          <w:sz w:val="28"/>
          <w:szCs w:val="28"/>
        </w:rPr>
      </w:pPr>
      <w:r w:rsidRPr="00A739C2">
        <w:rPr>
          <w:rStyle w:val="BodyTextChar"/>
          <w:rFonts w:eastAsiaTheme="minorHAnsi"/>
          <w:sz w:val="28"/>
          <w:szCs w:val="28"/>
        </w:rPr>
        <w:t>The State Bar has objected to comments being deleted, in part due to the existence of limited caselaw on the Ethical Rules, and believes that s</w:t>
      </w:r>
      <w:r w:rsidR="009520DF" w:rsidRPr="00A739C2">
        <w:rPr>
          <w:rStyle w:val="BodyTextChar"/>
          <w:rFonts w:eastAsiaTheme="minorHAnsi"/>
          <w:sz w:val="28"/>
          <w:szCs w:val="28"/>
        </w:rPr>
        <w:t xml:space="preserve">ome content, moved to the rule, </w:t>
      </w:r>
      <w:r w:rsidRPr="00A739C2">
        <w:rPr>
          <w:rStyle w:val="BodyTextChar"/>
          <w:rFonts w:eastAsiaTheme="minorHAnsi"/>
          <w:sz w:val="28"/>
          <w:szCs w:val="28"/>
        </w:rPr>
        <w:t xml:space="preserve">does not reflect the meaning of the comment </w:t>
      </w:r>
      <w:r w:rsidR="009520DF" w:rsidRPr="00A739C2">
        <w:rPr>
          <w:rStyle w:val="BodyTextChar"/>
          <w:rFonts w:eastAsiaTheme="minorHAnsi"/>
          <w:sz w:val="28"/>
          <w:szCs w:val="28"/>
        </w:rPr>
        <w:t>or is inadequate to replace existing comments.</w:t>
      </w:r>
    </w:p>
    <w:p w:rsidR="003D3E75" w:rsidRPr="00A739C2" w:rsidRDefault="00941DB0" w:rsidP="00AD2F7E">
      <w:pPr>
        <w:pStyle w:val="Body"/>
        <w:widowControl w:val="0"/>
        <w:spacing w:line="360" w:lineRule="auto"/>
        <w:ind w:left="76" w:firstLine="0"/>
        <w:jc w:val="both"/>
        <w:rPr>
          <w:sz w:val="28"/>
          <w:szCs w:val="28"/>
        </w:rPr>
      </w:pPr>
      <w:r w:rsidRPr="00A739C2">
        <w:rPr>
          <w:rStyle w:val="BodyTextChar"/>
          <w:sz w:val="28"/>
          <w:szCs w:val="28"/>
        </w:rPr>
        <w:tab/>
        <w:t xml:space="preserve">The </w:t>
      </w:r>
      <w:r w:rsidRPr="00A739C2">
        <w:rPr>
          <w:sz w:val="28"/>
          <w:szCs w:val="28"/>
        </w:rPr>
        <w:t>Entity Regulation Work Group discussed the State Bar’s objection</w:t>
      </w:r>
      <w:r w:rsidR="00136F49">
        <w:rPr>
          <w:sz w:val="28"/>
          <w:szCs w:val="28"/>
        </w:rPr>
        <w:t>s</w:t>
      </w:r>
      <w:r w:rsidRPr="00A739C2">
        <w:rPr>
          <w:sz w:val="28"/>
          <w:szCs w:val="28"/>
        </w:rPr>
        <w:t xml:space="preserve"> and, other than the substantive changes to the ERs 1.6, 1.7 and 1.10 proposals as discussed above, decided against recommending any further changes.</w:t>
      </w:r>
    </w:p>
    <w:p w:rsidR="00A739C2" w:rsidRPr="0000490C" w:rsidRDefault="003D3E75" w:rsidP="003B4763">
      <w:pPr>
        <w:pStyle w:val="ListParagraph"/>
        <w:numPr>
          <w:ilvl w:val="0"/>
          <w:numId w:val="5"/>
        </w:numPr>
        <w:spacing w:after="0" w:line="360" w:lineRule="auto"/>
        <w:jc w:val="both"/>
        <w:rPr>
          <w:rFonts w:ascii="Times New Roman" w:hAnsi="Times New Roman" w:cs="Times New Roman"/>
          <w:b/>
          <w:bCs/>
          <w:sz w:val="28"/>
          <w:szCs w:val="28"/>
        </w:rPr>
      </w:pPr>
      <w:r w:rsidRPr="0000490C">
        <w:rPr>
          <w:rFonts w:ascii="Times New Roman" w:hAnsi="Times New Roman" w:cs="Times New Roman"/>
          <w:b/>
          <w:bCs/>
          <w:sz w:val="28"/>
          <w:szCs w:val="28"/>
        </w:rPr>
        <w:lastRenderedPageBreak/>
        <w:t>P</w:t>
      </w:r>
      <w:r w:rsidR="00EB26CA" w:rsidRPr="0000490C">
        <w:rPr>
          <w:rFonts w:ascii="Times New Roman" w:hAnsi="Times New Roman" w:cs="Times New Roman"/>
          <w:b/>
          <w:bCs/>
          <w:sz w:val="28"/>
          <w:szCs w:val="28"/>
        </w:rPr>
        <w:t>roposed restyling of Rule 31</w:t>
      </w:r>
    </w:p>
    <w:p w:rsidR="00FE42AC"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r>
      <w:r w:rsidR="00CB3DCB" w:rsidRPr="00A739C2">
        <w:rPr>
          <w:rFonts w:ascii="Times New Roman" w:hAnsi="Times New Roman" w:cs="Times New Roman"/>
          <w:sz w:val="28"/>
          <w:szCs w:val="28"/>
        </w:rPr>
        <w:t>Two</w:t>
      </w:r>
      <w:r w:rsidRPr="00A739C2">
        <w:rPr>
          <w:rFonts w:ascii="Times New Roman" w:hAnsi="Times New Roman" w:cs="Times New Roman"/>
          <w:sz w:val="28"/>
          <w:szCs w:val="28"/>
        </w:rPr>
        <w:t xml:space="preserve"> comments</w:t>
      </w:r>
      <w:r w:rsidR="00DD7647" w:rsidRPr="00A739C2">
        <w:rPr>
          <w:rFonts w:ascii="Times New Roman" w:hAnsi="Times New Roman" w:cs="Times New Roman"/>
          <w:sz w:val="28"/>
          <w:szCs w:val="28"/>
        </w:rPr>
        <w:t xml:space="preserve">, one filed by the Scottsdale City Prosecutor’s Office and one filed by the Arizona Corporation Commission, </w:t>
      </w:r>
      <w:r w:rsidRPr="00A739C2">
        <w:rPr>
          <w:rFonts w:ascii="Times New Roman" w:hAnsi="Times New Roman" w:cs="Times New Roman"/>
          <w:sz w:val="28"/>
          <w:szCs w:val="28"/>
        </w:rPr>
        <w:t>directly addressed the pro</w:t>
      </w:r>
      <w:r w:rsidR="00CB3DCB" w:rsidRPr="00A739C2">
        <w:rPr>
          <w:rFonts w:ascii="Times New Roman" w:hAnsi="Times New Roman" w:cs="Times New Roman"/>
          <w:sz w:val="28"/>
          <w:szCs w:val="28"/>
        </w:rPr>
        <w:t>po</w:t>
      </w:r>
      <w:r w:rsidRPr="00A739C2">
        <w:rPr>
          <w:rFonts w:ascii="Times New Roman" w:hAnsi="Times New Roman" w:cs="Times New Roman"/>
          <w:sz w:val="28"/>
          <w:szCs w:val="28"/>
        </w:rPr>
        <w:t xml:space="preserve">sed restyling of Rule 31, </w:t>
      </w:r>
      <w:r w:rsidR="00CB3DCB" w:rsidRPr="00A739C2">
        <w:rPr>
          <w:rFonts w:ascii="Times New Roman" w:hAnsi="Times New Roman" w:cs="Times New Roman"/>
          <w:sz w:val="28"/>
          <w:szCs w:val="28"/>
        </w:rPr>
        <w:t>Ariz. R. Sup. Ct.</w:t>
      </w:r>
    </w:p>
    <w:p w:rsidR="00EB26CA" w:rsidRPr="00A739C2" w:rsidRDefault="00CB3DCB" w:rsidP="00221286">
      <w:pPr>
        <w:spacing w:line="360" w:lineRule="auto"/>
        <w:ind w:firstLine="720"/>
        <w:jc w:val="both"/>
        <w:rPr>
          <w:rFonts w:ascii="Times New Roman" w:hAnsi="Times New Roman" w:cs="Times New Roman"/>
          <w:sz w:val="28"/>
          <w:szCs w:val="28"/>
        </w:rPr>
      </w:pPr>
      <w:r w:rsidRPr="00A739C2">
        <w:rPr>
          <w:rFonts w:ascii="Times New Roman" w:hAnsi="Times New Roman" w:cs="Times New Roman"/>
          <w:sz w:val="28"/>
          <w:szCs w:val="28"/>
        </w:rPr>
        <w:t>The</w:t>
      </w:r>
      <w:r w:rsidR="00EB26CA" w:rsidRPr="00A739C2">
        <w:rPr>
          <w:rFonts w:ascii="Times New Roman" w:hAnsi="Times New Roman" w:cs="Times New Roman"/>
          <w:sz w:val="28"/>
          <w:szCs w:val="28"/>
        </w:rPr>
        <w:t xml:space="preserve"> Scottsdale </w:t>
      </w:r>
      <w:r w:rsidRPr="00A739C2">
        <w:rPr>
          <w:rFonts w:ascii="Times New Roman" w:hAnsi="Times New Roman" w:cs="Times New Roman"/>
          <w:sz w:val="28"/>
          <w:szCs w:val="28"/>
        </w:rPr>
        <w:t>City</w:t>
      </w:r>
      <w:r w:rsidR="00EB26CA" w:rsidRPr="00A739C2">
        <w:rPr>
          <w:rFonts w:ascii="Times New Roman" w:hAnsi="Times New Roman" w:cs="Times New Roman"/>
          <w:sz w:val="28"/>
          <w:szCs w:val="28"/>
        </w:rPr>
        <w:t xml:space="preserve"> Prosecutor</w:t>
      </w:r>
      <w:r w:rsidRPr="00A739C2">
        <w:rPr>
          <w:rFonts w:ascii="Times New Roman" w:hAnsi="Times New Roman" w:cs="Times New Roman"/>
          <w:sz w:val="28"/>
          <w:szCs w:val="28"/>
        </w:rPr>
        <w:t xml:space="preserve"> </w:t>
      </w:r>
      <w:r w:rsidR="00EB26CA" w:rsidRPr="00A739C2">
        <w:rPr>
          <w:rFonts w:ascii="Times New Roman" w:hAnsi="Times New Roman" w:cs="Times New Roman"/>
          <w:sz w:val="28"/>
          <w:szCs w:val="28"/>
        </w:rPr>
        <w:t>object</w:t>
      </w:r>
      <w:r w:rsidRPr="00A739C2">
        <w:rPr>
          <w:rFonts w:ascii="Times New Roman" w:hAnsi="Times New Roman" w:cs="Times New Roman"/>
          <w:sz w:val="28"/>
          <w:szCs w:val="28"/>
        </w:rPr>
        <w:t>ed</w:t>
      </w:r>
      <w:r w:rsidR="00EB26CA" w:rsidRPr="00A739C2">
        <w:rPr>
          <w:rFonts w:ascii="Times New Roman" w:hAnsi="Times New Roman" w:cs="Times New Roman"/>
          <w:sz w:val="28"/>
          <w:szCs w:val="28"/>
        </w:rPr>
        <w:t xml:space="preserve"> to amendments to Rule 31.3(c)(3) because </w:t>
      </w:r>
      <w:r w:rsidR="00B006D3">
        <w:rPr>
          <w:rFonts w:ascii="Times New Roman" w:hAnsi="Times New Roman" w:cs="Times New Roman"/>
          <w:sz w:val="28"/>
          <w:szCs w:val="28"/>
        </w:rPr>
        <w:t>they</w:t>
      </w:r>
      <w:r w:rsidR="00EB26CA" w:rsidRPr="00A739C2">
        <w:rPr>
          <w:rFonts w:ascii="Times New Roman" w:hAnsi="Times New Roman" w:cs="Times New Roman"/>
          <w:sz w:val="28"/>
          <w:szCs w:val="28"/>
        </w:rPr>
        <w:t xml:space="preserve"> would “vastly expand” the existing rule, Rule 31(d)(3). In support of its objection, the Scottsdale City Prosecutor cited Arizona case law for the proposition that a corporation may appear in court only through counsel. However, its citation to </w:t>
      </w:r>
      <w:r w:rsidR="00EB26CA" w:rsidRPr="005D698A">
        <w:rPr>
          <w:rFonts w:ascii="Times New Roman" w:hAnsi="Times New Roman" w:cs="Times New Roman"/>
          <w:i/>
          <w:iCs/>
          <w:sz w:val="28"/>
          <w:szCs w:val="28"/>
        </w:rPr>
        <w:t>Ramada Inns v. Lane and Bird Advert.</w:t>
      </w:r>
      <w:r w:rsidR="004F14FB" w:rsidRPr="005D698A">
        <w:rPr>
          <w:rFonts w:ascii="Times New Roman" w:hAnsi="Times New Roman" w:cs="Times New Roman"/>
          <w:i/>
          <w:iCs/>
          <w:sz w:val="28"/>
          <w:szCs w:val="28"/>
        </w:rPr>
        <w:t>,</w:t>
      </w:r>
      <w:r w:rsidR="00EB26CA" w:rsidRPr="005D698A">
        <w:rPr>
          <w:rFonts w:ascii="Times New Roman" w:hAnsi="Times New Roman" w:cs="Times New Roman"/>
          <w:i/>
          <w:iCs/>
          <w:sz w:val="28"/>
          <w:szCs w:val="28"/>
        </w:rPr>
        <w:t xml:space="preserve"> Inc</w:t>
      </w:r>
      <w:r w:rsidR="00EB26CA" w:rsidRPr="00A739C2">
        <w:rPr>
          <w:rFonts w:ascii="Times New Roman" w:hAnsi="Times New Roman" w:cs="Times New Roman"/>
          <w:sz w:val="28"/>
          <w:szCs w:val="28"/>
        </w:rPr>
        <w:t>.</w:t>
      </w:r>
      <w:r w:rsidR="00EE1F24">
        <w:rPr>
          <w:rStyle w:val="FootnoteReference"/>
          <w:rFonts w:ascii="Times New Roman" w:hAnsi="Times New Roman" w:cs="Times New Roman"/>
          <w:sz w:val="28"/>
          <w:szCs w:val="28"/>
        </w:rPr>
        <w:footnoteReference w:id="13"/>
      </w:r>
      <w:r w:rsidR="00EB26CA" w:rsidRPr="00A739C2">
        <w:rPr>
          <w:rFonts w:ascii="Times New Roman" w:hAnsi="Times New Roman" w:cs="Times New Roman"/>
          <w:sz w:val="28"/>
          <w:szCs w:val="28"/>
        </w:rPr>
        <w:t>, is not controlling because that case preceded amendments to Supreme Court Rule 31(d), which expressly permits a corporation to appear in a justice or police court by an authorized, non</w:t>
      </w:r>
      <w:r w:rsidR="00FC2F35">
        <w:rPr>
          <w:rFonts w:ascii="Times New Roman" w:hAnsi="Times New Roman" w:cs="Times New Roman"/>
          <w:sz w:val="28"/>
          <w:szCs w:val="28"/>
        </w:rPr>
        <w:t>lawyer</w:t>
      </w:r>
      <w:r w:rsidR="00EB26CA" w:rsidRPr="00A739C2">
        <w:rPr>
          <w:rFonts w:ascii="Times New Roman" w:hAnsi="Times New Roman" w:cs="Times New Roman"/>
          <w:sz w:val="28"/>
          <w:szCs w:val="28"/>
        </w:rPr>
        <w:t xml:space="preserve">- representative. The citation to the more recent cases of </w:t>
      </w:r>
      <w:r w:rsidR="00EB26CA" w:rsidRPr="00A739C2">
        <w:rPr>
          <w:rFonts w:ascii="Times New Roman" w:hAnsi="Times New Roman" w:cs="Times New Roman"/>
          <w:i/>
          <w:iCs/>
          <w:sz w:val="28"/>
          <w:szCs w:val="28"/>
        </w:rPr>
        <w:t xml:space="preserve">State v. </w:t>
      </w:r>
      <w:proofErr w:type="spellStart"/>
      <w:r w:rsidR="00EB26CA" w:rsidRPr="00A739C2">
        <w:rPr>
          <w:rFonts w:ascii="Times New Roman" w:hAnsi="Times New Roman" w:cs="Times New Roman"/>
          <w:i/>
          <w:iCs/>
          <w:sz w:val="28"/>
          <w:szCs w:val="28"/>
        </w:rPr>
        <w:t>Eazy</w:t>
      </w:r>
      <w:proofErr w:type="spellEnd"/>
      <w:r w:rsidR="00EB26CA" w:rsidRPr="00A739C2">
        <w:rPr>
          <w:rFonts w:ascii="Times New Roman" w:hAnsi="Times New Roman" w:cs="Times New Roman"/>
          <w:i/>
          <w:iCs/>
          <w:sz w:val="28"/>
          <w:szCs w:val="28"/>
        </w:rPr>
        <w:t xml:space="preserve"> Bail Bonds</w:t>
      </w:r>
      <w:r w:rsidR="00A97D0B">
        <w:rPr>
          <w:rStyle w:val="FootnoteReference"/>
          <w:rFonts w:ascii="Times New Roman" w:hAnsi="Times New Roman" w:cs="Times New Roman"/>
          <w:i/>
          <w:iCs/>
          <w:sz w:val="28"/>
          <w:szCs w:val="28"/>
        </w:rPr>
        <w:footnoteReference w:id="14"/>
      </w:r>
      <w:r w:rsidR="00EB26CA" w:rsidRPr="00A739C2">
        <w:rPr>
          <w:rFonts w:ascii="Times New Roman" w:hAnsi="Times New Roman" w:cs="Times New Roman"/>
          <w:sz w:val="28"/>
          <w:szCs w:val="28"/>
        </w:rPr>
        <w:t xml:space="preserve">  and </w:t>
      </w:r>
      <w:proofErr w:type="spellStart"/>
      <w:r w:rsidR="00EB26CA" w:rsidRPr="00A739C2">
        <w:rPr>
          <w:rFonts w:ascii="Times New Roman" w:hAnsi="Times New Roman" w:cs="Times New Roman"/>
          <w:i/>
          <w:iCs/>
          <w:sz w:val="28"/>
          <w:szCs w:val="28"/>
        </w:rPr>
        <w:t>Boydston</w:t>
      </w:r>
      <w:proofErr w:type="spellEnd"/>
      <w:r w:rsidR="00EB26CA" w:rsidRPr="00A739C2">
        <w:rPr>
          <w:rFonts w:ascii="Times New Roman" w:hAnsi="Times New Roman" w:cs="Times New Roman"/>
          <w:i/>
          <w:iCs/>
          <w:sz w:val="28"/>
          <w:szCs w:val="28"/>
        </w:rPr>
        <w:t xml:space="preserve"> v. Strole Dev. Co</w:t>
      </w:r>
      <w:r w:rsidR="00EB26CA" w:rsidRPr="00A739C2">
        <w:rPr>
          <w:rFonts w:ascii="Times New Roman" w:hAnsi="Times New Roman" w:cs="Times New Roman"/>
          <w:sz w:val="28"/>
          <w:szCs w:val="28"/>
        </w:rPr>
        <w:t>.</w:t>
      </w:r>
      <w:r w:rsidR="00A97D0B">
        <w:rPr>
          <w:rStyle w:val="FootnoteReference"/>
          <w:rFonts w:ascii="Times New Roman" w:hAnsi="Times New Roman" w:cs="Times New Roman"/>
          <w:sz w:val="28"/>
          <w:szCs w:val="28"/>
        </w:rPr>
        <w:footnoteReference w:id="15"/>
      </w:r>
      <w:r w:rsidR="00EB26CA" w:rsidRPr="00A739C2">
        <w:rPr>
          <w:rFonts w:ascii="Times New Roman" w:hAnsi="Times New Roman" w:cs="Times New Roman"/>
          <w:sz w:val="28"/>
          <w:szCs w:val="28"/>
        </w:rPr>
        <w:t xml:space="preserve">  are also not controlling because those cases involved a corporation’s appearance in the superior court, whereas the subject of proposed Rule 31.3(c)(3) concerns a corporation’s appearance in limited jurisdiction courts. The citation to </w:t>
      </w:r>
      <w:r w:rsidR="00EB26CA" w:rsidRPr="00A739C2">
        <w:rPr>
          <w:rFonts w:ascii="Times New Roman" w:hAnsi="Times New Roman" w:cs="Times New Roman"/>
          <w:i/>
          <w:iCs/>
          <w:sz w:val="28"/>
          <w:szCs w:val="28"/>
        </w:rPr>
        <w:t>Rowland v. California Men’s Colony</w:t>
      </w:r>
      <w:r w:rsidR="00A97D0B">
        <w:rPr>
          <w:rStyle w:val="FootnoteReference"/>
          <w:rFonts w:ascii="Times New Roman" w:hAnsi="Times New Roman" w:cs="Times New Roman"/>
          <w:i/>
          <w:iCs/>
          <w:sz w:val="28"/>
          <w:szCs w:val="28"/>
        </w:rPr>
        <w:footnoteReference w:id="16"/>
      </w:r>
      <w:r w:rsidR="00EB26CA" w:rsidRPr="00A739C2">
        <w:rPr>
          <w:rFonts w:ascii="Times New Roman" w:hAnsi="Times New Roman" w:cs="Times New Roman"/>
          <w:sz w:val="28"/>
          <w:szCs w:val="28"/>
        </w:rPr>
        <w:t xml:space="preserve"> is similarly misplaced because that case involved the interpretation of a federal statute by a federal court, a subject that is well outside the scope of R-20-0034.</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t xml:space="preserve">More to the point, the Scottsdale City Prosecutor’s comment says, “In fact, Rule 31(d)(3), which the proposed Rule 31.3(C)(3) would significantly expand, only applies to Justice Courts and police courts, not municipal courts, and even then, in very limited circumstances.” Indeed, the current rule refers to “justice courts and </w:t>
      </w:r>
      <w:r w:rsidRPr="00A739C2">
        <w:rPr>
          <w:rFonts w:ascii="Times New Roman" w:hAnsi="Times New Roman" w:cs="Times New Roman"/>
          <w:sz w:val="28"/>
          <w:szCs w:val="28"/>
        </w:rPr>
        <w:lastRenderedPageBreak/>
        <w:t xml:space="preserve">police courts,” rather than to municipal courts. But “police court” is an antiquated term in Arizona. A police court in the current vernacular is a municipal court. </w:t>
      </w:r>
      <w:r w:rsidR="004F14FB" w:rsidRPr="00A739C2">
        <w:rPr>
          <w:rFonts w:ascii="Times New Roman" w:hAnsi="Times New Roman" w:cs="Times New Roman"/>
          <w:sz w:val="28"/>
          <w:szCs w:val="28"/>
        </w:rPr>
        <w:t>The Supreme Court’s website</w:t>
      </w:r>
      <w:r w:rsidR="004F14FB" w:rsidRPr="00A739C2">
        <w:rPr>
          <w:rStyle w:val="FootnoteReference"/>
          <w:rFonts w:ascii="Times New Roman" w:hAnsi="Times New Roman" w:cs="Times New Roman"/>
          <w:sz w:val="28"/>
          <w:szCs w:val="28"/>
        </w:rPr>
        <w:footnoteReference w:id="17"/>
      </w:r>
      <w:r w:rsidR="004F14FB" w:rsidRPr="00A739C2">
        <w:rPr>
          <w:rFonts w:ascii="Times New Roman" w:hAnsi="Times New Roman" w:cs="Times New Roman"/>
          <w:sz w:val="28"/>
          <w:szCs w:val="28"/>
        </w:rPr>
        <w:t xml:space="preserve"> recognizes that usage, saying that </w:t>
      </w:r>
      <w:r w:rsidRPr="00A739C2">
        <w:rPr>
          <w:rFonts w:ascii="Times New Roman" w:hAnsi="Times New Roman" w:cs="Times New Roman"/>
          <w:sz w:val="28"/>
          <w:szCs w:val="28"/>
        </w:rPr>
        <w:t>“Limited jurisdiction courts are justice and municipal (or city) courts.” The levels of courts in Arizona no longer include a police court. The webpage includes a mention to the establishment of police courts more than a century ago, but it also includes a parenthetical reference to the modern term: “1913: The Arizona Legislature established police (municipal) courts for each of the state’s incorporated cities and towns.” Although there still might be a few antiquated references to an Arizona “police court,” virtually all city and town courts, including the one in Scottsdale, reference themselves as municipal courts. A rule amendment changing “police courts” to “municipal courts” is a modernization of terminology rather than a substantive change. See further A.R.S. Title 22, as well as A.R.S. § 28-2552, which describes the jurisdiction of municipal and justice courts but makes no references to police courts.</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r>
      <w:r w:rsidR="004F14FB" w:rsidRPr="00A739C2">
        <w:rPr>
          <w:rFonts w:ascii="Times New Roman" w:hAnsi="Times New Roman" w:cs="Times New Roman"/>
          <w:sz w:val="28"/>
          <w:szCs w:val="28"/>
        </w:rPr>
        <w:t>T</w:t>
      </w:r>
      <w:r w:rsidRPr="00A739C2">
        <w:rPr>
          <w:rFonts w:ascii="Times New Roman" w:hAnsi="Times New Roman" w:cs="Times New Roman"/>
          <w:sz w:val="28"/>
          <w:szCs w:val="28"/>
        </w:rPr>
        <w:t xml:space="preserve">he </w:t>
      </w:r>
      <w:r w:rsidR="004F14FB" w:rsidRPr="00A739C2">
        <w:rPr>
          <w:rFonts w:ascii="Times New Roman" w:hAnsi="Times New Roman" w:cs="Times New Roman"/>
          <w:sz w:val="28"/>
          <w:szCs w:val="28"/>
        </w:rPr>
        <w:t xml:space="preserve">second comment, filed by the </w:t>
      </w:r>
      <w:r w:rsidRPr="00A739C2">
        <w:rPr>
          <w:rFonts w:ascii="Times New Roman" w:hAnsi="Times New Roman" w:cs="Times New Roman"/>
          <w:sz w:val="28"/>
          <w:szCs w:val="28"/>
        </w:rPr>
        <w:t>Arizona Corporation Commission (“Commission”)</w:t>
      </w:r>
      <w:r w:rsidR="004F14FB" w:rsidRPr="00A739C2">
        <w:rPr>
          <w:rFonts w:ascii="Times New Roman" w:hAnsi="Times New Roman" w:cs="Times New Roman"/>
          <w:sz w:val="28"/>
          <w:szCs w:val="28"/>
        </w:rPr>
        <w:t>, raised s</w:t>
      </w:r>
      <w:r w:rsidRPr="00A739C2">
        <w:rPr>
          <w:rFonts w:ascii="Times New Roman" w:hAnsi="Times New Roman" w:cs="Times New Roman"/>
          <w:sz w:val="28"/>
          <w:szCs w:val="28"/>
        </w:rPr>
        <w:t>ix issues, five involv</w:t>
      </w:r>
      <w:r w:rsidR="004F14FB" w:rsidRPr="00A739C2">
        <w:rPr>
          <w:rFonts w:ascii="Times New Roman" w:hAnsi="Times New Roman" w:cs="Times New Roman"/>
          <w:sz w:val="28"/>
          <w:szCs w:val="28"/>
        </w:rPr>
        <w:t>ing</w:t>
      </w:r>
      <w:r w:rsidRPr="00A739C2">
        <w:rPr>
          <w:rFonts w:ascii="Times New Roman" w:hAnsi="Times New Roman" w:cs="Times New Roman"/>
          <w:sz w:val="28"/>
          <w:szCs w:val="28"/>
        </w:rPr>
        <w:t xml:space="preserve"> substantive language changes</w:t>
      </w:r>
      <w:r w:rsidR="004F14FB" w:rsidRPr="00A739C2">
        <w:rPr>
          <w:rFonts w:ascii="Times New Roman" w:hAnsi="Times New Roman" w:cs="Times New Roman"/>
          <w:sz w:val="28"/>
          <w:szCs w:val="28"/>
        </w:rPr>
        <w:t>. Four</w:t>
      </w:r>
      <w:r w:rsidRPr="00A739C2">
        <w:rPr>
          <w:rFonts w:ascii="Times New Roman" w:hAnsi="Times New Roman" w:cs="Times New Roman"/>
          <w:sz w:val="28"/>
          <w:szCs w:val="28"/>
        </w:rPr>
        <w:t xml:space="preserve"> of those suggestions were incorporated into the Final Amended Petition, each addressed below in (a) through (d). </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t xml:space="preserve">(a) The Commission noted that in Rule 31.3(c)(1), the definition of “legal entity” should be revised to include federal, state, county, municipal, and tribal governmental entities. It is not uncommon for a federal government entity or a tribal entity to desire representation by an individual licensed as an attorney in another jurisdiction. Additionally, small municipal entities may prefer to rely on lay employees for representation rather than outside counsel for budgetary reasons. This </w:t>
      </w:r>
      <w:r w:rsidRPr="00A739C2">
        <w:rPr>
          <w:rFonts w:ascii="Times New Roman" w:hAnsi="Times New Roman" w:cs="Times New Roman"/>
          <w:sz w:val="28"/>
          <w:szCs w:val="28"/>
        </w:rPr>
        <w:lastRenderedPageBreak/>
        <w:t>proposal seems reasonable, and a change to Rule 31.3(c)(1) to include “or a governmental or tribal entity” was made.</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t>(b) The Commission requested that “the Arizona Corporation Commission” be removed from proposed Rule 31.3(d)(5), as the Commission is not involved in tax-related proceedings, and its inclusion there invites confusion. This was a matter that the Task Force discussed at length – debating whether to exclude the Commission because there was no evidence they were involved in tax-related proceedings. However, in an effort to avoid making substantive changes, the Task Force left the reference to the Commission in Rule 31.3(d)(5) as it was in the original Rule 31 language. Having now heard directly from the Commission that they are not involved in tax-related proceedings, the amendment was made.</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t xml:space="preserve">(c) The Commission suggested that the “full-time” requirement in Rule 31.3(c)(5)(A) should be deleted, noting a number of smaller utilities primarily use part-time employees in their operations. The Commission suggested that an individual’s status as “full-time” with a legal entity does not necessarily correlate with an enhanced ability to represent the legal entity effectively in a hearing or other administrative proceeding. Staff reviewed the suggestion noting that the Task Force had discussions about concerns around an entity hiring someone on a part-time basis to do nothing else than represent the entity. However, it was noted that subpart (C) should take care of that issue as it requires that “such representation is not the person’s primary duty to the entity but is secondary or incidental to other duties relating to the entity’s management or operation.” As such, the phrase “full-time” was deleted from Rule 31.3(c)(5)(A). </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t>(d) The Commission requested that a revision be made in Rule 31.3(c) to allow for the preparation and filing of technical or financial documents by qualified non</w:t>
      </w:r>
      <w:r w:rsidR="00FC2F35">
        <w:rPr>
          <w:rFonts w:ascii="Times New Roman" w:hAnsi="Times New Roman" w:cs="Times New Roman"/>
          <w:sz w:val="28"/>
          <w:szCs w:val="28"/>
        </w:rPr>
        <w:t>lawyers</w:t>
      </w:r>
      <w:r w:rsidRPr="00A739C2">
        <w:rPr>
          <w:rFonts w:ascii="Times New Roman" w:hAnsi="Times New Roman" w:cs="Times New Roman"/>
          <w:sz w:val="28"/>
          <w:szCs w:val="28"/>
        </w:rPr>
        <w:t xml:space="preserve">. A change </w:t>
      </w:r>
      <w:r w:rsidR="00B006D3">
        <w:rPr>
          <w:rFonts w:ascii="Times New Roman" w:hAnsi="Times New Roman" w:cs="Times New Roman"/>
          <w:sz w:val="28"/>
          <w:szCs w:val="28"/>
        </w:rPr>
        <w:t xml:space="preserve">was </w:t>
      </w:r>
      <w:r w:rsidRPr="00A739C2">
        <w:rPr>
          <w:rFonts w:ascii="Times New Roman" w:hAnsi="Times New Roman" w:cs="Times New Roman"/>
          <w:sz w:val="28"/>
          <w:szCs w:val="28"/>
        </w:rPr>
        <w:t xml:space="preserve">made to this final amended petition to add a new subsection (c)(6) and renumber existing (c)(6) as (c)(7). </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lastRenderedPageBreak/>
        <w:tab/>
        <w:t xml:space="preserve">The new (c)(6) reflects the normal practice of utilities and other legal entities regulated by the Commission </w:t>
      </w:r>
      <w:r w:rsidR="00B006D3">
        <w:rPr>
          <w:rFonts w:ascii="Times New Roman" w:hAnsi="Times New Roman" w:cs="Times New Roman"/>
          <w:sz w:val="28"/>
          <w:szCs w:val="28"/>
        </w:rPr>
        <w:t>that</w:t>
      </w:r>
      <w:r w:rsidRPr="00A739C2">
        <w:rPr>
          <w:rFonts w:ascii="Times New Roman" w:hAnsi="Times New Roman" w:cs="Times New Roman"/>
          <w:sz w:val="28"/>
          <w:szCs w:val="28"/>
        </w:rPr>
        <w:t xml:space="preserve"> are required to prepare and file or submit with the Commission technical or financial documents, such as tariffs, rate schedules, or engineering reports, often through hired consultants rather than attorneys of the employees of the regulated entity. Regulated entities also may be required to submit such technical or financial documents to a Commission Division directly. The Commission noted that in the case of utilities, this is true largely because public utility operation and regulation is a complex and niche field, and it can be difficult for utility personnel to develop the level of regulatory expertise that experienced consultants have acquired. For smaller utilities, of which there are hundreds in Arizona, the training necessary to develop such expertise generally is cost prohibitive, as is hiring an attorney. For out-of-state competitive telecommunications utilities, which commonly operate throughout the United States, it is often most efficient to have one consulting company oversee regulatory compliance for all operations. Also, and importantly, the education, training, and experience of most attorneys does not impart the knowledge and expertise necessary to prepare such technical or financial documents.</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t>The Commission noted that the preparation of the document by a non</w:t>
      </w:r>
      <w:r w:rsidR="00FC2F35">
        <w:rPr>
          <w:rFonts w:ascii="Times New Roman" w:hAnsi="Times New Roman" w:cs="Times New Roman"/>
          <w:sz w:val="28"/>
          <w:szCs w:val="28"/>
        </w:rPr>
        <w:t>lawyer</w:t>
      </w:r>
      <w:r w:rsidRPr="00A739C2">
        <w:rPr>
          <w:rFonts w:ascii="Times New Roman" w:hAnsi="Times New Roman" w:cs="Times New Roman"/>
          <w:sz w:val="28"/>
          <w:szCs w:val="28"/>
        </w:rPr>
        <w:t xml:space="preserve"> consultant appears to constitute the unauthorized practice of law (“UPL”) under the current Rule 31(b)(3) and (5). Likewise, under the current Rule 31(b)(2), the act of filing such a document in a Commission docket or submitting such a document to a Commission division can be viewed as representing the utility in an administrative proceeding and thus UPL. The Commission believed that it would be beneficial to the regulated entities and the public interest to facilitate regulated entities’ use of experienced non</w:t>
      </w:r>
      <w:r w:rsidR="00FC2F35">
        <w:rPr>
          <w:rFonts w:ascii="Times New Roman" w:hAnsi="Times New Roman" w:cs="Times New Roman"/>
          <w:sz w:val="28"/>
          <w:szCs w:val="28"/>
        </w:rPr>
        <w:t>lawyers</w:t>
      </w:r>
      <w:r w:rsidRPr="00A739C2">
        <w:rPr>
          <w:rFonts w:ascii="Times New Roman" w:hAnsi="Times New Roman" w:cs="Times New Roman"/>
          <w:sz w:val="28"/>
          <w:szCs w:val="28"/>
        </w:rPr>
        <w:t xml:space="preserve">, including consultants, for the preparation and filing of technical or financial documents. The Commission further believed that the cost </w:t>
      </w:r>
      <w:r w:rsidRPr="00A739C2">
        <w:rPr>
          <w:rFonts w:ascii="Times New Roman" w:hAnsi="Times New Roman" w:cs="Times New Roman"/>
          <w:sz w:val="28"/>
          <w:szCs w:val="28"/>
        </w:rPr>
        <w:lastRenderedPageBreak/>
        <w:t>savings to affected utilities (from not being required to hire attorneys) would flow</w:t>
      </w:r>
      <w:r w:rsidR="00B006D3">
        <w:rPr>
          <w:rFonts w:ascii="Times New Roman" w:hAnsi="Times New Roman" w:cs="Times New Roman"/>
          <w:sz w:val="28"/>
          <w:szCs w:val="28"/>
        </w:rPr>
        <w:t xml:space="preserve"> </w:t>
      </w:r>
      <w:r w:rsidRPr="00A739C2">
        <w:rPr>
          <w:rFonts w:ascii="Times New Roman" w:hAnsi="Times New Roman" w:cs="Times New Roman"/>
          <w:sz w:val="28"/>
          <w:szCs w:val="28"/>
        </w:rPr>
        <w:t>through to the customers of those affected utilities in rates.</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r>
      <w:r w:rsidR="004F14FB" w:rsidRPr="00A739C2">
        <w:rPr>
          <w:rFonts w:ascii="Times New Roman" w:hAnsi="Times New Roman" w:cs="Times New Roman"/>
          <w:sz w:val="28"/>
          <w:szCs w:val="28"/>
        </w:rPr>
        <w:t>Administrative Office of the Court s</w:t>
      </w:r>
      <w:r w:rsidRPr="00A739C2">
        <w:rPr>
          <w:rFonts w:ascii="Times New Roman" w:hAnsi="Times New Roman" w:cs="Times New Roman"/>
          <w:sz w:val="28"/>
          <w:szCs w:val="28"/>
        </w:rPr>
        <w:t>taff tasked with assisting the Task Force with restyling Rule 31 reviewed the Commission’s proposed language and reasoning. It was noted that current Rule 31(d</w:t>
      </w:r>
      <w:proofErr w:type="gramStart"/>
      <w:r w:rsidRPr="00A739C2">
        <w:rPr>
          <w:rFonts w:ascii="Times New Roman" w:hAnsi="Times New Roman" w:cs="Times New Roman"/>
          <w:sz w:val="28"/>
          <w:szCs w:val="28"/>
        </w:rPr>
        <w:t>)(</w:t>
      </w:r>
      <w:proofErr w:type="gramEnd"/>
      <w:r w:rsidRPr="00A739C2">
        <w:rPr>
          <w:rFonts w:ascii="Times New Roman" w:hAnsi="Times New Roman" w:cs="Times New Roman"/>
          <w:sz w:val="28"/>
          <w:szCs w:val="28"/>
        </w:rPr>
        <w:t xml:space="preserve">28) had special provisions for appearances before the </w:t>
      </w:r>
      <w:r w:rsidR="005C2EB9">
        <w:rPr>
          <w:rFonts w:ascii="Times New Roman" w:hAnsi="Times New Roman" w:cs="Times New Roman"/>
          <w:sz w:val="28"/>
          <w:szCs w:val="28"/>
        </w:rPr>
        <w:t>Commission</w:t>
      </w:r>
      <w:r w:rsidRPr="00A739C2">
        <w:rPr>
          <w:rFonts w:ascii="Times New Roman" w:hAnsi="Times New Roman" w:cs="Times New Roman"/>
          <w:sz w:val="28"/>
          <w:szCs w:val="28"/>
        </w:rPr>
        <w:t>, and removing them, as the proposed restyling had done, without providing adequate substitute provisions could do a disservice to the Commission, to those who appear before it, and to customers of these entities. Therefore, the proposed language from the Commission for the new (c)(6) was reviewed, revised to fit with current restyling guidelines, and shared with the Commission. Assistant Chief Administrative Law Judge</w:t>
      </w:r>
      <w:r w:rsidR="003D6AB9" w:rsidRPr="00A739C2">
        <w:rPr>
          <w:rFonts w:ascii="Times New Roman" w:hAnsi="Times New Roman" w:cs="Times New Roman"/>
          <w:sz w:val="28"/>
          <w:szCs w:val="28"/>
        </w:rPr>
        <w:t xml:space="preserve"> </w:t>
      </w:r>
      <w:r w:rsidRPr="00A739C2">
        <w:rPr>
          <w:rFonts w:ascii="Times New Roman" w:hAnsi="Times New Roman" w:cs="Times New Roman"/>
          <w:sz w:val="28"/>
          <w:szCs w:val="28"/>
        </w:rPr>
        <w:t xml:space="preserve">Sarah Harpring noted that the Commission’s goal was to ensure </w:t>
      </w:r>
      <w:r w:rsidR="00B006D3">
        <w:rPr>
          <w:rFonts w:ascii="Times New Roman" w:hAnsi="Times New Roman" w:cs="Times New Roman"/>
          <w:sz w:val="28"/>
          <w:szCs w:val="28"/>
        </w:rPr>
        <w:t xml:space="preserve">that a </w:t>
      </w:r>
      <w:r w:rsidR="00C75E9C" w:rsidRPr="00A739C2">
        <w:rPr>
          <w:rFonts w:ascii="Times New Roman" w:hAnsi="Times New Roman" w:cs="Times New Roman"/>
          <w:sz w:val="28"/>
          <w:szCs w:val="28"/>
        </w:rPr>
        <w:t>nonlawyer</w:t>
      </w:r>
      <w:r w:rsidRPr="00A739C2">
        <w:rPr>
          <w:rFonts w:ascii="Times New Roman" w:hAnsi="Times New Roman" w:cs="Times New Roman"/>
          <w:sz w:val="28"/>
          <w:szCs w:val="28"/>
        </w:rPr>
        <w:t xml:space="preserve"> expert</w:t>
      </w:r>
      <w:r w:rsidR="00B006D3">
        <w:rPr>
          <w:rFonts w:ascii="Times New Roman" w:hAnsi="Times New Roman" w:cs="Times New Roman"/>
          <w:sz w:val="28"/>
          <w:szCs w:val="28"/>
        </w:rPr>
        <w:t>’</w:t>
      </w:r>
      <w:r w:rsidRPr="00A739C2">
        <w:rPr>
          <w:rFonts w:ascii="Times New Roman" w:hAnsi="Times New Roman" w:cs="Times New Roman"/>
          <w:sz w:val="28"/>
          <w:szCs w:val="28"/>
        </w:rPr>
        <w:t xml:space="preserve">s </w:t>
      </w:r>
      <w:r w:rsidR="00B006D3">
        <w:rPr>
          <w:rFonts w:ascii="Times New Roman" w:hAnsi="Times New Roman" w:cs="Times New Roman"/>
          <w:sz w:val="28"/>
          <w:szCs w:val="28"/>
        </w:rPr>
        <w:t xml:space="preserve">preparation, submission, or filing of </w:t>
      </w:r>
      <w:r w:rsidRPr="00A739C2">
        <w:rPr>
          <w:rFonts w:ascii="Times New Roman" w:hAnsi="Times New Roman" w:cs="Times New Roman"/>
          <w:sz w:val="28"/>
          <w:szCs w:val="28"/>
        </w:rPr>
        <w:t xml:space="preserve">the document and the amendment provided in this final amendment petition was acceptable if it was understood that was the meaning of the change. </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ab/>
        <w:t>Finally, an amendment was made to Rule 31.1. In reviewing Rule 31 as restyled and the comments offered by the public, staff noted that a provision was added to Rule 31.1 after the initial restyling effort to accommodate the regulation of alternative business structures. The proposed rule therefore reflected the following section titles:</w:t>
      </w:r>
    </w:p>
    <w:p w:rsidR="00EB26CA" w:rsidRPr="00A739C2" w:rsidRDefault="00EB26CA" w:rsidP="00221286">
      <w:pPr>
        <w:spacing w:line="360" w:lineRule="auto"/>
        <w:ind w:left="1440"/>
        <w:jc w:val="both"/>
        <w:rPr>
          <w:rFonts w:ascii="Times New Roman" w:hAnsi="Times New Roman" w:cs="Times New Roman"/>
          <w:sz w:val="28"/>
          <w:szCs w:val="28"/>
        </w:rPr>
      </w:pPr>
      <w:r w:rsidRPr="00A739C2">
        <w:rPr>
          <w:rFonts w:ascii="Times New Roman" w:hAnsi="Times New Roman" w:cs="Times New Roman"/>
          <w:sz w:val="28"/>
          <w:szCs w:val="28"/>
        </w:rPr>
        <w:t>a)</w:t>
      </w:r>
      <w:r w:rsidRPr="00A739C2">
        <w:rPr>
          <w:rFonts w:ascii="Times New Roman" w:hAnsi="Times New Roman" w:cs="Times New Roman"/>
          <w:sz w:val="28"/>
          <w:szCs w:val="28"/>
        </w:rPr>
        <w:tab/>
        <w:t>Requirement</w:t>
      </w:r>
    </w:p>
    <w:p w:rsidR="00EB26CA" w:rsidRPr="00A739C2" w:rsidRDefault="00EB26CA" w:rsidP="00221286">
      <w:pPr>
        <w:spacing w:line="360" w:lineRule="auto"/>
        <w:ind w:left="1440"/>
        <w:jc w:val="both"/>
        <w:rPr>
          <w:rFonts w:ascii="Times New Roman" w:hAnsi="Times New Roman" w:cs="Times New Roman"/>
          <w:sz w:val="28"/>
          <w:szCs w:val="28"/>
        </w:rPr>
      </w:pPr>
      <w:r w:rsidRPr="00A739C2">
        <w:rPr>
          <w:rFonts w:ascii="Times New Roman" w:hAnsi="Times New Roman" w:cs="Times New Roman"/>
          <w:sz w:val="28"/>
          <w:szCs w:val="28"/>
        </w:rPr>
        <w:t>b)</w:t>
      </w:r>
      <w:r w:rsidRPr="00A739C2">
        <w:rPr>
          <w:rFonts w:ascii="Times New Roman" w:hAnsi="Times New Roman" w:cs="Times New Roman"/>
          <w:sz w:val="28"/>
          <w:szCs w:val="28"/>
        </w:rPr>
        <w:tab/>
        <w:t>Alternative Business Structures (ABS)</w:t>
      </w:r>
    </w:p>
    <w:p w:rsidR="00EB26CA" w:rsidRPr="00A739C2" w:rsidRDefault="00EB26CA" w:rsidP="00221286">
      <w:pPr>
        <w:spacing w:line="360" w:lineRule="auto"/>
        <w:ind w:left="1440"/>
        <w:jc w:val="both"/>
        <w:rPr>
          <w:rFonts w:ascii="Times New Roman" w:hAnsi="Times New Roman" w:cs="Times New Roman"/>
          <w:sz w:val="28"/>
          <w:szCs w:val="28"/>
        </w:rPr>
      </w:pPr>
      <w:r w:rsidRPr="00A739C2">
        <w:rPr>
          <w:rFonts w:ascii="Times New Roman" w:hAnsi="Times New Roman" w:cs="Times New Roman"/>
          <w:sz w:val="28"/>
          <w:szCs w:val="28"/>
        </w:rPr>
        <w:t>c)</w:t>
      </w:r>
      <w:r w:rsidRPr="00A739C2">
        <w:rPr>
          <w:rFonts w:ascii="Times New Roman" w:hAnsi="Times New Roman" w:cs="Times New Roman"/>
          <w:sz w:val="28"/>
          <w:szCs w:val="28"/>
        </w:rPr>
        <w:tab/>
        <w:t>Lack of Good Standing</w:t>
      </w:r>
    </w:p>
    <w:p w:rsidR="00EB26CA" w:rsidRPr="00A739C2" w:rsidRDefault="00EB26CA" w:rsidP="00221286">
      <w:pPr>
        <w:spacing w:line="360" w:lineRule="auto"/>
        <w:jc w:val="both"/>
        <w:rPr>
          <w:rFonts w:ascii="Times New Roman" w:hAnsi="Times New Roman" w:cs="Times New Roman"/>
          <w:sz w:val="28"/>
          <w:szCs w:val="28"/>
        </w:rPr>
      </w:pPr>
      <w:r w:rsidRPr="00A739C2">
        <w:rPr>
          <w:rFonts w:ascii="Times New Roman" w:hAnsi="Times New Roman" w:cs="Times New Roman"/>
          <w:sz w:val="28"/>
          <w:szCs w:val="28"/>
        </w:rPr>
        <w:t xml:space="preserve"> Because “good standing” is a term that is found in section (a), and a lack of good standing as described in section (c) directly relates to the term’s use in section (a), these sections were reordered to reflect this relationship as follows: </w:t>
      </w:r>
    </w:p>
    <w:p w:rsidR="00EB26CA" w:rsidRPr="00A739C2" w:rsidRDefault="00EB26CA" w:rsidP="00221286">
      <w:pPr>
        <w:spacing w:line="360" w:lineRule="auto"/>
        <w:ind w:left="1440"/>
        <w:jc w:val="both"/>
        <w:rPr>
          <w:rFonts w:ascii="Times New Roman" w:hAnsi="Times New Roman" w:cs="Times New Roman"/>
          <w:sz w:val="28"/>
          <w:szCs w:val="28"/>
        </w:rPr>
      </w:pPr>
      <w:r w:rsidRPr="00A739C2">
        <w:rPr>
          <w:rFonts w:ascii="Times New Roman" w:hAnsi="Times New Roman" w:cs="Times New Roman"/>
          <w:sz w:val="28"/>
          <w:szCs w:val="28"/>
        </w:rPr>
        <w:t>a)</w:t>
      </w:r>
      <w:r w:rsidRPr="00A739C2">
        <w:rPr>
          <w:rFonts w:ascii="Times New Roman" w:hAnsi="Times New Roman" w:cs="Times New Roman"/>
          <w:sz w:val="28"/>
          <w:szCs w:val="28"/>
        </w:rPr>
        <w:tab/>
        <w:t>Requirement</w:t>
      </w:r>
    </w:p>
    <w:p w:rsidR="00EB26CA" w:rsidRPr="00A739C2" w:rsidRDefault="00EB26CA" w:rsidP="00221286">
      <w:pPr>
        <w:spacing w:line="360" w:lineRule="auto"/>
        <w:ind w:left="1440"/>
        <w:jc w:val="both"/>
        <w:rPr>
          <w:rFonts w:ascii="Times New Roman" w:hAnsi="Times New Roman" w:cs="Times New Roman"/>
          <w:sz w:val="28"/>
          <w:szCs w:val="28"/>
        </w:rPr>
      </w:pPr>
      <w:r w:rsidRPr="00A739C2">
        <w:rPr>
          <w:rFonts w:ascii="Times New Roman" w:hAnsi="Times New Roman" w:cs="Times New Roman"/>
          <w:sz w:val="28"/>
          <w:szCs w:val="28"/>
        </w:rPr>
        <w:lastRenderedPageBreak/>
        <w:t>b)</w:t>
      </w:r>
      <w:r w:rsidRPr="00A739C2">
        <w:rPr>
          <w:rFonts w:ascii="Times New Roman" w:hAnsi="Times New Roman" w:cs="Times New Roman"/>
          <w:sz w:val="28"/>
          <w:szCs w:val="28"/>
        </w:rPr>
        <w:tab/>
        <w:t>Lack of Good Standing</w:t>
      </w:r>
    </w:p>
    <w:p w:rsidR="00817A68" w:rsidRPr="00A739C2" w:rsidRDefault="00EB26CA" w:rsidP="00C05BB7">
      <w:pPr>
        <w:spacing w:line="360" w:lineRule="auto"/>
        <w:ind w:left="1440"/>
        <w:jc w:val="both"/>
        <w:rPr>
          <w:rFonts w:ascii="Times New Roman" w:hAnsi="Times New Roman" w:cs="Times New Roman"/>
          <w:sz w:val="28"/>
          <w:szCs w:val="28"/>
        </w:rPr>
      </w:pPr>
      <w:r w:rsidRPr="00A739C2">
        <w:rPr>
          <w:rFonts w:ascii="Times New Roman" w:hAnsi="Times New Roman" w:cs="Times New Roman"/>
          <w:sz w:val="28"/>
          <w:szCs w:val="28"/>
        </w:rPr>
        <w:t>c)</w:t>
      </w:r>
      <w:r w:rsidRPr="00A739C2">
        <w:rPr>
          <w:rFonts w:ascii="Times New Roman" w:hAnsi="Times New Roman" w:cs="Times New Roman"/>
          <w:sz w:val="28"/>
          <w:szCs w:val="28"/>
        </w:rPr>
        <w:tab/>
        <w:t>Alternative Business Structures (ABS)</w:t>
      </w:r>
    </w:p>
    <w:p w:rsidR="00C05BB7" w:rsidRPr="00C05BB7" w:rsidRDefault="00C05BB7" w:rsidP="00C05BB7">
      <w:pPr>
        <w:pStyle w:val="ListParagraph"/>
        <w:spacing w:after="0" w:line="480" w:lineRule="auto"/>
        <w:ind w:left="0"/>
        <w:jc w:val="both"/>
        <w:rPr>
          <w:rFonts w:ascii="Times New Roman" w:hAnsi="Times New Roman" w:cs="Times New Roman"/>
          <w:b/>
          <w:bCs/>
          <w:sz w:val="28"/>
          <w:szCs w:val="28"/>
        </w:rPr>
      </w:pPr>
      <w:r w:rsidRPr="00C05BB7">
        <w:rPr>
          <w:rFonts w:ascii="Times New Roman" w:hAnsi="Times New Roman" w:cs="Times New Roman"/>
          <w:b/>
          <w:bCs/>
          <w:sz w:val="28"/>
          <w:szCs w:val="28"/>
        </w:rPr>
        <w:t>III. Conclusion</w:t>
      </w:r>
    </w:p>
    <w:p w:rsidR="00C05BB7" w:rsidRPr="00C05BB7" w:rsidRDefault="00C05BB7" w:rsidP="00C05BB7">
      <w:pPr>
        <w:spacing w:line="480" w:lineRule="auto"/>
        <w:ind w:firstLine="720"/>
        <w:jc w:val="both"/>
        <w:rPr>
          <w:rFonts w:ascii="Times New Roman" w:hAnsi="Times New Roman" w:cs="Times New Roman"/>
          <w:color w:val="000000" w:themeColor="text1"/>
          <w:sz w:val="28"/>
          <w:szCs w:val="28"/>
        </w:rPr>
      </w:pPr>
      <w:r w:rsidRPr="00C05BB7">
        <w:rPr>
          <w:rFonts w:ascii="Times New Roman" w:hAnsi="Times New Roman" w:cs="Times New Roman"/>
          <w:color w:val="000000" w:themeColor="text1"/>
          <w:sz w:val="28"/>
          <w:szCs w:val="28"/>
        </w:rPr>
        <w:t xml:space="preserve">The Task Force </w:t>
      </w:r>
      <w:r w:rsidR="00ED413B">
        <w:rPr>
          <w:rFonts w:ascii="Times New Roman" w:hAnsi="Times New Roman" w:cs="Times New Roman"/>
          <w:color w:val="000000" w:themeColor="text1"/>
          <w:sz w:val="28"/>
          <w:szCs w:val="28"/>
        </w:rPr>
        <w:t xml:space="preserve">and subsequent work groups </w:t>
      </w:r>
      <w:r w:rsidR="00B006D3">
        <w:rPr>
          <w:rFonts w:ascii="Times New Roman" w:hAnsi="Times New Roman" w:cs="Times New Roman"/>
          <w:color w:val="000000" w:themeColor="text1"/>
          <w:sz w:val="28"/>
          <w:szCs w:val="28"/>
        </w:rPr>
        <w:t xml:space="preserve">— </w:t>
      </w:r>
      <w:r w:rsidR="00ED413B">
        <w:rPr>
          <w:rFonts w:ascii="Times New Roman" w:hAnsi="Times New Roman" w:cs="Times New Roman"/>
          <w:color w:val="000000" w:themeColor="text1"/>
          <w:sz w:val="28"/>
          <w:szCs w:val="28"/>
        </w:rPr>
        <w:t xml:space="preserve">formed to develop the regulatory framework for these </w:t>
      </w:r>
      <w:r w:rsidRPr="00C05BB7">
        <w:rPr>
          <w:rFonts w:ascii="Times New Roman" w:hAnsi="Times New Roman" w:cs="Times New Roman"/>
          <w:color w:val="000000" w:themeColor="text1"/>
          <w:sz w:val="28"/>
          <w:szCs w:val="28"/>
        </w:rPr>
        <w:t xml:space="preserve">proposed fundamental changes to the </w:t>
      </w:r>
      <w:r w:rsidRPr="00C05BB7">
        <w:rPr>
          <w:rFonts w:ascii="Times New Roman" w:hAnsi="Times New Roman" w:cs="Times New Roman"/>
          <w:i/>
          <w:iCs/>
          <w:color w:val="000000" w:themeColor="text1"/>
          <w:sz w:val="28"/>
          <w:szCs w:val="28"/>
        </w:rPr>
        <w:t>business</w:t>
      </w:r>
      <w:r w:rsidRPr="00C05BB7">
        <w:rPr>
          <w:rFonts w:ascii="Times New Roman" w:hAnsi="Times New Roman" w:cs="Times New Roman"/>
          <w:color w:val="000000" w:themeColor="text1"/>
          <w:sz w:val="28"/>
          <w:szCs w:val="28"/>
        </w:rPr>
        <w:t xml:space="preserve"> of law as well as the </w:t>
      </w:r>
      <w:r w:rsidRPr="00C05BB7">
        <w:rPr>
          <w:rFonts w:ascii="Times New Roman" w:hAnsi="Times New Roman" w:cs="Times New Roman"/>
          <w:i/>
          <w:iCs/>
          <w:color w:val="000000" w:themeColor="text1"/>
          <w:sz w:val="28"/>
          <w:szCs w:val="28"/>
        </w:rPr>
        <w:t>practice</w:t>
      </w:r>
      <w:r w:rsidRPr="00C05BB7">
        <w:rPr>
          <w:rFonts w:ascii="Times New Roman" w:hAnsi="Times New Roman" w:cs="Times New Roman"/>
          <w:color w:val="000000" w:themeColor="text1"/>
          <w:sz w:val="28"/>
          <w:szCs w:val="28"/>
        </w:rPr>
        <w:t xml:space="preserve"> of law in this state</w:t>
      </w:r>
      <w:r w:rsidR="00B006D3">
        <w:rPr>
          <w:rFonts w:ascii="Times New Roman" w:hAnsi="Times New Roman" w:cs="Times New Roman"/>
          <w:color w:val="000000" w:themeColor="text1"/>
          <w:sz w:val="28"/>
          <w:szCs w:val="28"/>
        </w:rPr>
        <w:t xml:space="preserve"> —</w:t>
      </w:r>
      <w:r w:rsidR="00ED413B">
        <w:rPr>
          <w:rFonts w:ascii="Times New Roman" w:hAnsi="Times New Roman" w:cs="Times New Roman"/>
          <w:color w:val="000000" w:themeColor="text1"/>
          <w:sz w:val="28"/>
          <w:szCs w:val="28"/>
        </w:rPr>
        <w:t xml:space="preserve"> have given considerable time and consideration to developing rules and regulations that will continue to protect the public</w:t>
      </w:r>
      <w:r w:rsidRPr="00C05BB7">
        <w:rPr>
          <w:rFonts w:ascii="Times New Roman" w:hAnsi="Times New Roman" w:cs="Times New Roman"/>
          <w:color w:val="000000" w:themeColor="text1"/>
          <w:sz w:val="28"/>
          <w:szCs w:val="28"/>
        </w:rPr>
        <w:t>.</w:t>
      </w:r>
      <w:r w:rsidR="00ED413B">
        <w:rPr>
          <w:rFonts w:ascii="Times New Roman" w:hAnsi="Times New Roman" w:cs="Times New Roman"/>
          <w:color w:val="000000" w:themeColor="text1"/>
          <w:sz w:val="28"/>
          <w:szCs w:val="28"/>
        </w:rPr>
        <w:t xml:space="preserve"> </w:t>
      </w:r>
    </w:p>
    <w:p w:rsidR="00C05BB7" w:rsidRPr="00C05BB7" w:rsidRDefault="00C05BB7" w:rsidP="00C05BB7">
      <w:pPr>
        <w:spacing w:line="480" w:lineRule="auto"/>
        <w:ind w:firstLine="720"/>
        <w:jc w:val="both"/>
        <w:rPr>
          <w:rFonts w:ascii="Times New Roman" w:hAnsi="Times New Roman" w:cs="Times New Roman"/>
          <w:color w:val="000000" w:themeColor="text1"/>
          <w:sz w:val="28"/>
          <w:szCs w:val="28"/>
        </w:rPr>
      </w:pPr>
      <w:r w:rsidRPr="00C05BB7">
        <w:rPr>
          <w:rFonts w:ascii="Times New Roman" w:hAnsi="Times New Roman" w:cs="Times New Roman"/>
          <w:color w:val="000000" w:themeColor="text1"/>
          <w:sz w:val="28"/>
          <w:szCs w:val="28"/>
        </w:rPr>
        <w:t xml:space="preserve">Resistance and anxiety by lawyers should not deter the Court from adopting and implementing the Task Force’s recommendations. </w:t>
      </w:r>
      <w:r w:rsidR="00BC5E86">
        <w:rPr>
          <w:rFonts w:ascii="Times New Roman" w:hAnsi="Times New Roman" w:cs="Times New Roman"/>
          <w:color w:val="000000" w:themeColor="text1"/>
          <w:sz w:val="28"/>
          <w:szCs w:val="28"/>
        </w:rPr>
        <w:t xml:space="preserve">the substantive comments and input received to this petition, as well as all concerns raised by commenters, have been carefully considered in drafting additional amendments during the pendency of this petition to further advance the dual goal of increasing access to legal services and protecting the public. </w:t>
      </w:r>
    </w:p>
    <w:p w:rsidR="00C05BB7" w:rsidRPr="00C05BB7" w:rsidRDefault="00C05BB7" w:rsidP="00C05BB7">
      <w:pPr>
        <w:ind w:firstLine="720"/>
        <w:jc w:val="both"/>
        <w:rPr>
          <w:rFonts w:ascii="Times New Roman" w:hAnsi="Times New Roman" w:cs="Times New Roman"/>
          <w:sz w:val="28"/>
          <w:szCs w:val="28"/>
        </w:rPr>
      </w:pPr>
      <w:r w:rsidRPr="00C05BB7">
        <w:rPr>
          <w:rFonts w:ascii="Times New Roman" w:hAnsi="Times New Roman" w:cs="Times New Roman"/>
          <w:sz w:val="28"/>
          <w:szCs w:val="28"/>
        </w:rPr>
        <w:t xml:space="preserve">DATED this </w:t>
      </w:r>
      <w:r w:rsidR="007A34CB">
        <w:rPr>
          <w:rFonts w:ascii="Times New Roman" w:hAnsi="Times New Roman" w:cs="Times New Roman"/>
          <w:sz w:val="28"/>
          <w:szCs w:val="28"/>
        </w:rPr>
        <w:t>22</w:t>
      </w:r>
      <w:r w:rsidR="00A97D0B">
        <w:rPr>
          <w:rFonts w:ascii="Times New Roman" w:hAnsi="Times New Roman" w:cs="Times New Roman"/>
          <w:sz w:val="28"/>
          <w:szCs w:val="28"/>
        </w:rPr>
        <w:t>nd</w:t>
      </w:r>
      <w:bookmarkStart w:id="0" w:name="_GoBack"/>
      <w:bookmarkEnd w:id="0"/>
      <w:r w:rsidRPr="00C05BB7">
        <w:rPr>
          <w:rFonts w:ascii="Times New Roman" w:hAnsi="Times New Roman" w:cs="Times New Roman"/>
          <w:sz w:val="28"/>
          <w:szCs w:val="28"/>
        </w:rPr>
        <w:t xml:space="preserve"> day of </w:t>
      </w:r>
      <w:r w:rsidR="007A34CB">
        <w:rPr>
          <w:rFonts w:ascii="Times New Roman" w:hAnsi="Times New Roman" w:cs="Times New Roman"/>
          <w:sz w:val="28"/>
          <w:szCs w:val="28"/>
        </w:rPr>
        <w:t>June</w:t>
      </w:r>
      <w:r w:rsidRPr="00C05BB7">
        <w:rPr>
          <w:rFonts w:ascii="Times New Roman" w:hAnsi="Times New Roman" w:cs="Times New Roman"/>
          <w:sz w:val="28"/>
          <w:szCs w:val="28"/>
        </w:rPr>
        <w:t>, 2020.</w:t>
      </w:r>
    </w:p>
    <w:p w:rsidR="00C05BB7" w:rsidRPr="00C05BB7" w:rsidRDefault="00C05BB7" w:rsidP="00C05BB7">
      <w:pPr>
        <w:jc w:val="both"/>
        <w:rPr>
          <w:rFonts w:ascii="Times New Roman" w:hAnsi="Times New Roman" w:cs="Times New Roman"/>
          <w:sz w:val="28"/>
          <w:szCs w:val="28"/>
        </w:rPr>
      </w:pPr>
    </w:p>
    <w:p w:rsidR="00C05BB7" w:rsidRPr="00C05BB7" w:rsidRDefault="00C05BB7" w:rsidP="00C05BB7">
      <w:pPr>
        <w:jc w:val="both"/>
        <w:rPr>
          <w:rFonts w:ascii="Times New Roman" w:hAnsi="Times New Roman" w:cs="Times New Roman"/>
          <w:sz w:val="28"/>
          <w:szCs w:val="28"/>
        </w:rPr>
      </w:pPr>
    </w:p>
    <w:p w:rsidR="00C05BB7" w:rsidRPr="00C05BB7" w:rsidRDefault="00C05BB7" w:rsidP="00C05BB7">
      <w:pPr>
        <w:jc w:val="both"/>
        <w:rPr>
          <w:rFonts w:ascii="Times New Roman" w:hAnsi="Times New Roman" w:cs="Times New Roman"/>
          <w:sz w:val="28"/>
          <w:szCs w:val="28"/>
        </w:rPr>
      </w:pPr>
      <w:r w:rsidRPr="00C05BB7">
        <w:rPr>
          <w:rFonts w:ascii="Times New Roman" w:hAnsi="Times New Roman" w:cs="Times New Roman"/>
          <w:sz w:val="28"/>
          <w:szCs w:val="28"/>
        </w:rPr>
        <w:t xml:space="preserve">                                             </w:t>
      </w:r>
      <w:r w:rsidRPr="00C05BB7">
        <w:rPr>
          <w:rFonts w:ascii="Times New Roman" w:hAnsi="Times New Roman" w:cs="Times New Roman"/>
          <w:sz w:val="28"/>
          <w:szCs w:val="28"/>
        </w:rPr>
        <w:tab/>
        <w:t xml:space="preserve">   ___/s/______________________</w:t>
      </w:r>
    </w:p>
    <w:p w:rsidR="00C05BB7" w:rsidRPr="00C05BB7" w:rsidRDefault="00C05BB7" w:rsidP="00C05BB7">
      <w:pPr>
        <w:jc w:val="both"/>
        <w:rPr>
          <w:rFonts w:ascii="Times New Roman" w:hAnsi="Times New Roman" w:cs="Times New Roman"/>
          <w:sz w:val="28"/>
          <w:szCs w:val="28"/>
        </w:rPr>
      </w:pPr>
      <w:r w:rsidRPr="00C05BB7">
        <w:rPr>
          <w:rFonts w:ascii="Times New Roman" w:hAnsi="Times New Roman" w:cs="Times New Roman"/>
          <w:sz w:val="28"/>
          <w:szCs w:val="28"/>
        </w:rPr>
        <w:t xml:space="preserve">                                             </w:t>
      </w:r>
      <w:r w:rsidRPr="00C05BB7">
        <w:rPr>
          <w:rFonts w:ascii="Times New Roman" w:hAnsi="Times New Roman" w:cs="Times New Roman"/>
          <w:sz w:val="28"/>
          <w:szCs w:val="28"/>
        </w:rPr>
        <w:tab/>
        <w:t xml:space="preserve">   Dave Byers</w:t>
      </w:r>
    </w:p>
    <w:p w:rsidR="00C05BB7" w:rsidRPr="00C05BB7" w:rsidRDefault="00C05BB7" w:rsidP="00C05BB7">
      <w:pPr>
        <w:ind w:left="3810"/>
        <w:jc w:val="both"/>
        <w:rPr>
          <w:rFonts w:ascii="Times New Roman" w:hAnsi="Times New Roman" w:cs="Times New Roman"/>
          <w:sz w:val="28"/>
          <w:szCs w:val="28"/>
        </w:rPr>
      </w:pPr>
      <w:r w:rsidRPr="00C05BB7">
        <w:rPr>
          <w:rFonts w:ascii="Times New Roman" w:hAnsi="Times New Roman" w:cs="Times New Roman"/>
          <w:sz w:val="28"/>
          <w:szCs w:val="28"/>
        </w:rPr>
        <w:t>Administrative Director</w:t>
      </w:r>
    </w:p>
    <w:p w:rsidR="00C05BB7" w:rsidRPr="00C05BB7" w:rsidRDefault="00C05BB7" w:rsidP="00C05BB7">
      <w:pPr>
        <w:ind w:left="3810"/>
        <w:jc w:val="both"/>
        <w:rPr>
          <w:rFonts w:ascii="Times New Roman" w:hAnsi="Times New Roman" w:cs="Times New Roman"/>
          <w:sz w:val="28"/>
          <w:szCs w:val="28"/>
        </w:rPr>
      </w:pPr>
      <w:r w:rsidRPr="00C05BB7">
        <w:rPr>
          <w:rFonts w:ascii="Times New Roman" w:hAnsi="Times New Roman" w:cs="Times New Roman"/>
          <w:sz w:val="28"/>
          <w:szCs w:val="28"/>
        </w:rPr>
        <w:t>Arizona Administrative Office of Courts</w:t>
      </w:r>
    </w:p>
    <w:p w:rsidR="00C05BB7" w:rsidRPr="00C05BB7" w:rsidRDefault="00C05BB7" w:rsidP="00C05BB7">
      <w:pPr>
        <w:ind w:left="3600"/>
        <w:jc w:val="both"/>
        <w:rPr>
          <w:rFonts w:ascii="Times New Roman" w:hAnsi="Times New Roman" w:cs="Times New Roman"/>
          <w:sz w:val="28"/>
          <w:szCs w:val="28"/>
        </w:rPr>
      </w:pPr>
      <w:r w:rsidRPr="00C05BB7">
        <w:rPr>
          <w:rFonts w:ascii="Times New Roman" w:hAnsi="Times New Roman" w:cs="Times New Roman"/>
          <w:sz w:val="28"/>
          <w:szCs w:val="28"/>
        </w:rPr>
        <w:t xml:space="preserve">   State Courts Building</w:t>
      </w:r>
    </w:p>
    <w:p w:rsidR="00C05BB7" w:rsidRPr="00C05BB7" w:rsidRDefault="00C05BB7" w:rsidP="00C05BB7">
      <w:pPr>
        <w:ind w:left="3600"/>
        <w:jc w:val="both"/>
        <w:rPr>
          <w:rFonts w:ascii="Times New Roman" w:hAnsi="Times New Roman" w:cs="Times New Roman"/>
          <w:sz w:val="28"/>
          <w:szCs w:val="28"/>
        </w:rPr>
      </w:pPr>
      <w:r w:rsidRPr="00C05BB7">
        <w:rPr>
          <w:rFonts w:ascii="Times New Roman" w:hAnsi="Times New Roman" w:cs="Times New Roman"/>
          <w:sz w:val="28"/>
          <w:szCs w:val="28"/>
        </w:rPr>
        <w:t xml:space="preserve">   1501 West Washington</w:t>
      </w:r>
    </w:p>
    <w:p w:rsidR="00C05BB7" w:rsidRPr="00C05BB7" w:rsidRDefault="00C05BB7" w:rsidP="00C05BB7">
      <w:pPr>
        <w:ind w:left="3600"/>
        <w:jc w:val="both"/>
        <w:rPr>
          <w:rFonts w:ascii="Times New Roman" w:hAnsi="Times New Roman" w:cs="Times New Roman"/>
          <w:sz w:val="28"/>
          <w:szCs w:val="28"/>
        </w:rPr>
      </w:pPr>
      <w:r w:rsidRPr="00C05BB7">
        <w:rPr>
          <w:rFonts w:ascii="Times New Roman" w:hAnsi="Times New Roman" w:cs="Times New Roman"/>
          <w:sz w:val="28"/>
          <w:szCs w:val="28"/>
        </w:rPr>
        <w:t xml:space="preserve">   Phoenix, Arizona 85007</w:t>
      </w:r>
    </w:p>
    <w:p w:rsidR="00C05BB7" w:rsidRPr="00C05BB7" w:rsidRDefault="00C05BB7" w:rsidP="00C05BB7">
      <w:pPr>
        <w:ind w:left="3600"/>
        <w:jc w:val="both"/>
        <w:rPr>
          <w:rFonts w:ascii="Times New Roman" w:hAnsi="Times New Roman" w:cs="Times New Roman"/>
          <w:sz w:val="28"/>
          <w:szCs w:val="28"/>
        </w:rPr>
      </w:pPr>
      <w:r w:rsidRPr="00C05BB7">
        <w:rPr>
          <w:rFonts w:ascii="Times New Roman" w:hAnsi="Times New Roman" w:cs="Times New Roman"/>
          <w:sz w:val="28"/>
          <w:szCs w:val="28"/>
        </w:rPr>
        <w:t xml:space="preserve">   Telephone: (602) 452-3301</w:t>
      </w:r>
    </w:p>
    <w:p w:rsidR="00C05BB7" w:rsidRPr="00C05BB7" w:rsidRDefault="00C05BB7" w:rsidP="00C05BB7">
      <w:pPr>
        <w:jc w:val="both"/>
        <w:rPr>
          <w:rFonts w:ascii="Times New Roman" w:hAnsi="Times New Roman" w:cs="Times New Roman"/>
          <w:b/>
          <w:bCs/>
          <w:sz w:val="28"/>
          <w:szCs w:val="28"/>
        </w:rPr>
      </w:pPr>
      <w:r w:rsidRPr="00C05BB7">
        <w:rPr>
          <w:rFonts w:ascii="Times New Roman" w:hAnsi="Times New Roman" w:cs="Times New Roman"/>
          <w:sz w:val="28"/>
          <w:szCs w:val="28"/>
        </w:rPr>
        <w:t xml:space="preserve">  </w:t>
      </w:r>
      <w:r w:rsidRPr="00C05BB7">
        <w:rPr>
          <w:rFonts w:ascii="Times New Roman" w:hAnsi="Times New Roman" w:cs="Times New Roman"/>
          <w:sz w:val="28"/>
          <w:szCs w:val="28"/>
        </w:rPr>
        <w:tab/>
      </w:r>
      <w:r w:rsidRPr="00C05BB7">
        <w:rPr>
          <w:rFonts w:ascii="Times New Roman" w:hAnsi="Times New Roman" w:cs="Times New Roman"/>
          <w:sz w:val="28"/>
          <w:szCs w:val="28"/>
        </w:rPr>
        <w:tab/>
      </w:r>
      <w:r w:rsidRPr="00C05BB7">
        <w:rPr>
          <w:rFonts w:ascii="Times New Roman" w:hAnsi="Times New Roman" w:cs="Times New Roman"/>
          <w:sz w:val="28"/>
          <w:szCs w:val="28"/>
        </w:rPr>
        <w:tab/>
      </w:r>
      <w:r w:rsidRPr="00C05BB7">
        <w:rPr>
          <w:rFonts w:ascii="Times New Roman" w:hAnsi="Times New Roman" w:cs="Times New Roman"/>
          <w:sz w:val="28"/>
          <w:szCs w:val="28"/>
        </w:rPr>
        <w:tab/>
      </w:r>
      <w:r w:rsidRPr="00C05BB7">
        <w:rPr>
          <w:rFonts w:ascii="Times New Roman" w:hAnsi="Times New Roman" w:cs="Times New Roman"/>
          <w:sz w:val="28"/>
          <w:szCs w:val="28"/>
        </w:rPr>
        <w:tab/>
        <w:t xml:space="preserve">   Projects2@courts.az.gov</w:t>
      </w:r>
      <w:r w:rsidRPr="00C05BB7">
        <w:rPr>
          <w:rFonts w:ascii="Times New Roman" w:hAnsi="Times New Roman" w:cs="Times New Roman"/>
          <w:b/>
          <w:bCs/>
          <w:sz w:val="28"/>
          <w:szCs w:val="28"/>
        </w:rPr>
        <w:t xml:space="preserve"> </w:t>
      </w:r>
    </w:p>
    <w:p w:rsidR="00720BE1" w:rsidRPr="00C05BB7" w:rsidRDefault="00720BE1" w:rsidP="00221286">
      <w:pPr>
        <w:spacing w:line="360" w:lineRule="auto"/>
        <w:jc w:val="both"/>
        <w:rPr>
          <w:rFonts w:ascii="Times New Roman" w:hAnsi="Times New Roman" w:cs="Times New Roman"/>
          <w:sz w:val="28"/>
          <w:szCs w:val="28"/>
        </w:rPr>
      </w:pPr>
    </w:p>
    <w:sectPr w:rsidR="00720BE1" w:rsidRPr="00C05BB7" w:rsidSect="00EA0B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669" w:rsidRDefault="00DD1669" w:rsidP="00EA0B58">
      <w:r>
        <w:separator/>
      </w:r>
    </w:p>
  </w:endnote>
  <w:endnote w:type="continuationSeparator" w:id="0">
    <w:p w:rsidR="00DD1669" w:rsidRDefault="00DD1669" w:rsidP="00EA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5911344"/>
      <w:docPartObj>
        <w:docPartGallery w:val="Page Numbers (Bottom of Page)"/>
        <w:docPartUnique/>
      </w:docPartObj>
    </w:sdtPr>
    <w:sdtEndPr>
      <w:rPr>
        <w:rStyle w:val="PageNumber"/>
      </w:rPr>
    </w:sdtEndPr>
    <w:sdtContent>
      <w:p w:rsidR="00720BE1" w:rsidRDefault="00720BE1" w:rsidP="003A6B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20BE1" w:rsidRDefault="00720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4326433"/>
      <w:docPartObj>
        <w:docPartGallery w:val="Page Numbers (Bottom of Page)"/>
        <w:docPartUnique/>
      </w:docPartObj>
    </w:sdtPr>
    <w:sdtEndPr>
      <w:rPr>
        <w:rStyle w:val="PageNumber"/>
      </w:rPr>
    </w:sdtEndPr>
    <w:sdtContent>
      <w:p w:rsidR="00720BE1" w:rsidRDefault="00720BE1" w:rsidP="003A6B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20BE1" w:rsidRDefault="00720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EB1" w:rsidRDefault="00DD3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669" w:rsidRDefault="00DD1669" w:rsidP="00EA0B58">
      <w:r>
        <w:separator/>
      </w:r>
    </w:p>
  </w:footnote>
  <w:footnote w:type="continuationSeparator" w:id="0">
    <w:p w:rsidR="00DD1669" w:rsidRDefault="00DD1669" w:rsidP="00EA0B58">
      <w:r>
        <w:continuationSeparator/>
      </w:r>
    </w:p>
  </w:footnote>
  <w:footnote w:id="1">
    <w:p w:rsidR="002C7A3E" w:rsidRPr="00F7512A" w:rsidRDefault="002C7A3E" w:rsidP="002C7A3E">
      <w:pPr>
        <w:pStyle w:val="FootnoteText"/>
        <w:jc w:val="both"/>
        <w:rPr>
          <w:sz w:val="24"/>
          <w:szCs w:val="24"/>
        </w:rPr>
      </w:pPr>
      <w:r w:rsidRPr="00F7512A">
        <w:rPr>
          <w:rStyle w:val="FootnoteReference"/>
          <w:sz w:val="24"/>
          <w:szCs w:val="24"/>
        </w:rPr>
        <w:footnoteRef/>
      </w:r>
      <w:r w:rsidRPr="00F7512A">
        <w:rPr>
          <w:sz w:val="24"/>
          <w:szCs w:val="24"/>
        </w:rPr>
        <w:t xml:space="preserve"> Mr. Byers file</w:t>
      </w:r>
      <w:r w:rsidR="00FC2F35">
        <w:rPr>
          <w:sz w:val="24"/>
          <w:szCs w:val="24"/>
        </w:rPr>
        <w:t>s</w:t>
      </w:r>
      <w:r w:rsidRPr="00F7512A">
        <w:rPr>
          <w:sz w:val="24"/>
          <w:szCs w:val="24"/>
        </w:rPr>
        <w:t xml:space="preserve"> th</w:t>
      </w:r>
      <w:r w:rsidR="00FC2F35">
        <w:rPr>
          <w:sz w:val="24"/>
          <w:szCs w:val="24"/>
        </w:rPr>
        <w:t>is</w:t>
      </w:r>
      <w:r w:rsidRPr="00F7512A">
        <w:rPr>
          <w:sz w:val="24"/>
          <w:szCs w:val="24"/>
        </w:rPr>
        <w:t xml:space="preserve"> </w:t>
      </w:r>
      <w:r>
        <w:rPr>
          <w:sz w:val="24"/>
          <w:szCs w:val="24"/>
        </w:rPr>
        <w:t xml:space="preserve">reply and </w:t>
      </w:r>
      <w:r w:rsidR="005D698A">
        <w:rPr>
          <w:sz w:val="24"/>
          <w:szCs w:val="24"/>
        </w:rPr>
        <w:t xml:space="preserve">final </w:t>
      </w:r>
      <w:r>
        <w:rPr>
          <w:sz w:val="24"/>
          <w:szCs w:val="24"/>
        </w:rPr>
        <w:t xml:space="preserve">amended </w:t>
      </w:r>
      <w:r w:rsidRPr="00F7512A">
        <w:rPr>
          <w:sz w:val="24"/>
          <w:szCs w:val="24"/>
        </w:rPr>
        <w:t>petition in his capacity of a member of the Supreme Court’s Task Force on the Delivery of Legal Services and as chairman of the workgroup established to develop proposed rule changes to accomplish entity regulation.</w:t>
      </w:r>
    </w:p>
  </w:footnote>
  <w:footnote w:id="2">
    <w:p w:rsidR="00720BE1" w:rsidRPr="005D698A" w:rsidRDefault="00720BE1" w:rsidP="000B1647">
      <w:pPr>
        <w:jc w:val="both"/>
        <w:rPr>
          <w:rFonts w:ascii="Times New Roman" w:hAnsi="Times New Roman" w:cs="Times New Roman"/>
        </w:rPr>
      </w:pPr>
      <w:r w:rsidRPr="005D698A">
        <w:rPr>
          <w:rStyle w:val="FootnoteReference"/>
          <w:rFonts w:ascii="Times New Roman" w:hAnsi="Times New Roman" w:cs="Times New Roman"/>
        </w:rPr>
        <w:footnoteRef/>
      </w:r>
      <w:r w:rsidRPr="005D698A">
        <w:rPr>
          <w:rFonts w:ascii="Times New Roman" w:hAnsi="Times New Roman" w:cs="Times New Roman"/>
        </w:rPr>
        <w:t xml:space="preserve"> Only significant changes, issues and objections are itemized and discussed below. The appendices reflect all changes.</w:t>
      </w:r>
    </w:p>
  </w:footnote>
  <w:footnote w:id="3">
    <w:p w:rsidR="00720BE1" w:rsidRPr="005D698A" w:rsidRDefault="00720BE1" w:rsidP="00754DE5">
      <w:pPr>
        <w:pStyle w:val="FootnoteText"/>
        <w:jc w:val="both"/>
        <w:rPr>
          <w:sz w:val="24"/>
          <w:szCs w:val="24"/>
        </w:rPr>
      </w:pPr>
      <w:r w:rsidRPr="005D698A">
        <w:rPr>
          <w:rStyle w:val="FootnoteReference"/>
          <w:sz w:val="24"/>
          <w:szCs w:val="24"/>
        </w:rPr>
        <w:footnoteRef/>
      </w:r>
      <w:r w:rsidRPr="005D698A">
        <w:rPr>
          <w:sz w:val="24"/>
          <w:szCs w:val="24"/>
        </w:rPr>
        <w:t xml:space="preserve"> </w:t>
      </w:r>
      <w:r w:rsidRPr="005D698A">
        <w:rPr>
          <w:color w:val="000000" w:themeColor="text1"/>
          <w:sz w:val="24"/>
          <w:szCs w:val="24"/>
        </w:rPr>
        <w:t xml:space="preserve">The ABS regulations would be codified as ACJA § 7-209. The full set of proposed regulations are at </w:t>
      </w:r>
      <w:hyperlink r:id="rId1" w:history="1">
        <w:r w:rsidRPr="005D698A">
          <w:rPr>
            <w:rStyle w:val="Hyperlink"/>
            <w:sz w:val="24"/>
            <w:szCs w:val="24"/>
          </w:rPr>
          <w:t>ACJA Pending Proposals Web Forum</w:t>
        </w:r>
      </w:hyperlink>
      <w:r w:rsidRPr="005D698A">
        <w:rPr>
          <w:rStyle w:val="Hyperlink"/>
          <w:sz w:val="24"/>
          <w:szCs w:val="24"/>
        </w:rPr>
        <w:t>.</w:t>
      </w:r>
    </w:p>
  </w:footnote>
  <w:footnote w:id="4">
    <w:p w:rsidR="00720BE1" w:rsidRPr="005D698A" w:rsidRDefault="00720BE1" w:rsidP="00FF4253">
      <w:pPr>
        <w:autoSpaceDE w:val="0"/>
        <w:autoSpaceDN w:val="0"/>
        <w:adjustRightInd w:val="0"/>
        <w:jc w:val="both"/>
        <w:rPr>
          <w:rFonts w:ascii="Times New Roman" w:hAnsi="Times New Roman" w:cs="Times New Roman"/>
          <w:color w:val="000000" w:themeColor="text1"/>
        </w:rPr>
      </w:pPr>
      <w:r w:rsidRPr="005D698A">
        <w:rPr>
          <w:rStyle w:val="FootnoteReference"/>
          <w:rFonts w:ascii="Times New Roman" w:hAnsi="Times New Roman" w:cs="Times New Roman"/>
          <w:color w:val="000000" w:themeColor="text1"/>
        </w:rPr>
        <w:footnoteRef/>
      </w:r>
      <w:r w:rsidRPr="005D698A">
        <w:rPr>
          <w:rFonts w:ascii="Times New Roman" w:hAnsi="Times New Roman" w:cs="Times New Roman"/>
          <w:color w:val="000000" w:themeColor="text1"/>
        </w:rPr>
        <w:t xml:space="preserve"> </w:t>
      </w:r>
      <w:r w:rsidRPr="005D698A">
        <w:rPr>
          <w:rFonts w:ascii="Times New Roman" w:hAnsi="Times New Roman" w:cs="Times New Roman"/>
          <w:i/>
          <w:iCs/>
          <w:color w:val="000000" w:themeColor="text1"/>
        </w:rPr>
        <w:t>See, e.g</w:t>
      </w:r>
      <w:r w:rsidRPr="005D698A">
        <w:rPr>
          <w:rFonts w:ascii="Times New Roman" w:hAnsi="Times New Roman" w:cs="Times New Roman"/>
          <w:color w:val="000000" w:themeColor="text1"/>
        </w:rPr>
        <w:t xml:space="preserve">., George C. Harris and Derek F. Foran, </w:t>
      </w:r>
      <w:r w:rsidRPr="005D698A">
        <w:rPr>
          <w:rFonts w:ascii="Times New Roman" w:hAnsi="Times New Roman" w:cs="Times New Roman"/>
          <w:i/>
          <w:iCs/>
          <w:color w:val="000000" w:themeColor="text1"/>
        </w:rPr>
        <w:t>The Ethics of Middle-Class Access to Legal Services and What We Can Learn from the Medical Profession's Shift to a Corporate Paradigm,</w:t>
      </w:r>
      <w:r w:rsidRPr="005D698A">
        <w:rPr>
          <w:rFonts w:ascii="Times New Roman" w:hAnsi="Times New Roman" w:cs="Times New Roman"/>
          <w:color w:val="000000" w:themeColor="text1"/>
        </w:rPr>
        <w:t xml:space="preserve"> 70 Fordham L. Rev. 775, 805 (2001) (“Efficient use of technology could help consumers with legal needs connect more easily with legal service providers, who would tap into the currently underserved middle-class market for legal services”); </w:t>
      </w:r>
      <w:r w:rsidRPr="005D698A">
        <w:rPr>
          <w:rFonts w:ascii="Times New Roman" w:hAnsi="Times New Roman" w:cs="Times New Roman"/>
          <w:i/>
          <w:iCs/>
          <w:color w:val="000000" w:themeColor="text1"/>
        </w:rPr>
        <w:t>id</w:t>
      </w:r>
      <w:r w:rsidRPr="005D698A">
        <w:rPr>
          <w:rFonts w:ascii="Times New Roman" w:hAnsi="Times New Roman" w:cs="Times New Roman"/>
          <w:color w:val="000000" w:themeColor="text1"/>
        </w:rPr>
        <w:t xml:space="preserve">. at 801-02 (“The ability of MDPs to provide so-called ‘one-stop shopping’ may lead not only to lower-cost provision of legal services but better service for consumers generally because of the broader expertise of the service providers and the close cooperation of a professional, interdisciplinary team"); Neil M. Gorsuch, </w:t>
      </w:r>
      <w:r w:rsidRPr="005D698A">
        <w:rPr>
          <w:rFonts w:ascii="Times New Roman" w:hAnsi="Times New Roman" w:cs="Times New Roman"/>
          <w:i/>
          <w:iCs/>
          <w:color w:val="000000" w:themeColor="text1"/>
        </w:rPr>
        <w:t>Access to Affordable Justice</w:t>
      </w:r>
      <w:r w:rsidRPr="005D698A">
        <w:rPr>
          <w:rFonts w:ascii="Times New Roman" w:hAnsi="Times New Roman" w:cs="Times New Roman"/>
          <w:color w:val="000000" w:themeColor="text1"/>
        </w:rPr>
        <w:t>, 100 Judicature 46, 49 (2016) (“All else equal, market participants with greater access to capital can increase output and lower price. So, for example, optometry, dental, and tax preparation services are no doubt cheaper and more ubiquitous today thanks to the infusion of capital from investors outside those professions. Indeed, consumers can often now find all these services (and more) in their local ‘superstores.’”).</w:t>
      </w:r>
    </w:p>
  </w:footnote>
  <w:footnote w:id="5">
    <w:p w:rsidR="00A22D69" w:rsidRPr="00543F6D" w:rsidRDefault="00720BE1" w:rsidP="00FF4253">
      <w:pPr>
        <w:pStyle w:val="FootnoteText"/>
        <w:jc w:val="both"/>
        <w:rPr>
          <w:sz w:val="24"/>
          <w:szCs w:val="24"/>
        </w:rPr>
      </w:pPr>
      <w:r w:rsidRPr="005D698A">
        <w:rPr>
          <w:rStyle w:val="FootnoteReference"/>
          <w:sz w:val="24"/>
          <w:szCs w:val="24"/>
        </w:rPr>
        <w:footnoteRef/>
      </w:r>
      <w:r w:rsidRPr="005D698A">
        <w:rPr>
          <w:sz w:val="24"/>
          <w:szCs w:val="24"/>
        </w:rPr>
        <w:t xml:space="preserve"> Harris and Foran, </w:t>
      </w:r>
      <w:r w:rsidRPr="005D698A">
        <w:rPr>
          <w:i/>
          <w:iCs/>
          <w:sz w:val="24"/>
          <w:szCs w:val="24"/>
        </w:rPr>
        <w:t>supra</w:t>
      </w:r>
      <w:r w:rsidRPr="005D698A">
        <w:rPr>
          <w:sz w:val="24"/>
          <w:szCs w:val="24"/>
        </w:rPr>
        <w:t xml:space="preserve"> n. 2, at 805 (footnotes omitted).</w:t>
      </w:r>
    </w:p>
  </w:footnote>
  <w:footnote w:id="6">
    <w:p w:rsidR="00720BE1" w:rsidRPr="005D698A" w:rsidRDefault="00720BE1" w:rsidP="00FF4253">
      <w:pPr>
        <w:autoSpaceDE w:val="0"/>
        <w:autoSpaceDN w:val="0"/>
        <w:adjustRightInd w:val="0"/>
        <w:jc w:val="both"/>
        <w:rPr>
          <w:rFonts w:ascii="Times New Roman" w:hAnsi="Times New Roman" w:cs="Times New Roman"/>
        </w:rPr>
      </w:pPr>
      <w:r w:rsidRPr="005D698A">
        <w:rPr>
          <w:rStyle w:val="FootnoteReference"/>
          <w:rFonts w:ascii="Times New Roman" w:hAnsi="Times New Roman" w:cs="Times New Roman"/>
        </w:rPr>
        <w:footnoteRef/>
      </w:r>
      <w:r w:rsidRPr="005D698A">
        <w:rPr>
          <w:rFonts w:ascii="Times New Roman" w:hAnsi="Times New Roman" w:cs="Times New Roman"/>
        </w:rPr>
        <w:t xml:space="preserve"> District of Columbia Rule 5.4 allows nonlawyers to be partners in a law firm under limited circumstances. Comment [7] to D.C. Rule 5.4 explains that “the purpose of liberalizing the Rules regarding the possession of a financial interest or the exercise of management authority by a nonlawyer is to permit nonlawyer professionals to work with lawyers in the delivery of legal services without being relegated to the role of an employee.”</w:t>
      </w:r>
    </w:p>
    <w:p w:rsidR="00720BE1" w:rsidRPr="00081206" w:rsidRDefault="00720BE1" w:rsidP="00FF4253">
      <w:pPr>
        <w:autoSpaceDE w:val="0"/>
        <w:autoSpaceDN w:val="0"/>
        <w:adjustRightInd w:val="0"/>
        <w:jc w:val="both"/>
        <w:rPr>
          <w:rFonts w:ascii="Times New Roman" w:hAnsi="Times New Roman" w:cs="Times New Roman"/>
          <w:sz w:val="28"/>
          <w:szCs w:val="28"/>
        </w:rPr>
      </w:pPr>
    </w:p>
  </w:footnote>
  <w:footnote w:id="7">
    <w:p w:rsidR="00720BE1" w:rsidRPr="005D698A" w:rsidRDefault="00720BE1">
      <w:pPr>
        <w:pStyle w:val="FootnoteText"/>
        <w:rPr>
          <w:sz w:val="24"/>
          <w:szCs w:val="24"/>
        </w:rPr>
      </w:pPr>
      <w:r w:rsidRPr="005D698A">
        <w:rPr>
          <w:rStyle w:val="FootnoteReference"/>
          <w:sz w:val="24"/>
          <w:szCs w:val="24"/>
        </w:rPr>
        <w:footnoteRef/>
      </w:r>
      <w:r w:rsidRPr="005D698A">
        <w:rPr>
          <w:sz w:val="24"/>
          <w:szCs w:val="24"/>
        </w:rPr>
        <w:t xml:space="preserve"> Harris and Foran, </w:t>
      </w:r>
      <w:r w:rsidRPr="005D698A">
        <w:rPr>
          <w:i/>
          <w:iCs/>
          <w:sz w:val="24"/>
          <w:szCs w:val="24"/>
        </w:rPr>
        <w:t>supra</w:t>
      </w:r>
      <w:r w:rsidRPr="005D698A">
        <w:rPr>
          <w:sz w:val="24"/>
          <w:szCs w:val="24"/>
        </w:rPr>
        <w:t xml:space="preserve"> n. 2, at 802 (footnotes omitted).</w:t>
      </w:r>
    </w:p>
  </w:footnote>
  <w:footnote w:id="8">
    <w:p w:rsidR="00720BE1" w:rsidRPr="005D698A" w:rsidRDefault="00720BE1" w:rsidP="00C06D01">
      <w:pPr>
        <w:pStyle w:val="FootnoteText"/>
        <w:rPr>
          <w:sz w:val="24"/>
          <w:szCs w:val="24"/>
        </w:rPr>
      </w:pPr>
      <w:r w:rsidRPr="005D698A">
        <w:rPr>
          <w:rStyle w:val="FootnoteReference"/>
          <w:sz w:val="24"/>
          <w:szCs w:val="24"/>
        </w:rPr>
        <w:footnoteRef/>
      </w:r>
      <w:r w:rsidRPr="005D698A">
        <w:rPr>
          <w:sz w:val="24"/>
          <w:szCs w:val="24"/>
        </w:rPr>
        <w:t xml:space="preserve"> Harris and Foran, </w:t>
      </w:r>
      <w:r w:rsidRPr="005D698A">
        <w:rPr>
          <w:i/>
          <w:iCs/>
          <w:sz w:val="24"/>
          <w:szCs w:val="24"/>
        </w:rPr>
        <w:t>supra</w:t>
      </w:r>
      <w:r w:rsidRPr="005D698A">
        <w:rPr>
          <w:sz w:val="24"/>
          <w:szCs w:val="24"/>
        </w:rPr>
        <w:t xml:space="preserve"> n. 2, at 800.</w:t>
      </w:r>
    </w:p>
  </w:footnote>
  <w:footnote w:id="9">
    <w:p w:rsidR="00A22D69" w:rsidRPr="00543F6D" w:rsidRDefault="00720BE1">
      <w:pPr>
        <w:pStyle w:val="FootnoteText"/>
        <w:rPr>
          <w:sz w:val="24"/>
          <w:szCs w:val="24"/>
        </w:rPr>
      </w:pPr>
      <w:r w:rsidRPr="005D698A">
        <w:rPr>
          <w:rStyle w:val="FootnoteReference"/>
          <w:sz w:val="24"/>
          <w:szCs w:val="24"/>
        </w:rPr>
        <w:footnoteRef/>
      </w:r>
      <w:r w:rsidRPr="005D698A">
        <w:rPr>
          <w:sz w:val="24"/>
          <w:szCs w:val="24"/>
        </w:rPr>
        <w:t xml:space="preserve"> </w:t>
      </w:r>
      <w:r w:rsidRPr="005D698A">
        <w:rPr>
          <w:i/>
          <w:iCs/>
          <w:sz w:val="24"/>
          <w:szCs w:val="24"/>
        </w:rPr>
        <w:t>Id</w:t>
      </w:r>
      <w:r w:rsidRPr="005D698A">
        <w:rPr>
          <w:sz w:val="24"/>
          <w:szCs w:val="24"/>
        </w:rPr>
        <w:t>.</w:t>
      </w:r>
    </w:p>
  </w:footnote>
  <w:footnote w:id="10">
    <w:p w:rsidR="009646E7" w:rsidRPr="005D698A" w:rsidRDefault="009646E7" w:rsidP="009646E7">
      <w:pPr>
        <w:autoSpaceDE w:val="0"/>
        <w:autoSpaceDN w:val="0"/>
        <w:adjustRightInd w:val="0"/>
        <w:rPr>
          <w:rFonts w:ascii="Times New Roman" w:hAnsi="Times New Roman" w:cs="Times New Roman"/>
        </w:rPr>
      </w:pPr>
      <w:r w:rsidRPr="005D698A">
        <w:rPr>
          <w:rStyle w:val="FootnoteReference"/>
          <w:rFonts w:ascii="Times New Roman" w:hAnsi="Times New Roman" w:cs="Times New Roman"/>
          <w:sz w:val="22"/>
          <w:szCs w:val="22"/>
        </w:rPr>
        <w:footnoteRef/>
      </w:r>
      <w:r w:rsidRPr="005D698A">
        <w:rPr>
          <w:rFonts w:ascii="Times New Roman" w:hAnsi="Times New Roman" w:cs="Times New Roman"/>
          <w:sz w:val="22"/>
          <w:szCs w:val="22"/>
        </w:rPr>
        <w:t xml:space="preserve"> </w:t>
      </w:r>
      <w:r w:rsidRPr="005D698A">
        <w:rPr>
          <w:rFonts w:ascii="Times New Roman" w:hAnsi="Times New Roman" w:cs="Times New Roman"/>
        </w:rPr>
        <w:t>Comment of the Arizona Town Hall, submitted by Judge Patricia K. Norris (ret.), board chair, and Tara Jackson, president.</w:t>
      </w:r>
    </w:p>
    <w:p w:rsidR="009646E7" w:rsidRDefault="009646E7" w:rsidP="009646E7">
      <w:pPr>
        <w:pStyle w:val="FootnoteText"/>
      </w:pPr>
    </w:p>
  </w:footnote>
  <w:footnote w:id="11">
    <w:p w:rsidR="00136F49" w:rsidRPr="005D698A" w:rsidRDefault="00136F49">
      <w:pPr>
        <w:pStyle w:val="FootnoteText"/>
        <w:rPr>
          <w:sz w:val="24"/>
          <w:szCs w:val="24"/>
        </w:rPr>
      </w:pPr>
      <w:r w:rsidRPr="005D698A">
        <w:rPr>
          <w:rStyle w:val="FootnoteReference"/>
          <w:sz w:val="24"/>
          <w:szCs w:val="24"/>
        </w:rPr>
        <w:footnoteRef/>
      </w:r>
      <w:r w:rsidRPr="005D698A">
        <w:rPr>
          <w:sz w:val="24"/>
          <w:szCs w:val="24"/>
        </w:rPr>
        <w:t xml:space="preserve"> These persons also would not be eligible to be compliance lawyers because compliance lawyers must be active lawyers.</w:t>
      </w:r>
    </w:p>
  </w:footnote>
  <w:footnote w:id="12">
    <w:p w:rsidR="00720BE1" w:rsidRDefault="00720BE1">
      <w:pPr>
        <w:pStyle w:val="FootnoteText"/>
      </w:pPr>
      <w:r w:rsidRPr="005D698A">
        <w:rPr>
          <w:rStyle w:val="FootnoteReference"/>
          <w:sz w:val="24"/>
          <w:szCs w:val="24"/>
        </w:rPr>
        <w:footnoteRef/>
      </w:r>
      <w:r w:rsidRPr="005D698A">
        <w:rPr>
          <w:sz w:val="24"/>
          <w:szCs w:val="24"/>
        </w:rPr>
        <w:t xml:space="preserve"> June 5, 2020, letter from Chief Justice Debra L. Stephens to </w:t>
      </w:r>
      <w:r w:rsidR="00AD2F7E" w:rsidRPr="005D698A">
        <w:rPr>
          <w:sz w:val="24"/>
          <w:szCs w:val="24"/>
        </w:rPr>
        <w:t>Washington</w:t>
      </w:r>
      <w:r w:rsidRPr="005D698A">
        <w:rPr>
          <w:sz w:val="24"/>
          <w:szCs w:val="24"/>
        </w:rPr>
        <w:t xml:space="preserve"> State Bar Association and Limited Licensed Legal </w:t>
      </w:r>
      <w:r w:rsidR="00AD2F7E" w:rsidRPr="005D698A">
        <w:rPr>
          <w:sz w:val="24"/>
          <w:szCs w:val="24"/>
        </w:rPr>
        <w:t>Technician</w:t>
      </w:r>
      <w:r w:rsidRPr="005D698A">
        <w:rPr>
          <w:sz w:val="24"/>
          <w:szCs w:val="24"/>
        </w:rPr>
        <w:t xml:space="preserve"> Board leaders.</w:t>
      </w:r>
    </w:p>
  </w:footnote>
  <w:footnote w:id="13">
    <w:p w:rsidR="00EE1F24" w:rsidRPr="00A97D0B" w:rsidRDefault="00EE1F24">
      <w:pPr>
        <w:pStyle w:val="FootnoteText"/>
        <w:rPr>
          <w:sz w:val="24"/>
          <w:szCs w:val="24"/>
        </w:rPr>
      </w:pPr>
      <w:r w:rsidRPr="00A97D0B">
        <w:rPr>
          <w:rStyle w:val="FootnoteReference"/>
          <w:sz w:val="24"/>
          <w:szCs w:val="24"/>
        </w:rPr>
        <w:footnoteRef/>
      </w:r>
      <w:r w:rsidRPr="00A97D0B">
        <w:rPr>
          <w:sz w:val="24"/>
          <w:szCs w:val="24"/>
        </w:rPr>
        <w:t xml:space="preserve"> </w:t>
      </w:r>
      <w:r w:rsidRPr="00A97D0B">
        <w:rPr>
          <w:color w:val="333333"/>
          <w:sz w:val="24"/>
          <w:szCs w:val="24"/>
          <w:shd w:val="clear" w:color="auto" w:fill="FFFFFF"/>
        </w:rPr>
        <w:t>102 Ariz. 127, 128, 426 P.2d 395, 396 (1967)</w:t>
      </w:r>
      <w:r w:rsidR="00A97D0B" w:rsidRPr="00A97D0B">
        <w:rPr>
          <w:color w:val="333333"/>
          <w:sz w:val="24"/>
          <w:szCs w:val="24"/>
          <w:shd w:val="clear" w:color="auto" w:fill="FFFFFF"/>
        </w:rPr>
        <w:t>.</w:t>
      </w:r>
    </w:p>
  </w:footnote>
  <w:footnote w:id="14">
    <w:p w:rsidR="00A97D0B" w:rsidRPr="00A97D0B" w:rsidRDefault="00A97D0B">
      <w:pPr>
        <w:pStyle w:val="FootnoteText"/>
        <w:rPr>
          <w:sz w:val="24"/>
          <w:szCs w:val="24"/>
        </w:rPr>
      </w:pPr>
      <w:r w:rsidRPr="00A97D0B">
        <w:rPr>
          <w:rStyle w:val="FootnoteReference"/>
          <w:sz w:val="24"/>
          <w:szCs w:val="24"/>
        </w:rPr>
        <w:footnoteRef/>
      </w:r>
      <w:r w:rsidRPr="00A97D0B">
        <w:rPr>
          <w:sz w:val="24"/>
          <w:szCs w:val="24"/>
        </w:rPr>
        <w:t xml:space="preserve"> </w:t>
      </w:r>
      <w:r w:rsidRPr="00A97D0B">
        <w:rPr>
          <w:color w:val="333333"/>
          <w:sz w:val="24"/>
          <w:szCs w:val="24"/>
          <w:shd w:val="clear" w:color="auto" w:fill="FFFFFF"/>
        </w:rPr>
        <w:t>224 Ariz. 227, 229, 229 P.3d 239, 241 (Ct. App. 2010)</w:t>
      </w:r>
      <w:r w:rsidRPr="00A97D0B">
        <w:rPr>
          <w:color w:val="333333"/>
          <w:sz w:val="24"/>
          <w:szCs w:val="24"/>
          <w:shd w:val="clear" w:color="auto" w:fill="FFFFFF"/>
        </w:rPr>
        <w:t>.</w:t>
      </w:r>
    </w:p>
  </w:footnote>
  <w:footnote w:id="15">
    <w:p w:rsidR="00A97D0B" w:rsidRPr="00A97D0B" w:rsidRDefault="00A97D0B">
      <w:pPr>
        <w:pStyle w:val="FootnoteText"/>
        <w:rPr>
          <w:sz w:val="24"/>
          <w:szCs w:val="24"/>
        </w:rPr>
      </w:pPr>
      <w:r w:rsidRPr="00A97D0B">
        <w:rPr>
          <w:rStyle w:val="FootnoteReference"/>
          <w:sz w:val="24"/>
          <w:szCs w:val="24"/>
        </w:rPr>
        <w:footnoteRef/>
      </w:r>
      <w:r w:rsidRPr="00A97D0B">
        <w:rPr>
          <w:sz w:val="24"/>
          <w:szCs w:val="24"/>
        </w:rPr>
        <w:t xml:space="preserve"> </w:t>
      </w:r>
      <w:r w:rsidRPr="00A97D0B">
        <w:rPr>
          <w:color w:val="333333"/>
          <w:sz w:val="24"/>
          <w:szCs w:val="24"/>
          <w:shd w:val="clear" w:color="auto" w:fill="FFFFFF"/>
        </w:rPr>
        <w:t>193 Ariz. 47, 50, ¶ 12, 969 P.2d 653, 656 (1998)</w:t>
      </w:r>
      <w:r w:rsidRPr="00A97D0B">
        <w:rPr>
          <w:color w:val="333333"/>
          <w:sz w:val="24"/>
          <w:szCs w:val="24"/>
          <w:shd w:val="clear" w:color="auto" w:fill="FFFFFF"/>
        </w:rPr>
        <w:t>.</w:t>
      </w:r>
    </w:p>
  </w:footnote>
  <w:footnote w:id="16">
    <w:p w:rsidR="00A97D0B" w:rsidRDefault="00A97D0B">
      <w:pPr>
        <w:pStyle w:val="FootnoteText"/>
      </w:pPr>
      <w:r w:rsidRPr="00A97D0B">
        <w:rPr>
          <w:rStyle w:val="FootnoteReference"/>
          <w:sz w:val="24"/>
          <w:szCs w:val="24"/>
        </w:rPr>
        <w:footnoteRef/>
      </w:r>
      <w:r w:rsidRPr="00A97D0B">
        <w:rPr>
          <w:sz w:val="24"/>
          <w:szCs w:val="24"/>
        </w:rPr>
        <w:t xml:space="preserve"> </w:t>
      </w:r>
      <w:r w:rsidRPr="00A97D0B">
        <w:rPr>
          <w:color w:val="333333"/>
          <w:sz w:val="24"/>
          <w:szCs w:val="24"/>
          <w:shd w:val="clear" w:color="auto" w:fill="FFFFFF"/>
        </w:rPr>
        <w:t>506 U.S. 194, 201-02 (1993)</w:t>
      </w:r>
      <w:r w:rsidRPr="00A97D0B">
        <w:rPr>
          <w:color w:val="333333"/>
          <w:sz w:val="24"/>
          <w:szCs w:val="24"/>
          <w:shd w:val="clear" w:color="auto" w:fill="FFFFFF"/>
        </w:rPr>
        <w:t>.</w:t>
      </w:r>
    </w:p>
  </w:footnote>
  <w:footnote w:id="17">
    <w:p w:rsidR="00720BE1" w:rsidRDefault="00720BE1" w:rsidP="004F14FB">
      <w:pPr>
        <w:pStyle w:val="FootnoteText"/>
      </w:pPr>
      <w:r w:rsidRPr="005D698A">
        <w:rPr>
          <w:rStyle w:val="FootnoteReference"/>
          <w:sz w:val="24"/>
          <w:szCs w:val="24"/>
        </w:rPr>
        <w:footnoteRef/>
      </w:r>
      <w:r w:rsidRPr="005D698A">
        <w:rPr>
          <w:sz w:val="24"/>
          <w:szCs w:val="24"/>
        </w:rPr>
        <w:t xml:space="preserve"> https://www.azcourts.gov/AZ-Courts</w:t>
      </w:r>
      <w:r w:rsidR="00136F49" w:rsidRPr="005D698A">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EB1" w:rsidRDefault="00DD3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EB1" w:rsidRDefault="00DD3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EB1" w:rsidRDefault="00DD3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00"/>
    <w:name w:val="AutoList1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pStyle w:val="Level6"/>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15"/>
    <w:multiLevelType w:val="multilevel"/>
    <w:tmpl w:val="00000000"/>
    <w:name w:val="AutoList16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pStyle w:val="Level5"/>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156F7CB2"/>
    <w:multiLevelType w:val="hybridMultilevel"/>
    <w:tmpl w:val="4646529C"/>
    <w:lvl w:ilvl="0" w:tplc="915CEB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BD6413"/>
    <w:multiLevelType w:val="hybridMultilevel"/>
    <w:tmpl w:val="C2523662"/>
    <w:lvl w:ilvl="0" w:tplc="46F6A3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FA08E6"/>
    <w:multiLevelType w:val="hybridMultilevel"/>
    <w:tmpl w:val="0DDC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50915"/>
    <w:multiLevelType w:val="hybridMultilevel"/>
    <w:tmpl w:val="3EB2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128F1"/>
    <w:multiLevelType w:val="hybridMultilevel"/>
    <w:tmpl w:val="AA32E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3705C"/>
    <w:multiLevelType w:val="hybridMultilevel"/>
    <w:tmpl w:val="782A682C"/>
    <w:lvl w:ilvl="0" w:tplc="F33AA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A22A56"/>
    <w:multiLevelType w:val="hybridMultilevel"/>
    <w:tmpl w:val="3AAE972A"/>
    <w:lvl w:ilvl="0" w:tplc="B2E812EA">
      <w:start w:val="1"/>
      <w:numFmt w:val="lowerLetter"/>
      <w:lvlText w:val="(%1)"/>
      <w:lvlJc w:val="left"/>
      <w:pPr>
        <w:ind w:left="720" w:hanging="360"/>
      </w:pPr>
      <w:rPr>
        <w:rFonts w:hint="default"/>
        <w:b/>
        <w:bCs/>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B70C0"/>
    <w:multiLevelType w:val="hybridMultilevel"/>
    <w:tmpl w:val="C26C65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033350"/>
    <w:multiLevelType w:val="hybridMultilevel"/>
    <w:tmpl w:val="2132F5F4"/>
    <w:lvl w:ilvl="0" w:tplc="B066BC6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72F15B29"/>
    <w:multiLevelType w:val="hybridMultilevel"/>
    <w:tmpl w:val="96A4AD4A"/>
    <w:lvl w:ilvl="0" w:tplc="55AACC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735585"/>
    <w:multiLevelType w:val="hybridMultilevel"/>
    <w:tmpl w:val="1E4C92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654C71"/>
    <w:multiLevelType w:val="hybridMultilevel"/>
    <w:tmpl w:val="11A8C8D4"/>
    <w:lvl w:ilvl="0" w:tplc="AE56BDDC">
      <w:start w:val="1"/>
      <w:numFmt w:val="decimal"/>
      <w:lvlText w:val="(%1)"/>
      <w:lvlJc w:val="left"/>
      <w:pPr>
        <w:ind w:left="1319" w:hanging="360"/>
      </w:pPr>
      <w:rPr>
        <w:rFonts w:hint="default"/>
        <w:u w:val="single"/>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num w:numId="1">
    <w:abstractNumId w:val="12"/>
  </w:num>
  <w:num w:numId="2">
    <w:abstractNumId w:val="14"/>
  </w:num>
  <w:num w:numId="3">
    <w:abstractNumId w:val="9"/>
  </w:num>
  <w:num w:numId="4">
    <w:abstractNumId w:val="4"/>
  </w:num>
  <w:num w:numId="5">
    <w:abstractNumId w:val="5"/>
  </w:num>
  <w:num w:numId="6">
    <w:abstractNumId w:val="15"/>
  </w:num>
  <w:num w:numId="7">
    <w:abstractNumId w:val="10"/>
  </w:num>
  <w:num w:numId="8">
    <w:abstractNumId w:val="11"/>
  </w:num>
  <w:num w:numId="9">
    <w:abstractNumId w:val="6"/>
  </w:num>
  <w:num w:numId="10">
    <w:abstractNumId w:val="13"/>
  </w:num>
  <w:num w:numId="1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3"/>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7"/>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BA"/>
    <w:rsid w:val="0000490C"/>
    <w:rsid w:val="00021AA3"/>
    <w:rsid w:val="00023EDA"/>
    <w:rsid w:val="000276D4"/>
    <w:rsid w:val="00035F04"/>
    <w:rsid w:val="00036B01"/>
    <w:rsid w:val="000429D0"/>
    <w:rsid w:val="000640EE"/>
    <w:rsid w:val="000652A6"/>
    <w:rsid w:val="00081206"/>
    <w:rsid w:val="000A2A3B"/>
    <w:rsid w:val="000B1647"/>
    <w:rsid w:val="000B6217"/>
    <w:rsid w:val="000C4B88"/>
    <w:rsid w:val="000C5A75"/>
    <w:rsid w:val="000C7EB2"/>
    <w:rsid w:val="000E325F"/>
    <w:rsid w:val="00110568"/>
    <w:rsid w:val="001170D1"/>
    <w:rsid w:val="00133599"/>
    <w:rsid w:val="00136F49"/>
    <w:rsid w:val="001460FA"/>
    <w:rsid w:val="001478F4"/>
    <w:rsid w:val="001548F9"/>
    <w:rsid w:val="00154F2A"/>
    <w:rsid w:val="00162E77"/>
    <w:rsid w:val="00166504"/>
    <w:rsid w:val="001740EC"/>
    <w:rsid w:val="00180E5E"/>
    <w:rsid w:val="00196CBE"/>
    <w:rsid w:val="001A0958"/>
    <w:rsid w:val="001A49D9"/>
    <w:rsid w:val="001C01E7"/>
    <w:rsid w:val="001C3FF5"/>
    <w:rsid w:val="001C4B6F"/>
    <w:rsid w:val="001C4F3F"/>
    <w:rsid w:val="001E1DB1"/>
    <w:rsid w:val="001F5B6E"/>
    <w:rsid w:val="001F65EE"/>
    <w:rsid w:val="00202D39"/>
    <w:rsid w:val="00211F1C"/>
    <w:rsid w:val="002151BE"/>
    <w:rsid w:val="002172FE"/>
    <w:rsid w:val="00221286"/>
    <w:rsid w:val="00221973"/>
    <w:rsid w:val="002365A5"/>
    <w:rsid w:val="0024385D"/>
    <w:rsid w:val="00246454"/>
    <w:rsid w:val="002550A1"/>
    <w:rsid w:val="0025748E"/>
    <w:rsid w:val="00267D23"/>
    <w:rsid w:val="00271B6A"/>
    <w:rsid w:val="00271E74"/>
    <w:rsid w:val="00274A44"/>
    <w:rsid w:val="00274ED8"/>
    <w:rsid w:val="00283169"/>
    <w:rsid w:val="00283ECC"/>
    <w:rsid w:val="00291F65"/>
    <w:rsid w:val="002A1B09"/>
    <w:rsid w:val="002A7B3F"/>
    <w:rsid w:val="002C64B5"/>
    <w:rsid w:val="002C7A3E"/>
    <w:rsid w:val="002C7F5E"/>
    <w:rsid w:val="002D4565"/>
    <w:rsid w:val="002D710B"/>
    <w:rsid w:val="002F0A1B"/>
    <w:rsid w:val="00302F85"/>
    <w:rsid w:val="00325AAB"/>
    <w:rsid w:val="00370D1E"/>
    <w:rsid w:val="0039499C"/>
    <w:rsid w:val="00395E3E"/>
    <w:rsid w:val="003A6BA3"/>
    <w:rsid w:val="003B4763"/>
    <w:rsid w:val="003C13C4"/>
    <w:rsid w:val="003C1F2A"/>
    <w:rsid w:val="003D3E75"/>
    <w:rsid w:val="003D422F"/>
    <w:rsid w:val="003D6AB9"/>
    <w:rsid w:val="003F70D2"/>
    <w:rsid w:val="00401301"/>
    <w:rsid w:val="00416E0F"/>
    <w:rsid w:val="004222F7"/>
    <w:rsid w:val="0044149F"/>
    <w:rsid w:val="00450C46"/>
    <w:rsid w:val="00460C62"/>
    <w:rsid w:val="00465847"/>
    <w:rsid w:val="00470355"/>
    <w:rsid w:val="0048021E"/>
    <w:rsid w:val="00491AD7"/>
    <w:rsid w:val="004A3CCC"/>
    <w:rsid w:val="004A7B38"/>
    <w:rsid w:val="004C52B0"/>
    <w:rsid w:val="004D1476"/>
    <w:rsid w:val="004D1BF9"/>
    <w:rsid w:val="004E3977"/>
    <w:rsid w:val="004F14FB"/>
    <w:rsid w:val="004F26A9"/>
    <w:rsid w:val="00504666"/>
    <w:rsid w:val="00504689"/>
    <w:rsid w:val="00512A87"/>
    <w:rsid w:val="005354F9"/>
    <w:rsid w:val="00543F6D"/>
    <w:rsid w:val="0054517E"/>
    <w:rsid w:val="005537D5"/>
    <w:rsid w:val="00565B54"/>
    <w:rsid w:val="005705BA"/>
    <w:rsid w:val="00573305"/>
    <w:rsid w:val="00587AD7"/>
    <w:rsid w:val="00591B87"/>
    <w:rsid w:val="00591F51"/>
    <w:rsid w:val="005B2E67"/>
    <w:rsid w:val="005C2EB9"/>
    <w:rsid w:val="005C6EB8"/>
    <w:rsid w:val="005C6EE1"/>
    <w:rsid w:val="005D698A"/>
    <w:rsid w:val="005E237B"/>
    <w:rsid w:val="0060006F"/>
    <w:rsid w:val="006122E8"/>
    <w:rsid w:val="00617208"/>
    <w:rsid w:val="00622072"/>
    <w:rsid w:val="00642AD8"/>
    <w:rsid w:val="00654DE5"/>
    <w:rsid w:val="0065708E"/>
    <w:rsid w:val="00673909"/>
    <w:rsid w:val="0068182C"/>
    <w:rsid w:val="00692307"/>
    <w:rsid w:val="006A1EE4"/>
    <w:rsid w:val="006A6E5A"/>
    <w:rsid w:val="006D1041"/>
    <w:rsid w:val="006D7ED2"/>
    <w:rsid w:val="006E554D"/>
    <w:rsid w:val="006E7AF8"/>
    <w:rsid w:val="006E7C64"/>
    <w:rsid w:val="006F7D40"/>
    <w:rsid w:val="00720BE1"/>
    <w:rsid w:val="00722349"/>
    <w:rsid w:val="00734393"/>
    <w:rsid w:val="0074437B"/>
    <w:rsid w:val="00750369"/>
    <w:rsid w:val="00754DE5"/>
    <w:rsid w:val="00762113"/>
    <w:rsid w:val="00767A92"/>
    <w:rsid w:val="00773005"/>
    <w:rsid w:val="00783009"/>
    <w:rsid w:val="00785514"/>
    <w:rsid w:val="00796AB9"/>
    <w:rsid w:val="007A03D0"/>
    <w:rsid w:val="007A1C2F"/>
    <w:rsid w:val="007A34CB"/>
    <w:rsid w:val="007B0CD5"/>
    <w:rsid w:val="007B3793"/>
    <w:rsid w:val="007B4C9F"/>
    <w:rsid w:val="007B7BC3"/>
    <w:rsid w:val="007C2855"/>
    <w:rsid w:val="007E0697"/>
    <w:rsid w:val="007F2036"/>
    <w:rsid w:val="008168D8"/>
    <w:rsid w:val="00817A68"/>
    <w:rsid w:val="00822ED5"/>
    <w:rsid w:val="0082314E"/>
    <w:rsid w:val="0082343B"/>
    <w:rsid w:val="00827B41"/>
    <w:rsid w:val="00830768"/>
    <w:rsid w:val="008512B1"/>
    <w:rsid w:val="00856F0C"/>
    <w:rsid w:val="008801D2"/>
    <w:rsid w:val="0089062C"/>
    <w:rsid w:val="008A13CF"/>
    <w:rsid w:val="008D5137"/>
    <w:rsid w:val="008E232A"/>
    <w:rsid w:val="008E45B4"/>
    <w:rsid w:val="008F2D54"/>
    <w:rsid w:val="00903062"/>
    <w:rsid w:val="00903391"/>
    <w:rsid w:val="00907800"/>
    <w:rsid w:val="009154CB"/>
    <w:rsid w:val="0092368B"/>
    <w:rsid w:val="00924567"/>
    <w:rsid w:val="00927675"/>
    <w:rsid w:val="0093778E"/>
    <w:rsid w:val="009406BB"/>
    <w:rsid w:val="00941DB0"/>
    <w:rsid w:val="009520DF"/>
    <w:rsid w:val="009573FD"/>
    <w:rsid w:val="009646E7"/>
    <w:rsid w:val="00965D70"/>
    <w:rsid w:val="00972463"/>
    <w:rsid w:val="00994ACF"/>
    <w:rsid w:val="009B5B32"/>
    <w:rsid w:val="009C0BB0"/>
    <w:rsid w:val="009D53BD"/>
    <w:rsid w:val="009E10BA"/>
    <w:rsid w:val="00A07A02"/>
    <w:rsid w:val="00A22D69"/>
    <w:rsid w:val="00A308A9"/>
    <w:rsid w:val="00A444E7"/>
    <w:rsid w:val="00A66775"/>
    <w:rsid w:val="00A739C2"/>
    <w:rsid w:val="00A772D5"/>
    <w:rsid w:val="00A94C7E"/>
    <w:rsid w:val="00A97D0B"/>
    <w:rsid w:val="00AA5B4F"/>
    <w:rsid w:val="00AB0A93"/>
    <w:rsid w:val="00AB51AB"/>
    <w:rsid w:val="00AD266A"/>
    <w:rsid w:val="00AD2F7E"/>
    <w:rsid w:val="00AF3628"/>
    <w:rsid w:val="00AF46F1"/>
    <w:rsid w:val="00AF49B1"/>
    <w:rsid w:val="00B006D3"/>
    <w:rsid w:val="00B05220"/>
    <w:rsid w:val="00B10FC5"/>
    <w:rsid w:val="00B13352"/>
    <w:rsid w:val="00B16665"/>
    <w:rsid w:val="00B214CC"/>
    <w:rsid w:val="00B2323D"/>
    <w:rsid w:val="00B242A2"/>
    <w:rsid w:val="00B34048"/>
    <w:rsid w:val="00B4312E"/>
    <w:rsid w:val="00B67AEE"/>
    <w:rsid w:val="00B70E2C"/>
    <w:rsid w:val="00B72008"/>
    <w:rsid w:val="00B833B0"/>
    <w:rsid w:val="00B86818"/>
    <w:rsid w:val="00B94280"/>
    <w:rsid w:val="00BB23BB"/>
    <w:rsid w:val="00BC5E86"/>
    <w:rsid w:val="00BD4495"/>
    <w:rsid w:val="00BD5D70"/>
    <w:rsid w:val="00BD637C"/>
    <w:rsid w:val="00BE3F3A"/>
    <w:rsid w:val="00BF1F1E"/>
    <w:rsid w:val="00C015C9"/>
    <w:rsid w:val="00C05BB7"/>
    <w:rsid w:val="00C06D01"/>
    <w:rsid w:val="00C12209"/>
    <w:rsid w:val="00C126E7"/>
    <w:rsid w:val="00C243B8"/>
    <w:rsid w:val="00C2688B"/>
    <w:rsid w:val="00C3185F"/>
    <w:rsid w:val="00C408FD"/>
    <w:rsid w:val="00C6061F"/>
    <w:rsid w:val="00C677A2"/>
    <w:rsid w:val="00C75E9C"/>
    <w:rsid w:val="00C8014C"/>
    <w:rsid w:val="00C979B2"/>
    <w:rsid w:val="00CB115D"/>
    <w:rsid w:val="00CB2F87"/>
    <w:rsid w:val="00CB3DCB"/>
    <w:rsid w:val="00CB3E7B"/>
    <w:rsid w:val="00CC4C2F"/>
    <w:rsid w:val="00CC7956"/>
    <w:rsid w:val="00CF75AB"/>
    <w:rsid w:val="00D13ABF"/>
    <w:rsid w:val="00D21FBF"/>
    <w:rsid w:val="00D33226"/>
    <w:rsid w:val="00D37DFC"/>
    <w:rsid w:val="00D81CDC"/>
    <w:rsid w:val="00D83F80"/>
    <w:rsid w:val="00DA0080"/>
    <w:rsid w:val="00DA17F4"/>
    <w:rsid w:val="00DC4F12"/>
    <w:rsid w:val="00DD1669"/>
    <w:rsid w:val="00DD3EB1"/>
    <w:rsid w:val="00DD7647"/>
    <w:rsid w:val="00DE3B5A"/>
    <w:rsid w:val="00DE48A5"/>
    <w:rsid w:val="00DF25F4"/>
    <w:rsid w:val="00DF3024"/>
    <w:rsid w:val="00DF3CD8"/>
    <w:rsid w:val="00E22FDB"/>
    <w:rsid w:val="00E34BD3"/>
    <w:rsid w:val="00E41769"/>
    <w:rsid w:val="00E51C10"/>
    <w:rsid w:val="00E74AB2"/>
    <w:rsid w:val="00E9125A"/>
    <w:rsid w:val="00EA0B58"/>
    <w:rsid w:val="00EB0116"/>
    <w:rsid w:val="00EB26CA"/>
    <w:rsid w:val="00ED413B"/>
    <w:rsid w:val="00EE0F3D"/>
    <w:rsid w:val="00EE1F24"/>
    <w:rsid w:val="00F02333"/>
    <w:rsid w:val="00F03F49"/>
    <w:rsid w:val="00F41B58"/>
    <w:rsid w:val="00F70D5D"/>
    <w:rsid w:val="00F77102"/>
    <w:rsid w:val="00F951C5"/>
    <w:rsid w:val="00F960D6"/>
    <w:rsid w:val="00FA0690"/>
    <w:rsid w:val="00FA1177"/>
    <w:rsid w:val="00FA6404"/>
    <w:rsid w:val="00FC2F35"/>
    <w:rsid w:val="00FD4C5A"/>
    <w:rsid w:val="00FE42AC"/>
    <w:rsid w:val="00FE47DF"/>
    <w:rsid w:val="00FE49E2"/>
    <w:rsid w:val="00FF4253"/>
    <w:rsid w:val="00FF7A6E"/>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B3F512"/>
  <w14:defaultImageDpi w14:val="32767"/>
  <w15:chartTrackingRefBased/>
  <w15:docId w15:val="{098B625C-45E8-4A4A-883E-0C70D73E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2D5"/>
  </w:style>
  <w:style w:type="paragraph" w:styleId="Heading1">
    <w:name w:val="heading 1"/>
    <w:basedOn w:val="Normal"/>
    <w:next w:val="Normal"/>
    <w:link w:val="Heading1Char"/>
    <w:uiPriority w:val="1"/>
    <w:qFormat/>
    <w:rsid w:val="00C6061F"/>
    <w:pPr>
      <w:autoSpaceDE w:val="0"/>
      <w:autoSpaceDN w:val="0"/>
      <w:adjustRightInd w:val="0"/>
      <w:ind w:left="39"/>
      <w:outlineLvl w:val="0"/>
    </w:pPr>
    <w:rPr>
      <w:rFonts w:ascii="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C6061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58"/>
    <w:pPr>
      <w:tabs>
        <w:tab w:val="center" w:pos="4680"/>
        <w:tab w:val="right" w:pos="9360"/>
      </w:tabs>
    </w:pPr>
  </w:style>
  <w:style w:type="character" w:customStyle="1" w:styleId="HeaderChar">
    <w:name w:val="Header Char"/>
    <w:basedOn w:val="DefaultParagraphFont"/>
    <w:link w:val="Header"/>
    <w:uiPriority w:val="99"/>
    <w:rsid w:val="00EA0B58"/>
  </w:style>
  <w:style w:type="paragraph" w:styleId="Footer">
    <w:name w:val="footer"/>
    <w:basedOn w:val="Normal"/>
    <w:link w:val="FooterChar"/>
    <w:uiPriority w:val="99"/>
    <w:unhideWhenUsed/>
    <w:rsid w:val="00EA0B58"/>
    <w:pPr>
      <w:tabs>
        <w:tab w:val="center" w:pos="4680"/>
        <w:tab w:val="right" w:pos="9360"/>
      </w:tabs>
    </w:pPr>
  </w:style>
  <w:style w:type="character" w:customStyle="1" w:styleId="FooterChar">
    <w:name w:val="Footer Char"/>
    <w:basedOn w:val="DefaultParagraphFont"/>
    <w:link w:val="Footer"/>
    <w:uiPriority w:val="99"/>
    <w:rsid w:val="00EA0B58"/>
  </w:style>
  <w:style w:type="table" w:styleId="TableGrid">
    <w:name w:val="Table Grid"/>
    <w:basedOn w:val="TableNormal"/>
    <w:uiPriority w:val="39"/>
    <w:rsid w:val="00767A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67A92"/>
    <w:pPr>
      <w:spacing w:after="160" w:line="259" w:lineRule="auto"/>
      <w:ind w:left="720"/>
      <w:contextualSpacing/>
    </w:pPr>
    <w:rPr>
      <w:sz w:val="22"/>
      <w:szCs w:val="22"/>
    </w:rPr>
  </w:style>
  <w:style w:type="paragraph" w:styleId="BodyText">
    <w:name w:val="Body Text"/>
    <w:basedOn w:val="Normal"/>
    <w:link w:val="BodyTextChar"/>
    <w:rsid w:val="00767A92"/>
    <w:pPr>
      <w:spacing w:after="120" w:line="508" w:lineRule="exact"/>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67A92"/>
    <w:rPr>
      <w:rFonts w:ascii="Times New Roman" w:eastAsia="Times New Roman" w:hAnsi="Times New Roman" w:cs="Times New Roman"/>
      <w:sz w:val="20"/>
      <w:szCs w:val="20"/>
    </w:rPr>
  </w:style>
  <w:style w:type="paragraph" w:customStyle="1" w:styleId="Body">
    <w:name w:val="Body"/>
    <w:basedOn w:val="Normal"/>
    <w:rsid w:val="00767A92"/>
    <w:pPr>
      <w:spacing w:line="480" w:lineRule="exact"/>
      <w:ind w:firstLine="1440"/>
    </w:pPr>
    <w:rPr>
      <w:rFonts w:ascii="Times New Roman" w:eastAsia="Times New Roman" w:hAnsi="Times New Roman" w:cs="Times New Roman"/>
      <w:sz w:val="26"/>
      <w:szCs w:val="20"/>
    </w:rPr>
  </w:style>
  <w:style w:type="paragraph" w:styleId="FootnoteText">
    <w:name w:val="footnote text"/>
    <w:basedOn w:val="Normal"/>
    <w:link w:val="FootnoteTextChar"/>
    <w:uiPriority w:val="99"/>
    <w:rsid w:val="00767A9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7A92"/>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67A92"/>
    <w:rPr>
      <w:vertAlign w:val="superscript"/>
    </w:rPr>
  </w:style>
  <w:style w:type="character" w:styleId="Hyperlink">
    <w:name w:val="Hyperlink"/>
    <w:basedOn w:val="DefaultParagraphFont"/>
    <w:rsid w:val="00767A92"/>
    <w:rPr>
      <w:color w:val="0563C1" w:themeColor="hyperlink"/>
      <w:u w:val="single"/>
    </w:rPr>
  </w:style>
  <w:style w:type="paragraph" w:customStyle="1" w:styleId="Default">
    <w:name w:val="Default"/>
    <w:rsid w:val="00202D39"/>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DE48A5"/>
  </w:style>
  <w:style w:type="character" w:customStyle="1" w:styleId="Heading1Char">
    <w:name w:val="Heading 1 Char"/>
    <w:basedOn w:val="DefaultParagraphFont"/>
    <w:link w:val="Heading1"/>
    <w:uiPriority w:val="1"/>
    <w:rsid w:val="00C6061F"/>
    <w:rPr>
      <w:rFonts w:ascii="Times New Roman" w:hAnsi="Times New Roman" w:cs="Times New Roman"/>
      <w:b/>
      <w:bCs/>
      <w:sz w:val="28"/>
      <w:szCs w:val="28"/>
    </w:rPr>
  </w:style>
  <w:style w:type="character" w:customStyle="1" w:styleId="Heading3Char">
    <w:name w:val="Heading 3 Char"/>
    <w:basedOn w:val="DefaultParagraphFont"/>
    <w:link w:val="Heading3"/>
    <w:uiPriority w:val="9"/>
    <w:semiHidden/>
    <w:rsid w:val="00C6061F"/>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C6061F"/>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7B4C9F"/>
    <w:rPr>
      <w:color w:val="605E5C"/>
      <w:shd w:val="clear" w:color="auto" w:fill="E1DFDD"/>
    </w:rPr>
  </w:style>
  <w:style w:type="paragraph" w:customStyle="1" w:styleId="Level1">
    <w:name w:val="Level 1"/>
    <w:basedOn w:val="Normal"/>
    <w:rsid w:val="0065708E"/>
    <w:pPr>
      <w:widowControl w:val="0"/>
      <w:numPr>
        <w:numId w:val="14"/>
      </w:numPr>
      <w:autoSpaceDE w:val="0"/>
      <w:autoSpaceDN w:val="0"/>
      <w:adjustRightInd w:val="0"/>
      <w:outlineLvl w:val="0"/>
    </w:pPr>
    <w:rPr>
      <w:rFonts w:ascii="Times New Roman" w:eastAsia="Times New Roman" w:hAnsi="Times New Roman" w:cs="Times New Roman"/>
    </w:rPr>
  </w:style>
  <w:style w:type="paragraph" w:customStyle="1" w:styleId="Level5">
    <w:name w:val="Level 5"/>
    <w:basedOn w:val="Normal"/>
    <w:rsid w:val="0065708E"/>
    <w:pPr>
      <w:widowControl w:val="0"/>
      <w:numPr>
        <w:ilvl w:val="4"/>
        <w:numId w:val="12"/>
      </w:numPr>
      <w:autoSpaceDE w:val="0"/>
      <w:autoSpaceDN w:val="0"/>
      <w:adjustRightInd w:val="0"/>
      <w:ind w:left="1800" w:hanging="360"/>
      <w:outlineLvl w:val="4"/>
    </w:pPr>
    <w:rPr>
      <w:rFonts w:ascii="Times New Roman" w:eastAsia="Times New Roman" w:hAnsi="Times New Roman" w:cs="Times New Roman"/>
    </w:rPr>
  </w:style>
  <w:style w:type="paragraph" w:customStyle="1" w:styleId="Level4">
    <w:name w:val="Level 4"/>
    <w:basedOn w:val="Normal"/>
    <w:rsid w:val="0065708E"/>
    <w:pPr>
      <w:widowControl w:val="0"/>
      <w:numPr>
        <w:ilvl w:val="3"/>
        <w:numId w:val="13"/>
      </w:numPr>
      <w:autoSpaceDE w:val="0"/>
      <w:autoSpaceDN w:val="0"/>
      <w:adjustRightInd w:val="0"/>
      <w:outlineLvl w:val="3"/>
    </w:pPr>
    <w:rPr>
      <w:rFonts w:ascii="Times New Roman" w:eastAsia="Times New Roman" w:hAnsi="Times New Roman" w:cs="Times New Roman"/>
    </w:rPr>
  </w:style>
  <w:style w:type="paragraph" w:customStyle="1" w:styleId="Level6">
    <w:name w:val="Level 6"/>
    <w:basedOn w:val="Normal"/>
    <w:rsid w:val="0065708E"/>
    <w:pPr>
      <w:widowControl w:val="0"/>
      <w:numPr>
        <w:ilvl w:val="5"/>
        <w:numId w:val="11"/>
      </w:numPr>
      <w:autoSpaceDE w:val="0"/>
      <w:autoSpaceDN w:val="0"/>
      <w:adjustRightInd w:val="0"/>
      <w:ind w:left="2250" w:hanging="450"/>
      <w:outlineLvl w:val="5"/>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D6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30864">
      <w:bodyDiv w:val="1"/>
      <w:marLeft w:val="0"/>
      <w:marRight w:val="0"/>
      <w:marTop w:val="0"/>
      <w:marBottom w:val="0"/>
      <w:divBdr>
        <w:top w:val="none" w:sz="0" w:space="0" w:color="auto"/>
        <w:left w:val="none" w:sz="0" w:space="0" w:color="auto"/>
        <w:bottom w:val="none" w:sz="0" w:space="0" w:color="auto"/>
        <w:right w:val="none" w:sz="0" w:space="0" w:color="auto"/>
      </w:divBdr>
    </w:div>
    <w:div w:id="1746687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zcourts.gov/ACJA-Forum/aff/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2A301-9CA7-4BDE-BAED-A1E142BE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7519</Words>
  <Characters>42860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Sallen</dc:creator>
  <cp:keywords/>
  <dc:description/>
  <cp:lastModifiedBy>Albright, Jennifer</cp:lastModifiedBy>
  <cp:revision>9</cp:revision>
  <dcterms:created xsi:type="dcterms:W3CDTF">2020-06-22T21:52:00Z</dcterms:created>
  <dcterms:modified xsi:type="dcterms:W3CDTF">2020-06-22T22:56:00Z</dcterms:modified>
</cp:coreProperties>
</file>