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98DC9" w14:textId="77777777" w:rsidR="002508B4" w:rsidRDefault="002508B4" w:rsidP="002508B4">
      <w:pPr>
        <w:jc w:val="both"/>
        <w:rPr>
          <w:sz w:val="28"/>
          <w:szCs w:val="28"/>
        </w:rPr>
      </w:pPr>
      <w:r>
        <w:rPr>
          <w:sz w:val="28"/>
          <w:szCs w:val="28"/>
        </w:rPr>
        <w:t>Dave Byers</w:t>
      </w:r>
      <w:r>
        <w:rPr>
          <w:rStyle w:val="FootnoteReference"/>
          <w:sz w:val="28"/>
          <w:szCs w:val="28"/>
        </w:rPr>
        <w:footnoteReference w:id="1"/>
      </w:r>
    </w:p>
    <w:p w14:paraId="59D11CCD" w14:textId="77777777" w:rsidR="002508B4" w:rsidRPr="00FD45C7" w:rsidRDefault="002508B4" w:rsidP="002508B4">
      <w:pPr>
        <w:jc w:val="both"/>
        <w:rPr>
          <w:sz w:val="28"/>
          <w:szCs w:val="28"/>
        </w:rPr>
      </w:pPr>
      <w:r>
        <w:rPr>
          <w:sz w:val="28"/>
          <w:szCs w:val="28"/>
        </w:rPr>
        <w:t>Executive Director, Administrative Office of Courts</w:t>
      </w:r>
    </w:p>
    <w:p w14:paraId="464ADAEF" w14:textId="77777777" w:rsidR="002508B4" w:rsidRPr="00FD45C7" w:rsidRDefault="002508B4" w:rsidP="002508B4">
      <w:pPr>
        <w:jc w:val="both"/>
        <w:rPr>
          <w:sz w:val="28"/>
          <w:szCs w:val="28"/>
        </w:rPr>
      </w:pPr>
      <w:r>
        <w:rPr>
          <w:sz w:val="28"/>
          <w:szCs w:val="28"/>
        </w:rPr>
        <w:t>Member</w:t>
      </w:r>
      <w:r w:rsidRPr="00FD45C7">
        <w:rPr>
          <w:sz w:val="28"/>
          <w:szCs w:val="28"/>
        </w:rPr>
        <w:t xml:space="preserve">, </w:t>
      </w:r>
      <w:r>
        <w:rPr>
          <w:sz w:val="28"/>
          <w:szCs w:val="28"/>
        </w:rPr>
        <w:t xml:space="preserve">Task Force on the Delivery of Legal Services </w:t>
      </w:r>
    </w:p>
    <w:p w14:paraId="40BDE355" w14:textId="77777777" w:rsidR="002508B4" w:rsidRPr="00FD45C7" w:rsidRDefault="002508B4" w:rsidP="002508B4">
      <w:pPr>
        <w:rPr>
          <w:sz w:val="28"/>
          <w:szCs w:val="28"/>
        </w:rPr>
      </w:pPr>
      <w:r w:rsidRPr="00FD45C7">
        <w:rPr>
          <w:sz w:val="28"/>
          <w:szCs w:val="28"/>
        </w:rPr>
        <w:t>State Courts Building</w:t>
      </w:r>
    </w:p>
    <w:p w14:paraId="4FC70BEB" w14:textId="77777777" w:rsidR="002508B4" w:rsidRPr="00FD45C7" w:rsidRDefault="002508B4" w:rsidP="002508B4">
      <w:pPr>
        <w:rPr>
          <w:sz w:val="28"/>
          <w:szCs w:val="28"/>
        </w:rPr>
      </w:pPr>
      <w:r w:rsidRPr="00FD45C7">
        <w:rPr>
          <w:sz w:val="28"/>
          <w:szCs w:val="28"/>
        </w:rPr>
        <w:t>1501 West Washington</w:t>
      </w:r>
    </w:p>
    <w:p w14:paraId="2221209F" w14:textId="77777777" w:rsidR="002508B4" w:rsidRPr="00FD45C7" w:rsidRDefault="002508B4" w:rsidP="002508B4">
      <w:pPr>
        <w:rPr>
          <w:sz w:val="28"/>
          <w:szCs w:val="28"/>
        </w:rPr>
      </w:pPr>
      <w:r>
        <w:rPr>
          <w:sz w:val="28"/>
          <w:szCs w:val="28"/>
        </w:rPr>
        <w:t>Phoenix, Arizona </w:t>
      </w:r>
      <w:r w:rsidRPr="00FD45C7">
        <w:rPr>
          <w:sz w:val="28"/>
          <w:szCs w:val="28"/>
        </w:rPr>
        <w:t>85007</w:t>
      </w:r>
    </w:p>
    <w:p w14:paraId="6BED3CF7" w14:textId="1AF29001" w:rsidR="002508B4" w:rsidRPr="00FD45C7" w:rsidRDefault="002508B4" w:rsidP="002508B4">
      <w:pPr>
        <w:rPr>
          <w:sz w:val="28"/>
          <w:szCs w:val="28"/>
        </w:rPr>
      </w:pPr>
      <w:r>
        <w:rPr>
          <w:sz w:val="28"/>
          <w:szCs w:val="28"/>
        </w:rPr>
        <w:t xml:space="preserve">Telephone: </w:t>
      </w:r>
      <w:r w:rsidRPr="00FD45C7">
        <w:rPr>
          <w:sz w:val="28"/>
          <w:szCs w:val="28"/>
        </w:rPr>
        <w:t xml:space="preserve">(602) </w:t>
      </w:r>
      <w:r>
        <w:rPr>
          <w:sz w:val="28"/>
          <w:szCs w:val="28"/>
        </w:rPr>
        <w:t>452-</w:t>
      </w:r>
      <w:r w:rsidR="00FA669B">
        <w:rPr>
          <w:sz w:val="28"/>
          <w:szCs w:val="28"/>
        </w:rPr>
        <w:t>3301</w:t>
      </w:r>
    </w:p>
    <w:p w14:paraId="0748BB55" w14:textId="2159967E" w:rsidR="002508B4" w:rsidRDefault="00FA669B" w:rsidP="002508B4">
      <w:pPr>
        <w:jc w:val="both"/>
        <w:rPr>
          <w:sz w:val="28"/>
          <w:szCs w:val="28"/>
        </w:rPr>
      </w:pPr>
      <w:r>
        <w:rPr>
          <w:sz w:val="28"/>
          <w:szCs w:val="28"/>
        </w:rPr>
        <w:t>Projects2@courts.az.gov</w:t>
      </w:r>
    </w:p>
    <w:p w14:paraId="0C475910" w14:textId="77777777" w:rsidR="002508B4" w:rsidRPr="00FD45C7" w:rsidRDefault="002508B4" w:rsidP="002508B4">
      <w:pPr>
        <w:jc w:val="both"/>
        <w:rPr>
          <w:sz w:val="28"/>
          <w:szCs w:val="28"/>
        </w:rPr>
      </w:pPr>
    </w:p>
    <w:p w14:paraId="28308298" w14:textId="77777777" w:rsidR="002508B4" w:rsidRPr="00FD45C7" w:rsidRDefault="002508B4" w:rsidP="002508B4">
      <w:pPr>
        <w:pStyle w:val="Heading1"/>
        <w:spacing w:line="240" w:lineRule="auto"/>
        <w:rPr>
          <w:rFonts w:ascii="Times New Roman" w:hAnsi="Times New Roman"/>
          <w:bCs/>
          <w:sz w:val="28"/>
          <w:szCs w:val="28"/>
        </w:rPr>
      </w:pPr>
      <w:r w:rsidRPr="00FD45C7">
        <w:rPr>
          <w:rFonts w:ascii="Times New Roman" w:hAnsi="Times New Roman"/>
          <w:bCs/>
          <w:sz w:val="28"/>
          <w:szCs w:val="28"/>
        </w:rPr>
        <w:t>IN THE SUPREME COURT</w:t>
      </w:r>
    </w:p>
    <w:p w14:paraId="680EDB81" w14:textId="77777777" w:rsidR="002508B4" w:rsidRDefault="002508B4" w:rsidP="002508B4">
      <w:pPr>
        <w:pStyle w:val="Heading1"/>
        <w:spacing w:line="240" w:lineRule="auto"/>
        <w:rPr>
          <w:rFonts w:ascii="Times New Roman" w:hAnsi="Times New Roman"/>
          <w:bCs/>
          <w:sz w:val="28"/>
          <w:szCs w:val="28"/>
        </w:rPr>
      </w:pPr>
      <w:r w:rsidRPr="00FD45C7">
        <w:rPr>
          <w:rFonts w:ascii="Times New Roman" w:hAnsi="Times New Roman"/>
          <w:bCs/>
          <w:sz w:val="28"/>
          <w:szCs w:val="28"/>
        </w:rPr>
        <w:t>STATE OF ARIZONA</w:t>
      </w:r>
    </w:p>
    <w:p w14:paraId="1D07DF59" w14:textId="77777777" w:rsidR="002508B4" w:rsidRPr="00FF09E1" w:rsidRDefault="002508B4" w:rsidP="002508B4"/>
    <w:p w14:paraId="521019FF" w14:textId="77777777" w:rsidR="002508B4" w:rsidRPr="00FD45C7" w:rsidRDefault="002508B4" w:rsidP="002508B4">
      <w:pPr>
        <w:rPr>
          <w:sz w:val="28"/>
          <w:szCs w:val="28"/>
        </w:rPr>
      </w:pPr>
    </w:p>
    <w:p w14:paraId="4EC21C1C" w14:textId="77777777" w:rsidR="002508B4" w:rsidRPr="00FD45C7" w:rsidRDefault="002508B4" w:rsidP="002508B4">
      <w:pPr>
        <w:widowControl w:val="0"/>
        <w:autoSpaceDE w:val="0"/>
        <w:autoSpaceDN w:val="0"/>
        <w:adjustRightInd w:val="0"/>
        <w:rPr>
          <w:color w:val="000000"/>
          <w:sz w:val="28"/>
          <w:szCs w:val="28"/>
        </w:rPr>
      </w:pPr>
      <w:r w:rsidRPr="00FD45C7">
        <w:rPr>
          <w:color w:val="000000"/>
          <w:sz w:val="28"/>
          <w:szCs w:val="28"/>
        </w:rPr>
        <w:t xml:space="preserve">In the Matter of                                  </w:t>
      </w:r>
      <w:r>
        <w:rPr>
          <w:color w:val="000000"/>
          <w:sz w:val="28"/>
          <w:szCs w:val="28"/>
        </w:rPr>
        <w:t xml:space="preserve">  </w:t>
      </w:r>
      <w:r w:rsidRPr="00FD45C7">
        <w:rPr>
          <w:color w:val="000000"/>
          <w:sz w:val="28"/>
          <w:szCs w:val="28"/>
        </w:rPr>
        <w:t xml:space="preserve"> )   </w:t>
      </w:r>
    </w:p>
    <w:p w14:paraId="07BD3B29" w14:textId="22714647" w:rsidR="002508B4" w:rsidRPr="00FD45C7" w:rsidRDefault="002508B4" w:rsidP="002508B4">
      <w:pPr>
        <w:widowControl w:val="0"/>
        <w:autoSpaceDE w:val="0"/>
        <w:autoSpaceDN w:val="0"/>
        <w:adjustRightInd w:val="0"/>
        <w:rPr>
          <w:sz w:val="28"/>
          <w:szCs w:val="28"/>
        </w:rPr>
      </w:pPr>
      <w:r w:rsidRPr="00FD45C7">
        <w:rPr>
          <w:color w:val="000000"/>
          <w:sz w:val="28"/>
          <w:szCs w:val="28"/>
        </w:rPr>
        <w:t xml:space="preserve">                                                           </w:t>
      </w:r>
      <w:r>
        <w:rPr>
          <w:color w:val="000000"/>
          <w:sz w:val="28"/>
          <w:szCs w:val="28"/>
        </w:rPr>
        <w:t xml:space="preserve">  </w:t>
      </w:r>
      <w:r w:rsidRPr="00FD45C7">
        <w:rPr>
          <w:color w:val="000000"/>
          <w:sz w:val="28"/>
          <w:szCs w:val="28"/>
        </w:rPr>
        <w:t xml:space="preserve"> )  Arizona Supreme Court No. R-</w:t>
      </w:r>
      <w:r>
        <w:rPr>
          <w:color w:val="000000"/>
          <w:sz w:val="28"/>
          <w:szCs w:val="28"/>
        </w:rPr>
        <w:t>20</w:t>
      </w:r>
      <w:r w:rsidRPr="00FD45C7">
        <w:rPr>
          <w:color w:val="000000"/>
          <w:sz w:val="28"/>
          <w:szCs w:val="28"/>
        </w:rPr>
        <w:t>-</w:t>
      </w:r>
      <w:r w:rsidR="00A86AB5">
        <w:rPr>
          <w:color w:val="000000"/>
          <w:sz w:val="28"/>
          <w:szCs w:val="28"/>
        </w:rPr>
        <w:t>0030</w:t>
      </w:r>
    </w:p>
    <w:p w14:paraId="01935756" w14:textId="587A0350" w:rsidR="002508B4" w:rsidRPr="00DC54B7" w:rsidRDefault="002508B4" w:rsidP="002508B4">
      <w:pPr>
        <w:widowControl w:val="0"/>
        <w:autoSpaceDE w:val="0"/>
        <w:autoSpaceDN w:val="0"/>
        <w:adjustRightInd w:val="0"/>
        <w:rPr>
          <w:sz w:val="28"/>
          <w:szCs w:val="28"/>
        </w:rPr>
      </w:pPr>
      <w:r w:rsidRPr="00DC54B7">
        <w:rPr>
          <w:color w:val="000000"/>
          <w:sz w:val="28"/>
          <w:szCs w:val="28"/>
        </w:rPr>
        <w:t xml:space="preserve">PETITION TO AMEND </w:t>
      </w:r>
      <w:r>
        <w:rPr>
          <w:color w:val="000000"/>
          <w:sz w:val="28"/>
          <w:szCs w:val="28"/>
        </w:rPr>
        <w:t xml:space="preserve"> </w:t>
      </w:r>
      <w:r w:rsidRPr="00DC54B7">
        <w:rPr>
          <w:color w:val="000000"/>
          <w:sz w:val="28"/>
          <w:szCs w:val="28"/>
        </w:rPr>
        <w:t xml:space="preserve"> </w:t>
      </w:r>
      <w:r w:rsidR="00051E6B">
        <w:rPr>
          <w:color w:val="000000"/>
          <w:sz w:val="28"/>
          <w:szCs w:val="28"/>
        </w:rPr>
        <w:tab/>
      </w:r>
      <w:r w:rsidR="00051E6B">
        <w:rPr>
          <w:color w:val="000000"/>
          <w:sz w:val="28"/>
          <w:szCs w:val="28"/>
        </w:rPr>
        <w:tab/>
      </w:r>
      <w:r w:rsidRPr="00DC54B7">
        <w:rPr>
          <w:color w:val="000000"/>
          <w:sz w:val="28"/>
          <w:szCs w:val="28"/>
        </w:rPr>
        <w:t xml:space="preserve">)                       </w:t>
      </w:r>
    </w:p>
    <w:p w14:paraId="0C8A1DA4" w14:textId="1BE80B22" w:rsidR="002508B4" w:rsidRDefault="002508B4" w:rsidP="002508B4">
      <w:pPr>
        <w:widowControl w:val="0"/>
        <w:autoSpaceDE w:val="0"/>
        <w:autoSpaceDN w:val="0"/>
        <w:adjustRightInd w:val="0"/>
        <w:rPr>
          <w:color w:val="000000"/>
          <w:sz w:val="28"/>
          <w:szCs w:val="28"/>
        </w:rPr>
      </w:pPr>
      <w:r w:rsidRPr="00DC54B7">
        <w:rPr>
          <w:color w:val="000000"/>
          <w:sz w:val="28"/>
          <w:szCs w:val="28"/>
        </w:rPr>
        <w:t xml:space="preserve">RULE </w:t>
      </w:r>
      <w:r w:rsidR="00FA669B">
        <w:rPr>
          <w:color w:val="000000"/>
          <w:sz w:val="28"/>
          <w:szCs w:val="28"/>
        </w:rPr>
        <w:t xml:space="preserve">42, </w:t>
      </w:r>
      <w:r w:rsidRPr="00DC54B7">
        <w:rPr>
          <w:color w:val="000000"/>
          <w:sz w:val="28"/>
          <w:szCs w:val="28"/>
        </w:rPr>
        <w:t xml:space="preserve">OF </w:t>
      </w:r>
      <w:r>
        <w:rPr>
          <w:color w:val="000000"/>
          <w:sz w:val="28"/>
          <w:szCs w:val="28"/>
        </w:rPr>
        <w:t>THE SUPREME</w:t>
      </w:r>
      <w:r>
        <w:rPr>
          <w:color w:val="000000"/>
          <w:sz w:val="28"/>
          <w:szCs w:val="28"/>
        </w:rPr>
        <w:tab/>
      </w:r>
      <w:r>
        <w:rPr>
          <w:color w:val="000000"/>
          <w:sz w:val="28"/>
          <w:szCs w:val="28"/>
        </w:rPr>
        <w:tab/>
        <w:t>)</w:t>
      </w:r>
      <w:r w:rsidR="00A86AB5">
        <w:rPr>
          <w:color w:val="000000"/>
          <w:sz w:val="28"/>
          <w:szCs w:val="28"/>
        </w:rPr>
        <w:tab/>
      </w:r>
      <w:r w:rsidR="00A86AB5">
        <w:rPr>
          <w:color w:val="000000"/>
          <w:sz w:val="28"/>
          <w:szCs w:val="28"/>
        </w:rPr>
        <w:tab/>
        <w:t>REPLY</w:t>
      </w:r>
    </w:p>
    <w:p w14:paraId="299FD42E" w14:textId="4EEC40AD" w:rsidR="002508B4" w:rsidRPr="00DC54B7" w:rsidRDefault="002508B4" w:rsidP="002508B4">
      <w:pPr>
        <w:widowControl w:val="0"/>
        <w:autoSpaceDE w:val="0"/>
        <w:autoSpaceDN w:val="0"/>
        <w:adjustRightInd w:val="0"/>
        <w:rPr>
          <w:sz w:val="28"/>
          <w:szCs w:val="28"/>
        </w:rPr>
      </w:pPr>
      <w:r>
        <w:rPr>
          <w:color w:val="000000"/>
          <w:sz w:val="28"/>
          <w:szCs w:val="28"/>
        </w:rPr>
        <w:t xml:space="preserve">COURT </w:t>
      </w:r>
      <w:r w:rsidR="00FA669B">
        <w:rPr>
          <w:color w:val="000000"/>
          <w:sz w:val="28"/>
          <w:szCs w:val="28"/>
        </w:rPr>
        <w:t>RULES</w:t>
      </w:r>
      <w:r w:rsidR="004E4CED">
        <w:rPr>
          <w:color w:val="000000"/>
          <w:sz w:val="28"/>
          <w:szCs w:val="28"/>
        </w:rPr>
        <w:t xml:space="preserve">, </w:t>
      </w:r>
      <w:r w:rsidR="00E66DE6" w:rsidRPr="004E4CED">
        <w:rPr>
          <w:color w:val="000000"/>
          <w:sz w:val="28"/>
          <w:szCs w:val="28"/>
        </w:rPr>
        <w:t xml:space="preserve">ERs </w:t>
      </w:r>
      <w:r w:rsidR="00F0304A" w:rsidRPr="004E4CED">
        <w:rPr>
          <w:color w:val="000000"/>
          <w:sz w:val="28"/>
          <w:szCs w:val="28"/>
        </w:rPr>
        <w:t>7.1</w:t>
      </w:r>
      <w:r w:rsidR="00E66DE6" w:rsidRPr="004E4CED">
        <w:rPr>
          <w:color w:val="000000"/>
          <w:sz w:val="28"/>
          <w:szCs w:val="28"/>
        </w:rPr>
        <w:t xml:space="preserve"> to 7.5</w:t>
      </w:r>
      <w:r w:rsidR="00E66DE6">
        <w:rPr>
          <w:color w:val="000000"/>
          <w:sz w:val="28"/>
          <w:szCs w:val="28"/>
        </w:rPr>
        <w:tab/>
      </w:r>
      <w:r>
        <w:rPr>
          <w:sz w:val="28"/>
          <w:szCs w:val="28"/>
        </w:rPr>
        <w:t>)</w:t>
      </w:r>
    </w:p>
    <w:p w14:paraId="739B9F25" w14:textId="77777777" w:rsidR="002508B4" w:rsidRDefault="002508B4" w:rsidP="002508B4">
      <w:pPr>
        <w:rPr>
          <w:color w:val="000000"/>
          <w:sz w:val="28"/>
          <w:szCs w:val="28"/>
        </w:rPr>
      </w:pPr>
      <w:r w:rsidRPr="00DC54B7">
        <w:rPr>
          <w:color w:val="000000"/>
          <w:sz w:val="28"/>
          <w:szCs w:val="28"/>
        </w:rPr>
        <w:t>____________________________</w:t>
      </w:r>
      <w:r>
        <w:rPr>
          <w:color w:val="000000"/>
          <w:sz w:val="28"/>
          <w:szCs w:val="28"/>
        </w:rPr>
        <w:t>_</w:t>
      </w:r>
      <w:r w:rsidRPr="00DC54B7">
        <w:rPr>
          <w:color w:val="000000"/>
          <w:sz w:val="28"/>
          <w:szCs w:val="28"/>
        </w:rPr>
        <w:t>__)</w:t>
      </w:r>
      <w:r w:rsidRPr="00FD45C7">
        <w:rPr>
          <w:color w:val="000000"/>
          <w:sz w:val="28"/>
          <w:szCs w:val="28"/>
        </w:rPr>
        <w:t xml:space="preserve">         </w:t>
      </w:r>
    </w:p>
    <w:p w14:paraId="34353A01" w14:textId="77777777" w:rsidR="002508B4" w:rsidRDefault="002508B4" w:rsidP="002508B4">
      <w:pPr>
        <w:rPr>
          <w:color w:val="000000"/>
          <w:sz w:val="28"/>
          <w:szCs w:val="28"/>
        </w:rPr>
      </w:pPr>
    </w:p>
    <w:p w14:paraId="78FEF547" w14:textId="77777777" w:rsidR="002508B4" w:rsidRPr="00FD45C7" w:rsidRDefault="002508B4" w:rsidP="002508B4">
      <w:pPr>
        <w:rPr>
          <w:sz w:val="28"/>
          <w:szCs w:val="28"/>
        </w:rPr>
      </w:pPr>
      <w:r w:rsidRPr="00FD45C7">
        <w:rPr>
          <w:color w:val="000000"/>
          <w:sz w:val="28"/>
          <w:szCs w:val="28"/>
        </w:rPr>
        <w:t xml:space="preserve">                   </w:t>
      </w:r>
    </w:p>
    <w:p w14:paraId="792A91E7" w14:textId="7F4B0BAA" w:rsidR="002508B4" w:rsidRDefault="002508B4" w:rsidP="002508B4">
      <w:pPr>
        <w:pStyle w:val="BodyText"/>
        <w:tabs>
          <w:tab w:val="left" w:pos="711"/>
        </w:tabs>
        <w:spacing w:line="480" w:lineRule="auto"/>
        <w:jc w:val="both"/>
        <w:rPr>
          <w:szCs w:val="28"/>
        </w:rPr>
      </w:pPr>
      <w:r w:rsidRPr="00FD45C7">
        <w:rPr>
          <w:szCs w:val="28"/>
        </w:rPr>
        <w:tab/>
        <w:t>Pursuant to Rule 28, Rules of the Supreme Court</w:t>
      </w:r>
      <w:r>
        <w:rPr>
          <w:szCs w:val="28"/>
        </w:rPr>
        <w:t xml:space="preserve"> of Arizona</w:t>
      </w:r>
      <w:r w:rsidRPr="00FD45C7">
        <w:rPr>
          <w:szCs w:val="28"/>
        </w:rPr>
        <w:t xml:space="preserve">, the </w:t>
      </w:r>
      <w:r>
        <w:rPr>
          <w:szCs w:val="28"/>
        </w:rPr>
        <w:t>Task Force on the Delivery of Legal Services</w:t>
      </w:r>
      <w:r w:rsidRPr="00FD45C7">
        <w:rPr>
          <w:szCs w:val="28"/>
        </w:rPr>
        <w:t xml:space="preserve"> </w:t>
      </w:r>
      <w:r>
        <w:rPr>
          <w:szCs w:val="28"/>
        </w:rPr>
        <w:t xml:space="preserve">(“Task Force”) </w:t>
      </w:r>
      <w:r w:rsidR="00A86AB5">
        <w:rPr>
          <w:szCs w:val="28"/>
        </w:rPr>
        <w:t>petitioned the Court</w:t>
      </w:r>
      <w:r w:rsidRPr="00FD45C7">
        <w:rPr>
          <w:szCs w:val="28"/>
        </w:rPr>
        <w:t xml:space="preserve"> to amend </w:t>
      </w:r>
      <w:r w:rsidR="00FA669B">
        <w:rPr>
          <w:szCs w:val="28"/>
        </w:rPr>
        <w:t xml:space="preserve">Rule 42 of the </w:t>
      </w:r>
      <w:r w:rsidRPr="00DC54B7">
        <w:rPr>
          <w:szCs w:val="28"/>
        </w:rPr>
        <w:t xml:space="preserve">Arizona Rules of </w:t>
      </w:r>
      <w:r>
        <w:rPr>
          <w:szCs w:val="28"/>
        </w:rPr>
        <w:t>the Supreme Court</w:t>
      </w:r>
      <w:r w:rsidRPr="00DC54B7">
        <w:rPr>
          <w:szCs w:val="28"/>
        </w:rPr>
        <w:t>,</w:t>
      </w:r>
      <w:r>
        <w:rPr>
          <w:szCs w:val="28"/>
        </w:rPr>
        <w:t xml:space="preserve"> as </w:t>
      </w:r>
      <w:r w:rsidRPr="00FD45C7">
        <w:rPr>
          <w:szCs w:val="28"/>
        </w:rPr>
        <w:t>reflected in the attachment</w:t>
      </w:r>
      <w:r>
        <w:rPr>
          <w:szCs w:val="28"/>
        </w:rPr>
        <w:t>s</w:t>
      </w:r>
      <w:r w:rsidRPr="00FD45C7">
        <w:rPr>
          <w:szCs w:val="28"/>
        </w:rPr>
        <w:t xml:space="preserve"> hereto, effective January 1, </w:t>
      </w:r>
      <w:r>
        <w:rPr>
          <w:szCs w:val="28"/>
        </w:rPr>
        <w:t>2021</w:t>
      </w:r>
      <w:r w:rsidRPr="00FD45C7">
        <w:rPr>
          <w:szCs w:val="28"/>
        </w:rPr>
        <w:t>.</w:t>
      </w:r>
      <w:r w:rsidR="00A86AB5">
        <w:rPr>
          <w:szCs w:val="28"/>
        </w:rPr>
        <w:t xml:space="preserve"> This reply addresses the single comment to the petition.</w:t>
      </w:r>
    </w:p>
    <w:p w14:paraId="712C4858" w14:textId="7D0B6DDE" w:rsidR="002508B4" w:rsidRPr="00FD45C7" w:rsidRDefault="00B152B4" w:rsidP="002508B4">
      <w:pPr>
        <w:pStyle w:val="BodyText"/>
        <w:numPr>
          <w:ilvl w:val="0"/>
          <w:numId w:val="1"/>
        </w:numPr>
        <w:tabs>
          <w:tab w:val="left" w:pos="720"/>
        </w:tabs>
        <w:ind w:hanging="1080"/>
        <w:jc w:val="both"/>
        <w:rPr>
          <w:b/>
          <w:bCs/>
          <w:szCs w:val="28"/>
        </w:rPr>
      </w:pPr>
      <w:r w:rsidRPr="00FD45C7">
        <w:rPr>
          <w:b/>
          <w:bCs/>
          <w:szCs w:val="28"/>
        </w:rPr>
        <w:t>Background</w:t>
      </w:r>
      <w:r>
        <w:rPr>
          <w:b/>
          <w:bCs/>
          <w:szCs w:val="28"/>
        </w:rPr>
        <w:t>.</w:t>
      </w:r>
    </w:p>
    <w:p w14:paraId="4AE05ADE" w14:textId="77777777" w:rsidR="002508B4" w:rsidRPr="00FD45C7" w:rsidRDefault="002508B4" w:rsidP="002508B4">
      <w:pPr>
        <w:pStyle w:val="BodyText"/>
        <w:jc w:val="both"/>
        <w:rPr>
          <w:b/>
          <w:bCs/>
          <w:szCs w:val="28"/>
        </w:rPr>
      </w:pPr>
    </w:p>
    <w:p w14:paraId="7FE3F523" w14:textId="00D0F1BD" w:rsidR="00663FD9" w:rsidRPr="0083172F" w:rsidRDefault="00A86AB5" w:rsidP="00A86AB5">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b/>
          <w:sz w:val="28"/>
          <w:szCs w:val="28"/>
        </w:rPr>
      </w:pPr>
      <w:r>
        <w:rPr>
          <w:sz w:val="28"/>
          <w:szCs w:val="28"/>
        </w:rPr>
        <w:t xml:space="preserve">As noted in the petition, the petition was filed </w:t>
      </w:r>
      <w:proofErr w:type="gramStart"/>
      <w:r>
        <w:rPr>
          <w:sz w:val="28"/>
          <w:szCs w:val="28"/>
        </w:rPr>
        <w:t>as a result of</w:t>
      </w:r>
      <w:proofErr w:type="gramEnd"/>
      <w:r>
        <w:rPr>
          <w:sz w:val="28"/>
          <w:szCs w:val="28"/>
        </w:rPr>
        <w:t xml:space="preserve"> recommendations by the </w:t>
      </w:r>
      <w:r w:rsidR="00F109A0">
        <w:rPr>
          <w:sz w:val="28"/>
          <w:szCs w:val="28"/>
        </w:rPr>
        <w:t>T</w:t>
      </w:r>
      <w:r>
        <w:rPr>
          <w:sz w:val="28"/>
          <w:szCs w:val="28"/>
        </w:rPr>
        <w:t>ask Force on the Delivery of Legal Services, e</w:t>
      </w:r>
      <w:r w:rsidR="002508B4" w:rsidRPr="00FE7D74">
        <w:rPr>
          <w:sz w:val="28"/>
          <w:szCs w:val="28"/>
        </w:rPr>
        <w:t xml:space="preserve">stablished by Arizona </w:t>
      </w:r>
      <w:r w:rsidR="002508B4" w:rsidRPr="00FE7D74">
        <w:rPr>
          <w:sz w:val="28"/>
          <w:szCs w:val="28"/>
        </w:rPr>
        <w:lastRenderedPageBreak/>
        <w:t xml:space="preserve">Supreme Court </w:t>
      </w:r>
      <w:bookmarkStart w:id="0" w:name="_Hlk498583237"/>
      <w:r w:rsidR="002508B4" w:rsidRPr="00FE7D74">
        <w:rPr>
          <w:sz w:val="28"/>
          <w:szCs w:val="28"/>
        </w:rPr>
        <w:t xml:space="preserve">Administrative Order </w:t>
      </w:r>
      <w:r w:rsidR="002508B4">
        <w:rPr>
          <w:sz w:val="28"/>
          <w:szCs w:val="28"/>
        </w:rPr>
        <w:t>2018-111</w:t>
      </w:r>
      <w:bookmarkEnd w:id="0"/>
      <w:r>
        <w:rPr>
          <w:sz w:val="28"/>
          <w:szCs w:val="28"/>
        </w:rPr>
        <w:t xml:space="preserve">. The term of the task Force expired in December 2019. </w:t>
      </w:r>
    </w:p>
    <w:p w14:paraId="35E94E50" w14:textId="54F19188" w:rsidR="00663FD9" w:rsidRPr="0083172F" w:rsidRDefault="00663FD9" w:rsidP="00663FD9">
      <w:pPr>
        <w:spacing w:line="480" w:lineRule="auto"/>
        <w:jc w:val="both"/>
        <w:rPr>
          <w:sz w:val="28"/>
          <w:szCs w:val="28"/>
        </w:rPr>
      </w:pPr>
      <w:r w:rsidRPr="0083172F">
        <w:rPr>
          <w:sz w:val="28"/>
          <w:szCs w:val="28"/>
        </w:rPr>
        <w:tab/>
        <w:t xml:space="preserve">The proposed amendments </w:t>
      </w:r>
      <w:r w:rsidR="00AC589A">
        <w:rPr>
          <w:sz w:val="28"/>
          <w:szCs w:val="28"/>
        </w:rPr>
        <w:t xml:space="preserve">address lawyer advertising and </w:t>
      </w:r>
      <w:r w:rsidRPr="0083172F">
        <w:rPr>
          <w:sz w:val="28"/>
          <w:szCs w:val="28"/>
        </w:rPr>
        <w:t xml:space="preserve">incorporate many of the </w:t>
      </w:r>
      <w:r w:rsidR="00F109A0">
        <w:rPr>
          <w:sz w:val="28"/>
          <w:szCs w:val="28"/>
        </w:rPr>
        <w:t>amendments to the Model Rules of Professional Conduct that the American Bar Association</w:t>
      </w:r>
      <w:r w:rsidR="00F109A0" w:rsidRPr="0083172F">
        <w:rPr>
          <w:sz w:val="28"/>
          <w:szCs w:val="28"/>
        </w:rPr>
        <w:t xml:space="preserve"> </w:t>
      </w:r>
      <w:r w:rsidR="00F109A0">
        <w:rPr>
          <w:sz w:val="28"/>
          <w:szCs w:val="28"/>
        </w:rPr>
        <w:t xml:space="preserve">made in 2018. They also </w:t>
      </w:r>
      <w:r w:rsidRPr="0083172F">
        <w:rPr>
          <w:sz w:val="28"/>
          <w:szCs w:val="28"/>
        </w:rPr>
        <w:t xml:space="preserve">fulfill the </w:t>
      </w:r>
      <w:r w:rsidR="00FA669B">
        <w:rPr>
          <w:sz w:val="28"/>
          <w:szCs w:val="28"/>
        </w:rPr>
        <w:t>T</w:t>
      </w:r>
      <w:r w:rsidRPr="0083172F">
        <w:rPr>
          <w:sz w:val="28"/>
          <w:szCs w:val="28"/>
        </w:rPr>
        <w:t xml:space="preserve">ask </w:t>
      </w:r>
      <w:r w:rsidR="00FA669B">
        <w:rPr>
          <w:sz w:val="28"/>
          <w:szCs w:val="28"/>
        </w:rPr>
        <w:t>F</w:t>
      </w:r>
      <w:r w:rsidRPr="0083172F">
        <w:rPr>
          <w:sz w:val="28"/>
          <w:szCs w:val="28"/>
        </w:rPr>
        <w:t xml:space="preserve">orce’s charge to identify issues and improvements in the delivery of legal services.  </w:t>
      </w:r>
      <w:r w:rsidR="00A86AB5">
        <w:rPr>
          <w:sz w:val="28"/>
          <w:szCs w:val="28"/>
        </w:rPr>
        <w:t>As detailed in the petition, t</w:t>
      </w:r>
      <w:r w:rsidRPr="0083172F">
        <w:rPr>
          <w:sz w:val="28"/>
          <w:szCs w:val="28"/>
        </w:rPr>
        <w:t xml:space="preserve">he proposed amendments to </w:t>
      </w:r>
      <w:r w:rsidR="00F109A0">
        <w:rPr>
          <w:sz w:val="28"/>
          <w:szCs w:val="28"/>
        </w:rPr>
        <w:t xml:space="preserve">the advertising-related </w:t>
      </w:r>
      <w:r w:rsidR="00AC589A">
        <w:rPr>
          <w:sz w:val="28"/>
          <w:szCs w:val="28"/>
        </w:rPr>
        <w:t>ethical rules</w:t>
      </w:r>
      <w:r w:rsidRPr="0083172F">
        <w:rPr>
          <w:sz w:val="28"/>
          <w:szCs w:val="28"/>
        </w:rPr>
        <w:t xml:space="preserve"> would: </w:t>
      </w:r>
    </w:p>
    <w:p w14:paraId="526E337F" w14:textId="18047E6D" w:rsidR="00663FD9" w:rsidRPr="0083172F" w:rsidRDefault="00663FD9" w:rsidP="00663FD9">
      <w:pPr>
        <w:pStyle w:val="ListParagraph"/>
        <w:numPr>
          <w:ilvl w:val="0"/>
          <w:numId w:val="4"/>
        </w:numPr>
        <w:spacing w:line="480" w:lineRule="auto"/>
        <w:ind w:left="720"/>
        <w:contextualSpacing/>
        <w:jc w:val="both"/>
        <w:rPr>
          <w:sz w:val="28"/>
          <w:szCs w:val="28"/>
        </w:rPr>
      </w:pPr>
      <w:r w:rsidRPr="0083172F">
        <w:rPr>
          <w:sz w:val="28"/>
          <w:szCs w:val="28"/>
        </w:rPr>
        <w:t xml:space="preserve">retain the rules’ primary regulatory mandate </w:t>
      </w:r>
      <w:r w:rsidR="00F109A0">
        <w:rPr>
          <w:sz w:val="28"/>
          <w:szCs w:val="28"/>
        </w:rPr>
        <w:t>that lawyers</w:t>
      </w:r>
      <w:r w:rsidRPr="0083172F">
        <w:rPr>
          <w:sz w:val="28"/>
          <w:szCs w:val="28"/>
        </w:rPr>
        <w:t xml:space="preserve"> refrain from making false and misleading communications;</w:t>
      </w:r>
    </w:p>
    <w:p w14:paraId="68BA6035" w14:textId="77777777" w:rsidR="00663FD9" w:rsidRPr="0083172F" w:rsidRDefault="00663FD9" w:rsidP="00663FD9">
      <w:pPr>
        <w:pStyle w:val="ListParagraph"/>
        <w:numPr>
          <w:ilvl w:val="0"/>
          <w:numId w:val="4"/>
        </w:numPr>
        <w:spacing w:line="480" w:lineRule="auto"/>
        <w:ind w:left="720"/>
        <w:contextualSpacing/>
        <w:jc w:val="both"/>
        <w:rPr>
          <w:sz w:val="28"/>
          <w:szCs w:val="28"/>
        </w:rPr>
      </w:pPr>
      <w:r w:rsidRPr="0083172F">
        <w:rPr>
          <w:sz w:val="28"/>
          <w:szCs w:val="28"/>
        </w:rPr>
        <w:t xml:space="preserve">set forth the requirements for who may identify themselves as a “certified specialist” in an area of law; </w:t>
      </w:r>
    </w:p>
    <w:p w14:paraId="5109BF9F" w14:textId="77777777" w:rsidR="00663FD9" w:rsidRPr="0083172F" w:rsidRDefault="00663FD9" w:rsidP="00663FD9">
      <w:pPr>
        <w:pStyle w:val="ListParagraph"/>
        <w:numPr>
          <w:ilvl w:val="0"/>
          <w:numId w:val="4"/>
        </w:numPr>
        <w:spacing w:line="480" w:lineRule="auto"/>
        <w:ind w:left="720"/>
        <w:contextualSpacing/>
        <w:jc w:val="both"/>
        <w:rPr>
          <w:sz w:val="28"/>
          <w:szCs w:val="28"/>
        </w:rPr>
      </w:pPr>
      <w:r w:rsidRPr="0083172F">
        <w:rPr>
          <w:sz w:val="28"/>
          <w:szCs w:val="28"/>
        </w:rPr>
        <w:t xml:space="preserve">maintain reasonable restrictions on direct solicitation of specific potential clients; and </w:t>
      </w:r>
    </w:p>
    <w:p w14:paraId="7E0925F4" w14:textId="77777777" w:rsidR="00663FD9" w:rsidRPr="0083172F" w:rsidRDefault="00663FD9" w:rsidP="00663FD9">
      <w:pPr>
        <w:pStyle w:val="ListParagraph"/>
        <w:numPr>
          <w:ilvl w:val="0"/>
          <w:numId w:val="4"/>
        </w:numPr>
        <w:spacing w:line="480" w:lineRule="auto"/>
        <w:ind w:left="720"/>
        <w:contextualSpacing/>
        <w:jc w:val="both"/>
        <w:rPr>
          <w:sz w:val="28"/>
          <w:szCs w:val="28"/>
        </w:rPr>
      </w:pPr>
      <w:r w:rsidRPr="0083172F">
        <w:rPr>
          <w:sz w:val="28"/>
          <w:szCs w:val="28"/>
        </w:rPr>
        <w:t>eliminate obsolete and anticompetitive provisions that unreasonably restrict the dissemination of truthful advertising.</w:t>
      </w:r>
    </w:p>
    <w:p w14:paraId="4FE15776" w14:textId="3EF95189" w:rsidR="00E66DE6" w:rsidRDefault="00663FD9" w:rsidP="00A86AB5">
      <w:pPr>
        <w:spacing w:line="480" w:lineRule="auto"/>
        <w:jc w:val="both"/>
        <w:rPr>
          <w:sz w:val="28"/>
          <w:szCs w:val="28"/>
        </w:rPr>
      </w:pPr>
      <w:r w:rsidRPr="0083172F">
        <w:rPr>
          <w:sz w:val="28"/>
          <w:szCs w:val="28"/>
        </w:rPr>
        <w:tab/>
        <w:t xml:space="preserve">The most significant amendment, which goes beyond the 2018 ABA Model Rule amendments, would eliminate current ER 7.2(b)’s prohibition against giving </w:t>
      </w:r>
      <w:r w:rsidRPr="00A86AB5">
        <w:rPr>
          <w:iCs/>
          <w:sz w:val="28"/>
          <w:szCs w:val="28"/>
        </w:rPr>
        <w:t>anyone</w:t>
      </w:r>
      <w:r w:rsidRPr="0083172F">
        <w:rPr>
          <w:i/>
          <w:iCs/>
          <w:sz w:val="28"/>
          <w:szCs w:val="28"/>
        </w:rPr>
        <w:t xml:space="preserve"> </w:t>
      </w:r>
      <w:r w:rsidRPr="0083172F">
        <w:rPr>
          <w:sz w:val="28"/>
          <w:szCs w:val="28"/>
        </w:rPr>
        <w:t xml:space="preserve">anything of “value” for recommending a lawyer or referring a potential client to a lawyer.  </w:t>
      </w:r>
    </w:p>
    <w:p w14:paraId="7DB9BA13" w14:textId="77777777" w:rsidR="008F440C" w:rsidRDefault="008F440C" w:rsidP="00A86AB5">
      <w:pPr>
        <w:spacing w:line="480" w:lineRule="auto"/>
        <w:jc w:val="both"/>
        <w:rPr>
          <w:sz w:val="28"/>
          <w:szCs w:val="28"/>
        </w:rPr>
      </w:pPr>
    </w:p>
    <w:p w14:paraId="24D7FB66" w14:textId="112D5F52" w:rsidR="00A86AB5" w:rsidRDefault="00A86AB5" w:rsidP="00A86AB5">
      <w:pPr>
        <w:spacing w:line="480" w:lineRule="auto"/>
        <w:jc w:val="both"/>
        <w:rPr>
          <w:b/>
          <w:sz w:val="28"/>
          <w:szCs w:val="28"/>
        </w:rPr>
      </w:pPr>
      <w:r>
        <w:rPr>
          <w:b/>
          <w:sz w:val="28"/>
          <w:szCs w:val="28"/>
        </w:rPr>
        <w:t xml:space="preserve">II. </w:t>
      </w:r>
      <w:r w:rsidR="00B3265A">
        <w:rPr>
          <w:b/>
          <w:sz w:val="28"/>
          <w:szCs w:val="28"/>
        </w:rPr>
        <w:t xml:space="preserve">Sole </w:t>
      </w:r>
      <w:r>
        <w:rPr>
          <w:b/>
          <w:sz w:val="28"/>
          <w:szCs w:val="28"/>
        </w:rPr>
        <w:t>Comment to R-20-0030.</w:t>
      </w:r>
    </w:p>
    <w:p w14:paraId="2607696A" w14:textId="0C88A518" w:rsidR="00CC2E0A" w:rsidRDefault="00A86AB5" w:rsidP="00B3265A">
      <w:pPr>
        <w:spacing w:line="480" w:lineRule="auto"/>
        <w:jc w:val="both"/>
        <w:rPr>
          <w:iCs/>
          <w:sz w:val="28"/>
          <w:szCs w:val="28"/>
        </w:rPr>
      </w:pPr>
      <w:r>
        <w:rPr>
          <w:b/>
          <w:sz w:val="28"/>
          <w:szCs w:val="28"/>
        </w:rPr>
        <w:tab/>
      </w:r>
      <w:r w:rsidR="00B3265A" w:rsidRPr="00B3265A">
        <w:rPr>
          <w:iCs/>
          <w:sz w:val="28"/>
          <w:szCs w:val="28"/>
        </w:rPr>
        <w:t>At the close of the comment period, only one comment was filed</w:t>
      </w:r>
      <w:r w:rsidR="006471DC">
        <w:rPr>
          <w:iCs/>
          <w:sz w:val="28"/>
          <w:szCs w:val="28"/>
        </w:rPr>
        <w:t>, but the commenter’s concerns have been stated by others</w:t>
      </w:r>
      <w:r w:rsidR="00F9583B">
        <w:rPr>
          <w:iCs/>
          <w:sz w:val="28"/>
          <w:szCs w:val="28"/>
        </w:rPr>
        <w:t>; at least one comment to R-20-0034 notes a similar concern.</w:t>
      </w:r>
      <w:r w:rsidR="00B3265A" w:rsidRPr="00B3265A">
        <w:rPr>
          <w:iCs/>
          <w:sz w:val="28"/>
          <w:szCs w:val="28"/>
        </w:rPr>
        <w:t xml:space="preserve">  </w:t>
      </w:r>
      <w:r w:rsidR="006471DC">
        <w:rPr>
          <w:iCs/>
          <w:sz w:val="28"/>
          <w:szCs w:val="28"/>
        </w:rPr>
        <w:t>The filed</w:t>
      </w:r>
      <w:r w:rsidR="006471DC" w:rsidRPr="00B3265A">
        <w:rPr>
          <w:iCs/>
          <w:sz w:val="28"/>
          <w:szCs w:val="28"/>
        </w:rPr>
        <w:t xml:space="preserve"> </w:t>
      </w:r>
      <w:r w:rsidR="00B3265A" w:rsidRPr="00B3265A">
        <w:rPr>
          <w:iCs/>
          <w:sz w:val="28"/>
          <w:szCs w:val="28"/>
        </w:rPr>
        <w:t xml:space="preserve">comment </w:t>
      </w:r>
      <w:r w:rsidR="00B3265A">
        <w:rPr>
          <w:iCs/>
          <w:sz w:val="28"/>
          <w:szCs w:val="28"/>
        </w:rPr>
        <w:t xml:space="preserve">focused on the proposed </w:t>
      </w:r>
      <w:r w:rsidR="00627E61">
        <w:rPr>
          <w:iCs/>
          <w:sz w:val="28"/>
          <w:szCs w:val="28"/>
        </w:rPr>
        <w:t xml:space="preserve">elimination of </w:t>
      </w:r>
      <w:r w:rsidR="00B3265A">
        <w:rPr>
          <w:iCs/>
          <w:sz w:val="28"/>
          <w:szCs w:val="28"/>
        </w:rPr>
        <w:t xml:space="preserve"> ER 7.2(b) only. The author noted concern that l</w:t>
      </w:r>
      <w:r w:rsidR="00B3265A" w:rsidRPr="00B3265A">
        <w:rPr>
          <w:iCs/>
          <w:sz w:val="28"/>
          <w:szCs w:val="28"/>
        </w:rPr>
        <w:t xml:space="preserve">awyers will be able to give cash payments to clients and friends, among others, for client referrals. </w:t>
      </w:r>
      <w:r w:rsidR="006B2DD6">
        <w:rPr>
          <w:iCs/>
          <w:sz w:val="28"/>
          <w:szCs w:val="28"/>
        </w:rPr>
        <w:t>The comment also expressed apprehension that even though the amended Rules would still prohibit direct (in person) solicitation of prospective clients</w:t>
      </w:r>
      <w:r w:rsidR="00E7127B">
        <w:rPr>
          <w:iCs/>
          <w:sz w:val="28"/>
          <w:szCs w:val="28"/>
        </w:rPr>
        <w:t xml:space="preserve"> (including by others on the lawyer’s behalf)</w:t>
      </w:r>
      <w:r w:rsidR="006B2DD6">
        <w:rPr>
          <w:iCs/>
          <w:sz w:val="28"/>
          <w:szCs w:val="28"/>
        </w:rPr>
        <w:t xml:space="preserve">, </w:t>
      </w:r>
      <w:r w:rsidR="00E7127B">
        <w:rPr>
          <w:iCs/>
          <w:sz w:val="28"/>
          <w:szCs w:val="28"/>
        </w:rPr>
        <w:t>clients, friends, and family of a lawyer may still be motivated to solicit for the lawyer, knowing that they may be paid a referral fee.</w:t>
      </w:r>
      <w:r w:rsidR="00B3265A" w:rsidRPr="00B3265A">
        <w:rPr>
          <w:iCs/>
          <w:sz w:val="28"/>
          <w:szCs w:val="28"/>
        </w:rPr>
        <w:t xml:space="preserve"> </w:t>
      </w:r>
      <w:r w:rsidR="00B3265A">
        <w:rPr>
          <w:iCs/>
          <w:sz w:val="28"/>
          <w:szCs w:val="28"/>
        </w:rPr>
        <w:t xml:space="preserve">The author </w:t>
      </w:r>
      <w:r w:rsidR="00E7127B">
        <w:rPr>
          <w:iCs/>
          <w:sz w:val="28"/>
          <w:szCs w:val="28"/>
        </w:rPr>
        <w:t xml:space="preserve">of the sole comment to the Petition </w:t>
      </w:r>
      <w:r w:rsidR="00B3265A">
        <w:rPr>
          <w:iCs/>
          <w:sz w:val="28"/>
          <w:szCs w:val="28"/>
        </w:rPr>
        <w:t>urge</w:t>
      </w:r>
      <w:r w:rsidR="00F109A0">
        <w:rPr>
          <w:iCs/>
          <w:sz w:val="28"/>
          <w:szCs w:val="28"/>
        </w:rPr>
        <w:t>s</w:t>
      </w:r>
      <w:r w:rsidR="00B3265A">
        <w:rPr>
          <w:iCs/>
          <w:sz w:val="28"/>
          <w:szCs w:val="28"/>
        </w:rPr>
        <w:t xml:space="preserve"> that the rule be </w:t>
      </w:r>
      <w:r w:rsidR="00F109A0">
        <w:rPr>
          <w:iCs/>
          <w:sz w:val="28"/>
          <w:szCs w:val="28"/>
        </w:rPr>
        <w:t xml:space="preserve">revised </w:t>
      </w:r>
      <w:r w:rsidR="00B3265A">
        <w:rPr>
          <w:iCs/>
          <w:sz w:val="28"/>
          <w:szCs w:val="28"/>
        </w:rPr>
        <w:t xml:space="preserve">to permit only </w:t>
      </w:r>
      <w:r w:rsidR="00B3265A" w:rsidRPr="00B3265A">
        <w:rPr>
          <w:iCs/>
          <w:sz w:val="28"/>
          <w:szCs w:val="28"/>
        </w:rPr>
        <w:t xml:space="preserve">de minimis gifts (defined as the Court deems appropriate) to persons for recommending a lawyer’s services </w:t>
      </w:r>
      <w:r w:rsidR="00B3265A">
        <w:rPr>
          <w:iCs/>
          <w:sz w:val="28"/>
          <w:szCs w:val="28"/>
        </w:rPr>
        <w:t>to avoid opening “</w:t>
      </w:r>
      <w:r w:rsidR="00B3265A" w:rsidRPr="00B3265A">
        <w:rPr>
          <w:iCs/>
          <w:sz w:val="28"/>
          <w:szCs w:val="28"/>
        </w:rPr>
        <w:t>the floodgates to permit a lawyer to give anything of value to a person – no matter the value – for recommending his or her services.</w:t>
      </w:r>
      <w:r w:rsidR="00B3265A">
        <w:rPr>
          <w:iCs/>
          <w:sz w:val="28"/>
          <w:szCs w:val="28"/>
        </w:rPr>
        <w:t>”</w:t>
      </w:r>
      <w:r w:rsidR="00E7127B">
        <w:rPr>
          <w:iCs/>
          <w:sz w:val="28"/>
          <w:szCs w:val="28"/>
        </w:rPr>
        <w:t xml:space="preserve">  Note that current Comment [5] to Rule 7.2 already permits de </w:t>
      </w:r>
      <w:proofErr w:type="spellStart"/>
      <w:r w:rsidR="00E7127B">
        <w:rPr>
          <w:iCs/>
          <w:sz w:val="28"/>
          <w:szCs w:val="28"/>
        </w:rPr>
        <w:t>minimus</w:t>
      </w:r>
      <w:proofErr w:type="spellEnd"/>
      <w:r w:rsidR="00E7127B">
        <w:rPr>
          <w:iCs/>
          <w:sz w:val="28"/>
          <w:szCs w:val="28"/>
        </w:rPr>
        <w:t xml:space="preserve"> gifts that are not a </w:t>
      </w:r>
      <w:r w:rsidR="00E7127B">
        <w:rPr>
          <w:i/>
          <w:sz w:val="28"/>
          <w:szCs w:val="28"/>
        </w:rPr>
        <w:t xml:space="preserve">quid pro quo </w:t>
      </w:r>
      <w:r w:rsidR="00E7127B">
        <w:rPr>
          <w:iCs/>
          <w:sz w:val="28"/>
          <w:szCs w:val="28"/>
        </w:rPr>
        <w:t>for specific referrals.</w:t>
      </w:r>
    </w:p>
    <w:p w14:paraId="3074C8F1" w14:textId="7FAB2096" w:rsidR="00B3265A" w:rsidRPr="00CC2E0A" w:rsidRDefault="00CC2E0A" w:rsidP="006640FE">
      <w:pPr>
        <w:spacing w:after="160" w:line="259" w:lineRule="auto"/>
        <w:rPr>
          <w:b/>
          <w:iCs/>
          <w:sz w:val="28"/>
          <w:szCs w:val="28"/>
        </w:rPr>
      </w:pPr>
      <w:r>
        <w:rPr>
          <w:iCs/>
          <w:sz w:val="28"/>
          <w:szCs w:val="28"/>
        </w:rPr>
        <w:br w:type="page"/>
      </w:r>
      <w:r w:rsidR="00B3265A" w:rsidRPr="00CC2E0A">
        <w:rPr>
          <w:b/>
          <w:iCs/>
          <w:sz w:val="28"/>
          <w:szCs w:val="28"/>
        </w:rPr>
        <w:t xml:space="preserve">III. Reply and Recommended Revision. </w:t>
      </w:r>
    </w:p>
    <w:p w14:paraId="3AEE3FEC" w14:textId="382606B1" w:rsidR="00663FD9" w:rsidRPr="0083172F" w:rsidRDefault="00663FD9" w:rsidP="00663FD9">
      <w:pPr>
        <w:spacing w:after="120"/>
        <w:rPr>
          <w:b/>
          <w:i/>
          <w:sz w:val="28"/>
          <w:szCs w:val="28"/>
        </w:rPr>
      </w:pPr>
      <w:r w:rsidRPr="0083172F">
        <w:rPr>
          <w:b/>
          <w:i/>
          <w:sz w:val="28"/>
          <w:szCs w:val="28"/>
        </w:rPr>
        <w:t xml:space="preserve">ER 7.2   </w:t>
      </w:r>
    </w:p>
    <w:p w14:paraId="61170A03" w14:textId="19FEE292" w:rsidR="00663FD9" w:rsidRDefault="00663FD9" w:rsidP="00663FD9">
      <w:pPr>
        <w:spacing w:line="480" w:lineRule="auto"/>
        <w:jc w:val="both"/>
        <w:rPr>
          <w:sz w:val="28"/>
          <w:szCs w:val="28"/>
        </w:rPr>
      </w:pPr>
      <w:r w:rsidRPr="0083172F">
        <w:rPr>
          <w:sz w:val="28"/>
          <w:szCs w:val="28"/>
        </w:rPr>
        <w:tab/>
        <w:t xml:space="preserve">Current ER 7.2 sets forth specific rules concerning lawyer advertising.  The </w:t>
      </w:r>
      <w:r w:rsidR="00B3265A">
        <w:rPr>
          <w:sz w:val="28"/>
          <w:szCs w:val="28"/>
        </w:rPr>
        <w:t xml:space="preserve">petition recommends </w:t>
      </w:r>
      <w:r w:rsidRPr="0083172F">
        <w:rPr>
          <w:sz w:val="28"/>
          <w:szCs w:val="28"/>
        </w:rPr>
        <w:t xml:space="preserve">deleting </w:t>
      </w:r>
      <w:r w:rsidR="0018418C">
        <w:rPr>
          <w:sz w:val="28"/>
          <w:szCs w:val="28"/>
        </w:rPr>
        <w:t>this</w:t>
      </w:r>
      <w:r w:rsidRPr="0083172F">
        <w:rPr>
          <w:sz w:val="28"/>
          <w:szCs w:val="28"/>
        </w:rPr>
        <w:t xml:space="preserve"> rule and moving the substance of current ER 7.2(c) to new ER 7.1(c). </w:t>
      </w:r>
      <w:r w:rsidR="00627E61">
        <w:rPr>
          <w:sz w:val="28"/>
          <w:szCs w:val="28"/>
        </w:rPr>
        <w:t>Existing ER 7.2(b) would be eliminated entirely.</w:t>
      </w:r>
      <w:r w:rsidRPr="0083172F">
        <w:rPr>
          <w:sz w:val="28"/>
          <w:szCs w:val="28"/>
        </w:rPr>
        <w:t xml:space="preserve"> </w:t>
      </w:r>
    </w:p>
    <w:p w14:paraId="417AE071" w14:textId="044B46D2" w:rsidR="00D55B1A" w:rsidRDefault="00D55B1A" w:rsidP="00D55B1A">
      <w:pPr>
        <w:spacing w:line="480" w:lineRule="auto"/>
        <w:jc w:val="both"/>
        <w:rPr>
          <w:sz w:val="28"/>
          <w:szCs w:val="28"/>
        </w:rPr>
      </w:pPr>
      <w:r>
        <w:rPr>
          <w:bCs/>
          <w:sz w:val="28"/>
          <w:szCs w:val="28"/>
        </w:rPr>
        <w:tab/>
      </w:r>
      <w:r w:rsidRPr="00D55B1A">
        <w:rPr>
          <w:sz w:val="28"/>
          <w:szCs w:val="28"/>
        </w:rPr>
        <w:t xml:space="preserve">Two issues are intertwined in eliminating ER 7.2(b): participating in for-profit lawyer referral services and allowing lawyers to pay </w:t>
      </w:r>
      <w:r w:rsidR="006471DC">
        <w:rPr>
          <w:sz w:val="28"/>
          <w:szCs w:val="28"/>
        </w:rPr>
        <w:t xml:space="preserve">bare </w:t>
      </w:r>
      <w:r w:rsidRPr="00D55B1A">
        <w:rPr>
          <w:sz w:val="28"/>
          <w:szCs w:val="28"/>
        </w:rPr>
        <w:t>referral fees.</w:t>
      </w:r>
    </w:p>
    <w:p w14:paraId="5A433C2A" w14:textId="45359E9F" w:rsidR="006471DC" w:rsidRDefault="00D55B1A" w:rsidP="00D55B1A">
      <w:pPr>
        <w:spacing w:line="480" w:lineRule="auto"/>
        <w:jc w:val="both"/>
        <w:rPr>
          <w:sz w:val="28"/>
          <w:szCs w:val="28"/>
        </w:rPr>
      </w:pPr>
      <w:r>
        <w:rPr>
          <w:sz w:val="28"/>
          <w:szCs w:val="28"/>
        </w:rPr>
        <w:tab/>
      </w:r>
      <w:r w:rsidRPr="00D55B1A">
        <w:rPr>
          <w:sz w:val="28"/>
          <w:szCs w:val="28"/>
        </w:rPr>
        <w:t xml:space="preserve">Current </w:t>
      </w:r>
      <w:r w:rsidR="006471DC">
        <w:rPr>
          <w:sz w:val="28"/>
          <w:szCs w:val="28"/>
        </w:rPr>
        <w:t xml:space="preserve">ER </w:t>
      </w:r>
      <w:r w:rsidRPr="00D55B1A">
        <w:rPr>
          <w:sz w:val="28"/>
          <w:szCs w:val="28"/>
        </w:rPr>
        <w:t>7.2(b) prohibits giving anything of value for recommending a lawyer’s services, except that a lawyer may participate in a not-for-profit or qualified lawyer referral service. Because Arizona does</w:t>
      </w:r>
      <w:r w:rsidR="00E7127B">
        <w:rPr>
          <w:sz w:val="28"/>
          <w:szCs w:val="28"/>
        </w:rPr>
        <w:t xml:space="preserve"> </w:t>
      </w:r>
      <w:r w:rsidRPr="00D55B1A">
        <w:rPr>
          <w:sz w:val="28"/>
          <w:szCs w:val="28"/>
        </w:rPr>
        <w:t>n</w:t>
      </w:r>
      <w:r w:rsidR="00E7127B">
        <w:rPr>
          <w:sz w:val="28"/>
          <w:szCs w:val="28"/>
        </w:rPr>
        <w:t>o</w:t>
      </w:r>
      <w:r w:rsidRPr="00D55B1A">
        <w:rPr>
          <w:sz w:val="28"/>
          <w:szCs w:val="28"/>
        </w:rPr>
        <w:t xml:space="preserve">t have any mechanism for “qualifying” for-profit </w:t>
      </w:r>
      <w:r w:rsidR="00F109A0">
        <w:rPr>
          <w:sz w:val="28"/>
          <w:szCs w:val="28"/>
        </w:rPr>
        <w:t xml:space="preserve">lawyer referral </w:t>
      </w:r>
      <w:r w:rsidRPr="00D55B1A">
        <w:rPr>
          <w:sz w:val="28"/>
          <w:szCs w:val="28"/>
        </w:rPr>
        <w:t xml:space="preserve">services, </w:t>
      </w:r>
      <w:r w:rsidR="00F109A0">
        <w:rPr>
          <w:sz w:val="28"/>
          <w:szCs w:val="28"/>
        </w:rPr>
        <w:t xml:space="preserve">ER </w:t>
      </w:r>
      <w:r w:rsidRPr="00D55B1A">
        <w:rPr>
          <w:sz w:val="28"/>
          <w:szCs w:val="28"/>
        </w:rPr>
        <w:t>7.2(b) means a</w:t>
      </w:r>
      <w:r w:rsidR="006471DC">
        <w:rPr>
          <w:sz w:val="28"/>
          <w:szCs w:val="28"/>
        </w:rPr>
        <w:t>n Arizona</w:t>
      </w:r>
      <w:r w:rsidRPr="00D55B1A">
        <w:rPr>
          <w:sz w:val="28"/>
          <w:szCs w:val="28"/>
        </w:rPr>
        <w:t xml:space="preserve"> lawyer </w:t>
      </w:r>
      <w:r w:rsidR="006471DC">
        <w:rPr>
          <w:sz w:val="28"/>
          <w:szCs w:val="28"/>
        </w:rPr>
        <w:t>cannot</w:t>
      </w:r>
      <w:r w:rsidR="006471DC" w:rsidRPr="00D55B1A">
        <w:rPr>
          <w:sz w:val="28"/>
          <w:szCs w:val="28"/>
        </w:rPr>
        <w:t xml:space="preserve"> </w:t>
      </w:r>
      <w:r w:rsidRPr="00D55B1A">
        <w:rPr>
          <w:sz w:val="28"/>
          <w:szCs w:val="28"/>
        </w:rPr>
        <w:t>participate in a for-profit lawyer referral service</w:t>
      </w:r>
      <w:r w:rsidR="006471DC">
        <w:rPr>
          <w:sz w:val="28"/>
          <w:szCs w:val="28"/>
        </w:rPr>
        <w:t xml:space="preserve"> because no for-profit service</w:t>
      </w:r>
      <w:r w:rsidR="00E7127B">
        <w:rPr>
          <w:sz w:val="28"/>
          <w:szCs w:val="28"/>
        </w:rPr>
        <w:t>s</w:t>
      </w:r>
      <w:r w:rsidR="006471DC">
        <w:rPr>
          <w:sz w:val="28"/>
          <w:szCs w:val="28"/>
        </w:rPr>
        <w:t xml:space="preserve"> </w:t>
      </w:r>
      <w:r w:rsidR="00E7127B">
        <w:rPr>
          <w:sz w:val="28"/>
          <w:szCs w:val="28"/>
        </w:rPr>
        <w:t>have been</w:t>
      </w:r>
      <w:r w:rsidR="006471DC">
        <w:rPr>
          <w:sz w:val="28"/>
          <w:szCs w:val="28"/>
        </w:rPr>
        <w:t xml:space="preserve"> “qualified</w:t>
      </w:r>
      <w:r w:rsidRPr="00D55B1A">
        <w:rPr>
          <w:sz w:val="28"/>
          <w:szCs w:val="28"/>
        </w:rPr>
        <w:t>.</w:t>
      </w:r>
      <w:r w:rsidR="006471DC">
        <w:rPr>
          <w:sz w:val="28"/>
          <w:szCs w:val="28"/>
        </w:rPr>
        <w:t>”</w:t>
      </w:r>
      <w:r>
        <w:rPr>
          <w:sz w:val="28"/>
          <w:szCs w:val="28"/>
        </w:rPr>
        <w:t xml:space="preserve"> </w:t>
      </w:r>
      <w:r w:rsidR="00E7127B">
        <w:rPr>
          <w:sz w:val="28"/>
          <w:szCs w:val="28"/>
        </w:rPr>
        <w:t xml:space="preserve">  Nevertheless, many online marketing platforms that send potential client leads to lawyers exist, even though they technically violate this Rule by requiring marketing payments per lead.</w:t>
      </w:r>
    </w:p>
    <w:p w14:paraId="2EAB3730" w14:textId="7C5290F2" w:rsidR="00E7127B" w:rsidRDefault="00E7127B" w:rsidP="00D55B1A">
      <w:pPr>
        <w:spacing w:line="480" w:lineRule="auto"/>
        <w:jc w:val="both"/>
        <w:rPr>
          <w:sz w:val="28"/>
          <w:szCs w:val="28"/>
        </w:rPr>
      </w:pPr>
      <w:r>
        <w:rPr>
          <w:sz w:val="28"/>
          <w:szCs w:val="28"/>
        </w:rPr>
        <w:tab/>
        <w:t>Current Comment [6] to ER 7.2 explains what constitutes a “referral service”:</w:t>
      </w:r>
    </w:p>
    <w:p w14:paraId="068F8A4E" w14:textId="75357EA0" w:rsidR="00E7127B" w:rsidRDefault="00E7127B" w:rsidP="00F9583B">
      <w:pPr>
        <w:ind w:left="720" w:right="720"/>
        <w:jc w:val="both"/>
        <w:rPr>
          <w:sz w:val="28"/>
        </w:rPr>
      </w:pPr>
      <w:r w:rsidRPr="00F9583B">
        <w:rPr>
          <w:sz w:val="28"/>
        </w:rPr>
        <w:t>[. . .] A lawyer referral service, on the other hand, is any organization in which a person or entity receives requests for lawyer services, and allocates such requests to a particular lawyer or lawyers or that holds itself out to the public as a lawyer referral service. Such referral services are understood by the public to be consumer-oriented organizations that provide unbiased referrals to lawyers with appropriate experience in the subject matter of the representation and afford other client protections, such as complaint procedures or malpractice insurance requirements. Consequently, this ER only permits a lawyer to pay the usual charges of a not-for-profit or qualified lawyer referral service. A qualified lawyer referral service is one that is approved by an appropriate regulatory authority, such as the State Bar of Arizona, as affording adequate protections for the public.</w:t>
      </w:r>
    </w:p>
    <w:p w14:paraId="2047B383" w14:textId="77777777" w:rsidR="00F9583B" w:rsidRDefault="00F9583B" w:rsidP="00F9583B">
      <w:pPr>
        <w:ind w:left="720" w:right="720"/>
        <w:jc w:val="both"/>
        <w:rPr>
          <w:sz w:val="28"/>
          <w:szCs w:val="28"/>
        </w:rPr>
      </w:pPr>
    </w:p>
    <w:p w14:paraId="3F65E00E" w14:textId="79BE7071" w:rsidR="007C491E" w:rsidRDefault="00E7127B" w:rsidP="006471DC">
      <w:pPr>
        <w:spacing w:line="480" w:lineRule="auto"/>
        <w:ind w:firstLine="720"/>
        <w:jc w:val="both"/>
        <w:rPr>
          <w:sz w:val="28"/>
          <w:szCs w:val="28"/>
        </w:rPr>
      </w:pPr>
      <w:r>
        <w:rPr>
          <w:sz w:val="28"/>
          <w:szCs w:val="28"/>
        </w:rPr>
        <w:t>Thus, under the current Rule, any payment by a lawyer per lead sent to the lawyer would violate</w:t>
      </w:r>
      <w:r w:rsidR="007C491E">
        <w:rPr>
          <w:sz w:val="28"/>
          <w:szCs w:val="28"/>
        </w:rPr>
        <w:t xml:space="preserve"> Rule 7.2(b), unless the website/person/entity is a non-profit service.  There is no evidence, however, either that consumers actually believe all “referral services” are “consumer-oriented organizations” or that paying per referral lead will cause significant consumer harm.  </w:t>
      </w:r>
    </w:p>
    <w:p w14:paraId="66D192D0" w14:textId="020861DC" w:rsidR="00D55B1A" w:rsidRDefault="006471DC" w:rsidP="006471DC">
      <w:pPr>
        <w:spacing w:line="480" w:lineRule="auto"/>
        <w:ind w:firstLine="720"/>
        <w:jc w:val="both"/>
        <w:rPr>
          <w:sz w:val="28"/>
          <w:szCs w:val="28"/>
        </w:rPr>
      </w:pPr>
      <w:r>
        <w:rPr>
          <w:sz w:val="28"/>
          <w:szCs w:val="28"/>
        </w:rPr>
        <w:t xml:space="preserve">The </w:t>
      </w:r>
      <w:r w:rsidR="00E7127B">
        <w:rPr>
          <w:sz w:val="28"/>
          <w:szCs w:val="28"/>
        </w:rPr>
        <w:t>R</w:t>
      </w:r>
      <w:r>
        <w:rPr>
          <w:sz w:val="28"/>
          <w:szCs w:val="28"/>
        </w:rPr>
        <w:t xml:space="preserve">ule </w:t>
      </w:r>
      <w:r w:rsidR="00D55B1A" w:rsidRPr="00D55B1A">
        <w:rPr>
          <w:sz w:val="28"/>
          <w:szCs w:val="28"/>
        </w:rPr>
        <w:t>also means that Arizona lawyers may not pay pure referral fees</w:t>
      </w:r>
      <w:r>
        <w:rPr>
          <w:sz w:val="28"/>
          <w:szCs w:val="28"/>
        </w:rPr>
        <w:t xml:space="preserve"> to others – lawyers or non-lawyers – who refer cases to them</w:t>
      </w:r>
      <w:r w:rsidR="00D55B1A" w:rsidRPr="00D55B1A">
        <w:rPr>
          <w:sz w:val="28"/>
          <w:szCs w:val="28"/>
        </w:rPr>
        <w:t xml:space="preserve">. </w:t>
      </w:r>
      <w:r w:rsidR="007C491E">
        <w:rPr>
          <w:sz w:val="28"/>
          <w:szCs w:val="28"/>
        </w:rPr>
        <w:t xml:space="preserve">  This means that a law firm is prohibited from giving a nonlawyer employee of the firm any bonus or payment for referring a friend or family member, giving gifts in excess of $100 to any referral source, such as doctors, realtors, bankers, or even paying another lawyer for referring a client to the firm (which currently is permitted in several other states), unless the payment complies with ER 1.5(e).</w:t>
      </w:r>
    </w:p>
    <w:p w14:paraId="22664007" w14:textId="268F025D" w:rsidR="006471DC" w:rsidRDefault="00FD6008" w:rsidP="00F9583B">
      <w:pPr>
        <w:spacing w:line="480" w:lineRule="auto"/>
        <w:ind w:firstLine="720"/>
        <w:jc w:val="both"/>
        <w:rPr>
          <w:sz w:val="28"/>
          <w:szCs w:val="28"/>
        </w:rPr>
      </w:pPr>
      <w:r>
        <w:rPr>
          <w:sz w:val="28"/>
          <w:szCs w:val="28"/>
        </w:rPr>
        <w:t>Under that rule, a lawyer who refers a case to another lawyer may be compensated on</w:t>
      </w:r>
      <w:r w:rsidR="0031574F">
        <w:rPr>
          <w:sz w:val="28"/>
          <w:szCs w:val="28"/>
        </w:rPr>
        <w:t>l</w:t>
      </w:r>
      <w:r>
        <w:rPr>
          <w:sz w:val="28"/>
          <w:szCs w:val="28"/>
        </w:rPr>
        <w:t xml:space="preserve">y by performing work on the case or by accepting joint responsibility for the case. </w:t>
      </w:r>
    </w:p>
    <w:p w14:paraId="5458CD29" w14:textId="68EE8B18" w:rsidR="00D55B1A" w:rsidRDefault="00D55B1A" w:rsidP="00D55B1A">
      <w:pPr>
        <w:spacing w:line="480" w:lineRule="auto"/>
        <w:jc w:val="both"/>
        <w:rPr>
          <w:sz w:val="28"/>
          <w:szCs w:val="28"/>
        </w:rPr>
      </w:pPr>
      <w:r>
        <w:rPr>
          <w:sz w:val="28"/>
          <w:szCs w:val="28"/>
        </w:rPr>
        <w:tab/>
      </w:r>
      <w:r w:rsidRPr="00D55B1A">
        <w:rPr>
          <w:sz w:val="28"/>
          <w:szCs w:val="28"/>
        </w:rPr>
        <w:t xml:space="preserve">Eliminating </w:t>
      </w:r>
      <w:r w:rsidR="00F109A0">
        <w:rPr>
          <w:sz w:val="28"/>
          <w:szCs w:val="28"/>
        </w:rPr>
        <w:t xml:space="preserve">ER </w:t>
      </w:r>
      <w:r w:rsidRPr="00D55B1A">
        <w:rPr>
          <w:sz w:val="28"/>
          <w:szCs w:val="28"/>
        </w:rPr>
        <w:t>7.2(b) would allow Arizona lawyers to participate in for-profit lawyer referral services. But</w:t>
      </w:r>
      <w:r>
        <w:rPr>
          <w:sz w:val="28"/>
          <w:szCs w:val="28"/>
        </w:rPr>
        <w:t xml:space="preserve">, as the commenter noted, </w:t>
      </w:r>
      <w:r w:rsidRPr="00D55B1A">
        <w:rPr>
          <w:sz w:val="28"/>
          <w:szCs w:val="28"/>
        </w:rPr>
        <w:t xml:space="preserve">it also would mean that a law firm could send pricey thank-you gifts to clients who refer business to the law firm </w:t>
      </w:r>
      <w:proofErr w:type="gramStart"/>
      <w:r w:rsidRPr="00D55B1A">
        <w:rPr>
          <w:sz w:val="28"/>
          <w:szCs w:val="28"/>
        </w:rPr>
        <w:t>and also</w:t>
      </w:r>
      <w:proofErr w:type="gramEnd"/>
      <w:r w:rsidRPr="00D55B1A">
        <w:rPr>
          <w:sz w:val="28"/>
          <w:szCs w:val="28"/>
        </w:rPr>
        <w:t xml:space="preserve"> </w:t>
      </w:r>
      <w:r w:rsidR="00CC2E0A">
        <w:rPr>
          <w:sz w:val="28"/>
          <w:szCs w:val="28"/>
        </w:rPr>
        <w:t xml:space="preserve">lawyers </w:t>
      </w:r>
      <w:r w:rsidRPr="00D55B1A">
        <w:rPr>
          <w:sz w:val="28"/>
          <w:szCs w:val="28"/>
        </w:rPr>
        <w:t xml:space="preserve">could accept pricey thank-you gifts from other lawyers to whom the firm referred potential clients. In addition, </w:t>
      </w:r>
      <w:r>
        <w:rPr>
          <w:sz w:val="28"/>
          <w:szCs w:val="28"/>
        </w:rPr>
        <w:t>eliminating</w:t>
      </w:r>
      <w:r w:rsidRPr="00D55B1A">
        <w:rPr>
          <w:sz w:val="28"/>
          <w:szCs w:val="28"/>
        </w:rPr>
        <w:t xml:space="preserve"> </w:t>
      </w:r>
      <w:r w:rsidR="00F109A0">
        <w:rPr>
          <w:sz w:val="28"/>
          <w:szCs w:val="28"/>
        </w:rPr>
        <w:t xml:space="preserve">ER </w:t>
      </w:r>
      <w:r w:rsidRPr="00D55B1A">
        <w:rPr>
          <w:sz w:val="28"/>
          <w:szCs w:val="28"/>
        </w:rPr>
        <w:t xml:space="preserve">7.2(b) also </w:t>
      </w:r>
      <w:r w:rsidR="00FD6008">
        <w:rPr>
          <w:sz w:val="28"/>
          <w:szCs w:val="28"/>
        </w:rPr>
        <w:t xml:space="preserve">would </w:t>
      </w:r>
      <w:r w:rsidRPr="00D55B1A">
        <w:rPr>
          <w:sz w:val="28"/>
          <w:szCs w:val="28"/>
        </w:rPr>
        <w:t>mean</w:t>
      </w:r>
      <w:r w:rsidR="00FD6008">
        <w:rPr>
          <w:sz w:val="28"/>
          <w:szCs w:val="28"/>
        </w:rPr>
        <w:t xml:space="preserve"> </w:t>
      </w:r>
      <w:r w:rsidRPr="00D55B1A">
        <w:rPr>
          <w:sz w:val="28"/>
          <w:szCs w:val="28"/>
        </w:rPr>
        <w:t xml:space="preserve">that if Lawyer 1 refers a client to Lawyer 2 (in a different firm), Lawyer 2 could pay Lawyer 1 a referral fee and the two lawyers </w:t>
      </w:r>
      <w:r w:rsidR="00FD6008">
        <w:rPr>
          <w:sz w:val="28"/>
          <w:szCs w:val="28"/>
        </w:rPr>
        <w:t>would</w:t>
      </w:r>
      <w:r w:rsidR="00FD6008" w:rsidRPr="00D55B1A">
        <w:rPr>
          <w:sz w:val="28"/>
          <w:szCs w:val="28"/>
        </w:rPr>
        <w:t xml:space="preserve"> </w:t>
      </w:r>
      <w:r w:rsidRPr="00D55B1A">
        <w:rPr>
          <w:sz w:val="28"/>
          <w:szCs w:val="28"/>
        </w:rPr>
        <w:t>have no reason to enter into a</w:t>
      </w:r>
      <w:r w:rsidR="00F109A0">
        <w:rPr>
          <w:sz w:val="28"/>
          <w:szCs w:val="28"/>
        </w:rPr>
        <w:t>n</w:t>
      </w:r>
      <w:r w:rsidRPr="00D55B1A">
        <w:rPr>
          <w:sz w:val="28"/>
          <w:szCs w:val="28"/>
        </w:rPr>
        <w:t xml:space="preserve"> </w:t>
      </w:r>
      <w:r w:rsidR="00F109A0">
        <w:rPr>
          <w:sz w:val="28"/>
          <w:szCs w:val="28"/>
        </w:rPr>
        <w:t xml:space="preserve">ER </w:t>
      </w:r>
      <w:r w:rsidRPr="00D55B1A">
        <w:rPr>
          <w:sz w:val="28"/>
          <w:szCs w:val="28"/>
        </w:rPr>
        <w:t xml:space="preserve">1.5(e) fee-sharing arrangement because Lawyer 1 is </w:t>
      </w:r>
      <w:r w:rsidR="00F109A0">
        <w:rPr>
          <w:sz w:val="28"/>
          <w:szCs w:val="28"/>
        </w:rPr>
        <w:t>being compensated</w:t>
      </w:r>
      <w:r w:rsidRPr="00D55B1A">
        <w:rPr>
          <w:sz w:val="28"/>
          <w:szCs w:val="28"/>
        </w:rPr>
        <w:t xml:space="preserve"> without providing any legal services or taking responsibility for the legal matter.</w:t>
      </w:r>
      <w:r>
        <w:rPr>
          <w:sz w:val="28"/>
          <w:szCs w:val="28"/>
        </w:rPr>
        <w:t xml:space="preserve"> </w:t>
      </w:r>
    </w:p>
    <w:p w14:paraId="5E6B69FA" w14:textId="192507C4" w:rsidR="00D55B1A" w:rsidRPr="00D55B1A" w:rsidRDefault="00D55B1A" w:rsidP="00D55B1A">
      <w:pPr>
        <w:spacing w:line="480" w:lineRule="auto"/>
        <w:jc w:val="both"/>
        <w:rPr>
          <w:sz w:val="28"/>
          <w:szCs w:val="28"/>
        </w:rPr>
      </w:pPr>
      <w:r>
        <w:rPr>
          <w:sz w:val="28"/>
          <w:szCs w:val="28"/>
        </w:rPr>
        <w:tab/>
        <w:t xml:space="preserve">The Task Force discussed these scenarios and determined that </w:t>
      </w:r>
      <w:r w:rsidRPr="00D55B1A">
        <w:rPr>
          <w:sz w:val="28"/>
          <w:szCs w:val="28"/>
        </w:rPr>
        <w:t xml:space="preserve">although paying referral fees to lawyers (and others) </w:t>
      </w:r>
      <w:r w:rsidR="00F109A0">
        <w:rPr>
          <w:sz w:val="28"/>
          <w:szCs w:val="28"/>
        </w:rPr>
        <w:t>will</w:t>
      </w:r>
      <w:r w:rsidRPr="00D55B1A">
        <w:rPr>
          <w:sz w:val="28"/>
          <w:szCs w:val="28"/>
        </w:rPr>
        <w:t xml:space="preserve"> be a cultural shift for Arizona lawyers, other states have permitted straight referral fees (to other lawyers) for years. Moreover, lawyers already give cash payments to clients, friends, family, and employees – usually phrasing it as something else.  The Task Force acknowledged that clients, friends, family, or employees </w:t>
      </w:r>
      <w:r w:rsidR="00F109A0">
        <w:rPr>
          <w:sz w:val="28"/>
          <w:szCs w:val="28"/>
        </w:rPr>
        <w:t>may</w:t>
      </w:r>
      <w:r w:rsidR="00F109A0" w:rsidRPr="00D55B1A">
        <w:rPr>
          <w:sz w:val="28"/>
          <w:szCs w:val="28"/>
        </w:rPr>
        <w:t xml:space="preserve"> </w:t>
      </w:r>
      <w:r w:rsidRPr="00D55B1A">
        <w:rPr>
          <w:sz w:val="28"/>
          <w:szCs w:val="28"/>
        </w:rPr>
        <w:t xml:space="preserve">send leads to a firm just to get a payment – but it will (still) be up to lawyers to decide who they represent.  </w:t>
      </w:r>
      <w:r w:rsidR="00FD6008">
        <w:rPr>
          <w:sz w:val="28"/>
          <w:szCs w:val="28"/>
        </w:rPr>
        <w:t xml:space="preserve">The Task Force did not believe that this would </w:t>
      </w:r>
      <w:r w:rsidRPr="00D55B1A">
        <w:rPr>
          <w:sz w:val="28"/>
          <w:szCs w:val="28"/>
        </w:rPr>
        <w:t xml:space="preserve">create actual consumer harm, especially </w:t>
      </w:r>
      <w:r w:rsidR="00FD6008">
        <w:rPr>
          <w:sz w:val="28"/>
          <w:szCs w:val="28"/>
        </w:rPr>
        <w:t>considering that</w:t>
      </w:r>
      <w:r w:rsidR="00FD6008" w:rsidRPr="00D55B1A">
        <w:rPr>
          <w:sz w:val="28"/>
          <w:szCs w:val="28"/>
        </w:rPr>
        <w:t xml:space="preserve"> </w:t>
      </w:r>
      <w:r w:rsidRPr="00D55B1A">
        <w:rPr>
          <w:sz w:val="28"/>
          <w:szCs w:val="28"/>
        </w:rPr>
        <w:t>lawyers do it now but have to disguise it</w:t>
      </w:r>
      <w:r w:rsidR="004478AF">
        <w:rPr>
          <w:sz w:val="28"/>
          <w:szCs w:val="28"/>
        </w:rPr>
        <w:t xml:space="preserve"> and there is no discipline case history of actual significant consumer harm</w:t>
      </w:r>
      <w:r w:rsidR="00FD6008">
        <w:rPr>
          <w:sz w:val="28"/>
          <w:szCs w:val="28"/>
        </w:rPr>
        <w:t>.</w:t>
      </w:r>
      <w:r w:rsidRPr="00D55B1A">
        <w:rPr>
          <w:sz w:val="28"/>
          <w:szCs w:val="28"/>
        </w:rPr>
        <w:t> </w:t>
      </w:r>
    </w:p>
    <w:p w14:paraId="427B2949" w14:textId="3CA7ABFE" w:rsidR="009F5903" w:rsidRDefault="00D55B1A" w:rsidP="00D55B1A">
      <w:pPr>
        <w:spacing w:line="480" w:lineRule="auto"/>
        <w:jc w:val="both"/>
        <w:rPr>
          <w:sz w:val="28"/>
          <w:szCs w:val="28"/>
        </w:rPr>
      </w:pPr>
      <w:r w:rsidRPr="00D55B1A">
        <w:rPr>
          <w:sz w:val="28"/>
          <w:szCs w:val="28"/>
        </w:rPr>
        <w:t> </w:t>
      </w:r>
      <w:r>
        <w:rPr>
          <w:sz w:val="28"/>
          <w:szCs w:val="28"/>
        </w:rPr>
        <w:tab/>
      </w:r>
      <w:r w:rsidR="005D39E5">
        <w:rPr>
          <w:sz w:val="28"/>
          <w:szCs w:val="28"/>
        </w:rPr>
        <w:t>O</w:t>
      </w:r>
      <w:r w:rsidRPr="00D55B1A">
        <w:rPr>
          <w:sz w:val="28"/>
          <w:szCs w:val="28"/>
        </w:rPr>
        <w:t xml:space="preserve">ne </w:t>
      </w:r>
      <w:r w:rsidR="004478AF">
        <w:rPr>
          <w:sz w:val="28"/>
          <w:szCs w:val="28"/>
        </w:rPr>
        <w:t>alternative</w:t>
      </w:r>
      <w:r>
        <w:rPr>
          <w:sz w:val="28"/>
          <w:szCs w:val="28"/>
        </w:rPr>
        <w:t xml:space="preserve"> to the concerns </w:t>
      </w:r>
      <w:r w:rsidR="00FD6008">
        <w:rPr>
          <w:sz w:val="28"/>
          <w:szCs w:val="28"/>
        </w:rPr>
        <w:t xml:space="preserve">that </w:t>
      </w:r>
      <w:r w:rsidR="00627E61">
        <w:rPr>
          <w:sz w:val="28"/>
          <w:szCs w:val="28"/>
        </w:rPr>
        <w:t>eliminating ER 7.2(b)</w:t>
      </w:r>
      <w:r w:rsidR="00FD6008">
        <w:rPr>
          <w:sz w:val="28"/>
          <w:szCs w:val="28"/>
        </w:rPr>
        <w:t xml:space="preserve"> would open the door to consumer harm </w:t>
      </w:r>
      <w:r w:rsidRPr="00D55B1A">
        <w:rPr>
          <w:sz w:val="28"/>
          <w:szCs w:val="28"/>
        </w:rPr>
        <w:t xml:space="preserve">would be to revise the rule-change proposal to </w:t>
      </w:r>
      <w:r w:rsidR="00627E61">
        <w:rPr>
          <w:sz w:val="28"/>
          <w:szCs w:val="28"/>
        </w:rPr>
        <w:t>include</w:t>
      </w:r>
      <w:r w:rsidRPr="00D55B1A">
        <w:rPr>
          <w:sz w:val="28"/>
          <w:szCs w:val="28"/>
        </w:rPr>
        <w:t xml:space="preserve"> </w:t>
      </w:r>
      <w:r w:rsidR="006471DC">
        <w:rPr>
          <w:sz w:val="28"/>
          <w:szCs w:val="28"/>
        </w:rPr>
        <w:t xml:space="preserve">a customized version of </w:t>
      </w:r>
      <w:r w:rsidRPr="00D55B1A">
        <w:rPr>
          <w:sz w:val="28"/>
          <w:szCs w:val="28"/>
        </w:rPr>
        <w:t>ABA Model Rule 7.2(b)</w:t>
      </w:r>
      <w:r w:rsidR="004478AF">
        <w:rPr>
          <w:sz w:val="28"/>
          <w:szCs w:val="28"/>
        </w:rPr>
        <w:t xml:space="preserve"> that would only permit payments to referral services, certain gifts, and payments to other lawyers</w:t>
      </w:r>
      <w:r w:rsidR="009F5903">
        <w:rPr>
          <w:sz w:val="28"/>
          <w:szCs w:val="28"/>
        </w:rPr>
        <w:t>.</w:t>
      </w:r>
    </w:p>
    <w:p w14:paraId="7DACC6B4" w14:textId="4D43EB2E" w:rsidR="0031574F" w:rsidRDefault="00627E61" w:rsidP="00D55B1A">
      <w:pPr>
        <w:spacing w:line="480" w:lineRule="auto"/>
        <w:jc w:val="both"/>
        <w:rPr>
          <w:sz w:val="28"/>
          <w:szCs w:val="28"/>
        </w:rPr>
      </w:pPr>
      <w:r>
        <w:rPr>
          <w:sz w:val="28"/>
          <w:szCs w:val="28"/>
        </w:rPr>
        <w:tab/>
      </w:r>
      <w:r w:rsidR="006471DC">
        <w:rPr>
          <w:sz w:val="28"/>
          <w:szCs w:val="28"/>
        </w:rPr>
        <w:t xml:space="preserve">The Rule </w:t>
      </w:r>
      <w:r w:rsidR="004478AF">
        <w:rPr>
          <w:sz w:val="28"/>
          <w:szCs w:val="28"/>
        </w:rPr>
        <w:t>c</w:t>
      </w:r>
      <w:r w:rsidR="006471DC">
        <w:rPr>
          <w:sz w:val="28"/>
          <w:szCs w:val="28"/>
        </w:rPr>
        <w:t xml:space="preserve">ould be </w:t>
      </w:r>
      <w:r w:rsidR="00FD6008">
        <w:rPr>
          <w:sz w:val="28"/>
          <w:szCs w:val="28"/>
        </w:rPr>
        <w:t>customized</w:t>
      </w:r>
      <w:r w:rsidR="006471DC">
        <w:rPr>
          <w:sz w:val="28"/>
          <w:szCs w:val="28"/>
        </w:rPr>
        <w:t xml:space="preserve"> to</w:t>
      </w:r>
      <w:r w:rsidR="00F9583B">
        <w:rPr>
          <w:sz w:val="28"/>
          <w:szCs w:val="28"/>
        </w:rPr>
        <w:t xml:space="preserve"> </w:t>
      </w:r>
      <w:r w:rsidR="00D55B1A">
        <w:rPr>
          <w:sz w:val="28"/>
          <w:szCs w:val="28"/>
        </w:rPr>
        <w:t>allow</w:t>
      </w:r>
      <w:r w:rsidR="00F9583B">
        <w:rPr>
          <w:sz w:val="28"/>
          <w:szCs w:val="28"/>
        </w:rPr>
        <w:t xml:space="preserve"> </w:t>
      </w:r>
      <w:r w:rsidR="00D55B1A" w:rsidRPr="00D55B1A">
        <w:rPr>
          <w:sz w:val="28"/>
          <w:szCs w:val="28"/>
        </w:rPr>
        <w:t xml:space="preserve">lawyers </w:t>
      </w:r>
      <w:r w:rsidR="00D55B1A">
        <w:rPr>
          <w:sz w:val="28"/>
          <w:szCs w:val="28"/>
        </w:rPr>
        <w:t>to</w:t>
      </w:r>
      <w:r w:rsidR="00D55B1A" w:rsidRPr="00D55B1A">
        <w:rPr>
          <w:sz w:val="28"/>
          <w:szCs w:val="28"/>
        </w:rPr>
        <w:t xml:space="preserve"> participate in for-profit referral </w:t>
      </w:r>
      <w:r w:rsidR="00F9583B" w:rsidRPr="00D55B1A">
        <w:rPr>
          <w:sz w:val="28"/>
          <w:szCs w:val="28"/>
        </w:rPr>
        <w:t>services</w:t>
      </w:r>
      <w:r w:rsidR="00F9583B">
        <w:rPr>
          <w:sz w:val="28"/>
          <w:szCs w:val="28"/>
        </w:rPr>
        <w:t xml:space="preserve"> but</w:t>
      </w:r>
      <w:r w:rsidR="00FD6008">
        <w:rPr>
          <w:sz w:val="28"/>
          <w:szCs w:val="28"/>
        </w:rPr>
        <w:t xml:space="preserve"> would eliminate the requirement that for-profit referral services be “qualified.” Some of the existing language in</w:t>
      </w:r>
      <w:r w:rsidR="006471DC">
        <w:rPr>
          <w:sz w:val="28"/>
          <w:szCs w:val="28"/>
        </w:rPr>
        <w:t xml:space="preserve"> ER 7.2(b)(2) </w:t>
      </w:r>
      <w:r w:rsidR="00397171">
        <w:rPr>
          <w:sz w:val="28"/>
          <w:szCs w:val="28"/>
        </w:rPr>
        <w:t xml:space="preserve">that deals with </w:t>
      </w:r>
      <w:r w:rsidR="004478AF">
        <w:rPr>
          <w:sz w:val="28"/>
          <w:szCs w:val="28"/>
        </w:rPr>
        <w:t xml:space="preserve">the </w:t>
      </w:r>
      <w:r w:rsidR="00397171">
        <w:rPr>
          <w:sz w:val="28"/>
          <w:szCs w:val="28"/>
        </w:rPr>
        <w:t xml:space="preserve">percentage </w:t>
      </w:r>
      <w:r w:rsidR="004478AF">
        <w:rPr>
          <w:sz w:val="28"/>
          <w:szCs w:val="28"/>
        </w:rPr>
        <w:t xml:space="preserve">of </w:t>
      </w:r>
      <w:r w:rsidR="00397171">
        <w:rPr>
          <w:sz w:val="28"/>
          <w:szCs w:val="28"/>
        </w:rPr>
        <w:t xml:space="preserve">fees </w:t>
      </w:r>
      <w:r w:rsidR="004478AF">
        <w:rPr>
          <w:sz w:val="28"/>
          <w:szCs w:val="28"/>
        </w:rPr>
        <w:t xml:space="preserve">that may be </w:t>
      </w:r>
      <w:r w:rsidR="00397171">
        <w:rPr>
          <w:sz w:val="28"/>
          <w:szCs w:val="28"/>
        </w:rPr>
        <w:t xml:space="preserve">paid to </w:t>
      </w:r>
      <w:r w:rsidR="004478AF">
        <w:rPr>
          <w:sz w:val="28"/>
          <w:szCs w:val="28"/>
        </w:rPr>
        <w:t xml:space="preserve">a </w:t>
      </w:r>
      <w:r w:rsidR="00397171">
        <w:rPr>
          <w:sz w:val="28"/>
          <w:szCs w:val="28"/>
        </w:rPr>
        <w:t>referral organization</w:t>
      </w:r>
      <w:r w:rsidR="00FD6008">
        <w:rPr>
          <w:sz w:val="28"/>
          <w:szCs w:val="28"/>
        </w:rPr>
        <w:t xml:space="preserve"> </w:t>
      </w:r>
      <w:r w:rsidR="004478AF">
        <w:rPr>
          <w:sz w:val="28"/>
          <w:szCs w:val="28"/>
        </w:rPr>
        <w:t>c</w:t>
      </w:r>
      <w:r w:rsidR="00FD6008">
        <w:rPr>
          <w:sz w:val="28"/>
          <w:szCs w:val="28"/>
        </w:rPr>
        <w:t>ould be added</w:t>
      </w:r>
      <w:r w:rsidR="0031574F">
        <w:rPr>
          <w:sz w:val="28"/>
          <w:szCs w:val="28"/>
        </w:rPr>
        <w:t>. The rest of the existing custom language would not be necessary because for-profit lawyer referral services would be allowed.</w:t>
      </w:r>
    </w:p>
    <w:p w14:paraId="09EEE9A5" w14:textId="1273BA31" w:rsidR="00FD6008" w:rsidRDefault="00FD6008" w:rsidP="00D55B1A">
      <w:pPr>
        <w:spacing w:line="480" w:lineRule="auto"/>
        <w:jc w:val="both"/>
        <w:rPr>
          <w:sz w:val="28"/>
          <w:szCs w:val="28"/>
        </w:rPr>
      </w:pPr>
      <w:r>
        <w:rPr>
          <w:sz w:val="28"/>
          <w:szCs w:val="28"/>
        </w:rPr>
        <w:tab/>
        <w:t xml:space="preserve">Adopting </w:t>
      </w:r>
      <w:r w:rsidR="004478AF">
        <w:rPr>
          <w:sz w:val="28"/>
          <w:szCs w:val="28"/>
        </w:rPr>
        <w:t>a modified</w:t>
      </w:r>
      <w:r>
        <w:rPr>
          <w:sz w:val="28"/>
          <w:szCs w:val="28"/>
        </w:rPr>
        <w:t xml:space="preserve"> Rule also would mean that Arizona </w:t>
      </w:r>
      <w:r w:rsidR="004478AF">
        <w:rPr>
          <w:sz w:val="28"/>
          <w:szCs w:val="28"/>
        </w:rPr>
        <w:t>c</w:t>
      </w:r>
      <w:r>
        <w:rPr>
          <w:sz w:val="28"/>
          <w:szCs w:val="28"/>
        </w:rPr>
        <w:t xml:space="preserve">ould adopt </w:t>
      </w:r>
      <w:r w:rsidR="004478AF">
        <w:rPr>
          <w:sz w:val="28"/>
          <w:szCs w:val="28"/>
        </w:rPr>
        <w:t xml:space="preserve">a provision </w:t>
      </w:r>
      <w:proofErr w:type="gramStart"/>
      <w:r w:rsidR="004478AF">
        <w:rPr>
          <w:sz w:val="28"/>
          <w:szCs w:val="28"/>
        </w:rPr>
        <w:t>similar to</w:t>
      </w:r>
      <w:proofErr w:type="gramEnd"/>
      <w:r w:rsidR="004478AF">
        <w:rPr>
          <w:sz w:val="28"/>
          <w:szCs w:val="28"/>
        </w:rPr>
        <w:t xml:space="preserve"> the ABA Model Rule</w:t>
      </w:r>
      <w:r>
        <w:rPr>
          <w:sz w:val="28"/>
          <w:szCs w:val="28"/>
        </w:rPr>
        <w:t xml:space="preserve"> 7.2(b)(4), which allows lawyers to refer clients to other lawyers and professionals under a non-exclusive, reciprocal referral arrangement. This provision simply </w:t>
      </w:r>
      <w:r w:rsidR="0031574F">
        <w:rPr>
          <w:sz w:val="28"/>
          <w:szCs w:val="28"/>
        </w:rPr>
        <w:t>memorializes what lawyers already are allowed to do – refer clients to other professionals, as long as the client is informed and no conflict results.</w:t>
      </w:r>
      <w:r w:rsidR="004478AF">
        <w:rPr>
          <w:sz w:val="28"/>
          <w:szCs w:val="28"/>
        </w:rPr>
        <w:t xml:space="preserve">  Several states already have provisions similar to Model Rule 7.2(b)(4)’s non-exclusive referral arrangement provision.</w:t>
      </w:r>
    </w:p>
    <w:p w14:paraId="32464D25" w14:textId="0CFD16BB" w:rsidR="0031574F" w:rsidRPr="00F9583B" w:rsidRDefault="0031574F" w:rsidP="0031574F">
      <w:pPr>
        <w:spacing w:line="480" w:lineRule="auto"/>
        <w:jc w:val="both"/>
        <w:rPr>
          <w:rFonts w:eastAsiaTheme="minorHAnsi"/>
          <w:sz w:val="28"/>
          <w:szCs w:val="28"/>
        </w:rPr>
      </w:pPr>
      <w:r w:rsidRPr="0031574F">
        <w:rPr>
          <w:sz w:val="28"/>
          <w:szCs w:val="28"/>
        </w:rPr>
        <w:tab/>
        <w:t xml:space="preserve">Finally, adopting </w:t>
      </w:r>
      <w:r w:rsidR="004478AF">
        <w:rPr>
          <w:sz w:val="28"/>
          <w:szCs w:val="28"/>
        </w:rPr>
        <w:t>a modified</w:t>
      </w:r>
      <w:r w:rsidRPr="0031574F">
        <w:rPr>
          <w:sz w:val="28"/>
          <w:szCs w:val="28"/>
        </w:rPr>
        <w:t xml:space="preserve"> Rule</w:t>
      </w:r>
      <w:r w:rsidR="004478AF">
        <w:rPr>
          <w:sz w:val="28"/>
          <w:szCs w:val="28"/>
        </w:rPr>
        <w:t xml:space="preserve"> 7.2(b) </w:t>
      </w:r>
      <w:r w:rsidRPr="0031574F">
        <w:rPr>
          <w:sz w:val="28"/>
          <w:szCs w:val="28"/>
        </w:rPr>
        <w:t xml:space="preserve">also would codify the language currently in </w:t>
      </w:r>
      <w:r w:rsidR="004478AF">
        <w:rPr>
          <w:sz w:val="28"/>
          <w:szCs w:val="28"/>
        </w:rPr>
        <w:t>C</w:t>
      </w:r>
      <w:r w:rsidRPr="0031574F">
        <w:rPr>
          <w:sz w:val="28"/>
          <w:szCs w:val="28"/>
        </w:rPr>
        <w:t xml:space="preserve">omment </w:t>
      </w:r>
      <w:r w:rsidR="004478AF">
        <w:rPr>
          <w:sz w:val="28"/>
          <w:szCs w:val="28"/>
        </w:rPr>
        <w:t xml:space="preserve">[5] </w:t>
      </w:r>
      <w:r w:rsidRPr="0031574F">
        <w:rPr>
          <w:sz w:val="28"/>
          <w:szCs w:val="28"/>
        </w:rPr>
        <w:t xml:space="preserve">that lawyers may give de minimis gifts that are not compensation for referring a </w:t>
      </w:r>
      <w:proofErr w:type="gramStart"/>
      <w:r w:rsidRPr="0031574F">
        <w:rPr>
          <w:sz w:val="28"/>
          <w:szCs w:val="28"/>
        </w:rPr>
        <w:t>particular client</w:t>
      </w:r>
      <w:proofErr w:type="gramEnd"/>
      <w:r w:rsidRPr="0031574F">
        <w:rPr>
          <w:sz w:val="28"/>
          <w:szCs w:val="28"/>
        </w:rPr>
        <w:t xml:space="preserve">. As the comment to the ABA Model Rule explains, MR 7.2(b)(5) allows a token gift, “as might be given for </w:t>
      </w:r>
      <w:r w:rsidRPr="00F9583B">
        <w:rPr>
          <w:rFonts w:eastAsiaTheme="minorHAnsi"/>
          <w:sz w:val="28"/>
          <w:szCs w:val="28"/>
        </w:rPr>
        <w:t xml:space="preserve"> holidays, or other ordinary social hospitality” and would be prohibited “if offered or given in consideration of any promise, agreement or understanding that such a gift would be forthcoming or that referrals would be made or encouraged in the future.” In short, adding MR 7.2(b)(5)</w:t>
      </w:r>
      <w:r w:rsidR="004478AF">
        <w:rPr>
          <w:rFonts w:eastAsiaTheme="minorHAnsi"/>
          <w:sz w:val="28"/>
          <w:szCs w:val="28"/>
        </w:rPr>
        <w:t xml:space="preserve">, rather than just having the gift language in the Comment </w:t>
      </w:r>
      <w:r w:rsidRPr="00F9583B">
        <w:rPr>
          <w:rFonts w:eastAsiaTheme="minorHAnsi"/>
          <w:sz w:val="28"/>
          <w:szCs w:val="28"/>
        </w:rPr>
        <w:t>would simply make clear that lawyers may do what any businessperson does – provide tokens of appreciation – without fear that doing so is viewed not as advertising or business cultivation but as referral compensation.</w:t>
      </w:r>
    </w:p>
    <w:p w14:paraId="3E31B105" w14:textId="7202AC3F" w:rsidR="009F5903" w:rsidRDefault="009F5903" w:rsidP="009F5903">
      <w:pPr>
        <w:spacing w:line="480" w:lineRule="auto"/>
        <w:ind w:firstLine="720"/>
        <w:jc w:val="both"/>
        <w:rPr>
          <w:sz w:val="28"/>
          <w:szCs w:val="28"/>
        </w:rPr>
      </w:pPr>
      <w:r>
        <w:rPr>
          <w:sz w:val="28"/>
          <w:szCs w:val="28"/>
        </w:rPr>
        <w:t>The rule change as originally proposed would eliminate all of ER 7.2. If the Court is inclined to keep a version of the ban on referral fees (currently in ER 7.2(b)), it could be retained as a standalone provision of ER 7.2.</w:t>
      </w:r>
    </w:p>
    <w:p w14:paraId="7D7D4C58" w14:textId="77777777" w:rsidR="00F9583B" w:rsidRDefault="0031574F" w:rsidP="00F9583B">
      <w:pPr>
        <w:ind w:left="720"/>
        <w:jc w:val="both"/>
        <w:rPr>
          <w:sz w:val="28"/>
          <w:szCs w:val="28"/>
        </w:rPr>
      </w:pPr>
      <w:r>
        <w:rPr>
          <w:sz w:val="28"/>
          <w:szCs w:val="28"/>
        </w:rPr>
        <w:t xml:space="preserve">Applying the above, </w:t>
      </w:r>
      <w:r w:rsidR="005D39E5">
        <w:rPr>
          <w:sz w:val="28"/>
          <w:szCs w:val="28"/>
        </w:rPr>
        <w:t>Arizona ER 7.2 would then read:</w:t>
      </w:r>
    </w:p>
    <w:p w14:paraId="1356042F" w14:textId="77777777" w:rsidR="00F9583B" w:rsidRDefault="00F9583B">
      <w:pPr>
        <w:ind w:left="1440"/>
        <w:jc w:val="both"/>
        <w:rPr>
          <w:bCs/>
          <w:sz w:val="28"/>
          <w:szCs w:val="28"/>
        </w:rPr>
      </w:pPr>
    </w:p>
    <w:p w14:paraId="12881A5F" w14:textId="4AE6CD12" w:rsidR="005D39E5" w:rsidRPr="005D39E5" w:rsidRDefault="005D39E5" w:rsidP="006640FE">
      <w:pPr>
        <w:ind w:left="720" w:right="720"/>
        <w:jc w:val="both"/>
        <w:rPr>
          <w:sz w:val="28"/>
          <w:szCs w:val="28"/>
        </w:rPr>
      </w:pPr>
      <w:r w:rsidRPr="005D39E5">
        <w:rPr>
          <w:bCs/>
          <w:sz w:val="28"/>
          <w:szCs w:val="28"/>
        </w:rPr>
        <w:t xml:space="preserve">A lawyer shall not </w:t>
      </w:r>
      <w:r w:rsidRPr="00F9583B">
        <w:rPr>
          <w:bCs/>
          <w:sz w:val="28"/>
          <w:szCs w:val="28"/>
          <w:u w:val="single"/>
        </w:rPr>
        <w:t xml:space="preserve">compensate, </w:t>
      </w:r>
      <w:r w:rsidRPr="005D39E5">
        <w:rPr>
          <w:bCs/>
          <w:sz w:val="28"/>
          <w:szCs w:val="28"/>
        </w:rPr>
        <w:t xml:space="preserve">give </w:t>
      </w:r>
      <w:r w:rsidRPr="00F9583B">
        <w:rPr>
          <w:bCs/>
          <w:sz w:val="28"/>
          <w:szCs w:val="28"/>
          <w:u w:val="single"/>
        </w:rPr>
        <w:t>or promise</w:t>
      </w:r>
      <w:r w:rsidRPr="005D39E5">
        <w:rPr>
          <w:bCs/>
          <w:sz w:val="28"/>
          <w:szCs w:val="28"/>
        </w:rPr>
        <w:t xml:space="preserve"> anything of value to a person for recommending the lawyer’s services except that a lawyer may: </w:t>
      </w:r>
    </w:p>
    <w:p w14:paraId="0A686C7B" w14:textId="08BA3967" w:rsidR="005D39E5" w:rsidRPr="00CC2E0A" w:rsidRDefault="005D39E5" w:rsidP="006640FE">
      <w:pPr>
        <w:ind w:left="720" w:right="720"/>
        <w:jc w:val="both"/>
        <w:rPr>
          <w:sz w:val="28"/>
          <w:szCs w:val="28"/>
        </w:rPr>
      </w:pPr>
      <w:r w:rsidRPr="00F9583B">
        <w:rPr>
          <w:bCs/>
          <w:sz w:val="28"/>
          <w:szCs w:val="28"/>
        </w:rPr>
        <w:t>(1) pay the reasonable costs of advertisements or communications permitted by this Rule;</w:t>
      </w:r>
    </w:p>
    <w:p w14:paraId="6D662E35" w14:textId="30302BBE" w:rsidR="005D39E5" w:rsidRPr="00F9583B" w:rsidRDefault="005D39E5" w:rsidP="006640FE">
      <w:pPr>
        <w:ind w:left="720" w:right="720" w:firstLine="720"/>
        <w:jc w:val="both"/>
        <w:rPr>
          <w:sz w:val="28"/>
          <w:szCs w:val="28"/>
        </w:rPr>
      </w:pPr>
      <w:r w:rsidRPr="00CC2E0A">
        <w:rPr>
          <w:bCs/>
          <w:sz w:val="28"/>
          <w:szCs w:val="28"/>
        </w:rPr>
        <w:t xml:space="preserve">(2) pay the usual charges of a legal service plan or a </w:t>
      </w:r>
      <w:r w:rsidRPr="00CC2E0A">
        <w:rPr>
          <w:bCs/>
          <w:strike/>
          <w:sz w:val="28"/>
          <w:szCs w:val="28"/>
        </w:rPr>
        <w:t>not-for-profit or qualified</w:t>
      </w:r>
      <w:r w:rsidRPr="00CC2E0A">
        <w:rPr>
          <w:bCs/>
          <w:sz w:val="28"/>
          <w:szCs w:val="28"/>
        </w:rPr>
        <w:t xml:space="preserve"> lawyer referral service; </w:t>
      </w:r>
      <w:r w:rsidR="00397171" w:rsidRPr="00CC2E0A">
        <w:rPr>
          <w:rFonts w:eastAsiaTheme="minorHAnsi"/>
          <w:color w:val="212121"/>
          <w:sz w:val="28"/>
          <w:szCs w:val="28"/>
        </w:rPr>
        <w:t xml:space="preserve">which may include, in addition to any membership fee, a fee calculated as a percentage of legal fees earned by the lawyer to whom the service or organization has referred a matter, provided that any such percentage fee shall not exceed ten </w:t>
      </w:r>
      <w:proofErr w:type="spellStart"/>
      <w:r w:rsidR="00397171" w:rsidRPr="00CC2E0A">
        <w:rPr>
          <w:rFonts w:eastAsiaTheme="minorHAnsi"/>
          <w:color w:val="212121"/>
          <w:sz w:val="28"/>
          <w:szCs w:val="28"/>
        </w:rPr>
        <w:t>percent.</w:t>
      </w:r>
      <w:r w:rsidR="00397171" w:rsidRPr="00CC2E0A">
        <w:rPr>
          <w:rFonts w:eastAsiaTheme="minorHAnsi"/>
          <w:strike/>
          <w:color w:val="212121"/>
          <w:sz w:val="28"/>
          <w:szCs w:val="28"/>
        </w:rPr>
        <w:t>and</w:t>
      </w:r>
      <w:proofErr w:type="spellEnd"/>
      <w:r w:rsidR="00397171" w:rsidRPr="00CC2E0A">
        <w:rPr>
          <w:rFonts w:eastAsiaTheme="minorHAnsi"/>
          <w:strike/>
          <w:color w:val="212121"/>
          <w:sz w:val="28"/>
          <w:szCs w:val="28"/>
        </w:rPr>
        <w:t xml:space="preserve"> shall be used only to help defray the reasonable operating expenses of the service or organization and to fund public service activities, including the delivery of pro bono legal services.</w:t>
      </w:r>
      <w:r w:rsidR="00397171" w:rsidRPr="00CC2E0A">
        <w:rPr>
          <w:rFonts w:eastAsiaTheme="minorHAnsi"/>
          <w:color w:val="212121"/>
          <w:sz w:val="28"/>
          <w:szCs w:val="28"/>
        </w:rPr>
        <w:t xml:space="preserve"> The fees paid by a client referred by such service shall not exceed the total charges that the client would have paid had no such service been involved;</w:t>
      </w:r>
      <w:r w:rsidRPr="00F9583B">
        <w:rPr>
          <w:bCs/>
          <w:sz w:val="28"/>
          <w:szCs w:val="28"/>
        </w:rPr>
        <w:t xml:space="preserve">(3) pay for a law practice in accordance with </w:t>
      </w:r>
      <w:r w:rsidR="00397171" w:rsidRPr="00F9583B">
        <w:rPr>
          <w:bCs/>
          <w:sz w:val="28"/>
          <w:szCs w:val="28"/>
        </w:rPr>
        <w:t xml:space="preserve">ER </w:t>
      </w:r>
      <w:r w:rsidRPr="00F9583B">
        <w:rPr>
          <w:bCs/>
          <w:sz w:val="28"/>
          <w:szCs w:val="28"/>
        </w:rPr>
        <w:t>1.17; </w:t>
      </w:r>
    </w:p>
    <w:p w14:paraId="0407A9EF" w14:textId="77777777" w:rsidR="005D39E5" w:rsidRPr="00CC2E0A" w:rsidRDefault="005D39E5" w:rsidP="006640FE">
      <w:pPr>
        <w:ind w:left="720" w:right="720"/>
        <w:jc w:val="both"/>
        <w:rPr>
          <w:sz w:val="28"/>
          <w:szCs w:val="28"/>
          <w:u w:val="single"/>
        </w:rPr>
      </w:pPr>
      <w:r w:rsidRPr="00CC2E0A">
        <w:rPr>
          <w:bCs/>
          <w:sz w:val="28"/>
          <w:szCs w:val="28"/>
          <w:u w:val="single"/>
        </w:rPr>
        <w:t>(4) refer clients to another lawyer or a nonlawyer professional pursuant to an agreement not otherwise prohibited under these Rules that provides for the other person to refer clients or customers to the lawyer, if: </w:t>
      </w:r>
    </w:p>
    <w:p w14:paraId="350EE0E9" w14:textId="77777777" w:rsidR="005D39E5" w:rsidRPr="00CC2E0A" w:rsidRDefault="005D39E5" w:rsidP="006640FE">
      <w:pPr>
        <w:ind w:left="720" w:right="720"/>
        <w:jc w:val="both"/>
        <w:rPr>
          <w:sz w:val="28"/>
          <w:szCs w:val="28"/>
          <w:u w:val="single"/>
        </w:rPr>
      </w:pPr>
      <w:r w:rsidRPr="00CC2E0A">
        <w:rPr>
          <w:bCs/>
          <w:sz w:val="28"/>
          <w:szCs w:val="28"/>
          <w:u w:val="single"/>
        </w:rPr>
        <w:t>(i) the reciprocal referral agreement is not exclusive; and </w:t>
      </w:r>
    </w:p>
    <w:p w14:paraId="16D70F22" w14:textId="77777777" w:rsidR="005D39E5" w:rsidRPr="00CC2E0A" w:rsidRDefault="005D39E5" w:rsidP="006640FE">
      <w:pPr>
        <w:ind w:left="720" w:right="720"/>
        <w:jc w:val="both"/>
        <w:rPr>
          <w:sz w:val="28"/>
          <w:szCs w:val="28"/>
          <w:u w:val="single"/>
        </w:rPr>
      </w:pPr>
      <w:r w:rsidRPr="00CC2E0A">
        <w:rPr>
          <w:bCs/>
          <w:sz w:val="28"/>
          <w:szCs w:val="28"/>
          <w:u w:val="single"/>
        </w:rPr>
        <w:t>(ii) the client is informed of the existence and nature of the agreement; and </w:t>
      </w:r>
    </w:p>
    <w:p w14:paraId="536C3F93" w14:textId="60929077" w:rsidR="005D39E5" w:rsidRPr="00F9583B" w:rsidRDefault="005D39E5" w:rsidP="006640FE">
      <w:pPr>
        <w:ind w:left="720" w:right="720"/>
        <w:jc w:val="both"/>
        <w:rPr>
          <w:bCs/>
          <w:sz w:val="28"/>
          <w:szCs w:val="28"/>
          <w:u w:val="single"/>
        </w:rPr>
      </w:pPr>
      <w:r w:rsidRPr="00F9583B">
        <w:rPr>
          <w:bCs/>
          <w:sz w:val="28"/>
          <w:szCs w:val="28"/>
          <w:u w:val="single"/>
        </w:rPr>
        <w:t>(5) give nominal gifts as an expression of appreciation that are neither intended nor reasonably expected to be a form of compensation for recommending a lawyer’s services</w:t>
      </w:r>
      <w:r w:rsidR="00D3077E" w:rsidRPr="00F9583B">
        <w:rPr>
          <w:bCs/>
          <w:sz w:val="28"/>
          <w:szCs w:val="28"/>
          <w:u w:val="single"/>
        </w:rPr>
        <w:t>.</w:t>
      </w:r>
    </w:p>
    <w:p w14:paraId="71BD183E" w14:textId="1062176C" w:rsidR="00D3077E" w:rsidRDefault="00D3077E" w:rsidP="005D39E5">
      <w:pPr>
        <w:jc w:val="both"/>
        <w:rPr>
          <w:sz w:val="28"/>
          <w:szCs w:val="28"/>
        </w:rPr>
      </w:pPr>
    </w:p>
    <w:p w14:paraId="0FFB0D6B" w14:textId="60ED2D81" w:rsidR="001F4BC4" w:rsidRDefault="005D39E5" w:rsidP="00D55B1A">
      <w:pPr>
        <w:spacing w:line="480" w:lineRule="auto"/>
        <w:jc w:val="both"/>
        <w:rPr>
          <w:sz w:val="28"/>
          <w:szCs w:val="28"/>
        </w:rPr>
      </w:pPr>
      <w:r>
        <w:rPr>
          <w:sz w:val="28"/>
          <w:szCs w:val="28"/>
        </w:rPr>
        <w:tab/>
      </w:r>
      <w:r w:rsidR="001F4BC4">
        <w:rPr>
          <w:sz w:val="28"/>
          <w:szCs w:val="28"/>
        </w:rPr>
        <w:t xml:space="preserve">A second alternative would be to adopt language similar to the District of Columbia’s </w:t>
      </w:r>
      <w:r w:rsidR="001F4BC4" w:rsidRPr="001F4BC4">
        <w:rPr>
          <w:sz w:val="28"/>
          <w:szCs w:val="28"/>
        </w:rPr>
        <w:t>Rule 7.1(c) that permits payments to referral services but not general payments for recommending a lawyer</w:t>
      </w:r>
      <w:r w:rsidR="001F4BC4">
        <w:rPr>
          <w:sz w:val="28"/>
          <w:szCs w:val="28"/>
        </w:rPr>
        <w:t xml:space="preserve">.  </w:t>
      </w:r>
      <w:r w:rsidR="00640797">
        <w:rPr>
          <w:sz w:val="28"/>
          <w:szCs w:val="28"/>
        </w:rPr>
        <w:t>The District of Columbia Rule provides:</w:t>
      </w:r>
    </w:p>
    <w:p w14:paraId="7EA265FC" w14:textId="430AD2FE" w:rsidR="0074593A" w:rsidRDefault="0074593A" w:rsidP="00F9583B">
      <w:pPr>
        <w:ind w:left="720"/>
        <w:rPr>
          <w:sz w:val="28"/>
          <w:szCs w:val="28"/>
        </w:rPr>
      </w:pPr>
      <w:r w:rsidRPr="0074593A">
        <w:rPr>
          <w:sz w:val="28"/>
          <w:szCs w:val="28"/>
        </w:rPr>
        <w:t>(c) A lawyer shall not pay money or give anything of material value to a person (other than the lawyer's partner or employee) in exchange for recommending the lawyer's services except that a lawyer may:</w:t>
      </w:r>
      <w:r w:rsidRPr="0074593A">
        <w:rPr>
          <w:sz w:val="28"/>
          <w:szCs w:val="28"/>
        </w:rPr>
        <w:br/>
        <w:t>     (1) Pay the reasonable costs of advertisements or communications permitted by this Rule;</w:t>
      </w:r>
      <w:r w:rsidRPr="0074593A">
        <w:rPr>
          <w:sz w:val="28"/>
          <w:szCs w:val="28"/>
        </w:rPr>
        <w:br/>
        <w:t>     (2) Pay the usual and reasonable fees or dues charged by a legal service plan or a lawyer referral service;</w:t>
      </w:r>
      <w:r w:rsidRPr="0074593A">
        <w:rPr>
          <w:sz w:val="28"/>
          <w:szCs w:val="28"/>
        </w:rPr>
        <w:br/>
        <w:t>     (3) Pay for a law practice in accordance with Rule 1.17;and</w:t>
      </w:r>
      <w:r w:rsidRPr="0074593A">
        <w:rPr>
          <w:sz w:val="28"/>
          <w:szCs w:val="28"/>
        </w:rPr>
        <w:br/>
        <w:t>     (4) Refer clients to another lawyer or nonlawyer professional pursuant to an agreement not otherwise prohibited under these Rules that provides for the other person to refer clients or customers to the lawyer, if:</w:t>
      </w:r>
      <w:r w:rsidRPr="0074593A">
        <w:rPr>
          <w:sz w:val="28"/>
          <w:szCs w:val="28"/>
        </w:rPr>
        <w:br/>
        <w:t>          (A) The reciprocal agreement is not exclusive, and</w:t>
      </w:r>
      <w:r w:rsidRPr="0074593A">
        <w:rPr>
          <w:sz w:val="28"/>
          <w:szCs w:val="28"/>
        </w:rPr>
        <w:br/>
        <w:t>          (B) The client</w:t>
      </w:r>
      <w:r>
        <w:t xml:space="preserve"> </w:t>
      </w:r>
      <w:r w:rsidRPr="0074593A">
        <w:rPr>
          <w:sz w:val="28"/>
          <w:szCs w:val="28"/>
        </w:rPr>
        <w:t>is informed of the existence and nature of the agreement.</w:t>
      </w:r>
    </w:p>
    <w:p w14:paraId="114D323E" w14:textId="77777777" w:rsidR="00CC2E0A" w:rsidRPr="0074593A" w:rsidRDefault="00CC2E0A" w:rsidP="00F9583B">
      <w:pPr>
        <w:ind w:left="720"/>
        <w:rPr>
          <w:sz w:val="28"/>
          <w:szCs w:val="28"/>
        </w:rPr>
      </w:pPr>
    </w:p>
    <w:p w14:paraId="4601D89E" w14:textId="360F4D8E" w:rsidR="00D55B1A" w:rsidRDefault="001F4BC4" w:rsidP="00D55B1A">
      <w:pPr>
        <w:spacing w:line="480" w:lineRule="auto"/>
        <w:jc w:val="both"/>
        <w:rPr>
          <w:sz w:val="28"/>
          <w:szCs w:val="28"/>
        </w:rPr>
      </w:pPr>
      <w:r>
        <w:rPr>
          <w:sz w:val="28"/>
          <w:szCs w:val="28"/>
        </w:rPr>
        <w:tab/>
      </w:r>
      <w:r w:rsidR="00D3077E">
        <w:rPr>
          <w:sz w:val="28"/>
          <w:szCs w:val="28"/>
        </w:rPr>
        <w:t>However, P</w:t>
      </w:r>
      <w:r>
        <w:rPr>
          <w:sz w:val="28"/>
          <w:szCs w:val="28"/>
        </w:rPr>
        <w:t>etition</w:t>
      </w:r>
      <w:r w:rsidR="00D3077E">
        <w:rPr>
          <w:sz w:val="28"/>
          <w:szCs w:val="28"/>
        </w:rPr>
        <w:t>er</w:t>
      </w:r>
      <w:r>
        <w:rPr>
          <w:sz w:val="28"/>
          <w:szCs w:val="28"/>
        </w:rPr>
        <w:t xml:space="preserve"> continues to </w:t>
      </w:r>
      <w:r w:rsidR="00D3077E">
        <w:rPr>
          <w:sz w:val="28"/>
          <w:szCs w:val="28"/>
        </w:rPr>
        <w:t xml:space="preserve">move the Court to adopt the </w:t>
      </w:r>
      <w:r>
        <w:rPr>
          <w:sz w:val="28"/>
          <w:szCs w:val="28"/>
        </w:rPr>
        <w:t>proposal as drafted by the Task Force</w:t>
      </w:r>
      <w:r w:rsidR="00D3077E">
        <w:rPr>
          <w:sz w:val="28"/>
          <w:szCs w:val="28"/>
        </w:rPr>
        <w:t xml:space="preserve"> and submitted in the petition</w:t>
      </w:r>
      <w:r>
        <w:rPr>
          <w:sz w:val="28"/>
          <w:szCs w:val="28"/>
        </w:rPr>
        <w:t>. The Task Force determined that c</w:t>
      </w:r>
      <w:r w:rsidR="00D55B1A" w:rsidRPr="0083172F">
        <w:rPr>
          <w:sz w:val="28"/>
          <w:szCs w:val="28"/>
        </w:rPr>
        <w:t>onsumer protection afforded by current ER 7.2 can be provided by less non-competitive provisions.  For instance, the rules on conflicts of interest, including ERs 1.7, 1.8, and 1.10, protect clients/consumers because they restrict a lawyer’s (and firm’s) representation of a client if the lawyer’s own interests could “materially limit” the lawyer’s independent professional judgment in representing the client.  Thus, a lawyer cannot be “forced” to represent a client simply because the</w:t>
      </w:r>
      <w:r w:rsidR="00D55B1A">
        <w:rPr>
          <w:sz w:val="28"/>
          <w:szCs w:val="28"/>
        </w:rPr>
        <w:t xml:space="preserve"> client</w:t>
      </w:r>
      <w:r w:rsidR="00D55B1A" w:rsidRPr="0083172F">
        <w:rPr>
          <w:sz w:val="28"/>
          <w:szCs w:val="28"/>
        </w:rPr>
        <w:t xml:space="preserve"> </w:t>
      </w:r>
      <w:r w:rsidR="00D55B1A">
        <w:rPr>
          <w:sz w:val="28"/>
          <w:szCs w:val="28"/>
        </w:rPr>
        <w:t>was</w:t>
      </w:r>
      <w:r w:rsidR="00D55B1A" w:rsidRPr="0083172F">
        <w:rPr>
          <w:sz w:val="28"/>
          <w:szCs w:val="28"/>
        </w:rPr>
        <w:t xml:space="preserve"> referred by someone who</w:t>
      </w:r>
      <w:r w:rsidR="00D55B1A">
        <w:rPr>
          <w:sz w:val="28"/>
          <w:szCs w:val="28"/>
        </w:rPr>
        <w:t>m</w:t>
      </w:r>
      <w:r w:rsidR="00D55B1A" w:rsidRPr="0083172F">
        <w:rPr>
          <w:sz w:val="28"/>
          <w:szCs w:val="28"/>
        </w:rPr>
        <w:t xml:space="preserve"> the lawyer pays as a referral source.  The conflict of interest rules control who and how a lawyer may represent a client, and such representations must be free of any conflict that could materially limit the lawyer’s objectivity.  </w:t>
      </w:r>
      <w:r w:rsidR="00D55B1A">
        <w:rPr>
          <w:sz w:val="28"/>
          <w:szCs w:val="28"/>
        </w:rPr>
        <w:t>Additionally,</w:t>
      </w:r>
      <w:r w:rsidR="00D55B1A" w:rsidRPr="0083172F">
        <w:rPr>
          <w:sz w:val="28"/>
          <w:szCs w:val="28"/>
        </w:rPr>
        <w:t xml:space="preserve"> disclosures revealing that a lawyer will pay referral fees sufficiently informs consumers about the referral system.  Such disclosures may be required to comply with ER 7.1’s “false and misleading” standard to assure that adequate information is conveyed to website visitors or referral sources about the fact that the site is not a nonprofit</w:t>
      </w:r>
      <w:r w:rsidR="00D55B1A" w:rsidRPr="0083172F">
        <w:rPr>
          <w:i/>
          <w:iCs/>
          <w:sz w:val="28"/>
          <w:szCs w:val="28"/>
        </w:rPr>
        <w:t xml:space="preserve"> </w:t>
      </w:r>
      <w:r w:rsidR="00D55B1A" w:rsidRPr="0083172F">
        <w:rPr>
          <w:sz w:val="28"/>
          <w:szCs w:val="28"/>
        </w:rPr>
        <w:t>operation.</w:t>
      </w:r>
    </w:p>
    <w:p w14:paraId="18AE8961" w14:textId="77777777" w:rsidR="00CC2E0A" w:rsidRDefault="00640797" w:rsidP="004E4CED">
      <w:pPr>
        <w:spacing w:line="480" w:lineRule="auto"/>
        <w:jc w:val="both"/>
        <w:rPr>
          <w:sz w:val="28"/>
          <w:szCs w:val="28"/>
        </w:rPr>
      </w:pPr>
      <w:r>
        <w:rPr>
          <w:sz w:val="28"/>
          <w:szCs w:val="28"/>
        </w:rPr>
        <w:tab/>
        <w:t>Existing Rule 7.2(b)</w:t>
      </w:r>
      <w:r w:rsidR="00E309AA">
        <w:rPr>
          <w:sz w:val="28"/>
          <w:szCs w:val="28"/>
        </w:rPr>
        <w:t xml:space="preserve"> unreasonably restricts lawyers’ ability to provide accurate information to the public about the availability of legal services by prohibiting lawyers from using legitimate online marketing platforms that charge a fee for each referral.  If the alleged concern is that the referral service (or friends or colleagues referring clients to a lawyer) will force a lawyer to take a client the lawyer is not competent to represent, that very same concern would exist for nonprofit referral services, which lawyers currently </w:t>
      </w:r>
      <w:r w:rsidR="00E309AA">
        <w:rPr>
          <w:i/>
          <w:iCs/>
          <w:sz w:val="28"/>
          <w:szCs w:val="28"/>
        </w:rPr>
        <w:t xml:space="preserve">can pay </w:t>
      </w:r>
      <w:r w:rsidR="00E309AA">
        <w:rPr>
          <w:sz w:val="28"/>
          <w:szCs w:val="28"/>
        </w:rPr>
        <w:t xml:space="preserve">for referrals.  However, there is no indication that lawyers who pay a referral fee to a nonprofit referral service take on clients for which they are not competent to handle.  The existing Rule’s restrictions are outdated and an unreasonable restraint on lawyers that is not necessary to protect the public.  </w:t>
      </w:r>
    </w:p>
    <w:p w14:paraId="2D3DD075" w14:textId="77777777" w:rsidR="006640FE" w:rsidRDefault="006640FE">
      <w:pPr>
        <w:spacing w:after="160" w:line="259" w:lineRule="auto"/>
        <w:rPr>
          <w:b/>
          <w:sz w:val="28"/>
          <w:szCs w:val="28"/>
        </w:rPr>
      </w:pPr>
      <w:r>
        <w:rPr>
          <w:b/>
          <w:sz w:val="28"/>
          <w:szCs w:val="28"/>
        </w:rPr>
        <w:br w:type="page"/>
      </w:r>
    </w:p>
    <w:p w14:paraId="4FC582BE" w14:textId="3DDEF3DA" w:rsidR="002508B4" w:rsidRPr="004E4CED" w:rsidRDefault="004E4CED" w:rsidP="00CC2E0A">
      <w:pPr>
        <w:spacing w:line="480" w:lineRule="auto"/>
        <w:jc w:val="center"/>
        <w:rPr>
          <w:sz w:val="28"/>
          <w:szCs w:val="28"/>
        </w:rPr>
      </w:pPr>
      <w:bookmarkStart w:id="1" w:name="_GoBack"/>
      <w:bookmarkEnd w:id="1"/>
      <w:r>
        <w:rPr>
          <w:b/>
          <w:sz w:val="28"/>
          <w:szCs w:val="28"/>
        </w:rPr>
        <w:t xml:space="preserve">III. </w:t>
      </w:r>
      <w:r>
        <w:rPr>
          <w:b/>
          <w:sz w:val="28"/>
          <w:szCs w:val="28"/>
        </w:rPr>
        <w:tab/>
      </w:r>
      <w:r w:rsidR="00E66DE6" w:rsidRPr="004E4CED">
        <w:rPr>
          <w:b/>
          <w:sz w:val="28"/>
          <w:szCs w:val="28"/>
        </w:rPr>
        <w:t>Conclusion</w:t>
      </w:r>
    </w:p>
    <w:p w14:paraId="67359D6B" w14:textId="7C6BCA6C" w:rsidR="002508B4" w:rsidRPr="00FD45C7" w:rsidRDefault="002508B4" w:rsidP="002508B4">
      <w:pPr>
        <w:spacing w:line="480" w:lineRule="auto"/>
        <w:ind w:firstLine="720"/>
        <w:jc w:val="both"/>
        <w:rPr>
          <w:bCs/>
          <w:sz w:val="28"/>
          <w:szCs w:val="28"/>
        </w:rPr>
      </w:pPr>
      <w:r w:rsidRPr="00FD45C7">
        <w:rPr>
          <w:bCs/>
          <w:sz w:val="28"/>
          <w:szCs w:val="28"/>
        </w:rPr>
        <w:t>Petitioner respectfully request</w:t>
      </w:r>
      <w:r>
        <w:rPr>
          <w:bCs/>
          <w:sz w:val="28"/>
          <w:szCs w:val="28"/>
        </w:rPr>
        <w:t>s</w:t>
      </w:r>
      <w:r w:rsidRPr="00FD45C7">
        <w:rPr>
          <w:bCs/>
          <w:sz w:val="28"/>
          <w:szCs w:val="28"/>
        </w:rPr>
        <w:t xml:space="preserve"> that the Court </w:t>
      </w:r>
      <w:r w:rsidR="001F4BC4">
        <w:rPr>
          <w:bCs/>
          <w:sz w:val="28"/>
          <w:szCs w:val="28"/>
        </w:rPr>
        <w:t xml:space="preserve">adopt the proposed amendments as submitted in its petition </w:t>
      </w:r>
      <w:r w:rsidRPr="00FD45C7">
        <w:rPr>
          <w:bCs/>
          <w:sz w:val="28"/>
          <w:szCs w:val="28"/>
        </w:rPr>
        <w:t xml:space="preserve">with an effective date of January 1, </w:t>
      </w:r>
      <w:r>
        <w:rPr>
          <w:bCs/>
          <w:sz w:val="28"/>
          <w:szCs w:val="28"/>
        </w:rPr>
        <w:t>2021</w:t>
      </w:r>
      <w:r w:rsidRPr="00FD45C7">
        <w:rPr>
          <w:bCs/>
          <w:sz w:val="28"/>
          <w:szCs w:val="28"/>
        </w:rPr>
        <w:t>.</w:t>
      </w:r>
    </w:p>
    <w:p w14:paraId="0EE50F61" w14:textId="5A69E138" w:rsidR="002508B4" w:rsidRPr="00FD45C7" w:rsidRDefault="002508B4" w:rsidP="002508B4">
      <w:pPr>
        <w:ind w:firstLine="720"/>
        <w:jc w:val="both"/>
        <w:rPr>
          <w:sz w:val="28"/>
          <w:szCs w:val="28"/>
        </w:rPr>
      </w:pPr>
      <w:r w:rsidRPr="00FD45C7">
        <w:rPr>
          <w:sz w:val="28"/>
          <w:szCs w:val="28"/>
        </w:rPr>
        <w:t xml:space="preserve">DATED this </w:t>
      </w:r>
      <w:r w:rsidR="001F4BC4">
        <w:rPr>
          <w:sz w:val="28"/>
          <w:szCs w:val="28"/>
        </w:rPr>
        <w:t>1st</w:t>
      </w:r>
      <w:r w:rsidR="002E288D">
        <w:rPr>
          <w:sz w:val="28"/>
          <w:szCs w:val="28"/>
        </w:rPr>
        <w:t xml:space="preserve"> </w:t>
      </w:r>
      <w:r w:rsidRPr="00FD45C7">
        <w:rPr>
          <w:sz w:val="28"/>
          <w:szCs w:val="28"/>
        </w:rPr>
        <w:t xml:space="preserve">day of </w:t>
      </w:r>
      <w:r w:rsidR="001F4BC4">
        <w:rPr>
          <w:sz w:val="28"/>
          <w:szCs w:val="28"/>
        </w:rPr>
        <w:t>June</w:t>
      </w:r>
      <w:r w:rsidR="002E288D">
        <w:rPr>
          <w:sz w:val="28"/>
          <w:szCs w:val="28"/>
        </w:rPr>
        <w:t xml:space="preserve">, </w:t>
      </w:r>
      <w:r w:rsidRPr="00FD45C7">
        <w:rPr>
          <w:sz w:val="28"/>
          <w:szCs w:val="28"/>
        </w:rPr>
        <w:t>2</w:t>
      </w:r>
      <w:r>
        <w:rPr>
          <w:sz w:val="28"/>
          <w:szCs w:val="28"/>
        </w:rPr>
        <w:t>0</w:t>
      </w:r>
      <w:r w:rsidR="002E288D">
        <w:rPr>
          <w:sz w:val="28"/>
          <w:szCs w:val="28"/>
        </w:rPr>
        <w:t>20</w:t>
      </w:r>
      <w:r w:rsidRPr="00FD45C7">
        <w:rPr>
          <w:sz w:val="28"/>
          <w:szCs w:val="28"/>
        </w:rPr>
        <w:t>.</w:t>
      </w:r>
    </w:p>
    <w:p w14:paraId="048BB93C" w14:textId="2801A366" w:rsidR="002508B4" w:rsidRDefault="002E288D" w:rsidP="002E288D">
      <w:pPr>
        <w:tabs>
          <w:tab w:val="left" w:pos="2475"/>
        </w:tabs>
        <w:jc w:val="both"/>
        <w:rPr>
          <w:sz w:val="28"/>
          <w:szCs w:val="28"/>
        </w:rPr>
      </w:pPr>
      <w:r>
        <w:rPr>
          <w:sz w:val="28"/>
          <w:szCs w:val="28"/>
        </w:rPr>
        <w:tab/>
      </w:r>
    </w:p>
    <w:p w14:paraId="7F4DE0B9" w14:textId="77777777" w:rsidR="002508B4" w:rsidRPr="00FD45C7" w:rsidRDefault="002508B4" w:rsidP="002508B4">
      <w:pPr>
        <w:jc w:val="both"/>
        <w:rPr>
          <w:sz w:val="28"/>
          <w:szCs w:val="28"/>
        </w:rPr>
      </w:pPr>
    </w:p>
    <w:p w14:paraId="69B326AB" w14:textId="77777777" w:rsidR="002508B4" w:rsidRPr="00FE507E" w:rsidRDefault="002508B4" w:rsidP="002508B4">
      <w:pPr>
        <w:jc w:val="both"/>
        <w:rPr>
          <w:sz w:val="28"/>
          <w:szCs w:val="28"/>
        </w:rPr>
      </w:pPr>
      <w:r w:rsidRPr="00FD45C7">
        <w:rPr>
          <w:sz w:val="28"/>
          <w:szCs w:val="28"/>
        </w:rPr>
        <w:t xml:space="preserve">                                             </w:t>
      </w:r>
      <w:r>
        <w:rPr>
          <w:sz w:val="28"/>
          <w:szCs w:val="28"/>
        </w:rPr>
        <w:tab/>
      </w:r>
      <w:r w:rsidRPr="00FD45C7">
        <w:rPr>
          <w:sz w:val="28"/>
          <w:szCs w:val="28"/>
        </w:rPr>
        <w:t xml:space="preserve">   </w:t>
      </w:r>
      <w:r w:rsidRPr="00FE507E">
        <w:rPr>
          <w:sz w:val="28"/>
          <w:szCs w:val="28"/>
        </w:rPr>
        <w:t>___/s/______________________</w:t>
      </w:r>
    </w:p>
    <w:p w14:paraId="18DF6BEE" w14:textId="77777777" w:rsidR="002508B4" w:rsidRPr="00FD45C7" w:rsidRDefault="002508B4" w:rsidP="002508B4">
      <w:pPr>
        <w:jc w:val="both"/>
        <w:rPr>
          <w:sz w:val="28"/>
          <w:szCs w:val="28"/>
        </w:rPr>
      </w:pPr>
      <w:r w:rsidRPr="00FD45C7">
        <w:rPr>
          <w:sz w:val="28"/>
          <w:szCs w:val="28"/>
        </w:rPr>
        <w:t xml:space="preserve">                                             </w:t>
      </w:r>
      <w:r>
        <w:rPr>
          <w:sz w:val="28"/>
          <w:szCs w:val="28"/>
        </w:rPr>
        <w:tab/>
      </w:r>
      <w:r w:rsidRPr="00FD45C7">
        <w:rPr>
          <w:sz w:val="28"/>
          <w:szCs w:val="28"/>
        </w:rPr>
        <w:t xml:space="preserve">   </w:t>
      </w:r>
      <w:r>
        <w:rPr>
          <w:sz w:val="28"/>
          <w:szCs w:val="28"/>
        </w:rPr>
        <w:t>Dave Byers</w:t>
      </w:r>
    </w:p>
    <w:p w14:paraId="4E3C3BF6" w14:textId="2B9F75E5" w:rsidR="002508B4" w:rsidRDefault="00202B88" w:rsidP="002508B4">
      <w:pPr>
        <w:ind w:left="3810"/>
        <w:jc w:val="both"/>
        <w:rPr>
          <w:sz w:val="28"/>
          <w:szCs w:val="28"/>
        </w:rPr>
      </w:pPr>
      <w:r>
        <w:rPr>
          <w:sz w:val="28"/>
          <w:szCs w:val="28"/>
        </w:rPr>
        <w:t>Administrative</w:t>
      </w:r>
      <w:r w:rsidR="002508B4">
        <w:rPr>
          <w:sz w:val="28"/>
          <w:szCs w:val="28"/>
        </w:rPr>
        <w:t xml:space="preserve"> Director</w:t>
      </w:r>
    </w:p>
    <w:p w14:paraId="77D5368A" w14:textId="080953CD" w:rsidR="002508B4" w:rsidRDefault="002508B4" w:rsidP="002508B4">
      <w:pPr>
        <w:ind w:left="3810"/>
        <w:jc w:val="both"/>
        <w:rPr>
          <w:sz w:val="28"/>
          <w:szCs w:val="28"/>
        </w:rPr>
      </w:pPr>
      <w:r>
        <w:rPr>
          <w:sz w:val="28"/>
          <w:szCs w:val="28"/>
        </w:rPr>
        <w:t>Arizona Administrative Office of Courts</w:t>
      </w:r>
    </w:p>
    <w:p w14:paraId="09755155" w14:textId="5961A344" w:rsidR="00202B88" w:rsidRPr="00FD45C7" w:rsidRDefault="00505164" w:rsidP="00231CDD">
      <w:pPr>
        <w:ind w:left="3600"/>
        <w:rPr>
          <w:sz w:val="28"/>
          <w:szCs w:val="28"/>
        </w:rPr>
      </w:pPr>
      <w:r>
        <w:rPr>
          <w:sz w:val="28"/>
          <w:szCs w:val="28"/>
        </w:rPr>
        <w:t xml:space="preserve">   </w:t>
      </w:r>
      <w:r w:rsidR="00202B88" w:rsidRPr="00FD45C7">
        <w:rPr>
          <w:sz w:val="28"/>
          <w:szCs w:val="28"/>
        </w:rPr>
        <w:t>State Courts Building</w:t>
      </w:r>
    </w:p>
    <w:p w14:paraId="74BDEE49" w14:textId="13AFA32F" w:rsidR="00202B88" w:rsidRPr="00FD45C7" w:rsidRDefault="00505164" w:rsidP="00231CDD">
      <w:pPr>
        <w:ind w:left="3600"/>
        <w:rPr>
          <w:sz w:val="28"/>
          <w:szCs w:val="28"/>
        </w:rPr>
      </w:pPr>
      <w:r>
        <w:rPr>
          <w:sz w:val="28"/>
          <w:szCs w:val="28"/>
        </w:rPr>
        <w:t xml:space="preserve">   </w:t>
      </w:r>
      <w:r w:rsidR="00202B88" w:rsidRPr="00FD45C7">
        <w:rPr>
          <w:sz w:val="28"/>
          <w:szCs w:val="28"/>
        </w:rPr>
        <w:t>1501 West Washington</w:t>
      </w:r>
    </w:p>
    <w:p w14:paraId="356B6081" w14:textId="5D4C2266" w:rsidR="00202B88" w:rsidRPr="00FD45C7" w:rsidRDefault="00505164" w:rsidP="00231CDD">
      <w:pPr>
        <w:ind w:left="3600"/>
        <w:rPr>
          <w:sz w:val="28"/>
          <w:szCs w:val="28"/>
        </w:rPr>
      </w:pPr>
      <w:r>
        <w:rPr>
          <w:sz w:val="28"/>
          <w:szCs w:val="28"/>
        </w:rPr>
        <w:t xml:space="preserve">   </w:t>
      </w:r>
      <w:r w:rsidR="00202B88">
        <w:rPr>
          <w:sz w:val="28"/>
          <w:szCs w:val="28"/>
        </w:rPr>
        <w:t>Phoenix, Arizona </w:t>
      </w:r>
      <w:r w:rsidR="00202B88" w:rsidRPr="00FD45C7">
        <w:rPr>
          <w:sz w:val="28"/>
          <w:szCs w:val="28"/>
        </w:rPr>
        <w:t>85007</w:t>
      </w:r>
    </w:p>
    <w:p w14:paraId="7362039C" w14:textId="03AF3CB6" w:rsidR="00202B88" w:rsidRPr="00FD45C7" w:rsidRDefault="00505164" w:rsidP="00231CDD">
      <w:pPr>
        <w:ind w:left="3600"/>
        <w:rPr>
          <w:sz w:val="28"/>
          <w:szCs w:val="28"/>
        </w:rPr>
      </w:pPr>
      <w:r>
        <w:rPr>
          <w:sz w:val="28"/>
          <w:szCs w:val="28"/>
        </w:rPr>
        <w:t xml:space="preserve">   </w:t>
      </w:r>
      <w:r w:rsidR="00202B88">
        <w:rPr>
          <w:sz w:val="28"/>
          <w:szCs w:val="28"/>
        </w:rPr>
        <w:t xml:space="preserve">Telephone: </w:t>
      </w:r>
      <w:r w:rsidR="00202B88" w:rsidRPr="00FD45C7">
        <w:rPr>
          <w:sz w:val="28"/>
          <w:szCs w:val="28"/>
        </w:rPr>
        <w:t xml:space="preserve">(602) </w:t>
      </w:r>
      <w:r w:rsidR="00202B88">
        <w:rPr>
          <w:sz w:val="28"/>
          <w:szCs w:val="28"/>
        </w:rPr>
        <w:t>452-3301</w:t>
      </w:r>
    </w:p>
    <w:p w14:paraId="3BE5D9A7" w14:textId="67BE54F7" w:rsidR="00C30081" w:rsidRPr="00660997" w:rsidRDefault="00505164" w:rsidP="00660997">
      <w:pPr>
        <w:ind w:left="3600"/>
        <w:jc w:val="both"/>
        <w:rPr>
          <w:sz w:val="28"/>
          <w:szCs w:val="28"/>
        </w:rPr>
      </w:pPr>
      <w:r>
        <w:rPr>
          <w:sz w:val="28"/>
          <w:szCs w:val="28"/>
        </w:rPr>
        <w:t xml:space="preserve">   </w:t>
      </w:r>
      <w:r w:rsidR="00202B88">
        <w:rPr>
          <w:sz w:val="28"/>
          <w:szCs w:val="28"/>
        </w:rPr>
        <w:t>Projects2@courts.az.gov</w:t>
      </w:r>
    </w:p>
    <w:sectPr w:rsidR="00C30081" w:rsidRPr="006609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2C23" w16cex:dateUtc="2020-05-22T17: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64FF4" w14:textId="77777777" w:rsidR="00850266" w:rsidRDefault="00850266" w:rsidP="002508B4">
      <w:r>
        <w:separator/>
      </w:r>
    </w:p>
  </w:endnote>
  <w:endnote w:type="continuationSeparator" w:id="0">
    <w:p w14:paraId="5FC75972" w14:textId="77777777" w:rsidR="00850266" w:rsidRDefault="00850266" w:rsidP="0025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62FB" w14:textId="77777777" w:rsidR="001F4BC4" w:rsidRDefault="001F4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74868"/>
      <w:docPartObj>
        <w:docPartGallery w:val="Page Numbers (Bottom of Page)"/>
        <w:docPartUnique/>
      </w:docPartObj>
    </w:sdtPr>
    <w:sdtEndPr>
      <w:rPr>
        <w:noProof/>
      </w:rPr>
    </w:sdtEndPr>
    <w:sdtContent>
      <w:p w14:paraId="368F4276" w14:textId="77777777" w:rsidR="00C30081" w:rsidRDefault="00C300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5712D" w14:textId="77777777" w:rsidR="00C30081" w:rsidRDefault="00C30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7D75" w14:textId="77777777" w:rsidR="001F4BC4" w:rsidRDefault="001F4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ADEB2" w14:textId="77777777" w:rsidR="00850266" w:rsidRDefault="00850266" w:rsidP="002508B4">
      <w:r>
        <w:separator/>
      </w:r>
    </w:p>
  </w:footnote>
  <w:footnote w:type="continuationSeparator" w:id="0">
    <w:p w14:paraId="16CF42DA" w14:textId="77777777" w:rsidR="00850266" w:rsidRDefault="00850266" w:rsidP="002508B4">
      <w:r>
        <w:continuationSeparator/>
      </w:r>
    </w:p>
  </w:footnote>
  <w:footnote w:id="1">
    <w:p w14:paraId="4C83E1B0" w14:textId="77777777" w:rsidR="00C30081" w:rsidRPr="00246B14" w:rsidRDefault="00C30081" w:rsidP="002508B4">
      <w:pPr>
        <w:pStyle w:val="FootnoteText"/>
        <w:rPr>
          <w:sz w:val="24"/>
          <w:szCs w:val="24"/>
        </w:rPr>
      </w:pPr>
      <w:r w:rsidRPr="00246B14">
        <w:rPr>
          <w:rStyle w:val="FootnoteReference"/>
          <w:szCs w:val="24"/>
        </w:rPr>
        <w:footnoteRef/>
      </w:r>
      <w:r w:rsidRPr="00246B14">
        <w:rPr>
          <w:sz w:val="24"/>
          <w:szCs w:val="24"/>
        </w:rPr>
        <w:t xml:space="preserve"> Mr. Byers files this petition in his capacity of a member of the Task 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1E2B" w14:textId="77777777" w:rsidR="001F4BC4" w:rsidRDefault="001F4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4D89" w14:textId="281D8297" w:rsidR="001F4BC4" w:rsidRDefault="001F4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D123" w14:textId="77777777" w:rsidR="001F4BC4" w:rsidRDefault="001F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9D"/>
    <w:multiLevelType w:val="hybridMultilevel"/>
    <w:tmpl w:val="AC7CB19E"/>
    <w:lvl w:ilvl="0" w:tplc="1AF459F8">
      <w:start w:val="1"/>
      <w:numFmt w:val="bullet"/>
      <w:lvlText w:val=""/>
      <w:lvlJc w:val="left"/>
      <w:pPr>
        <w:ind w:left="720" w:hanging="360"/>
      </w:pPr>
      <w:rPr>
        <w:rFonts w:ascii="Symbol" w:hAnsi="Symbol" w:hint="default"/>
      </w:rPr>
    </w:lvl>
    <w:lvl w:ilvl="1" w:tplc="D868A6A8" w:tentative="1">
      <w:start w:val="1"/>
      <w:numFmt w:val="bullet"/>
      <w:lvlText w:val="o"/>
      <w:lvlJc w:val="left"/>
      <w:pPr>
        <w:ind w:left="1440" w:hanging="360"/>
      </w:pPr>
      <w:rPr>
        <w:rFonts w:ascii="Courier New" w:hAnsi="Courier New" w:cs="Courier New" w:hint="default"/>
      </w:rPr>
    </w:lvl>
    <w:lvl w:ilvl="2" w:tplc="2A56A840" w:tentative="1">
      <w:start w:val="1"/>
      <w:numFmt w:val="bullet"/>
      <w:lvlText w:val=""/>
      <w:lvlJc w:val="left"/>
      <w:pPr>
        <w:ind w:left="2160" w:hanging="360"/>
      </w:pPr>
      <w:rPr>
        <w:rFonts w:ascii="Wingdings" w:hAnsi="Wingdings" w:hint="default"/>
      </w:rPr>
    </w:lvl>
    <w:lvl w:ilvl="3" w:tplc="12127FFE" w:tentative="1">
      <w:start w:val="1"/>
      <w:numFmt w:val="bullet"/>
      <w:lvlText w:val=""/>
      <w:lvlJc w:val="left"/>
      <w:pPr>
        <w:ind w:left="2880" w:hanging="360"/>
      </w:pPr>
      <w:rPr>
        <w:rFonts w:ascii="Symbol" w:hAnsi="Symbol" w:hint="default"/>
      </w:rPr>
    </w:lvl>
    <w:lvl w:ilvl="4" w:tplc="9976D47E" w:tentative="1">
      <w:start w:val="1"/>
      <w:numFmt w:val="bullet"/>
      <w:lvlText w:val="o"/>
      <w:lvlJc w:val="left"/>
      <w:pPr>
        <w:ind w:left="3600" w:hanging="360"/>
      </w:pPr>
      <w:rPr>
        <w:rFonts w:ascii="Courier New" w:hAnsi="Courier New" w:cs="Courier New" w:hint="default"/>
      </w:rPr>
    </w:lvl>
    <w:lvl w:ilvl="5" w:tplc="94B8D2E0" w:tentative="1">
      <w:start w:val="1"/>
      <w:numFmt w:val="bullet"/>
      <w:lvlText w:val=""/>
      <w:lvlJc w:val="left"/>
      <w:pPr>
        <w:ind w:left="4320" w:hanging="360"/>
      </w:pPr>
      <w:rPr>
        <w:rFonts w:ascii="Wingdings" w:hAnsi="Wingdings" w:hint="default"/>
      </w:rPr>
    </w:lvl>
    <w:lvl w:ilvl="6" w:tplc="8BC47C14" w:tentative="1">
      <w:start w:val="1"/>
      <w:numFmt w:val="bullet"/>
      <w:lvlText w:val=""/>
      <w:lvlJc w:val="left"/>
      <w:pPr>
        <w:ind w:left="5040" w:hanging="360"/>
      </w:pPr>
      <w:rPr>
        <w:rFonts w:ascii="Symbol" w:hAnsi="Symbol" w:hint="default"/>
      </w:rPr>
    </w:lvl>
    <w:lvl w:ilvl="7" w:tplc="A3149DC4" w:tentative="1">
      <w:start w:val="1"/>
      <w:numFmt w:val="bullet"/>
      <w:lvlText w:val="o"/>
      <w:lvlJc w:val="left"/>
      <w:pPr>
        <w:ind w:left="5760" w:hanging="360"/>
      </w:pPr>
      <w:rPr>
        <w:rFonts w:ascii="Courier New" w:hAnsi="Courier New" w:cs="Courier New" w:hint="default"/>
      </w:rPr>
    </w:lvl>
    <w:lvl w:ilvl="8" w:tplc="FC84F574" w:tentative="1">
      <w:start w:val="1"/>
      <w:numFmt w:val="bullet"/>
      <w:lvlText w:val=""/>
      <w:lvlJc w:val="left"/>
      <w:pPr>
        <w:ind w:left="6480" w:hanging="360"/>
      </w:pPr>
      <w:rPr>
        <w:rFonts w:ascii="Wingdings" w:hAnsi="Wingdings" w:hint="default"/>
      </w:rPr>
    </w:lvl>
  </w:abstractNum>
  <w:abstractNum w:abstractNumId="1" w15:restartNumberingAfterBreak="0">
    <w:nsid w:val="10385F1A"/>
    <w:multiLevelType w:val="hybridMultilevel"/>
    <w:tmpl w:val="89B2D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76013"/>
    <w:multiLevelType w:val="hybridMultilevel"/>
    <w:tmpl w:val="EFB6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17CD3"/>
    <w:multiLevelType w:val="hybridMultilevel"/>
    <w:tmpl w:val="55DC2E2A"/>
    <w:lvl w:ilvl="0" w:tplc="A26ED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27FA9"/>
    <w:multiLevelType w:val="hybridMultilevel"/>
    <w:tmpl w:val="9DEE45BC"/>
    <w:lvl w:ilvl="0" w:tplc="FED28CE0">
      <w:start w:val="1"/>
      <w:numFmt w:val="decimal"/>
      <w:lvlText w:val="(%1)"/>
      <w:lvlJc w:val="left"/>
      <w:pPr>
        <w:ind w:left="1800" w:hanging="360"/>
      </w:pPr>
      <w:rPr>
        <w:rFonts w:ascii="Times New Roman" w:eastAsia="Times New Roman" w:hAnsi="Times New Roman" w:cs="Times New Roman"/>
      </w:rPr>
    </w:lvl>
    <w:lvl w:ilvl="1" w:tplc="6A5A5D24">
      <w:start w:val="1"/>
      <w:numFmt w:val="decimal"/>
      <w:lvlText w:val="(%2)"/>
      <w:lvlJc w:val="left"/>
      <w:pPr>
        <w:ind w:left="1800" w:hanging="360"/>
      </w:pPr>
      <w:rPr>
        <w:rFonts w:ascii="Times New Roman" w:eastAsia="Times New Roman" w:hAnsi="Times New Roman" w:cs="Times New Roman"/>
      </w:rPr>
    </w:lvl>
    <w:lvl w:ilvl="2" w:tplc="6A5A5D24">
      <w:start w:val="1"/>
      <w:numFmt w:val="decimal"/>
      <w:lvlText w:val="(%3)"/>
      <w:lvlJc w:val="left"/>
      <w:pPr>
        <w:ind w:left="2700" w:hanging="36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15C32"/>
    <w:multiLevelType w:val="hybridMultilevel"/>
    <w:tmpl w:val="D76845A0"/>
    <w:lvl w:ilvl="0" w:tplc="5ED8F3E8">
      <w:start w:val="1"/>
      <w:numFmt w:val="bullet"/>
      <w:lvlText w:val=""/>
      <w:lvlJc w:val="left"/>
      <w:pPr>
        <w:ind w:left="780" w:hanging="360"/>
      </w:pPr>
      <w:rPr>
        <w:rFonts w:ascii="Symbol" w:hAnsi="Symbol" w:hint="default"/>
      </w:rPr>
    </w:lvl>
    <w:lvl w:ilvl="1" w:tplc="CF2EC80C" w:tentative="1">
      <w:start w:val="1"/>
      <w:numFmt w:val="bullet"/>
      <w:lvlText w:val="o"/>
      <w:lvlJc w:val="left"/>
      <w:pPr>
        <w:ind w:left="1500" w:hanging="360"/>
      </w:pPr>
      <w:rPr>
        <w:rFonts w:ascii="Courier New" w:hAnsi="Courier New" w:cs="Courier New" w:hint="default"/>
      </w:rPr>
    </w:lvl>
    <w:lvl w:ilvl="2" w:tplc="F14694B2" w:tentative="1">
      <w:start w:val="1"/>
      <w:numFmt w:val="bullet"/>
      <w:lvlText w:val=""/>
      <w:lvlJc w:val="left"/>
      <w:pPr>
        <w:ind w:left="2220" w:hanging="360"/>
      </w:pPr>
      <w:rPr>
        <w:rFonts w:ascii="Wingdings" w:hAnsi="Wingdings" w:hint="default"/>
      </w:rPr>
    </w:lvl>
    <w:lvl w:ilvl="3" w:tplc="ED905FEA" w:tentative="1">
      <w:start w:val="1"/>
      <w:numFmt w:val="bullet"/>
      <w:lvlText w:val=""/>
      <w:lvlJc w:val="left"/>
      <w:pPr>
        <w:ind w:left="2940" w:hanging="360"/>
      </w:pPr>
      <w:rPr>
        <w:rFonts w:ascii="Symbol" w:hAnsi="Symbol" w:hint="default"/>
      </w:rPr>
    </w:lvl>
    <w:lvl w:ilvl="4" w:tplc="1DEE745E" w:tentative="1">
      <w:start w:val="1"/>
      <w:numFmt w:val="bullet"/>
      <w:lvlText w:val="o"/>
      <w:lvlJc w:val="left"/>
      <w:pPr>
        <w:ind w:left="3660" w:hanging="360"/>
      </w:pPr>
      <w:rPr>
        <w:rFonts w:ascii="Courier New" w:hAnsi="Courier New" w:cs="Courier New" w:hint="default"/>
      </w:rPr>
    </w:lvl>
    <w:lvl w:ilvl="5" w:tplc="C9B241D8" w:tentative="1">
      <w:start w:val="1"/>
      <w:numFmt w:val="bullet"/>
      <w:lvlText w:val=""/>
      <w:lvlJc w:val="left"/>
      <w:pPr>
        <w:ind w:left="4380" w:hanging="360"/>
      </w:pPr>
      <w:rPr>
        <w:rFonts w:ascii="Wingdings" w:hAnsi="Wingdings" w:hint="default"/>
      </w:rPr>
    </w:lvl>
    <w:lvl w:ilvl="6" w:tplc="517EAE96" w:tentative="1">
      <w:start w:val="1"/>
      <w:numFmt w:val="bullet"/>
      <w:lvlText w:val=""/>
      <w:lvlJc w:val="left"/>
      <w:pPr>
        <w:ind w:left="5100" w:hanging="360"/>
      </w:pPr>
      <w:rPr>
        <w:rFonts w:ascii="Symbol" w:hAnsi="Symbol" w:hint="default"/>
      </w:rPr>
    </w:lvl>
    <w:lvl w:ilvl="7" w:tplc="20B88320" w:tentative="1">
      <w:start w:val="1"/>
      <w:numFmt w:val="bullet"/>
      <w:lvlText w:val="o"/>
      <w:lvlJc w:val="left"/>
      <w:pPr>
        <w:ind w:left="5820" w:hanging="360"/>
      </w:pPr>
      <w:rPr>
        <w:rFonts w:ascii="Courier New" w:hAnsi="Courier New" w:cs="Courier New" w:hint="default"/>
      </w:rPr>
    </w:lvl>
    <w:lvl w:ilvl="8" w:tplc="DB5E35A6" w:tentative="1">
      <w:start w:val="1"/>
      <w:numFmt w:val="bullet"/>
      <w:lvlText w:val=""/>
      <w:lvlJc w:val="left"/>
      <w:pPr>
        <w:ind w:left="6540" w:hanging="360"/>
      </w:pPr>
      <w:rPr>
        <w:rFonts w:ascii="Wingdings" w:hAnsi="Wingdings" w:hint="default"/>
      </w:rPr>
    </w:lvl>
  </w:abstractNum>
  <w:abstractNum w:abstractNumId="6" w15:restartNumberingAfterBreak="0">
    <w:nsid w:val="1A1C551A"/>
    <w:multiLevelType w:val="hybridMultilevel"/>
    <w:tmpl w:val="2B1AD64E"/>
    <w:lvl w:ilvl="0" w:tplc="18B4F23C">
      <w:start w:val="1"/>
      <w:numFmt w:val="bullet"/>
      <w:lvlText w:val=""/>
      <w:lvlJc w:val="left"/>
      <w:pPr>
        <w:ind w:left="720" w:hanging="360"/>
      </w:pPr>
      <w:rPr>
        <w:rFonts w:ascii="Symbol" w:hAnsi="Symbol" w:hint="default"/>
      </w:rPr>
    </w:lvl>
    <w:lvl w:ilvl="1" w:tplc="7B2E21B8" w:tentative="1">
      <w:start w:val="1"/>
      <w:numFmt w:val="bullet"/>
      <w:lvlText w:val="o"/>
      <w:lvlJc w:val="left"/>
      <w:pPr>
        <w:ind w:left="1440" w:hanging="360"/>
      </w:pPr>
      <w:rPr>
        <w:rFonts w:ascii="Courier New" w:hAnsi="Courier New" w:cs="Courier New" w:hint="default"/>
      </w:rPr>
    </w:lvl>
    <w:lvl w:ilvl="2" w:tplc="D93C916A" w:tentative="1">
      <w:start w:val="1"/>
      <w:numFmt w:val="bullet"/>
      <w:lvlText w:val=""/>
      <w:lvlJc w:val="left"/>
      <w:pPr>
        <w:ind w:left="2160" w:hanging="360"/>
      </w:pPr>
      <w:rPr>
        <w:rFonts w:ascii="Wingdings" w:hAnsi="Wingdings" w:hint="default"/>
      </w:rPr>
    </w:lvl>
    <w:lvl w:ilvl="3" w:tplc="20780D4E" w:tentative="1">
      <w:start w:val="1"/>
      <w:numFmt w:val="bullet"/>
      <w:lvlText w:val=""/>
      <w:lvlJc w:val="left"/>
      <w:pPr>
        <w:ind w:left="2880" w:hanging="360"/>
      </w:pPr>
      <w:rPr>
        <w:rFonts w:ascii="Symbol" w:hAnsi="Symbol" w:hint="default"/>
      </w:rPr>
    </w:lvl>
    <w:lvl w:ilvl="4" w:tplc="D4DA53EA" w:tentative="1">
      <w:start w:val="1"/>
      <w:numFmt w:val="bullet"/>
      <w:lvlText w:val="o"/>
      <w:lvlJc w:val="left"/>
      <w:pPr>
        <w:ind w:left="3600" w:hanging="360"/>
      </w:pPr>
      <w:rPr>
        <w:rFonts w:ascii="Courier New" w:hAnsi="Courier New" w:cs="Courier New" w:hint="default"/>
      </w:rPr>
    </w:lvl>
    <w:lvl w:ilvl="5" w:tplc="BA644354" w:tentative="1">
      <w:start w:val="1"/>
      <w:numFmt w:val="bullet"/>
      <w:lvlText w:val=""/>
      <w:lvlJc w:val="left"/>
      <w:pPr>
        <w:ind w:left="4320" w:hanging="360"/>
      </w:pPr>
      <w:rPr>
        <w:rFonts w:ascii="Wingdings" w:hAnsi="Wingdings" w:hint="default"/>
      </w:rPr>
    </w:lvl>
    <w:lvl w:ilvl="6" w:tplc="418858CA" w:tentative="1">
      <w:start w:val="1"/>
      <w:numFmt w:val="bullet"/>
      <w:lvlText w:val=""/>
      <w:lvlJc w:val="left"/>
      <w:pPr>
        <w:ind w:left="5040" w:hanging="360"/>
      </w:pPr>
      <w:rPr>
        <w:rFonts w:ascii="Symbol" w:hAnsi="Symbol" w:hint="default"/>
      </w:rPr>
    </w:lvl>
    <w:lvl w:ilvl="7" w:tplc="BD2CC83E" w:tentative="1">
      <w:start w:val="1"/>
      <w:numFmt w:val="bullet"/>
      <w:lvlText w:val="o"/>
      <w:lvlJc w:val="left"/>
      <w:pPr>
        <w:ind w:left="5760" w:hanging="360"/>
      </w:pPr>
      <w:rPr>
        <w:rFonts w:ascii="Courier New" w:hAnsi="Courier New" w:cs="Courier New" w:hint="default"/>
      </w:rPr>
    </w:lvl>
    <w:lvl w:ilvl="8" w:tplc="7174DBB8" w:tentative="1">
      <w:start w:val="1"/>
      <w:numFmt w:val="bullet"/>
      <w:lvlText w:val=""/>
      <w:lvlJc w:val="left"/>
      <w:pPr>
        <w:ind w:left="6480" w:hanging="360"/>
      </w:pPr>
      <w:rPr>
        <w:rFonts w:ascii="Wingdings" w:hAnsi="Wingdings" w:hint="default"/>
      </w:rPr>
    </w:lvl>
  </w:abstractNum>
  <w:abstractNum w:abstractNumId="7" w15:restartNumberingAfterBreak="0">
    <w:nsid w:val="202B59DA"/>
    <w:multiLevelType w:val="hybridMultilevel"/>
    <w:tmpl w:val="7A20A876"/>
    <w:lvl w:ilvl="0" w:tplc="4BB604C2">
      <w:start w:val="1"/>
      <w:numFmt w:val="lowerLetter"/>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0F62AA4"/>
    <w:multiLevelType w:val="hybridMultilevel"/>
    <w:tmpl w:val="E200C8AE"/>
    <w:lvl w:ilvl="0" w:tplc="9A8428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60953"/>
    <w:multiLevelType w:val="hybridMultilevel"/>
    <w:tmpl w:val="C61A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43436"/>
    <w:multiLevelType w:val="hybridMultilevel"/>
    <w:tmpl w:val="6ECE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F4279"/>
    <w:multiLevelType w:val="hybridMultilevel"/>
    <w:tmpl w:val="CB0E78AE"/>
    <w:lvl w:ilvl="0" w:tplc="6A5A5D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5E905C4"/>
    <w:multiLevelType w:val="hybridMultilevel"/>
    <w:tmpl w:val="D4E61826"/>
    <w:lvl w:ilvl="0" w:tplc="9D44DA0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A51466"/>
    <w:multiLevelType w:val="hybridMultilevel"/>
    <w:tmpl w:val="68A615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3009E1"/>
    <w:multiLevelType w:val="hybridMultilevel"/>
    <w:tmpl w:val="D6E0E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C226E"/>
    <w:multiLevelType w:val="hybridMultilevel"/>
    <w:tmpl w:val="536A85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E81B04"/>
    <w:multiLevelType w:val="hybridMultilevel"/>
    <w:tmpl w:val="2898BD32"/>
    <w:lvl w:ilvl="0" w:tplc="F8300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A31521"/>
    <w:multiLevelType w:val="hybridMultilevel"/>
    <w:tmpl w:val="737A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DB63A2"/>
    <w:multiLevelType w:val="hybridMultilevel"/>
    <w:tmpl w:val="561CF832"/>
    <w:lvl w:ilvl="0" w:tplc="7480D9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4484B06"/>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4A014629"/>
    <w:multiLevelType w:val="hybridMultilevel"/>
    <w:tmpl w:val="BEBCD9BE"/>
    <w:lvl w:ilvl="0" w:tplc="8772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2C21DB"/>
    <w:multiLevelType w:val="hybridMultilevel"/>
    <w:tmpl w:val="BEBCD9BE"/>
    <w:lvl w:ilvl="0" w:tplc="8772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35709"/>
    <w:multiLevelType w:val="hybridMultilevel"/>
    <w:tmpl w:val="B27CED8E"/>
    <w:lvl w:ilvl="0" w:tplc="2B6E9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6D2366"/>
    <w:multiLevelType w:val="hybridMultilevel"/>
    <w:tmpl w:val="853CBC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D4D6F"/>
    <w:multiLevelType w:val="hybridMultilevel"/>
    <w:tmpl w:val="9204432A"/>
    <w:lvl w:ilvl="0" w:tplc="AD425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6A3A48"/>
    <w:multiLevelType w:val="hybridMultilevel"/>
    <w:tmpl w:val="76D0714A"/>
    <w:lvl w:ilvl="0" w:tplc="88E8B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E16A59"/>
    <w:multiLevelType w:val="hybridMultilevel"/>
    <w:tmpl w:val="45A2BE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57BB74B1"/>
    <w:multiLevelType w:val="hybridMultilevel"/>
    <w:tmpl w:val="BBB009C2"/>
    <w:lvl w:ilvl="0" w:tplc="124413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7BE6CBD"/>
    <w:multiLevelType w:val="hybridMultilevel"/>
    <w:tmpl w:val="D9F29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47DD4"/>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15:restartNumberingAfterBreak="0">
    <w:nsid w:val="5DCA6262"/>
    <w:multiLevelType w:val="hybridMultilevel"/>
    <w:tmpl w:val="412EE074"/>
    <w:lvl w:ilvl="0" w:tplc="1A662D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F7092"/>
    <w:multiLevelType w:val="hybridMultilevel"/>
    <w:tmpl w:val="AF48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9A40A8"/>
    <w:multiLevelType w:val="hybridMultilevel"/>
    <w:tmpl w:val="499E8792"/>
    <w:lvl w:ilvl="0" w:tplc="A18014C2">
      <w:start w:val="1"/>
      <w:numFmt w:val="bullet"/>
      <w:lvlText w:val=""/>
      <w:lvlJc w:val="left"/>
      <w:pPr>
        <w:ind w:left="1440" w:hanging="360"/>
      </w:pPr>
      <w:rPr>
        <w:rFonts w:ascii="Symbol" w:hAnsi="Symbol" w:hint="default"/>
      </w:rPr>
    </w:lvl>
    <w:lvl w:ilvl="1" w:tplc="D512BFC2">
      <w:start w:val="1"/>
      <w:numFmt w:val="bullet"/>
      <w:lvlText w:val=""/>
      <w:lvlJc w:val="left"/>
      <w:pPr>
        <w:ind w:left="2160" w:hanging="360"/>
      </w:pPr>
      <w:rPr>
        <w:rFonts w:ascii="Symbol" w:hAnsi="Symbol" w:hint="default"/>
      </w:rPr>
    </w:lvl>
    <w:lvl w:ilvl="2" w:tplc="F4146234">
      <w:start w:val="1"/>
      <w:numFmt w:val="bullet"/>
      <w:lvlText w:val=""/>
      <w:lvlJc w:val="left"/>
      <w:pPr>
        <w:ind w:left="2880" w:hanging="360"/>
      </w:pPr>
      <w:rPr>
        <w:rFonts w:ascii="Wingdings" w:hAnsi="Wingdings" w:hint="default"/>
      </w:rPr>
    </w:lvl>
    <w:lvl w:ilvl="3" w:tplc="C5087F0A" w:tentative="1">
      <w:start w:val="1"/>
      <w:numFmt w:val="bullet"/>
      <w:lvlText w:val=""/>
      <w:lvlJc w:val="left"/>
      <w:pPr>
        <w:ind w:left="3600" w:hanging="360"/>
      </w:pPr>
      <w:rPr>
        <w:rFonts w:ascii="Symbol" w:hAnsi="Symbol" w:hint="default"/>
      </w:rPr>
    </w:lvl>
    <w:lvl w:ilvl="4" w:tplc="287A1570" w:tentative="1">
      <w:start w:val="1"/>
      <w:numFmt w:val="bullet"/>
      <w:lvlText w:val="o"/>
      <w:lvlJc w:val="left"/>
      <w:pPr>
        <w:ind w:left="4320" w:hanging="360"/>
      </w:pPr>
      <w:rPr>
        <w:rFonts w:ascii="Courier New" w:hAnsi="Courier New" w:cs="Courier New" w:hint="default"/>
      </w:rPr>
    </w:lvl>
    <w:lvl w:ilvl="5" w:tplc="DC74E4E8" w:tentative="1">
      <w:start w:val="1"/>
      <w:numFmt w:val="bullet"/>
      <w:lvlText w:val=""/>
      <w:lvlJc w:val="left"/>
      <w:pPr>
        <w:ind w:left="5040" w:hanging="360"/>
      </w:pPr>
      <w:rPr>
        <w:rFonts w:ascii="Wingdings" w:hAnsi="Wingdings" w:hint="default"/>
      </w:rPr>
    </w:lvl>
    <w:lvl w:ilvl="6" w:tplc="47F2A5F6" w:tentative="1">
      <w:start w:val="1"/>
      <w:numFmt w:val="bullet"/>
      <w:lvlText w:val=""/>
      <w:lvlJc w:val="left"/>
      <w:pPr>
        <w:ind w:left="5760" w:hanging="360"/>
      </w:pPr>
      <w:rPr>
        <w:rFonts w:ascii="Symbol" w:hAnsi="Symbol" w:hint="default"/>
      </w:rPr>
    </w:lvl>
    <w:lvl w:ilvl="7" w:tplc="4CFA7766" w:tentative="1">
      <w:start w:val="1"/>
      <w:numFmt w:val="bullet"/>
      <w:lvlText w:val="o"/>
      <w:lvlJc w:val="left"/>
      <w:pPr>
        <w:ind w:left="6480" w:hanging="360"/>
      </w:pPr>
      <w:rPr>
        <w:rFonts w:ascii="Courier New" w:hAnsi="Courier New" w:cs="Courier New" w:hint="default"/>
      </w:rPr>
    </w:lvl>
    <w:lvl w:ilvl="8" w:tplc="F222B79A" w:tentative="1">
      <w:start w:val="1"/>
      <w:numFmt w:val="bullet"/>
      <w:lvlText w:val=""/>
      <w:lvlJc w:val="left"/>
      <w:pPr>
        <w:ind w:left="7200" w:hanging="360"/>
      </w:pPr>
      <w:rPr>
        <w:rFonts w:ascii="Wingdings" w:hAnsi="Wingdings" w:hint="default"/>
      </w:rPr>
    </w:lvl>
  </w:abstractNum>
  <w:abstractNum w:abstractNumId="34" w15:restartNumberingAfterBreak="0">
    <w:nsid w:val="6BA03329"/>
    <w:multiLevelType w:val="hybridMultilevel"/>
    <w:tmpl w:val="C05411AE"/>
    <w:lvl w:ilvl="0" w:tplc="4BB604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D110076"/>
    <w:multiLevelType w:val="hybridMultilevel"/>
    <w:tmpl w:val="84787C96"/>
    <w:lvl w:ilvl="0" w:tplc="26D2ACD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ED53037"/>
    <w:multiLevelType w:val="hybridMultilevel"/>
    <w:tmpl w:val="0CC8CC0C"/>
    <w:lvl w:ilvl="0" w:tplc="61381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D2610"/>
    <w:multiLevelType w:val="hybridMultilevel"/>
    <w:tmpl w:val="CAF4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D23FE"/>
    <w:multiLevelType w:val="hybridMultilevel"/>
    <w:tmpl w:val="FE72E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7762D"/>
    <w:multiLevelType w:val="hybridMultilevel"/>
    <w:tmpl w:val="C09A4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127D1"/>
    <w:multiLevelType w:val="hybridMultilevel"/>
    <w:tmpl w:val="D6B44402"/>
    <w:lvl w:ilvl="0" w:tplc="8FEA9EBA">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B7675"/>
    <w:multiLevelType w:val="hybridMultilevel"/>
    <w:tmpl w:val="675A87F2"/>
    <w:lvl w:ilvl="0" w:tplc="A1FE0E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2"/>
  </w:num>
  <w:num w:numId="2">
    <w:abstractNumId w:val="17"/>
  </w:num>
  <w:num w:numId="3">
    <w:abstractNumId w:val="9"/>
  </w:num>
  <w:num w:numId="4">
    <w:abstractNumId w:val="38"/>
  </w:num>
  <w:num w:numId="5">
    <w:abstractNumId w:val="40"/>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0"/>
  </w:num>
  <w:num w:numId="13">
    <w:abstractNumId w:val="6"/>
  </w:num>
  <w:num w:numId="14">
    <w:abstractNumId w:val="5"/>
  </w:num>
  <w:num w:numId="15">
    <w:abstractNumId w:val="10"/>
  </w:num>
  <w:num w:numId="16">
    <w:abstractNumId w:val="31"/>
  </w:num>
  <w:num w:numId="17">
    <w:abstractNumId w:val="15"/>
  </w:num>
  <w:num w:numId="18">
    <w:abstractNumId w:val="28"/>
  </w:num>
  <w:num w:numId="19">
    <w:abstractNumId w:val="14"/>
  </w:num>
  <w:num w:numId="20">
    <w:abstractNumId w:val="30"/>
  </w:num>
  <w:num w:numId="21">
    <w:abstractNumId w:val="3"/>
  </w:num>
  <w:num w:numId="22">
    <w:abstractNumId w:val="24"/>
  </w:num>
  <w:num w:numId="23">
    <w:abstractNumId w:val="11"/>
  </w:num>
  <w:num w:numId="24">
    <w:abstractNumId w:val="35"/>
  </w:num>
  <w:num w:numId="25">
    <w:abstractNumId w:val="4"/>
  </w:num>
  <w:num w:numId="26">
    <w:abstractNumId w:val="21"/>
  </w:num>
  <w:num w:numId="27">
    <w:abstractNumId w:val="22"/>
  </w:num>
  <w:num w:numId="28">
    <w:abstractNumId w:val="12"/>
  </w:num>
  <w:num w:numId="29">
    <w:abstractNumId w:val="16"/>
  </w:num>
  <w:num w:numId="30">
    <w:abstractNumId w:val="37"/>
  </w:num>
  <w:num w:numId="31">
    <w:abstractNumId w:val="39"/>
  </w:num>
  <w:num w:numId="32">
    <w:abstractNumId w:val="20"/>
  </w:num>
  <w:num w:numId="33">
    <w:abstractNumId w:val="19"/>
  </w:num>
  <w:num w:numId="34">
    <w:abstractNumId w:val="29"/>
  </w:num>
  <w:num w:numId="35">
    <w:abstractNumId w:val="8"/>
  </w:num>
  <w:num w:numId="36">
    <w:abstractNumId w:val="36"/>
  </w:num>
  <w:num w:numId="37">
    <w:abstractNumId w:val="25"/>
  </w:num>
  <w:num w:numId="38">
    <w:abstractNumId w:val="7"/>
  </w:num>
  <w:num w:numId="39">
    <w:abstractNumId w:val="13"/>
  </w:num>
  <w:num w:numId="40">
    <w:abstractNumId w:val="1"/>
  </w:num>
  <w:num w:numId="41">
    <w:abstractNumId w:val="26"/>
  </w:num>
  <w:num w:numId="42">
    <w:abstractNumId w:val="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B4"/>
    <w:rsid w:val="00051E6B"/>
    <w:rsid w:val="00097300"/>
    <w:rsid w:val="0018418C"/>
    <w:rsid w:val="001D4A14"/>
    <w:rsid w:val="001F1D1B"/>
    <w:rsid w:val="001F4BB3"/>
    <w:rsid w:val="001F4BC4"/>
    <w:rsid w:val="00202B88"/>
    <w:rsid w:val="00206633"/>
    <w:rsid w:val="00231CDD"/>
    <w:rsid w:val="002508B4"/>
    <w:rsid w:val="002641C1"/>
    <w:rsid w:val="002E288D"/>
    <w:rsid w:val="0031574F"/>
    <w:rsid w:val="00397171"/>
    <w:rsid w:val="004478AF"/>
    <w:rsid w:val="004B23D8"/>
    <w:rsid w:val="004E1F8F"/>
    <w:rsid w:val="004E4CED"/>
    <w:rsid w:val="00505164"/>
    <w:rsid w:val="00507E9A"/>
    <w:rsid w:val="00552C8F"/>
    <w:rsid w:val="005D39E5"/>
    <w:rsid w:val="00627E61"/>
    <w:rsid w:val="00640797"/>
    <w:rsid w:val="006471DC"/>
    <w:rsid w:val="00660997"/>
    <w:rsid w:val="00663FD9"/>
    <w:rsid w:val="006640FE"/>
    <w:rsid w:val="006B087D"/>
    <w:rsid w:val="006B2DD6"/>
    <w:rsid w:val="0074593A"/>
    <w:rsid w:val="007C491E"/>
    <w:rsid w:val="007E1B4E"/>
    <w:rsid w:val="0083172F"/>
    <w:rsid w:val="00850266"/>
    <w:rsid w:val="008C2F4C"/>
    <w:rsid w:val="008D0F26"/>
    <w:rsid w:val="008F440C"/>
    <w:rsid w:val="00940410"/>
    <w:rsid w:val="009F5903"/>
    <w:rsid w:val="00A04C87"/>
    <w:rsid w:val="00A6470B"/>
    <w:rsid w:val="00A86AB5"/>
    <w:rsid w:val="00AC589A"/>
    <w:rsid w:val="00AF6452"/>
    <w:rsid w:val="00AF64F8"/>
    <w:rsid w:val="00B152B4"/>
    <w:rsid w:val="00B3265A"/>
    <w:rsid w:val="00B83510"/>
    <w:rsid w:val="00B925C1"/>
    <w:rsid w:val="00C30081"/>
    <w:rsid w:val="00CC2E0A"/>
    <w:rsid w:val="00CE38F3"/>
    <w:rsid w:val="00D3077E"/>
    <w:rsid w:val="00D46653"/>
    <w:rsid w:val="00D55B1A"/>
    <w:rsid w:val="00DC62D2"/>
    <w:rsid w:val="00DD3D04"/>
    <w:rsid w:val="00E25BB3"/>
    <w:rsid w:val="00E309AA"/>
    <w:rsid w:val="00E66DE6"/>
    <w:rsid w:val="00E7127B"/>
    <w:rsid w:val="00E737AD"/>
    <w:rsid w:val="00F0304A"/>
    <w:rsid w:val="00F109A0"/>
    <w:rsid w:val="00F66AD7"/>
    <w:rsid w:val="00F9583B"/>
    <w:rsid w:val="00FA669B"/>
    <w:rsid w:val="00FD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F26C42"/>
  <w15:chartTrackingRefBased/>
  <w15:docId w15:val="{3AC55000-56F4-4BFF-8CC4-F0796CE1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8B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508B4"/>
    <w:pPr>
      <w:keepNext/>
      <w:spacing w:line="360" w:lineRule="auto"/>
      <w:jc w:val="center"/>
      <w:outlineLvl w:val="0"/>
    </w:pPr>
    <w:rPr>
      <w:rFonts w:ascii="Arial" w:hAnsi="Arial"/>
      <w:b/>
    </w:rPr>
  </w:style>
  <w:style w:type="paragraph" w:styleId="Heading2">
    <w:name w:val="heading 2"/>
    <w:basedOn w:val="Normal"/>
    <w:next w:val="Normal"/>
    <w:link w:val="Heading2Char"/>
    <w:uiPriority w:val="9"/>
    <w:unhideWhenUsed/>
    <w:qFormat/>
    <w:rsid w:val="00663F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3FD9"/>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30081"/>
    <w:pPr>
      <w:keepNext/>
      <w:keepLines/>
      <w:spacing w:before="40" w:line="259" w:lineRule="auto"/>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B4"/>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663F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3F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30081"/>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rsid w:val="002508B4"/>
    <w:rPr>
      <w:sz w:val="20"/>
    </w:rPr>
  </w:style>
  <w:style w:type="character" w:customStyle="1" w:styleId="FootnoteTextChar">
    <w:name w:val="Footnote Text Char"/>
    <w:basedOn w:val="DefaultParagraphFont"/>
    <w:link w:val="FootnoteText"/>
    <w:uiPriority w:val="99"/>
    <w:rsid w:val="002508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508B4"/>
    <w:rPr>
      <w:vertAlign w:val="superscript"/>
    </w:rPr>
  </w:style>
  <w:style w:type="paragraph" w:styleId="BodyText">
    <w:name w:val="Body Text"/>
    <w:basedOn w:val="Normal"/>
    <w:link w:val="BodyTextChar"/>
    <w:uiPriority w:val="1"/>
    <w:qFormat/>
    <w:rsid w:val="002508B4"/>
    <w:rPr>
      <w:sz w:val="28"/>
    </w:rPr>
  </w:style>
  <w:style w:type="character" w:customStyle="1" w:styleId="BodyTextChar">
    <w:name w:val="Body Text Char"/>
    <w:basedOn w:val="DefaultParagraphFont"/>
    <w:link w:val="BodyText"/>
    <w:uiPriority w:val="99"/>
    <w:rsid w:val="002508B4"/>
    <w:rPr>
      <w:rFonts w:ascii="Times New Roman" w:eastAsia="Times New Roman" w:hAnsi="Times New Roman" w:cs="Times New Roman"/>
      <w:sz w:val="28"/>
      <w:szCs w:val="20"/>
    </w:rPr>
  </w:style>
  <w:style w:type="character" w:styleId="Hyperlink">
    <w:name w:val="Hyperlink"/>
    <w:basedOn w:val="DefaultParagraphFont"/>
    <w:uiPriority w:val="99"/>
    <w:rsid w:val="002508B4"/>
    <w:rPr>
      <w:color w:val="0000FF"/>
      <w:u w:val="single"/>
    </w:rPr>
  </w:style>
  <w:style w:type="paragraph" w:styleId="ListParagraph">
    <w:name w:val="List Paragraph"/>
    <w:basedOn w:val="Normal"/>
    <w:uiPriority w:val="34"/>
    <w:qFormat/>
    <w:rsid w:val="002508B4"/>
    <w:pPr>
      <w:ind w:left="720"/>
    </w:pPr>
  </w:style>
  <w:style w:type="paragraph" w:styleId="Header">
    <w:name w:val="header"/>
    <w:basedOn w:val="Normal"/>
    <w:link w:val="HeaderChar"/>
    <w:uiPriority w:val="99"/>
    <w:unhideWhenUsed/>
    <w:rsid w:val="002508B4"/>
    <w:pPr>
      <w:tabs>
        <w:tab w:val="center" w:pos="4680"/>
        <w:tab w:val="right" w:pos="9360"/>
      </w:tabs>
    </w:pPr>
  </w:style>
  <w:style w:type="character" w:customStyle="1" w:styleId="HeaderChar">
    <w:name w:val="Header Char"/>
    <w:basedOn w:val="DefaultParagraphFont"/>
    <w:link w:val="Header"/>
    <w:uiPriority w:val="99"/>
    <w:rsid w:val="002508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508B4"/>
    <w:pPr>
      <w:tabs>
        <w:tab w:val="center" w:pos="4680"/>
        <w:tab w:val="right" w:pos="9360"/>
      </w:tabs>
    </w:pPr>
  </w:style>
  <w:style w:type="character" w:customStyle="1" w:styleId="FooterChar">
    <w:name w:val="Footer Char"/>
    <w:basedOn w:val="DefaultParagraphFont"/>
    <w:link w:val="Footer"/>
    <w:uiPriority w:val="99"/>
    <w:rsid w:val="002508B4"/>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663FD9"/>
    <w:rPr>
      <w:rFonts w:eastAsiaTheme="minorHAnsi"/>
      <w:sz w:val="20"/>
    </w:rPr>
  </w:style>
  <w:style w:type="character" w:customStyle="1" w:styleId="CommentTextChar">
    <w:name w:val="Comment Text Char"/>
    <w:basedOn w:val="DefaultParagraphFont"/>
    <w:link w:val="CommentText"/>
    <w:uiPriority w:val="99"/>
    <w:rsid w:val="00663FD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73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7A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737AD"/>
    <w:rPr>
      <w:sz w:val="16"/>
      <w:szCs w:val="16"/>
    </w:rPr>
  </w:style>
  <w:style w:type="paragraph" w:styleId="CommentSubject">
    <w:name w:val="annotation subject"/>
    <w:basedOn w:val="CommentText"/>
    <w:next w:val="CommentText"/>
    <w:link w:val="CommentSubjectChar"/>
    <w:uiPriority w:val="99"/>
    <w:semiHidden/>
    <w:unhideWhenUsed/>
    <w:rsid w:val="00E737AD"/>
    <w:rPr>
      <w:rFonts w:eastAsia="Times New Roman"/>
      <w:b/>
      <w:bCs/>
    </w:rPr>
  </w:style>
  <w:style w:type="character" w:customStyle="1" w:styleId="CommentSubjectChar">
    <w:name w:val="Comment Subject Char"/>
    <w:basedOn w:val="CommentTextChar"/>
    <w:link w:val="CommentSubject"/>
    <w:uiPriority w:val="99"/>
    <w:semiHidden/>
    <w:rsid w:val="00E737AD"/>
    <w:rPr>
      <w:rFonts w:ascii="Times New Roman" w:eastAsia="Times New Roman" w:hAnsi="Times New Roman" w:cs="Times New Roman"/>
      <w:b/>
      <w:bCs/>
      <w:sz w:val="20"/>
      <w:szCs w:val="20"/>
    </w:rPr>
  </w:style>
  <w:style w:type="paragraph" w:styleId="NormalWeb">
    <w:name w:val="Normal (Web)"/>
    <w:basedOn w:val="Normal"/>
    <w:uiPriority w:val="99"/>
    <w:unhideWhenUsed/>
    <w:rsid w:val="00C30081"/>
    <w:pPr>
      <w:spacing w:before="100" w:beforeAutospacing="1" w:after="100" w:afterAutospacing="1"/>
    </w:pPr>
    <w:rPr>
      <w:szCs w:val="24"/>
    </w:rPr>
  </w:style>
  <w:style w:type="character" w:styleId="Strong">
    <w:name w:val="Strong"/>
    <w:basedOn w:val="DefaultParagraphFont"/>
    <w:uiPriority w:val="22"/>
    <w:qFormat/>
    <w:rsid w:val="00C30081"/>
    <w:rPr>
      <w:b/>
      <w:bCs/>
    </w:rPr>
  </w:style>
  <w:style w:type="paragraph" w:styleId="Caption">
    <w:name w:val="caption"/>
    <w:basedOn w:val="Normal"/>
    <w:next w:val="Normal"/>
    <w:uiPriority w:val="35"/>
    <w:qFormat/>
    <w:rsid w:val="00C30081"/>
    <w:pPr>
      <w:tabs>
        <w:tab w:val="left" w:pos="3870"/>
      </w:tabs>
    </w:pPr>
  </w:style>
  <w:style w:type="table" w:styleId="TableGrid">
    <w:name w:val="Table Grid"/>
    <w:basedOn w:val="TableNormal"/>
    <w:uiPriority w:val="39"/>
    <w:rsid w:val="00C3008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C30081"/>
    <w:rPr>
      <w:smallCaps/>
      <w:color w:val="5A5A5A" w:themeColor="text1" w:themeTint="A5"/>
    </w:rPr>
  </w:style>
  <w:style w:type="paragraph" w:styleId="TOCHeading">
    <w:name w:val="TOC Heading"/>
    <w:basedOn w:val="Heading1"/>
    <w:next w:val="Normal"/>
    <w:uiPriority w:val="39"/>
    <w:unhideWhenUsed/>
    <w:qFormat/>
    <w:rsid w:val="00C30081"/>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C30081"/>
    <w:pPr>
      <w:spacing w:after="100" w:line="259" w:lineRule="auto"/>
    </w:pPr>
    <w:rPr>
      <w:rFonts w:eastAsiaTheme="minorHAnsi"/>
      <w:szCs w:val="24"/>
    </w:rPr>
  </w:style>
  <w:style w:type="paragraph" w:styleId="TOC2">
    <w:name w:val="toc 2"/>
    <w:basedOn w:val="Normal"/>
    <w:next w:val="Normal"/>
    <w:autoRedefine/>
    <w:uiPriority w:val="39"/>
    <w:unhideWhenUsed/>
    <w:rsid w:val="00C30081"/>
    <w:pPr>
      <w:spacing w:after="100" w:line="259" w:lineRule="auto"/>
      <w:ind w:left="240"/>
    </w:pPr>
    <w:rPr>
      <w:rFonts w:eastAsiaTheme="minorHAnsi"/>
      <w:szCs w:val="24"/>
    </w:rPr>
  </w:style>
  <w:style w:type="paragraph" w:styleId="TOC3">
    <w:name w:val="toc 3"/>
    <w:basedOn w:val="Normal"/>
    <w:next w:val="Normal"/>
    <w:autoRedefine/>
    <w:uiPriority w:val="39"/>
    <w:unhideWhenUsed/>
    <w:rsid w:val="00C30081"/>
    <w:pPr>
      <w:spacing w:after="100" w:line="259" w:lineRule="auto"/>
      <w:ind w:left="480"/>
    </w:pPr>
    <w:rPr>
      <w:rFonts w:eastAsiaTheme="minorHAnsi"/>
      <w:szCs w:val="24"/>
    </w:rPr>
  </w:style>
  <w:style w:type="paragraph" w:styleId="TOC4">
    <w:name w:val="toc 4"/>
    <w:basedOn w:val="Normal"/>
    <w:next w:val="Normal"/>
    <w:autoRedefine/>
    <w:uiPriority w:val="39"/>
    <w:unhideWhenUsed/>
    <w:rsid w:val="00C30081"/>
    <w:pPr>
      <w:spacing w:after="100" w:line="259" w:lineRule="auto"/>
      <w:ind w:left="720"/>
    </w:pPr>
    <w:rPr>
      <w:rFonts w:eastAsiaTheme="minorHAnsi"/>
      <w:szCs w:val="24"/>
    </w:rPr>
  </w:style>
  <w:style w:type="character" w:styleId="FollowedHyperlink">
    <w:name w:val="FollowedHyperlink"/>
    <w:basedOn w:val="DefaultParagraphFont"/>
    <w:uiPriority w:val="99"/>
    <w:semiHidden/>
    <w:unhideWhenUsed/>
    <w:rsid w:val="00FA669B"/>
    <w:rPr>
      <w:color w:val="954F72" w:themeColor="followedHyperlink"/>
      <w:u w:val="single"/>
    </w:rPr>
  </w:style>
  <w:style w:type="character" w:customStyle="1" w:styleId="apple-converted-space">
    <w:name w:val="apple-converted-space"/>
    <w:basedOn w:val="DefaultParagraphFont"/>
    <w:rsid w:val="00D55B1A"/>
  </w:style>
  <w:style w:type="paragraph" w:styleId="Revision">
    <w:name w:val="Revision"/>
    <w:hidden/>
    <w:uiPriority w:val="99"/>
    <w:semiHidden/>
    <w:rsid w:val="0031574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Sekardi, Kathy</dc:creator>
  <cp:keywords/>
  <dc:description/>
  <cp:lastModifiedBy>Albright, Jennifer</cp:lastModifiedBy>
  <cp:revision>3</cp:revision>
  <dcterms:created xsi:type="dcterms:W3CDTF">2020-06-02T00:08:00Z</dcterms:created>
  <dcterms:modified xsi:type="dcterms:W3CDTF">2020-06-02T00:10:00Z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-141965799</vt:i4>
  </property>
</Properties>
</file>