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C05A7E" w:rsidRPr="00C05A7E" w:rsidP="00A95C01" w14:paraId="20F76813" w14:textId="77777777">
      <w:pPr>
        <w:pStyle w:val="00BodyText1"/>
        <w:ind w:firstLine="0"/>
        <w:contextualSpacing/>
        <w:rPr>
          <w:rFonts w:cs="Times New Roman"/>
          <w:sz w:val="28"/>
          <w:szCs w:val="28"/>
        </w:rPr>
      </w:pPr>
      <w:bookmarkStart w:id="0" w:name="AttyNameAndBarNo2"/>
      <w:bookmarkStart w:id="1" w:name="Addresses2"/>
      <w:bookmarkStart w:id="2" w:name="_GoBack"/>
      <w:bookmarkEnd w:id="2"/>
      <w:r w:rsidRPr="00C05A7E">
        <w:rPr>
          <w:rFonts w:cs="Times New Roman"/>
          <w:sz w:val="28"/>
          <w:szCs w:val="28"/>
        </w:rPr>
        <w:t>David J. Bodney (006065)</w:t>
      </w:r>
    </w:p>
    <w:p w:rsidR="00C05A7E" w:rsidRPr="00C05A7E" w:rsidP="00A95C01" w14:paraId="4E60622A" w14:textId="77777777">
      <w:pPr>
        <w:pStyle w:val="00BodyText1"/>
        <w:ind w:firstLine="0"/>
        <w:contextualSpacing/>
        <w:rPr>
          <w:rFonts w:cs="Times New Roman"/>
          <w:sz w:val="28"/>
          <w:szCs w:val="28"/>
        </w:rPr>
      </w:pPr>
      <w:r w:rsidRPr="00C05A7E">
        <w:rPr>
          <w:rFonts w:cs="Times New Roman"/>
          <w:sz w:val="28"/>
          <w:szCs w:val="28"/>
        </w:rPr>
        <w:t>bodneyd@ballardspahr.com</w:t>
      </w:r>
    </w:p>
    <w:p w:rsidR="00C05A7E" w:rsidRPr="00C05A7E" w:rsidP="00A95C01" w14:paraId="62A2C71D" w14:textId="77777777">
      <w:pPr>
        <w:pStyle w:val="00BodyText1"/>
        <w:ind w:firstLine="0"/>
        <w:contextualSpacing/>
        <w:rPr>
          <w:rFonts w:cs="Times New Roman"/>
          <w:sz w:val="28"/>
          <w:szCs w:val="28"/>
        </w:rPr>
      </w:pPr>
      <w:r w:rsidRPr="00C05A7E">
        <w:rPr>
          <w:rFonts w:cs="Times New Roman"/>
          <w:sz w:val="28"/>
          <w:szCs w:val="28"/>
        </w:rPr>
        <w:t>Ian O. Bucon (034543)</w:t>
      </w:r>
    </w:p>
    <w:p w:rsidR="00C05A7E" w:rsidRPr="00C05A7E" w:rsidP="00A95C01" w14:paraId="19BD85EB" w14:textId="77777777">
      <w:pPr>
        <w:pStyle w:val="00BodyText1"/>
        <w:ind w:firstLine="0"/>
        <w:contextualSpacing/>
        <w:rPr>
          <w:rFonts w:cs="Times New Roman"/>
          <w:sz w:val="28"/>
          <w:szCs w:val="28"/>
        </w:rPr>
      </w:pPr>
      <w:r w:rsidRPr="00C05A7E">
        <w:rPr>
          <w:rFonts w:cs="Times New Roman"/>
          <w:sz w:val="28"/>
          <w:szCs w:val="28"/>
        </w:rPr>
        <w:t>buconi@ballardspahr.com</w:t>
      </w:r>
      <w:r w:rsidRPr="00C05A7E">
        <w:rPr>
          <w:rFonts w:cs="Times New Roman"/>
          <w:sz w:val="28"/>
          <w:szCs w:val="28"/>
        </w:rPr>
        <w:br/>
      </w:r>
      <w:bookmarkStart w:id="3" w:name="FirmName2"/>
      <w:bookmarkEnd w:id="0"/>
      <w:r w:rsidRPr="004C407F">
        <w:rPr>
          <w:rFonts w:cs="Times New Roman"/>
          <w:caps/>
          <w:sz w:val="28"/>
          <w:szCs w:val="28"/>
        </w:rPr>
        <w:t>Ballard Spahr LLP</w:t>
      </w:r>
      <w:bookmarkEnd w:id="3"/>
    </w:p>
    <w:p w:rsidR="00C05A7E" w:rsidRPr="00C05A7E" w:rsidP="00A95C01" w14:paraId="16C74ECE" w14:textId="77777777">
      <w:pPr>
        <w:pStyle w:val="00BodyText1"/>
        <w:ind w:firstLine="0"/>
        <w:contextualSpacing/>
        <w:rPr>
          <w:rFonts w:cs="Times New Roman"/>
          <w:sz w:val="28"/>
          <w:szCs w:val="28"/>
        </w:rPr>
      </w:pPr>
      <w:bookmarkStart w:id="4" w:name="OfficeAddress2"/>
      <w:bookmarkEnd w:id="1"/>
      <w:r w:rsidRPr="00C05A7E">
        <w:rPr>
          <w:rFonts w:cs="Times New Roman"/>
          <w:sz w:val="28"/>
          <w:szCs w:val="28"/>
        </w:rPr>
        <w:t>1 East Washington Street, Suite 2300</w:t>
      </w:r>
      <w:r w:rsidRPr="00C05A7E">
        <w:rPr>
          <w:rFonts w:cs="Times New Roman"/>
          <w:sz w:val="28"/>
          <w:szCs w:val="28"/>
        </w:rPr>
        <w:br/>
        <w:t>Phoenix, AZ 85004-2555</w:t>
      </w:r>
    </w:p>
    <w:p w:rsidR="00C05A7E" w:rsidRPr="00C05A7E" w:rsidP="00A95C01" w14:paraId="772704C8" w14:textId="77777777">
      <w:pPr>
        <w:pStyle w:val="00BodyText1"/>
        <w:ind w:firstLine="0"/>
        <w:contextualSpacing/>
        <w:rPr>
          <w:rFonts w:cs="Times New Roman"/>
          <w:sz w:val="28"/>
          <w:szCs w:val="28"/>
        </w:rPr>
      </w:pPr>
      <w:r w:rsidRPr="00C05A7E">
        <w:rPr>
          <w:rFonts w:cs="Times New Roman"/>
          <w:sz w:val="28"/>
          <w:szCs w:val="28"/>
        </w:rPr>
        <w:t xml:space="preserve">Telephone: </w:t>
      </w:r>
      <w:r w:rsidRPr="00C05A7E">
        <w:rPr>
          <w:rFonts w:cs="Times New Roman"/>
          <w:sz w:val="28"/>
          <w:szCs w:val="28"/>
        </w:rPr>
        <w:tab/>
        <w:t>602.798.5400</w:t>
      </w:r>
      <w:r w:rsidRPr="00C05A7E">
        <w:rPr>
          <w:rFonts w:cs="Times New Roman"/>
          <w:sz w:val="28"/>
          <w:szCs w:val="28"/>
        </w:rPr>
        <w:br/>
        <w:t xml:space="preserve">Facsimile: </w:t>
      </w:r>
      <w:r w:rsidRPr="00C05A7E">
        <w:rPr>
          <w:rFonts w:cs="Times New Roman"/>
          <w:sz w:val="28"/>
          <w:szCs w:val="28"/>
        </w:rPr>
        <w:tab/>
        <w:t>602.798.5595</w:t>
      </w:r>
      <w:bookmarkEnd w:id="4"/>
    </w:p>
    <w:p w:rsidR="00C05A7E" w:rsidRPr="00C05A7E" w:rsidP="00A95C01" w14:paraId="2EEF6598" w14:textId="77777777">
      <w:pPr>
        <w:pStyle w:val="00BodyText1"/>
        <w:ind w:firstLine="0"/>
        <w:contextualSpacing/>
        <w:rPr>
          <w:rFonts w:cs="Times New Roman"/>
          <w:sz w:val="28"/>
          <w:szCs w:val="28"/>
        </w:rPr>
      </w:pPr>
    </w:p>
    <w:p w:rsidR="00C05A7E" w:rsidRPr="004C407F" w:rsidP="00A95C01" w14:paraId="3119324A" w14:textId="77777777">
      <w:pPr>
        <w:pStyle w:val="00BodyText1"/>
        <w:ind w:firstLine="0"/>
        <w:contextualSpacing/>
        <w:rPr>
          <w:rFonts w:cs="Times New Roman"/>
          <w:i/>
          <w:sz w:val="28"/>
          <w:szCs w:val="28"/>
        </w:rPr>
      </w:pPr>
      <w:r w:rsidRPr="004C407F">
        <w:rPr>
          <w:rFonts w:cs="Times New Roman"/>
          <w:i/>
          <w:sz w:val="28"/>
          <w:szCs w:val="28"/>
        </w:rPr>
        <w:t>Attorneys for Phoenix Newspapers, Inc.</w:t>
      </w:r>
      <w:r w:rsidRPr="004C407F" w:rsidR="004C407F">
        <w:rPr>
          <w:rFonts w:cs="Times New Roman"/>
          <w:i/>
          <w:sz w:val="28"/>
          <w:szCs w:val="28"/>
        </w:rPr>
        <w:t>,</w:t>
      </w:r>
    </w:p>
    <w:p w:rsidR="004C407F" w:rsidRPr="004C407F" w:rsidP="00A95C01" w14:paraId="2EAB11F5" w14:textId="10C688A1">
      <w:pPr>
        <w:pStyle w:val="00BodyText1"/>
        <w:ind w:firstLine="0"/>
        <w:contextualSpacing/>
        <w:rPr>
          <w:rFonts w:cs="Times New Roman"/>
          <w:i/>
          <w:sz w:val="28"/>
          <w:szCs w:val="28"/>
        </w:rPr>
      </w:pPr>
      <w:r w:rsidRPr="004C407F">
        <w:rPr>
          <w:rFonts w:cs="Times New Roman"/>
          <w:i/>
          <w:sz w:val="28"/>
          <w:szCs w:val="28"/>
        </w:rPr>
        <w:t>KPNX-TV Channel 12, Scripps Media, Inc.</w:t>
      </w:r>
    </w:p>
    <w:p w:rsidR="004C407F" w:rsidRPr="00C05A7E" w:rsidP="00A95C01" w14:paraId="73DCAC02" w14:textId="6369A867">
      <w:pPr>
        <w:pStyle w:val="00BodyText1"/>
        <w:ind w:firstLine="0"/>
        <w:contextualSpacing/>
        <w:rPr>
          <w:rFonts w:cs="Times New Roman"/>
          <w:sz w:val="28"/>
          <w:szCs w:val="28"/>
        </w:rPr>
      </w:pPr>
      <w:r>
        <w:rPr>
          <w:rFonts w:cs="Times New Roman"/>
          <w:i/>
          <w:sz w:val="28"/>
          <w:szCs w:val="28"/>
        </w:rPr>
        <w:t>and Meredith Corporation</w:t>
      </w:r>
    </w:p>
    <w:p w:rsidR="00C05A7E" w:rsidRPr="00C05A7E" w:rsidP="00A95C01" w14:paraId="73BFB7EB" w14:textId="77777777">
      <w:pPr>
        <w:pStyle w:val="00BodyText1"/>
        <w:ind w:firstLine="0"/>
        <w:contextualSpacing/>
        <w:rPr>
          <w:rFonts w:cs="Times New Roman"/>
          <w:sz w:val="28"/>
          <w:szCs w:val="28"/>
        </w:rPr>
      </w:pPr>
    </w:p>
    <w:p w:rsidR="00A50FBF" w:rsidRPr="00C05A7E" w:rsidP="00A95C01" w14:paraId="1CFFA17E" w14:textId="77777777">
      <w:pPr>
        <w:pStyle w:val="00BodyText1"/>
        <w:spacing w:after="0"/>
        <w:ind w:firstLine="0"/>
        <w:contextualSpacing/>
        <w:jc w:val="center"/>
        <w:rPr>
          <w:rFonts w:cs="Times New Roman"/>
          <w:b/>
          <w:caps/>
          <w:sz w:val="28"/>
          <w:szCs w:val="28"/>
        </w:rPr>
      </w:pPr>
      <w:r w:rsidRPr="00C05A7E">
        <w:rPr>
          <w:rFonts w:cs="Times New Roman"/>
          <w:b/>
          <w:caps/>
          <w:sz w:val="28"/>
          <w:szCs w:val="28"/>
        </w:rPr>
        <w:t>in the supreme court</w:t>
      </w:r>
    </w:p>
    <w:p w:rsidR="00A50FBF" w:rsidRPr="00C05A7E" w:rsidP="00A95C01" w14:paraId="15E320A3" w14:textId="77777777">
      <w:pPr>
        <w:pStyle w:val="00BodyText1"/>
        <w:spacing w:after="0"/>
        <w:ind w:firstLine="0"/>
        <w:contextualSpacing/>
        <w:jc w:val="center"/>
        <w:rPr>
          <w:rFonts w:cs="Times New Roman"/>
          <w:sz w:val="28"/>
          <w:szCs w:val="28"/>
        </w:rPr>
      </w:pPr>
      <w:r w:rsidRPr="00C05A7E">
        <w:rPr>
          <w:rFonts w:cs="Times New Roman"/>
          <w:b/>
          <w:caps/>
          <w:sz w:val="28"/>
          <w:szCs w:val="28"/>
        </w:rPr>
        <w:t>state of Arizona</w:t>
      </w:r>
    </w:p>
    <w:p w:rsidR="00C05A7E" w:rsidP="00A95C01" w14:paraId="4567DA17" w14:textId="77777777">
      <w:pPr>
        <w:pStyle w:val="00BodyText1"/>
        <w:spacing w:after="0"/>
        <w:ind w:firstLine="0"/>
        <w:contextualSpacing/>
        <w:jc w:val="both"/>
        <w:rPr>
          <w:rFonts w:cs="Times New Roman"/>
          <w:sz w:val="28"/>
          <w:szCs w:val="28"/>
        </w:rPr>
      </w:pPr>
    </w:p>
    <w:p w:rsidR="00A50FBF" w:rsidRPr="00C05A7E" w:rsidP="00A95C01" w14:paraId="3C268C22" w14:textId="77777777">
      <w:pPr>
        <w:pStyle w:val="00BodyText1"/>
        <w:spacing w:after="0"/>
        <w:ind w:firstLine="0"/>
        <w:contextualSpacing/>
        <w:jc w:val="both"/>
        <w:rPr>
          <w:rFonts w:cs="Times New Roman"/>
          <w:sz w:val="28"/>
          <w:szCs w:val="28"/>
        </w:rPr>
      </w:pPr>
      <w:r w:rsidRPr="00C05A7E">
        <w:rPr>
          <w:rFonts w:cs="Times New Roman"/>
          <w:sz w:val="28"/>
          <w:szCs w:val="28"/>
        </w:rPr>
        <w:t>In the Matter of:</w:t>
      </w:r>
      <w:r w:rsidRPr="00C05A7E">
        <w:rPr>
          <w:rFonts w:cs="Times New Roman"/>
          <w:sz w:val="28"/>
          <w:szCs w:val="28"/>
        </w:rPr>
        <w:tab/>
      </w:r>
      <w:r w:rsidRPr="00C05A7E">
        <w:rPr>
          <w:rFonts w:cs="Times New Roman"/>
          <w:sz w:val="28"/>
          <w:szCs w:val="28"/>
        </w:rPr>
        <w:tab/>
      </w:r>
      <w:r w:rsidRPr="00C05A7E">
        <w:rPr>
          <w:rFonts w:cs="Times New Roman"/>
          <w:sz w:val="28"/>
          <w:szCs w:val="28"/>
        </w:rPr>
        <w:tab/>
      </w:r>
      <w:r w:rsidRPr="00C05A7E">
        <w:rPr>
          <w:rFonts w:cs="Times New Roman"/>
          <w:sz w:val="28"/>
          <w:szCs w:val="28"/>
        </w:rPr>
        <w:tab/>
        <w:t>)</w:t>
      </w:r>
    </w:p>
    <w:p w:rsidR="00A50FBF" w:rsidRPr="00C05A7E" w:rsidP="00A95C01" w14:paraId="2DDABDC8" w14:textId="77777777">
      <w:pPr>
        <w:pStyle w:val="00BodyText1"/>
        <w:spacing w:after="0"/>
        <w:ind w:firstLine="0"/>
        <w:contextualSpacing/>
        <w:jc w:val="both"/>
        <w:rPr>
          <w:rFonts w:cs="Times New Roman"/>
          <w:sz w:val="28"/>
          <w:szCs w:val="28"/>
        </w:rPr>
      </w:pPr>
      <w:r w:rsidRPr="00C05A7E">
        <w:rPr>
          <w:rFonts w:cs="Times New Roman"/>
          <w:sz w:val="28"/>
          <w:szCs w:val="28"/>
        </w:rPr>
        <w:tab/>
      </w:r>
      <w:r w:rsidRPr="00C05A7E">
        <w:rPr>
          <w:rFonts w:cs="Times New Roman"/>
          <w:sz w:val="28"/>
          <w:szCs w:val="28"/>
        </w:rPr>
        <w:tab/>
      </w:r>
      <w:r w:rsidRPr="00C05A7E">
        <w:rPr>
          <w:rFonts w:cs="Times New Roman"/>
          <w:sz w:val="28"/>
          <w:szCs w:val="28"/>
        </w:rPr>
        <w:tab/>
      </w:r>
      <w:r w:rsidRPr="00C05A7E">
        <w:rPr>
          <w:rFonts w:cs="Times New Roman"/>
          <w:sz w:val="28"/>
          <w:szCs w:val="28"/>
        </w:rPr>
        <w:tab/>
      </w:r>
      <w:r w:rsidRPr="00C05A7E">
        <w:rPr>
          <w:rFonts w:cs="Times New Roman"/>
          <w:sz w:val="28"/>
          <w:szCs w:val="28"/>
        </w:rPr>
        <w:tab/>
      </w:r>
      <w:r w:rsidRPr="00C05A7E">
        <w:rPr>
          <w:rFonts w:cs="Times New Roman"/>
          <w:sz w:val="28"/>
          <w:szCs w:val="28"/>
        </w:rPr>
        <w:tab/>
        <w:t>)</w:t>
      </w:r>
      <w:r w:rsidRPr="00C05A7E">
        <w:rPr>
          <w:rFonts w:cs="Times New Roman"/>
          <w:sz w:val="28"/>
          <w:szCs w:val="28"/>
        </w:rPr>
        <w:tab/>
        <w:t>Supreme Court No. R</w:t>
      </w:r>
      <w:r w:rsidR="00C05A7E">
        <w:rPr>
          <w:rFonts w:cs="Times New Roman"/>
          <w:sz w:val="28"/>
          <w:szCs w:val="28"/>
        </w:rPr>
        <w:t>-20-0035</w:t>
      </w:r>
    </w:p>
    <w:p w:rsidR="00A50FBF" w:rsidRPr="00C05A7E" w:rsidP="00A95C01" w14:paraId="3BAF7BCC" w14:textId="77777777">
      <w:pPr>
        <w:pStyle w:val="00BodyText1"/>
        <w:spacing w:after="0"/>
        <w:ind w:firstLine="0"/>
        <w:contextualSpacing/>
        <w:jc w:val="both"/>
        <w:rPr>
          <w:rFonts w:cs="Times New Roman"/>
          <w:sz w:val="28"/>
          <w:szCs w:val="28"/>
        </w:rPr>
      </w:pPr>
      <w:r w:rsidRPr="00C05A7E">
        <w:rPr>
          <w:rFonts w:cs="Times New Roman"/>
          <w:sz w:val="28"/>
          <w:szCs w:val="28"/>
        </w:rPr>
        <w:tab/>
      </w:r>
      <w:r w:rsidRPr="00C05A7E">
        <w:rPr>
          <w:rFonts w:cs="Times New Roman"/>
          <w:sz w:val="28"/>
          <w:szCs w:val="28"/>
        </w:rPr>
        <w:tab/>
      </w:r>
      <w:r w:rsidRPr="00C05A7E">
        <w:rPr>
          <w:rFonts w:cs="Times New Roman"/>
          <w:sz w:val="28"/>
          <w:szCs w:val="28"/>
        </w:rPr>
        <w:tab/>
      </w:r>
      <w:r w:rsidRPr="00C05A7E">
        <w:rPr>
          <w:rFonts w:cs="Times New Roman"/>
          <w:sz w:val="28"/>
          <w:szCs w:val="28"/>
        </w:rPr>
        <w:tab/>
      </w:r>
      <w:r w:rsidRPr="00C05A7E">
        <w:rPr>
          <w:rFonts w:cs="Times New Roman"/>
          <w:sz w:val="28"/>
          <w:szCs w:val="28"/>
        </w:rPr>
        <w:tab/>
      </w:r>
      <w:r w:rsidRPr="00C05A7E">
        <w:rPr>
          <w:rFonts w:cs="Times New Roman"/>
          <w:sz w:val="28"/>
          <w:szCs w:val="28"/>
        </w:rPr>
        <w:tab/>
        <w:t>)</w:t>
      </w:r>
    </w:p>
    <w:p w:rsidR="00A50FBF" w:rsidRPr="00C05A7E" w:rsidP="00A95C01" w14:paraId="562D084A" w14:textId="77777777">
      <w:pPr>
        <w:pStyle w:val="00BodyText1"/>
        <w:spacing w:after="0"/>
        <w:ind w:firstLine="0"/>
        <w:contextualSpacing/>
        <w:jc w:val="both"/>
        <w:rPr>
          <w:rFonts w:cs="Times New Roman"/>
          <w:caps/>
          <w:sz w:val="28"/>
          <w:szCs w:val="28"/>
        </w:rPr>
      </w:pPr>
      <w:r w:rsidRPr="00C05A7E">
        <w:rPr>
          <w:rFonts w:cs="Times New Roman"/>
          <w:caps/>
          <w:sz w:val="28"/>
          <w:szCs w:val="28"/>
        </w:rPr>
        <w:t xml:space="preserve">Rule 28, IRC Nomination </w:t>
      </w:r>
      <w:r w:rsidRPr="00C05A7E">
        <w:rPr>
          <w:rFonts w:cs="Times New Roman"/>
          <w:caps/>
          <w:sz w:val="28"/>
          <w:szCs w:val="28"/>
        </w:rPr>
        <w:tab/>
        <w:t>)</w:t>
      </w:r>
    </w:p>
    <w:p w:rsidR="00A50FBF" w:rsidRPr="00C05A7E" w:rsidP="00A95C01" w14:paraId="18A3EE27" w14:textId="77777777">
      <w:pPr>
        <w:pStyle w:val="00BodyText1"/>
        <w:spacing w:after="0"/>
        <w:ind w:firstLine="0"/>
        <w:contextualSpacing/>
        <w:jc w:val="both"/>
        <w:rPr>
          <w:rFonts w:cs="Times New Roman"/>
          <w:sz w:val="28"/>
          <w:szCs w:val="28"/>
        </w:rPr>
      </w:pPr>
      <w:r w:rsidRPr="00C05A7E">
        <w:rPr>
          <w:rFonts w:cs="Times New Roman"/>
          <w:caps/>
          <w:sz w:val="28"/>
          <w:szCs w:val="28"/>
        </w:rPr>
        <w:t>Procedures</w:t>
      </w:r>
      <w:r w:rsidRPr="00C05A7E">
        <w:rPr>
          <w:rFonts w:cs="Times New Roman"/>
          <w:sz w:val="28"/>
          <w:szCs w:val="28"/>
        </w:rPr>
        <w:tab/>
      </w:r>
      <w:r w:rsidRPr="00C05A7E">
        <w:rPr>
          <w:rFonts w:cs="Times New Roman"/>
          <w:sz w:val="28"/>
          <w:szCs w:val="28"/>
        </w:rPr>
        <w:tab/>
      </w:r>
      <w:r w:rsidRPr="00C05A7E">
        <w:rPr>
          <w:rFonts w:cs="Times New Roman"/>
          <w:sz w:val="28"/>
          <w:szCs w:val="28"/>
        </w:rPr>
        <w:tab/>
      </w:r>
      <w:r w:rsidRPr="00C05A7E">
        <w:rPr>
          <w:rFonts w:cs="Times New Roman"/>
          <w:sz w:val="28"/>
          <w:szCs w:val="28"/>
        </w:rPr>
        <w:tab/>
        <w:t>)</w:t>
      </w:r>
    </w:p>
    <w:p w:rsidR="00BB0449" w:rsidP="00A95C01" w14:paraId="63F41DE4" w14:textId="0D738E25">
      <w:pPr>
        <w:pStyle w:val="00BodyText1"/>
        <w:spacing w:after="0"/>
        <w:ind w:firstLine="0"/>
        <w:contextualSpacing/>
        <w:rPr>
          <w:rFonts w:cs="Times New Roman"/>
          <w:sz w:val="28"/>
          <w:szCs w:val="28"/>
        </w:rPr>
      </w:pPr>
      <w:r w:rsidRPr="00C05A7E">
        <w:rPr>
          <w:rFonts w:cs="Times New Roman"/>
          <w:sz w:val="28"/>
          <w:szCs w:val="28"/>
        </w:rPr>
        <w:tab/>
      </w:r>
      <w:r w:rsidRPr="00C05A7E">
        <w:rPr>
          <w:rFonts w:cs="Times New Roman"/>
          <w:sz w:val="28"/>
          <w:szCs w:val="28"/>
        </w:rPr>
        <w:tab/>
      </w:r>
      <w:r w:rsidRPr="00C05A7E">
        <w:rPr>
          <w:rFonts w:cs="Times New Roman"/>
          <w:sz w:val="28"/>
          <w:szCs w:val="28"/>
        </w:rPr>
        <w:tab/>
      </w:r>
      <w:r w:rsidRPr="00C05A7E">
        <w:rPr>
          <w:rFonts w:cs="Times New Roman"/>
          <w:sz w:val="28"/>
          <w:szCs w:val="28"/>
        </w:rPr>
        <w:tab/>
      </w:r>
      <w:r w:rsidRPr="00C05A7E">
        <w:rPr>
          <w:rFonts w:cs="Times New Roman"/>
          <w:sz w:val="28"/>
          <w:szCs w:val="28"/>
        </w:rPr>
        <w:tab/>
      </w:r>
      <w:r w:rsidRPr="00C05A7E">
        <w:rPr>
          <w:rFonts w:cs="Times New Roman"/>
          <w:sz w:val="28"/>
          <w:szCs w:val="28"/>
        </w:rPr>
        <w:tab/>
      </w:r>
      <w:r w:rsidR="00C05A7E">
        <w:rPr>
          <w:rFonts w:cs="Times New Roman"/>
          <w:sz w:val="28"/>
          <w:szCs w:val="28"/>
        </w:rPr>
        <w:t>)</w:t>
      </w:r>
      <w:r w:rsidR="00040F1B">
        <w:rPr>
          <w:rFonts w:cs="Times New Roman"/>
          <w:sz w:val="28"/>
          <w:szCs w:val="28"/>
        </w:rPr>
        <w:tab/>
        <w:t>Comment on</w:t>
      </w:r>
      <w:r w:rsidRPr="00C05A7E">
        <w:rPr>
          <w:rFonts w:cs="Times New Roman"/>
          <w:sz w:val="28"/>
          <w:szCs w:val="28"/>
        </w:rPr>
        <w:t xml:space="preserve"> </w:t>
      </w:r>
      <w:r w:rsidR="00B37BCD">
        <w:rPr>
          <w:rFonts w:cs="Times New Roman"/>
          <w:sz w:val="28"/>
          <w:szCs w:val="28"/>
        </w:rPr>
        <w:t>Revised Petition</w:t>
      </w:r>
      <w:r w:rsidR="00EA79B9">
        <w:rPr>
          <w:rFonts w:cs="Times New Roman"/>
          <w:sz w:val="28"/>
          <w:szCs w:val="28"/>
        </w:rPr>
        <w:t xml:space="preserve"> to</w:t>
      </w:r>
    </w:p>
    <w:p w:rsidR="00BB0449" w:rsidP="00A95C01" w14:paraId="272B97DC" w14:textId="32BB8E90">
      <w:pPr>
        <w:pStyle w:val="00BodyText1"/>
        <w:spacing w:after="0"/>
        <w:ind w:firstLine="0"/>
        <w:contextualSpacing/>
        <w:rPr>
          <w:rFonts w:cs="Times New Roman"/>
          <w:sz w:val="28"/>
          <w:szCs w:val="28"/>
        </w:rPr>
      </w:pP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w:t>
      </w:r>
      <w:r>
        <w:rPr>
          <w:rFonts w:cs="Times New Roman"/>
          <w:sz w:val="28"/>
          <w:szCs w:val="28"/>
        </w:rPr>
        <w:tab/>
      </w:r>
      <w:r w:rsidR="00B37BCD">
        <w:rPr>
          <w:rFonts w:cs="Times New Roman"/>
          <w:sz w:val="28"/>
          <w:szCs w:val="28"/>
        </w:rPr>
        <w:t xml:space="preserve">Amend </w:t>
      </w:r>
      <w:r>
        <w:rPr>
          <w:rFonts w:cs="Times New Roman"/>
          <w:sz w:val="28"/>
          <w:szCs w:val="28"/>
        </w:rPr>
        <w:t xml:space="preserve">the Procedures for </w:t>
      </w:r>
    </w:p>
    <w:p w:rsidR="00BB0449" w:rsidP="00A95C01" w14:paraId="4E6D9934" w14:textId="653F8C47">
      <w:pPr>
        <w:pStyle w:val="00BodyText1"/>
        <w:spacing w:after="0"/>
        <w:ind w:firstLine="0"/>
        <w:contextualSpacing/>
        <w:rPr>
          <w:rFonts w:cs="Times New Roman"/>
          <w:sz w:val="28"/>
          <w:szCs w:val="28"/>
        </w:rPr>
      </w:pP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sidR="00F61616">
        <w:rPr>
          <w:rFonts w:cs="Times New Roman"/>
          <w:sz w:val="28"/>
          <w:szCs w:val="28"/>
        </w:rPr>
        <w:t>)</w:t>
      </w:r>
      <w:r>
        <w:rPr>
          <w:rFonts w:cs="Times New Roman"/>
          <w:sz w:val="28"/>
          <w:szCs w:val="28"/>
        </w:rPr>
        <w:tab/>
      </w:r>
      <w:r w:rsidR="00B37BCD">
        <w:rPr>
          <w:rFonts w:cs="Times New Roman"/>
          <w:sz w:val="28"/>
          <w:szCs w:val="28"/>
        </w:rPr>
        <w:t xml:space="preserve">Nominations </w:t>
      </w:r>
      <w:r w:rsidR="00267469">
        <w:rPr>
          <w:rFonts w:cs="Times New Roman"/>
          <w:sz w:val="28"/>
          <w:szCs w:val="28"/>
        </w:rPr>
        <w:t>f</w:t>
      </w:r>
      <w:r>
        <w:rPr>
          <w:rFonts w:cs="Times New Roman"/>
          <w:sz w:val="28"/>
          <w:szCs w:val="28"/>
        </w:rPr>
        <w:t xml:space="preserve">or the Independent </w:t>
      </w:r>
    </w:p>
    <w:p w:rsidR="00A50FBF" w:rsidRPr="00C05A7E" w:rsidP="00267469" w14:paraId="5D9B4844" w14:textId="493CF9CA">
      <w:pPr>
        <w:pStyle w:val="00BodyText1"/>
        <w:spacing w:after="0"/>
        <w:ind w:firstLine="0"/>
        <w:contextualSpacing/>
        <w:rPr>
          <w:rFonts w:cs="Times New Roman"/>
          <w:sz w:val="28"/>
          <w:szCs w:val="28"/>
        </w:rPr>
      </w:pP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sidR="00F61616">
        <w:rPr>
          <w:rFonts w:cs="Times New Roman"/>
          <w:sz w:val="28"/>
          <w:szCs w:val="28"/>
        </w:rPr>
        <w:t>)</w:t>
      </w:r>
      <w:r>
        <w:rPr>
          <w:rFonts w:cs="Times New Roman"/>
          <w:sz w:val="28"/>
          <w:szCs w:val="28"/>
        </w:rPr>
        <w:tab/>
      </w:r>
      <w:r w:rsidR="00B37BCD">
        <w:rPr>
          <w:rFonts w:cs="Times New Roman"/>
          <w:sz w:val="28"/>
          <w:szCs w:val="28"/>
        </w:rPr>
        <w:t xml:space="preserve">Redistricting </w:t>
      </w:r>
      <w:r w:rsidR="00267469">
        <w:rPr>
          <w:rFonts w:cs="Times New Roman"/>
          <w:sz w:val="28"/>
          <w:szCs w:val="28"/>
        </w:rPr>
        <w:t>Commission</w:t>
      </w:r>
    </w:p>
    <w:p w:rsidR="00A50FBF" w:rsidRPr="00C05A7E" w:rsidP="00A95C01" w14:paraId="29303385" w14:textId="77777777">
      <w:pPr>
        <w:pStyle w:val="00BodyText1"/>
        <w:spacing w:after="0"/>
        <w:ind w:firstLine="0"/>
        <w:contextualSpacing/>
        <w:jc w:val="both"/>
        <w:rPr>
          <w:rFonts w:cs="Times New Roman"/>
          <w:sz w:val="28"/>
          <w:szCs w:val="28"/>
        </w:rPr>
      </w:pPr>
      <w:r w:rsidRPr="00C05A7E">
        <w:rPr>
          <w:rFonts w:cs="Times New Roman"/>
          <w:sz w:val="28"/>
          <w:szCs w:val="28"/>
          <w:u w:val="single"/>
        </w:rPr>
        <w:tab/>
      </w:r>
      <w:r w:rsidRPr="00C05A7E">
        <w:rPr>
          <w:rFonts w:cs="Times New Roman"/>
          <w:sz w:val="28"/>
          <w:szCs w:val="28"/>
          <w:u w:val="single"/>
        </w:rPr>
        <w:tab/>
      </w:r>
      <w:r w:rsidRPr="00C05A7E">
        <w:rPr>
          <w:rFonts w:cs="Times New Roman"/>
          <w:sz w:val="28"/>
          <w:szCs w:val="28"/>
          <w:u w:val="single"/>
        </w:rPr>
        <w:tab/>
      </w:r>
      <w:r w:rsidRPr="00C05A7E">
        <w:rPr>
          <w:rFonts w:cs="Times New Roman"/>
          <w:sz w:val="28"/>
          <w:szCs w:val="28"/>
          <w:u w:val="single"/>
        </w:rPr>
        <w:tab/>
      </w:r>
      <w:r w:rsidRPr="00C05A7E">
        <w:rPr>
          <w:rFonts w:cs="Times New Roman"/>
          <w:sz w:val="28"/>
          <w:szCs w:val="28"/>
          <w:u w:val="single"/>
        </w:rPr>
        <w:tab/>
      </w:r>
      <w:r w:rsidRPr="00C05A7E">
        <w:rPr>
          <w:rFonts w:cs="Times New Roman"/>
          <w:sz w:val="28"/>
          <w:szCs w:val="28"/>
          <w:u w:val="single"/>
        </w:rPr>
        <w:tab/>
      </w:r>
      <w:r w:rsidRPr="00C05A7E">
        <w:rPr>
          <w:rFonts w:cs="Times New Roman"/>
          <w:sz w:val="28"/>
          <w:szCs w:val="28"/>
        </w:rPr>
        <w:t>)</w:t>
      </w:r>
    </w:p>
    <w:p w:rsidR="00A50FBF" w:rsidRPr="00C05A7E" w:rsidP="00A95C01" w14:paraId="39352E7D" w14:textId="77777777">
      <w:pPr>
        <w:pStyle w:val="00BodyText1"/>
        <w:spacing w:after="0"/>
        <w:ind w:firstLine="0"/>
        <w:contextualSpacing/>
        <w:jc w:val="both"/>
        <w:rPr>
          <w:rFonts w:cs="Times New Roman"/>
          <w:sz w:val="28"/>
          <w:szCs w:val="28"/>
        </w:rPr>
      </w:pPr>
    </w:p>
    <w:p w:rsidR="004879B8" w:rsidRPr="00A50FBF" w:rsidP="00A95C01" w14:paraId="51E956A6" w14:textId="25F7489B">
      <w:pPr>
        <w:pStyle w:val="00BodyText1"/>
        <w:spacing w:after="0" w:line="480" w:lineRule="auto"/>
        <w:ind w:firstLine="0"/>
        <w:contextualSpacing/>
        <w:jc w:val="both"/>
        <w:rPr>
          <w:sz w:val="28"/>
          <w:szCs w:val="28"/>
        </w:rPr>
      </w:pPr>
      <w:r w:rsidRPr="00C05A7E">
        <w:rPr>
          <w:rFonts w:cs="Times New Roman"/>
          <w:sz w:val="28"/>
          <w:szCs w:val="28"/>
        </w:rPr>
        <w:tab/>
      </w:r>
      <w:r w:rsidR="001D7A6C">
        <w:rPr>
          <w:rFonts w:cs="Times New Roman"/>
          <w:sz w:val="28"/>
          <w:szCs w:val="28"/>
        </w:rPr>
        <w:t>Pursuant to Ariz</w:t>
      </w:r>
      <w:r w:rsidR="006E3249">
        <w:rPr>
          <w:rFonts w:cs="Times New Roman"/>
          <w:sz w:val="28"/>
          <w:szCs w:val="28"/>
        </w:rPr>
        <w:t xml:space="preserve">. R. Sup. Ct. </w:t>
      </w:r>
      <w:r w:rsidR="001D7A6C">
        <w:rPr>
          <w:rFonts w:cs="Times New Roman"/>
          <w:sz w:val="28"/>
          <w:szCs w:val="28"/>
        </w:rPr>
        <w:t xml:space="preserve">28(e), </w:t>
      </w:r>
      <w:r w:rsidRPr="00C05A7E">
        <w:rPr>
          <w:rFonts w:cs="Times New Roman"/>
          <w:sz w:val="28"/>
          <w:szCs w:val="28"/>
        </w:rPr>
        <w:t xml:space="preserve">Phoenix Newspapers, Inc., </w:t>
      </w:r>
      <w:r w:rsidR="00C7247F">
        <w:rPr>
          <w:rFonts w:cs="Times New Roman"/>
          <w:sz w:val="28"/>
          <w:szCs w:val="28"/>
        </w:rPr>
        <w:t xml:space="preserve">which publishes </w:t>
      </w:r>
      <w:r w:rsidR="00C7247F">
        <w:rPr>
          <w:rFonts w:cs="Times New Roman"/>
          <w:i/>
          <w:sz w:val="28"/>
          <w:szCs w:val="28"/>
        </w:rPr>
        <w:t>The Arizona Republic</w:t>
      </w:r>
      <w:r w:rsidR="00C7247F">
        <w:rPr>
          <w:rFonts w:cs="Times New Roman"/>
          <w:sz w:val="28"/>
          <w:szCs w:val="28"/>
        </w:rPr>
        <w:t>,</w:t>
      </w:r>
      <w:r w:rsidR="00C7247F">
        <w:rPr>
          <w:rFonts w:cs="Times New Roman"/>
          <w:i/>
          <w:sz w:val="28"/>
          <w:szCs w:val="28"/>
        </w:rPr>
        <w:t xml:space="preserve"> </w:t>
      </w:r>
      <w:r w:rsidRPr="00C7247F" w:rsidR="00C7247F">
        <w:rPr>
          <w:rFonts w:cs="Times New Roman"/>
          <w:sz w:val="28"/>
          <w:szCs w:val="28"/>
        </w:rPr>
        <w:t>KPNX-TV Channel 12, a division of Multimed</w:t>
      </w:r>
      <w:r w:rsidR="00C7247F">
        <w:rPr>
          <w:rFonts w:cs="Times New Roman"/>
          <w:sz w:val="28"/>
          <w:szCs w:val="28"/>
        </w:rPr>
        <w:t xml:space="preserve">ia Holdings Corporation, </w:t>
      </w:r>
      <w:r w:rsidRPr="00C05A7E" w:rsidR="00FC1E9B">
        <w:rPr>
          <w:rFonts w:cs="Times New Roman"/>
          <w:sz w:val="28"/>
          <w:szCs w:val="28"/>
        </w:rPr>
        <w:t>Scripps</w:t>
      </w:r>
      <w:r w:rsidRPr="00C05A7E" w:rsidR="00ED7EE1">
        <w:rPr>
          <w:rFonts w:cs="Times New Roman"/>
          <w:sz w:val="28"/>
          <w:szCs w:val="28"/>
        </w:rPr>
        <w:t xml:space="preserve"> Media, Inc.</w:t>
      </w:r>
      <w:r w:rsidR="00C7247F">
        <w:rPr>
          <w:rFonts w:cs="Times New Roman"/>
          <w:sz w:val="28"/>
          <w:szCs w:val="28"/>
        </w:rPr>
        <w:t>,</w:t>
      </w:r>
      <w:r w:rsidRPr="00C7247F" w:rsidR="00C7247F">
        <w:rPr>
          <w:rFonts w:eastAsia="Calibri" w:cs="Times New Roman"/>
          <w:sz w:val="26"/>
          <w:szCs w:val="22"/>
        </w:rPr>
        <w:t xml:space="preserve"> </w:t>
      </w:r>
      <w:r w:rsidR="00C7247F">
        <w:rPr>
          <w:rFonts w:cs="Times New Roman"/>
          <w:sz w:val="28"/>
          <w:szCs w:val="28"/>
        </w:rPr>
        <w:t xml:space="preserve">which </w:t>
      </w:r>
      <w:r w:rsidRPr="00C7247F" w:rsidR="00C7247F">
        <w:rPr>
          <w:rFonts w:cs="Times New Roman"/>
          <w:sz w:val="28"/>
          <w:szCs w:val="28"/>
        </w:rPr>
        <w:t>owns and operates ABC 15 (also known as KNXV-TV, Channel 15) and publishes the website “</w:t>
      </w:r>
      <w:r w:rsidR="00C7247F">
        <w:rPr>
          <w:rFonts w:cs="Times New Roman"/>
          <w:sz w:val="28"/>
          <w:szCs w:val="28"/>
        </w:rPr>
        <w:t>abc15.com,</w:t>
      </w:r>
      <w:r w:rsidRPr="00C7247F" w:rsidR="00C7247F">
        <w:rPr>
          <w:rFonts w:cs="Times New Roman"/>
          <w:sz w:val="28"/>
          <w:szCs w:val="28"/>
        </w:rPr>
        <w:t>”</w:t>
      </w:r>
      <w:r w:rsidR="00C7247F">
        <w:rPr>
          <w:rFonts w:cs="Times New Roman"/>
          <w:sz w:val="28"/>
          <w:szCs w:val="28"/>
        </w:rPr>
        <w:t xml:space="preserve"> </w:t>
      </w:r>
      <w:r w:rsidRPr="00C05A7E" w:rsidR="00FC1E9B">
        <w:rPr>
          <w:rFonts w:cs="Times New Roman"/>
          <w:sz w:val="28"/>
          <w:szCs w:val="28"/>
        </w:rPr>
        <w:t>and</w:t>
      </w:r>
      <w:r w:rsidRPr="00C05A7E">
        <w:rPr>
          <w:rFonts w:cs="Times New Roman"/>
          <w:sz w:val="28"/>
          <w:szCs w:val="28"/>
        </w:rPr>
        <w:t xml:space="preserve"> </w:t>
      </w:r>
      <w:r w:rsidRPr="00C7247F" w:rsidR="00C7247F">
        <w:rPr>
          <w:rFonts w:cs="Times New Roman"/>
          <w:sz w:val="28"/>
          <w:szCs w:val="28"/>
        </w:rPr>
        <w:t>Meredith Corpora</w:t>
      </w:r>
      <w:r w:rsidR="001D7A6C">
        <w:rPr>
          <w:rFonts w:cs="Times New Roman"/>
          <w:sz w:val="28"/>
          <w:szCs w:val="28"/>
        </w:rPr>
        <w:t xml:space="preserve">tion, which, through its wholly </w:t>
      </w:r>
      <w:r w:rsidRPr="00C7247F" w:rsidR="00C7247F">
        <w:rPr>
          <w:rFonts w:cs="Times New Roman"/>
          <w:sz w:val="28"/>
          <w:szCs w:val="28"/>
        </w:rPr>
        <w:t xml:space="preserve">owned subsidiary KPHO Broadcasting Corporation, owns and operates KTVK 3TV (“3TV”) and KPHO-TV </w:t>
      </w:r>
      <w:r w:rsidRPr="00C7247F" w:rsidR="00C7247F">
        <w:rPr>
          <w:rFonts w:cs="Times New Roman"/>
          <w:sz w:val="28"/>
          <w:szCs w:val="28"/>
        </w:rPr>
        <w:t>(“CBS5”) and publishes azfamily.com</w:t>
      </w:r>
      <w:r w:rsidRPr="00C05A7E" w:rsidR="00ED7EE1">
        <w:rPr>
          <w:rFonts w:cs="Times New Roman"/>
          <w:sz w:val="28"/>
          <w:szCs w:val="28"/>
        </w:rPr>
        <w:t xml:space="preserve"> (collectively, the</w:t>
      </w:r>
      <w:r w:rsidRPr="00A50FBF" w:rsidR="00ED7EE1">
        <w:rPr>
          <w:sz w:val="28"/>
          <w:szCs w:val="28"/>
        </w:rPr>
        <w:t xml:space="preserve"> “News Organizations”)</w:t>
      </w:r>
      <w:r w:rsidRPr="00A50FBF">
        <w:rPr>
          <w:sz w:val="28"/>
          <w:szCs w:val="28"/>
        </w:rPr>
        <w:t xml:space="preserve">, </w:t>
      </w:r>
      <w:r w:rsidRPr="00A50FBF" w:rsidR="00FC1E9B">
        <w:rPr>
          <w:sz w:val="28"/>
          <w:szCs w:val="28"/>
        </w:rPr>
        <w:t xml:space="preserve">submit the following comments </w:t>
      </w:r>
      <w:r w:rsidR="00C97887">
        <w:rPr>
          <w:sz w:val="28"/>
          <w:szCs w:val="28"/>
        </w:rPr>
        <w:t xml:space="preserve">on the April 2, 2020 </w:t>
      </w:r>
      <w:r w:rsidR="006215BB">
        <w:rPr>
          <w:sz w:val="28"/>
          <w:szCs w:val="28"/>
        </w:rPr>
        <w:t xml:space="preserve">revised </w:t>
      </w:r>
      <w:r w:rsidR="00C97887">
        <w:rPr>
          <w:sz w:val="28"/>
          <w:szCs w:val="28"/>
        </w:rPr>
        <w:t xml:space="preserve">petition of the Commission on Appellate Court Appointments to amend, on an emergency basis, Rules 128 through 134 of the Arizona Rules of the Supreme Court.  Specifically, </w:t>
      </w:r>
      <w:r w:rsidR="00771C1D">
        <w:rPr>
          <w:sz w:val="28"/>
          <w:szCs w:val="28"/>
        </w:rPr>
        <w:t>and for the reasons</w:t>
      </w:r>
      <w:r w:rsidR="00842B1D">
        <w:rPr>
          <w:sz w:val="28"/>
          <w:szCs w:val="28"/>
        </w:rPr>
        <w:t xml:space="preserve"> set forth</w:t>
      </w:r>
      <w:r w:rsidR="00771C1D">
        <w:rPr>
          <w:sz w:val="28"/>
          <w:szCs w:val="28"/>
        </w:rPr>
        <w:t xml:space="preserve"> in this Comment, </w:t>
      </w:r>
      <w:r w:rsidR="00C97887">
        <w:rPr>
          <w:sz w:val="28"/>
          <w:szCs w:val="28"/>
        </w:rPr>
        <w:t xml:space="preserve">the News Organizations oppose </w:t>
      </w:r>
      <w:r w:rsidR="00F61616">
        <w:rPr>
          <w:sz w:val="28"/>
          <w:szCs w:val="28"/>
        </w:rPr>
        <w:t xml:space="preserve">the Arizona Supreme Court’s </w:t>
      </w:r>
      <w:r w:rsidR="00C97887">
        <w:rPr>
          <w:sz w:val="28"/>
          <w:szCs w:val="28"/>
        </w:rPr>
        <w:t xml:space="preserve">April 3, 2020 </w:t>
      </w:r>
      <w:r w:rsidR="00F61616">
        <w:rPr>
          <w:sz w:val="28"/>
          <w:szCs w:val="28"/>
        </w:rPr>
        <w:t xml:space="preserve">emergency amendment of Supreme Court </w:t>
      </w:r>
      <w:r w:rsidR="00C61788">
        <w:rPr>
          <w:sz w:val="28"/>
          <w:szCs w:val="28"/>
        </w:rPr>
        <w:t>Rule 131, previously numbered as Rule 132</w:t>
      </w:r>
      <w:r w:rsidR="00B55EF7">
        <w:rPr>
          <w:sz w:val="28"/>
          <w:szCs w:val="28"/>
        </w:rPr>
        <w:t>, and respectfully request that it be rescinded</w:t>
      </w:r>
      <w:r w:rsidR="00F61616">
        <w:rPr>
          <w:sz w:val="28"/>
          <w:szCs w:val="28"/>
        </w:rPr>
        <w:t>.</w:t>
      </w:r>
    </w:p>
    <w:p w:rsidR="00C37B70" w:rsidRPr="00A50FBF" w:rsidP="00A95C01" w14:paraId="230BE2F4" w14:textId="77777777">
      <w:pPr>
        <w:pStyle w:val="00BodyText1"/>
        <w:spacing w:line="480" w:lineRule="auto"/>
        <w:ind w:firstLine="0"/>
        <w:contextualSpacing/>
        <w:jc w:val="center"/>
        <w:rPr>
          <w:b/>
          <w:sz w:val="28"/>
          <w:szCs w:val="28"/>
          <w:u w:val="single"/>
        </w:rPr>
      </w:pPr>
      <w:r w:rsidRPr="00A50FBF">
        <w:rPr>
          <w:b/>
          <w:sz w:val="28"/>
          <w:szCs w:val="28"/>
          <w:u w:val="single"/>
        </w:rPr>
        <w:t>Preliminary Statement</w:t>
      </w:r>
    </w:p>
    <w:p w:rsidR="00AC52DC" w:rsidRPr="00A50FBF" w:rsidP="00842B1D" w14:paraId="36C43979" w14:textId="7A082A67">
      <w:pPr>
        <w:pStyle w:val="00BodyText1"/>
        <w:spacing w:line="480" w:lineRule="auto"/>
        <w:ind w:firstLine="720"/>
        <w:contextualSpacing/>
        <w:jc w:val="both"/>
        <w:rPr>
          <w:sz w:val="28"/>
          <w:szCs w:val="28"/>
        </w:rPr>
      </w:pPr>
      <w:r>
        <w:rPr>
          <w:sz w:val="28"/>
          <w:szCs w:val="28"/>
        </w:rPr>
        <w:t>“Historicall</w:t>
      </w:r>
      <w:r w:rsidR="00A07FF4">
        <w:rPr>
          <w:sz w:val="28"/>
          <w:szCs w:val="28"/>
        </w:rPr>
        <w:t xml:space="preserve">y, </w:t>
      </w:r>
      <w:r w:rsidRPr="00A50FBF">
        <w:rPr>
          <w:sz w:val="28"/>
          <w:szCs w:val="28"/>
        </w:rPr>
        <w:t>this state has alw</w:t>
      </w:r>
      <w:r w:rsidRPr="00A50FBF" w:rsidR="008C46A4">
        <w:rPr>
          <w:sz w:val="28"/>
          <w:szCs w:val="28"/>
        </w:rPr>
        <w:t xml:space="preserve">ays favored open government and </w:t>
      </w:r>
      <w:r w:rsidRPr="00A50FBF">
        <w:rPr>
          <w:sz w:val="28"/>
          <w:szCs w:val="28"/>
        </w:rPr>
        <w:t xml:space="preserve">an informed citizenry.”  </w:t>
      </w:r>
      <w:r w:rsidRPr="000A0A6E">
        <w:rPr>
          <w:i/>
          <w:sz w:val="28"/>
          <w:szCs w:val="28"/>
        </w:rPr>
        <w:t>See</w:t>
      </w:r>
      <w:r>
        <w:rPr>
          <w:sz w:val="28"/>
          <w:szCs w:val="28"/>
        </w:rPr>
        <w:t xml:space="preserve"> Ariz. R. </w:t>
      </w:r>
      <w:r w:rsidR="00C61788">
        <w:rPr>
          <w:sz w:val="28"/>
          <w:szCs w:val="28"/>
        </w:rPr>
        <w:t xml:space="preserve">Sup. Ct. </w:t>
      </w:r>
      <w:r w:rsidRPr="00A50FBF">
        <w:rPr>
          <w:sz w:val="28"/>
          <w:szCs w:val="28"/>
        </w:rPr>
        <w:t>123</w:t>
      </w:r>
      <w:r>
        <w:rPr>
          <w:sz w:val="28"/>
          <w:szCs w:val="28"/>
        </w:rPr>
        <w:t xml:space="preserve">; </w:t>
      </w:r>
      <w:r w:rsidRPr="00C668CF">
        <w:rPr>
          <w:i/>
          <w:sz w:val="28"/>
          <w:szCs w:val="28"/>
        </w:rPr>
        <w:t>Ariz</w:t>
      </w:r>
      <w:r w:rsidRPr="00C668CF" w:rsidR="000A0A6E">
        <w:rPr>
          <w:i/>
          <w:sz w:val="28"/>
          <w:szCs w:val="28"/>
        </w:rPr>
        <w:t>.</w:t>
      </w:r>
      <w:r w:rsidRPr="00C668CF">
        <w:rPr>
          <w:i/>
          <w:sz w:val="28"/>
          <w:szCs w:val="28"/>
        </w:rPr>
        <w:t xml:space="preserve"> Newspapers Ass’n v. Superior Court</w:t>
      </w:r>
      <w:r>
        <w:rPr>
          <w:sz w:val="28"/>
          <w:szCs w:val="28"/>
        </w:rPr>
        <w:t>, 143 Ariz. 560,</w:t>
      </w:r>
      <w:r w:rsidR="00642A68">
        <w:rPr>
          <w:sz w:val="28"/>
          <w:szCs w:val="28"/>
        </w:rPr>
        <w:t xml:space="preserve"> </w:t>
      </w:r>
      <w:r w:rsidR="00C668CF">
        <w:rPr>
          <w:sz w:val="28"/>
          <w:szCs w:val="28"/>
        </w:rPr>
        <w:t>564</w:t>
      </w:r>
      <w:r>
        <w:rPr>
          <w:sz w:val="28"/>
          <w:szCs w:val="28"/>
        </w:rPr>
        <w:t xml:space="preserve"> (1985)</w:t>
      </w:r>
      <w:r w:rsidR="00C668CF">
        <w:rPr>
          <w:sz w:val="28"/>
          <w:szCs w:val="28"/>
        </w:rPr>
        <w:t>.</w:t>
      </w:r>
      <w:r w:rsidRPr="00A50FBF">
        <w:rPr>
          <w:sz w:val="28"/>
          <w:szCs w:val="28"/>
        </w:rPr>
        <w:t xml:space="preserve">  Thi</w:t>
      </w:r>
      <w:r>
        <w:rPr>
          <w:sz w:val="28"/>
          <w:szCs w:val="28"/>
        </w:rPr>
        <w:t xml:space="preserve">s </w:t>
      </w:r>
      <w:r w:rsidR="00476B32">
        <w:rPr>
          <w:sz w:val="28"/>
          <w:szCs w:val="28"/>
        </w:rPr>
        <w:t xml:space="preserve">commitment to openness and </w:t>
      </w:r>
      <w:r w:rsidRPr="00A50FBF">
        <w:rPr>
          <w:sz w:val="28"/>
          <w:szCs w:val="28"/>
        </w:rPr>
        <w:t>transparen</w:t>
      </w:r>
      <w:r w:rsidRPr="00A50FBF" w:rsidR="00ED7EE1">
        <w:rPr>
          <w:sz w:val="28"/>
          <w:szCs w:val="28"/>
        </w:rPr>
        <w:t xml:space="preserve">cy </w:t>
      </w:r>
      <w:r w:rsidR="00A07FF4">
        <w:rPr>
          <w:sz w:val="28"/>
          <w:szCs w:val="28"/>
        </w:rPr>
        <w:t xml:space="preserve">is not a dusty artifact of Arizona’s Territorial days, but remains a vibrant part of this state’s form of </w:t>
      </w:r>
      <w:r w:rsidR="00642A68">
        <w:rPr>
          <w:sz w:val="28"/>
          <w:szCs w:val="28"/>
        </w:rPr>
        <w:t>self-governance in the electronic age</w:t>
      </w:r>
      <w:r w:rsidR="00A07FF4">
        <w:rPr>
          <w:sz w:val="28"/>
          <w:szCs w:val="28"/>
        </w:rPr>
        <w:t xml:space="preserve">.  </w:t>
      </w:r>
      <w:r w:rsidR="00A07FF4">
        <w:rPr>
          <w:i/>
          <w:sz w:val="28"/>
          <w:szCs w:val="28"/>
        </w:rPr>
        <w:t>See, e.g.</w:t>
      </w:r>
      <w:r w:rsidRPr="00DC4663" w:rsidR="00A07FF4">
        <w:rPr>
          <w:sz w:val="28"/>
          <w:szCs w:val="28"/>
        </w:rPr>
        <w:t>,</w:t>
      </w:r>
      <w:r w:rsidR="00A07FF4">
        <w:rPr>
          <w:i/>
          <w:sz w:val="28"/>
          <w:szCs w:val="28"/>
        </w:rPr>
        <w:t xml:space="preserve"> Lake v. City of Phoenix, </w:t>
      </w:r>
      <w:r w:rsidR="00A07FF4">
        <w:rPr>
          <w:sz w:val="28"/>
          <w:szCs w:val="28"/>
        </w:rPr>
        <w:t>222 Ariz. 547</w:t>
      </w:r>
      <w:r w:rsidR="00642A68">
        <w:rPr>
          <w:sz w:val="28"/>
          <w:szCs w:val="28"/>
        </w:rPr>
        <w:t>,</w:t>
      </w:r>
      <w:r w:rsidR="00A07FF4">
        <w:rPr>
          <w:sz w:val="28"/>
          <w:szCs w:val="28"/>
        </w:rPr>
        <w:t xml:space="preserve"> </w:t>
      </w:r>
      <w:r w:rsidR="009C65DE">
        <w:rPr>
          <w:sz w:val="28"/>
          <w:szCs w:val="28"/>
        </w:rPr>
        <w:t>550-51 ¶¶ 13-14</w:t>
      </w:r>
      <w:r w:rsidR="00642A68">
        <w:rPr>
          <w:sz w:val="28"/>
          <w:szCs w:val="28"/>
        </w:rPr>
        <w:t xml:space="preserve"> </w:t>
      </w:r>
      <w:r w:rsidR="00A07FF4">
        <w:rPr>
          <w:sz w:val="28"/>
          <w:szCs w:val="28"/>
        </w:rPr>
        <w:t xml:space="preserve">(2009) </w:t>
      </w:r>
      <w:r w:rsidR="00642A68">
        <w:rPr>
          <w:sz w:val="28"/>
          <w:szCs w:val="28"/>
        </w:rPr>
        <w:t xml:space="preserve">(recognizing that public records existing in electronic format are subject to disclosure in that format).  As this Court has repeatedly recognized, these </w:t>
      </w:r>
      <w:r w:rsidR="003634AE">
        <w:rPr>
          <w:sz w:val="28"/>
          <w:szCs w:val="28"/>
        </w:rPr>
        <w:t xml:space="preserve">values of open government </w:t>
      </w:r>
      <w:r w:rsidR="00A07FF4">
        <w:rPr>
          <w:sz w:val="28"/>
          <w:szCs w:val="28"/>
        </w:rPr>
        <w:t xml:space="preserve">and an informed citizenry </w:t>
      </w:r>
      <w:r w:rsidR="00642A68">
        <w:rPr>
          <w:sz w:val="28"/>
          <w:szCs w:val="28"/>
        </w:rPr>
        <w:t xml:space="preserve">allow the public to “monitor the performance of public officials” and subject them to “public scrutiny.”  </w:t>
      </w:r>
      <w:r w:rsidR="00642A68">
        <w:rPr>
          <w:i/>
          <w:sz w:val="28"/>
          <w:szCs w:val="28"/>
        </w:rPr>
        <w:t xml:space="preserve">Id. </w:t>
      </w:r>
      <w:r w:rsidR="00682345">
        <w:rPr>
          <w:i/>
          <w:sz w:val="28"/>
          <w:szCs w:val="28"/>
        </w:rPr>
        <w:t xml:space="preserve"> </w:t>
      </w:r>
      <w:r w:rsidR="00682345">
        <w:rPr>
          <w:sz w:val="28"/>
          <w:szCs w:val="28"/>
        </w:rPr>
        <w:t xml:space="preserve">Despite this state’s historic and abiding commitment to openness and transparency, the Commission on Appellate Court Appointments has </w:t>
      </w:r>
      <w:r w:rsidR="00682345">
        <w:rPr>
          <w:sz w:val="28"/>
          <w:szCs w:val="28"/>
        </w:rPr>
        <w:t xml:space="preserve">submitted a petition on an emergency basis, which this Court has granted, that would undermine these principles when that Commission performs one of its most vital duties:  reviewing the applications of candidates to serve on the Independent Redistricting Commission.  </w:t>
      </w:r>
      <w:r w:rsidR="004C1C77">
        <w:rPr>
          <w:sz w:val="28"/>
          <w:szCs w:val="28"/>
        </w:rPr>
        <w:t>When appointed, a handful of these candidates will define Arizona’s legislative and congressional districts for the decade to come.</w:t>
      </w:r>
    </w:p>
    <w:p w:rsidR="008C46A4" w:rsidP="00A95C01" w14:paraId="20DDA9D4" w14:textId="3C9E6A8E">
      <w:pPr>
        <w:pStyle w:val="00BodyText1"/>
        <w:spacing w:line="480" w:lineRule="auto"/>
        <w:ind w:firstLine="720"/>
        <w:contextualSpacing/>
        <w:jc w:val="both"/>
        <w:rPr>
          <w:sz w:val="28"/>
          <w:szCs w:val="28"/>
        </w:rPr>
      </w:pPr>
      <w:r>
        <w:rPr>
          <w:sz w:val="28"/>
          <w:szCs w:val="28"/>
        </w:rPr>
        <w:t>In 2000, t</w:t>
      </w:r>
      <w:r w:rsidRPr="00A50FBF">
        <w:rPr>
          <w:sz w:val="28"/>
          <w:szCs w:val="28"/>
        </w:rPr>
        <w:t xml:space="preserve">he </w:t>
      </w:r>
      <w:r w:rsidR="00842B1D">
        <w:rPr>
          <w:sz w:val="28"/>
          <w:szCs w:val="28"/>
        </w:rPr>
        <w:t xml:space="preserve">voters of Arizona brought the </w:t>
      </w:r>
      <w:r w:rsidR="00080604">
        <w:rPr>
          <w:sz w:val="28"/>
          <w:szCs w:val="28"/>
        </w:rPr>
        <w:t xml:space="preserve">Independent Redistricting </w:t>
      </w:r>
      <w:r w:rsidRPr="00A50FBF">
        <w:rPr>
          <w:sz w:val="28"/>
          <w:szCs w:val="28"/>
        </w:rPr>
        <w:t>Commission</w:t>
      </w:r>
      <w:r w:rsidR="00842B1D">
        <w:rPr>
          <w:sz w:val="28"/>
          <w:szCs w:val="28"/>
        </w:rPr>
        <w:t xml:space="preserve"> i</w:t>
      </w:r>
      <w:r w:rsidRPr="00A50FBF">
        <w:rPr>
          <w:sz w:val="28"/>
          <w:szCs w:val="28"/>
        </w:rPr>
        <w:t>nto existence through Proposition 106 (“</w:t>
      </w:r>
      <w:r w:rsidRPr="00A50FBF" w:rsidR="00ED7EE1">
        <w:rPr>
          <w:sz w:val="28"/>
          <w:szCs w:val="28"/>
        </w:rPr>
        <w:t>Prop 10</w:t>
      </w:r>
      <w:r w:rsidRPr="00A50FBF">
        <w:rPr>
          <w:sz w:val="28"/>
          <w:szCs w:val="28"/>
        </w:rPr>
        <w:t>6”), a citizen initiative that vested the authority to draw legislative district boundaries in an independent, impartial Commission instead of the state legislature.</w:t>
      </w:r>
      <w:r w:rsidR="004879B8">
        <w:rPr>
          <w:sz w:val="28"/>
          <w:szCs w:val="28"/>
        </w:rPr>
        <w:t xml:space="preserve">  P</w:t>
      </w:r>
      <w:r w:rsidRPr="00A50FBF" w:rsidR="00ED7EE1">
        <w:rPr>
          <w:sz w:val="28"/>
          <w:szCs w:val="28"/>
        </w:rPr>
        <w:t>rop 10</w:t>
      </w:r>
      <w:r w:rsidRPr="00A50FBF">
        <w:rPr>
          <w:sz w:val="28"/>
          <w:szCs w:val="28"/>
        </w:rPr>
        <w:t xml:space="preserve">6 was intended to “open[] up the system to public scrutiny.”  </w:t>
      </w:r>
      <w:r w:rsidRPr="00002ECE" w:rsidR="00002ECE">
        <w:rPr>
          <w:sz w:val="28"/>
          <w:szCs w:val="28"/>
        </w:rPr>
        <w:t xml:space="preserve">Ariz. Sec’y of State, General Election 2000 Publicity Pamphlet 57 (Nov. 7, 2000), </w:t>
      </w:r>
      <w:r w:rsidRPr="00C95709" w:rsidR="007C1BF5">
        <w:rPr>
          <w:rStyle w:val="DefaultParagraphFont"/>
          <w:sz w:val="28"/>
          <w:szCs w:val="28"/>
        </w:rPr>
        <w:t>https://apps.azsos.gov/election/2000/Info/pubpamphlet/english/prop106.pdf</w:t>
      </w:r>
      <w:r w:rsidRPr="00002ECE" w:rsidR="00002ECE">
        <w:rPr>
          <w:sz w:val="28"/>
          <w:szCs w:val="28"/>
        </w:rPr>
        <w:t>.</w:t>
      </w:r>
      <w:r w:rsidR="007C1BF5">
        <w:rPr>
          <w:sz w:val="28"/>
          <w:szCs w:val="28"/>
        </w:rPr>
        <w:t xml:space="preserve"> </w:t>
      </w:r>
      <w:r w:rsidRPr="00A50FBF" w:rsidR="004D1864">
        <w:rPr>
          <w:sz w:val="28"/>
          <w:szCs w:val="28"/>
        </w:rPr>
        <w:t>Indeed, t</w:t>
      </w:r>
      <w:r w:rsidRPr="00A50FBF">
        <w:rPr>
          <w:sz w:val="28"/>
          <w:szCs w:val="28"/>
        </w:rPr>
        <w:t xml:space="preserve">he </w:t>
      </w:r>
      <w:r w:rsidR="00080604">
        <w:rPr>
          <w:sz w:val="28"/>
          <w:szCs w:val="28"/>
        </w:rPr>
        <w:t xml:space="preserve">Independent Redistricting </w:t>
      </w:r>
      <w:r w:rsidRPr="00A50FBF">
        <w:rPr>
          <w:sz w:val="28"/>
          <w:szCs w:val="28"/>
        </w:rPr>
        <w:t xml:space="preserve">Commission </w:t>
      </w:r>
      <w:r w:rsidRPr="00A50FBF" w:rsidR="004D1864">
        <w:rPr>
          <w:sz w:val="28"/>
          <w:szCs w:val="28"/>
        </w:rPr>
        <w:t xml:space="preserve">was </w:t>
      </w:r>
      <w:r w:rsidRPr="00A50FBF" w:rsidR="00531658">
        <w:rPr>
          <w:sz w:val="28"/>
          <w:szCs w:val="28"/>
        </w:rPr>
        <w:t>designed</w:t>
      </w:r>
      <w:r w:rsidRPr="00A50FBF" w:rsidR="004D1864">
        <w:rPr>
          <w:sz w:val="28"/>
          <w:szCs w:val="28"/>
        </w:rPr>
        <w:t xml:space="preserve"> to</w:t>
      </w:r>
      <w:r w:rsidRPr="00A50FBF">
        <w:rPr>
          <w:sz w:val="28"/>
          <w:szCs w:val="28"/>
        </w:rPr>
        <w:t xml:space="preserve"> develop legislative district boundaries in</w:t>
      </w:r>
      <w:r w:rsidRPr="00A50FBF">
        <w:rPr>
          <w:i/>
          <w:sz w:val="28"/>
          <w:szCs w:val="28"/>
        </w:rPr>
        <w:t xml:space="preserve"> </w:t>
      </w:r>
      <w:r w:rsidRPr="00A50FBF">
        <w:rPr>
          <w:sz w:val="28"/>
          <w:szCs w:val="28"/>
        </w:rPr>
        <w:t xml:space="preserve">“open meetings throughout the State – not backroom dealing.”  </w:t>
      </w:r>
      <w:r w:rsidRPr="00A50FBF" w:rsidR="00ED7EE1">
        <w:rPr>
          <w:i/>
          <w:sz w:val="28"/>
          <w:szCs w:val="28"/>
        </w:rPr>
        <w:t>Id.</w:t>
      </w:r>
      <w:r w:rsidRPr="00A50FBF" w:rsidR="00ED7EE1">
        <w:rPr>
          <w:sz w:val="28"/>
          <w:szCs w:val="28"/>
        </w:rPr>
        <w:t xml:space="preserve">  </w:t>
      </w:r>
      <w:r w:rsidR="00801553">
        <w:rPr>
          <w:sz w:val="28"/>
          <w:szCs w:val="28"/>
        </w:rPr>
        <w:t>However, some key aspects of t</w:t>
      </w:r>
      <w:r w:rsidR="009B7F40">
        <w:rPr>
          <w:sz w:val="28"/>
          <w:szCs w:val="28"/>
        </w:rPr>
        <w:t xml:space="preserve">he Court’s emergency amendment of the Rules </w:t>
      </w:r>
      <w:r w:rsidR="00801553">
        <w:rPr>
          <w:sz w:val="28"/>
          <w:szCs w:val="28"/>
        </w:rPr>
        <w:t>are</w:t>
      </w:r>
      <w:r w:rsidR="009B7F40">
        <w:rPr>
          <w:sz w:val="28"/>
          <w:szCs w:val="28"/>
        </w:rPr>
        <w:t xml:space="preserve"> inconsistent with the </w:t>
      </w:r>
      <w:r w:rsidR="005A37C7">
        <w:rPr>
          <w:sz w:val="28"/>
          <w:szCs w:val="28"/>
        </w:rPr>
        <w:t xml:space="preserve">public’s right to monitor the government’s establishment of </w:t>
      </w:r>
      <w:r w:rsidR="00DF7FA3">
        <w:rPr>
          <w:sz w:val="28"/>
          <w:szCs w:val="28"/>
        </w:rPr>
        <w:t>a</w:t>
      </w:r>
      <w:r w:rsidR="00801553">
        <w:rPr>
          <w:sz w:val="28"/>
          <w:szCs w:val="28"/>
        </w:rPr>
        <w:t>n independent public body</w:t>
      </w:r>
      <w:r w:rsidR="005A37C7">
        <w:rPr>
          <w:sz w:val="28"/>
          <w:szCs w:val="28"/>
        </w:rPr>
        <w:t xml:space="preserve">, </w:t>
      </w:r>
      <w:r w:rsidR="004C1C77">
        <w:rPr>
          <w:sz w:val="28"/>
          <w:szCs w:val="28"/>
        </w:rPr>
        <w:t>whose duty it will be to draw legislative district boundaries, fairly and openly, for the decade ahead.</w:t>
      </w:r>
    </w:p>
    <w:p w:rsidR="004879B8" w:rsidRPr="00A50FBF" w:rsidP="00A95C01" w14:paraId="44FAC362" w14:textId="06368AA3">
      <w:pPr>
        <w:pStyle w:val="00BodyText1"/>
        <w:spacing w:line="480" w:lineRule="auto"/>
        <w:ind w:firstLine="720"/>
        <w:contextualSpacing/>
        <w:jc w:val="both"/>
        <w:rPr>
          <w:sz w:val="28"/>
          <w:szCs w:val="28"/>
        </w:rPr>
      </w:pPr>
      <w:r>
        <w:rPr>
          <w:sz w:val="28"/>
          <w:szCs w:val="28"/>
        </w:rPr>
        <w:t xml:space="preserve">As amended, Supreme Court Rule 131 contains three new provisions that impair public scrutiny of applications to the Independent Redistricting Commission:  (1) Rule 131(d) creates </w:t>
      </w:r>
      <w:r w:rsidRPr="00611DCC">
        <w:rPr>
          <w:sz w:val="28"/>
          <w:szCs w:val="28"/>
        </w:rPr>
        <w:t xml:space="preserve">an undefined, potentially </w:t>
      </w:r>
      <w:r>
        <w:rPr>
          <w:sz w:val="28"/>
          <w:szCs w:val="28"/>
        </w:rPr>
        <w:t>limitless</w:t>
      </w:r>
      <w:r w:rsidRPr="00611DCC">
        <w:rPr>
          <w:sz w:val="28"/>
          <w:szCs w:val="28"/>
        </w:rPr>
        <w:t xml:space="preserve"> “confidential section” of</w:t>
      </w:r>
      <w:r>
        <w:rPr>
          <w:sz w:val="28"/>
          <w:szCs w:val="28"/>
        </w:rPr>
        <w:t xml:space="preserve"> the application form; (2) Rule 131(e)(1</w:t>
      </w:r>
      <w:r w:rsidRPr="00B86177">
        <w:rPr>
          <w:sz w:val="28"/>
          <w:szCs w:val="28"/>
        </w:rPr>
        <w:t>) exempts from</w:t>
      </w:r>
      <w:r>
        <w:rPr>
          <w:sz w:val="28"/>
          <w:szCs w:val="28"/>
        </w:rPr>
        <w:t xml:space="preserve"> public disclosure </w:t>
      </w:r>
      <w:r w:rsidRPr="00B86177">
        <w:rPr>
          <w:i/>
          <w:sz w:val="28"/>
          <w:szCs w:val="28"/>
        </w:rPr>
        <w:t>any</w:t>
      </w:r>
      <w:r>
        <w:rPr>
          <w:sz w:val="28"/>
          <w:szCs w:val="28"/>
        </w:rPr>
        <w:t xml:space="preserve"> </w:t>
      </w:r>
      <w:r w:rsidRPr="00B55EF7">
        <w:rPr>
          <w:i/>
          <w:sz w:val="28"/>
          <w:szCs w:val="28"/>
        </w:rPr>
        <w:t>information</w:t>
      </w:r>
      <w:r>
        <w:rPr>
          <w:sz w:val="28"/>
          <w:szCs w:val="28"/>
        </w:rPr>
        <w:t xml:space="preserve"> designated by third parties as confidential; and (3) </w:t>
      </w:r>
      <w:r w:rsidRPr="00282DCF">
        <w:rPr>
          <w:sz w:val="28"/>
          <w:szCs w:val="28"/>
        </w:rPr>
        <w:t>Rule 131(e)</w:t>
      </w:r>
      <w:r>
        <w:rPr>
          <w:sz w:val="28"/>
          <w:szCs w:val="28"/>
        </w:rPr>
        <w:t>(2)-(3) creates n</w:t>
      </w:r>
      <w:r w:rsidR="001329DE">
        <w:rPr>
          <w:sz w:val="28"/>
          <w:szCs w:val="28"/>
        </w:rPr>
        <w:t xml:space="preserve">ew and needless exemptions for </w:t>
      </w:r>
      <w:r w:rsidRPr="00611DCC">
        <w:rPr>
          <w:sz w:val="28"/>
          <w:szCs w:val="28"/>
        </w:rPr>
        <w:t>“personal”</w:t>
      </w:r>
      <w:r>
        <w:rPr>
          <w:sz w:val="28"/>
          <w:szCs w:val="28"/>
        </w:rPr>
        <w:t xml:space="preserve"> notes and “procedural” emails created by members of the Commission on Appellate Court Appointments.  Such amendments run contrary to the history of the Supreme Court Rules governing nominations for the Independent Redistricting Commission and ignore decades of well-established Arizona Supreme Court authority in support of the public’s right to monitor the activities of public bodies and officials.  </w:t>
      </w:r>
    </w:p>
    <w:p w:rsidR="00345927" w:rsidP="00A95C01" w14:paraId="72C8FFCE" w14:textId="250B9947">
      <w:pPr>
        <w:pStyle w:val="00BodyText1"/>
        <w:spacing w:line="480" w:lineRule="auto"/>
        <w:ind w:firstLine="720"/>
        <w:contextualSpacing/>
        <w:jc w:val="both"/>
        <w:rPr>
          <w:sz w:val="28"/>
          <w:szCs w:val="28"/>
        </w:rPr>
      </w:pPr>
      <w:r w:rsidRPr="00A50FBF">
        <w:rPr>
          <w:sz w:val="28"/>
          <w:szCs w:val="28"/>
        </w:rPr>
        <w:t>Effective since September 7, 2010, the Rules</w:t>
      </w:r>
      <w:r w:rsidRPr="00A50FBF" w:rsidR="00531658">
        <w:rPr>
          <w:sz w:val="28"/>
          <w:szCs w:val="28"/>
        </w:rPr>
        <w:t xml:space="preserve"> governing applications to the </w:t>
      </w:r>
      <w:r w:rsidR="00080604">
        <w:rPr>
          <w:sz w:val="28"/>
          <w:szCs w:val="28"/>
        </w:rPr>
        <w:t xml:space="preserve">Independent Redistricting </w:t>
      </w:r>
      <w:r w:rsidRPr="00A50FBF" w:rsidR="00531658">
        <w:rPr>
          <w:sz w:val="28"/>
          <w:szCs w:val="28"/>
        </w:rPr>
        <w:t>Commission</w:t>
      </w:r>
      <w:r w:rsidRPr="00A50FBF">
        <w:rPr>
          <w:sz w:val="28"/>
          <w:szCs w:val="28"/>
        </w:rPr>
        <w:t xml:space="preserve"> </w:t>
      </w:r>
      <w:r w:rsidR="006A3056">
        <w:rPr>
          <w:sz w:val="28"/>
          <w:szCs w:val="28"/>
        </w:rPr>
        <w:t xml:space="preserve">had </w:t>
      </w:r>
      <w:r w:rsidRPr="00A50FBF">
        <w:rPr>
          <w:sz w:val="28"/>
          <w:szCs w:val="28"/>
        </w:rPr>
        <w:t xml:space="preserve">provided </w:t>
      </w:r>
      <w:r w:rsidR="00D64F47">
        <w:rPr>
          <w:sz w:val="28"/>
          <w:szCs w:val="28"/>
        </w:rPr>
        <w:t>–</w:t>
      </w:r>
      <w:r w:rsidR="00080604">
        <w:rPr>
          <w:sz w:val="28"/>
          <w:szCs w:val="28"/>
        </w:rPr>
        <w:t xml:space="preserve"> </w:t>
      </w:r>
      <w:r w:rsidR="00D64F47">
        <w:rPr>
          <w:sz w:val="28"/>
          <w:szCs w:val="28"/>
        </w:rPr>
        <w:t>until the Court’s April 3, 2020 emergency amendment</w:t>
      </w:r>
      <w:r w:rsidR="00080604">
        <w:rPr>
          <w:sz w:val="28"/>
          <w:szCs w:val="28"/>
        </w:rPr>
        <w:t>s</w:t>
      </w:r>
      <w:r w:rsidR="00D64F47">
        <w:rPr>
          <w:sz w:val="28"/>
          <w:szCs w:val="28"/>
        </w:rPr>
        <w:t xml:space="preserve"> – </w:t>
      </w:r>
      <w:r w:rsidRPr="00A50FBF">
        <w:rPr>
          <w:sz w:val="28"/>
          <w:szCs w:val="28"/>
        </w:rPr>
        <w:t xml:space="preserve">that “the contents of all applications that relate to the applicant are public information and shall be made available to the public,” making only one exception for the “names and contact information of persons listed as references.” </w:t>
      </w:r>
      <w:r w:rsidR="00EA79B9">
        <w:rPr>
          <w:sz w:val="28"/>
          <w:szCs w:val="28"/>
        </w:rPr>
        <w:t xml:space="preserve">Ariz. R. Sup. Ct. </w:t>
      </w:r>
      <w:r w:rsidRPr="00A50FBF">
        <w:rPr>
          <w:sz w:val="28"/>
          <w:szCs w:val="28"/>
        </w:rPr>
        <w:t>132(c)</w:t>
      </w:r>
      <w:r w:rsidRPr="00A50FBF" w:rsidR="00531658">
        <w:rPr>
          <w:sz w:val="28"/>
          <w:szCs w:val="28"/>
        </w:rPr>
        <w:t xml:space="preserve"> (2010)</w:t>
      </w:r>
      <w:r w:rsidRPr="00A50FBF">
        <w:rPr>
          <w:sz w:val="28"/>
          <w:szCs w:val="28"/>
        </w:rPr>
        <w:t xml:space="preserve">.  Although </w:t>
      </w:r>
      <w:r w:rsidR="00080604">
        <w:rPr>
          <w:sz w:val="28"/>
          <w:szCs w:val="28"/>
        </w:rPr>
        <w:t xml:space="preserve">the </w:t>
      </w:r>
      <w:r w:rsidRPr="00A50FBF">
        <w:rPr>
          <w:sz w:val="28"/>
          <w:szCs w:val="28"/>
        </w:rPr>
        <w:t xml:space="preserve">recent </w:t>
      </w:r>
      <w:r w:rsidR="00080604">
        <w:rPr>
          <w:sz w:val="28"/>
          <w:szCs w:val="28"/>
        </w:rPr>
        <w:t xml:space="preserve">emergency </w:t>
      </w:r>
      <w:r w:rsidRPr="00A50FBF">
        <w:rPr>
          <w:sz w:val="28"/>
          <w:szCs w:val="28"/>
        </w:rPr>
        <w:t>changes to the</w:t>
      </w:r>
      <w:r w:rsidR="00B55EF7">
        <w:rPr>
          <w:sz w:val="28"/>
          <w:szCs w:val="28"/>
        </w:rPr>
        <w:t xml:space="preserve"> Rules may seem </w:t>
      </w:r>
      <w:r w:rsidRPr="00A50FBF">
        <w:rPr>
          <w:sz w:val="28"/>
          <w:szCs w:val="28"/>
        </w:rPr>
        <w:t xml:space="preserve">innocuous, they expand </w:t>
      </w:r>
      <w:r w:rsidR="00080604">
        <w:rPr>
          <w:sz w:val="28"/>
          <w:szCs w:val="28"/>
        </w:rPr>
        <w:t xml:space="preserve">dramatically </w:t>
      </w:r>
      <w:r w:rsidRPr="00A50FBF">
        <w:rPr>
          <w:sz w:val="28"/>
          <w:szCs w:val="28"/>
        </w:rPr>
        <w:t xml:space="preserve">the scope of what could potentially constitute “confidential” information, </w:t>
      </w:r>
      <w:r w:rsidR="005A37C7">
        <w:rPr>
          <w:sz w:val="28"/>
          <w:szCs w:val="28"/>
        </w:rPr>
        <w:t xml:space="preserve">concealing communications and other records that could show bias </w:t>
      </w:r>
      <w:r w:rsidR="00B55EF7">
        <w:rPr>
          <w:sz w:val="28"/>
          <w:szCs w:val="28"/>
        </w:rPr>
        <w:t xml:space="preserve">or entanglements </w:t>
      </w:r>
      <w:r w:rsidR="005A37C7">
        <w:rPr>
          <w:sz w:val="28"/>
          <w:szCs w:val="28"/>
        </w:rPr>
        <w:t xml:space="preserve">of </w:t>
      </w:r>
      <w:r w:rsidRPr="00A50FBF">
        <w:rPr>
          <w:sz w:val="28"/>
          <w:szCs w:val="28"/>
        </w:rPr>
        <w:t xml:space="preserve">potential </w:t>
      </w:r>
      <w:r w:rsidR="00080604">
        <w:rPr>
          <w:sz w:val="28"/>
          <w:szCs w:val="28"/>
        </w:rPr>
        <w:t xml:space="preserve">Independent Redistricting </w:t>
      </w:r>
      <w:r w:rsidRPr="00A50FBF">
        <w:rPr>
          <w:sz w:val="28"/>
          <w:szCs w:val="28"/>
        </w:rPr>
        <w:t>Commission members</w:t>
      </w:r>
      <w:r w:rsidR="005A37C7">
        <w:rPr>
          <w:sz w:val="28"/>
          <w:szCs w:val="28"/>
        </w:rPr>
        <w:t xml:space="preserve"> and those who wish to promote or impede their selection</w:t>
      </w:r>
      <w:r w:rsidRPr="00A50FBF">
        <w:rPr>
          <w:sz w:val="28"/>
          <w:szCs w:val="28"/>
        </w:rPr>
        <w:t xml:space="preserve">.  </w:t>
      </w:r>
      <w:r w:rsidR="00304B93">
        <w:rPr>
          <w:sz w:val="28"/>
          <w:szCs w:val="28"/>
        </w:rPr>
        <w:t>These particular amendments should be reconsidered and rejected, as they serve only to sow public distrust of a process in which fairness and independence are the most vital ingredients.</w:t>
      </w:r>
      <w:r w:rsidR="00A637BE">
        <w:rPr>
          <w:sz w:val="28"/>
          <w:szCs w:val="28"/>
        </w:rPr>
        <w:t xml:space="preserve"> </w:t>
      </w:r>
    </w:p>
    <w:p w:rsidR="00345927" w:rsidRPr="00A50FBF" w:rsidP="00B86177" w14:paraId="240A8137" w14:textId="77777777">
      <w:pPr>
        <w:pStyle w:val="00BodyText1"/>
        <w:keepNext/>
        <w:keepLines/>
        <w:spacing w:line="480" w:lineRule="auto"/>
        <w:ind w:firstLine="0"/>
        <w:contextualSpacing/>
        <w:jc w:val="center"/>
        <w:rPr>
          <w:sz w:val="28"/>
          <w:szCs w:val="28"/>
        </w:rPr>
      </w:pPr>
      <w:r w:rsidRPr="00A50FBF">
        <w:rPr>
          <w:b/>
          <w:sz w:val="28"/>
          <w:szCs w:val="28"/>
          <w:u w:val="single"/>
        </w:rPr>
        <w:t>Factual Background</w:t>
      </w:r>
    </w:p>
    <w:p w:rsidR="00651C36" w:rsidRPr="00A50FBF" w:rsidP="00B86177" w14:paraId="420BECBA" w14:textId="7B04C9CA">
      <w:pPr>
        <w:pStyle w:val="00BodyText1"/>
        <w:keepNext/>
        <w:keepLines/>
        <w:spacing w:line="480" w:lineRule="auto"/>
        <w:ind w:firstLine="0"/>
        <w:contextualSpacing/>
        <w:jc w:val="both"/>
        <w:rPr>
          <w:sz w:val="28"/>
          <w:szCs w:val="28"/>
        </w:rPr>
      </w:pPr>
      <w:r w:rsidRPr="00A50FBF">
        <w:rPr>
          <w:sz w:val="28"/>
          <w:szCs w:val="28"/>
        </w:rPr>
        <w:tab/>
        <w:t xml:space="preserve">In November 2000, Arizona voters </w:t>
      </w:r>
      <w:r w:rsidR="00267469">
        <w:rPr>
          <w:sz w:val="28"/>
          <w:szCs w:val="28"/>
        </w:rPr>
        <w:t xml:space="preserve">approved </w:t>
      </w:r>
      <w:r w:rsidRPr="00A50FBF" w:rsidR="00B76DB8">
        <w:rPr>
          <w:sz w:val="28"/>
          <w:szCs w:val="28"/>
        </w:rPr>
        <w:t>Prop 106</w:t>
      </w:r>
      <w:r w:rsidRPr="00A50FBF">
        <w:rPr>
          <w:sz w:val="28"/>
          <w:szCs w:val="28"/>
        </w:rPr>
        <w:t xml:space="preserve">, </w:t>
      </w:r>
      <w:r w:rsidRPr="00A50FBF" w:rsidR="004D1864">
        <w:rPr>
          <w:sz w:val="28"/>
          <w:szCs w:val="28"/>
        </w:rPr>
        <w:t>a citizen initiative that vested the authority to draw legislative district boundaries in the</w:t>
      </w:r>
      <w:r w:rsidRPr="00A50FBF">
        <w:rPr>
          <w:sz w:val="28"/>
          <w:szCs w:val="28"/>
        </w:rPr>
        <w:t xml:space="preserve"> Independent Redistricting Commission.  In so doing, voters affirmatively chose to institute an impartial and </w:t>
      </w:r>
      <w:r w:rsidRPr="00A50FBF" w:rsidR="00611F05">
        <w:rPr>
          <w:sz w:val="28"/>
          <w:szCs w:val="28"/>
        </w:rPr>
        <w:t>transparent</w:t>
      </w:r>
      <w:r w:rsidRPr="00A50FBF">
        <w:rPr>
          <w:sz w:val="28"/>
          <w:szCs w:val="28"/>
        </w:rPr>
        <w:t xml:space="preserve"> process for drawing legislative district bounda</w:t>
      </w:r>
      <w:r w:rsidRPr="00A50FBF" w:rsidR="00BF3522">
        <w:rPr>
          <w:sz w:val="28"/>
          <w:szCs w:val="28"/>
        </w:rPr>
        <w:t>ries, an</w:t>
      </w:r>
      <w:r w:rsidRPr="00A50FBF" w:rsidR="00611F05">
        <w:rPr>
          <w:sz w:val="28"/>
          <w:szCs w:val="28"/>
        </w:rPr>
        <w:t xml:space="preserve"> exercise that has </w:t>
      </w:r>
      <w:r w:rsidRPr="00A50FBF" w:rsidR="00BF3522">
        <w:rPr>
          <w:sz w:val="28"/>
          <w:szCs w:val="28"/>
        </w:rPr>
        <w:t>profound and enduring impacts on voters’ representation in the state and federal governments</w:t>
      </w:r>
      <w:r w:rsidR="00080604">
        <w:rPr>
          <w:sz w:val="28"/>
          <w:szCs w:val="28"/>
        </w:rPr>
        <w:t xml:space="preserve"> </w:t>
      </w:r>
      <w:r w:rsidRPr="00A50FBF" w:rsidR="00B76DB8">
        <w:rPr>
          <w:sz w:val="28"/>
          <w:szCs w:val="28"/>
        </w:rPr>
        <w:t>each decade</w:t>
      </w:r>
      <w:r w:rsidRPr="00A50FBF" w:rsidR="00BF3522">
        <w:rPr>
          <w:sz w:val="28"/>
          <w:szCs w:val="28"/>
        </w:rPr>
        <w:t xml:space="preserve">.  </w:t>
      </w:r>
      <w:r w:rsidRPr="00A50FBF" w:rsidR="00B76DB8">
        <w:rPr>
          <w:sz w:val="28"/>
          <w:szCs w:val="28"/>
        </w:rPr>
        <w:t>As evidenced through a</w:t>
      </w:r>
      <w:r w:rsidRPr="00A50FBF" w:rsidR="00BF3522">
        <w:rPr>
          <w:sz w:val="28"/>
          <w:szCs w:val="28"/>
        </w:rPr>
        <w:t>rguments in favor of Prop 106 in the 2000 Publicity Pamphlet</w:t>
      </w:r>
      <w:r w:rsidRPr="00A50FBF" w:rsidR="00B76DB8">
        <w:rPr>
          <w:sz w:val="28"/>
          <w:szCs w:val="28"/>
        </w:rPr>
        <w:t>,</w:t>
      </w:r>
      <w:r w:rsidRPr="00A50FBF" w:rsidR="00BF3522">
        <w:rPr>
          <w:sz w:val="28"/>
          <w:szCs w:val="28"/>
        </w:rPr>
        <w:t xml:space="preserve"> voters</w:t>
      </w:r>
      <w:r w:rsidRPr="00A50FBF" w:rsidR="00B76DB8">
        <w:rPr>
          <w:sz w:val="28"/>
          <w:szCs w:val="28"/>
        </w:rPr>
        <w:t xml:space="preserve"> intended</w:t>
      </w:r>
      <w:r w:rsidRPr="00A50FBF" w:rsidR="00BF3522">
        <w:rPr>
          <w:sz w:val="28"/>
          <w:szCs w:val="28"/>
        </w:rPr>
        <w:t xml:space="preserve"> to increase transparency and oversight</w:t>
      </w:r>
      <w:r w:rsidRPr="00A50FBF" w:rsidR="00611F05">
        <w:rPr>
          <w:sz w:val="28"/>
          <w:szCs w:val="28"/>
        </w:rPr>
        <w:t xml:space="preserve"> in drawing legislative districts</w:t>
      </w:r>
      <w:r w:rsidRPr="00A50FBF" w:rsidR="00BF3522">
        <w:rPr>
          <w:sz w:val="28"/>
          <w:szCs w:val="28"/>
        </w:rPr>
        <w:t>.</w:t>
      </w:r>
      <w:r>
        <w:rPr>
          <w:rStyle w:val="FootnoteReference"/>
          <w:sz w:val="28"/>
          <w:szCs w:val="28"/>
        </w:rPr>
        <w:footnoteReference w:id="2"/>
      </w:r>
    </w:p>
    <w:p w:rsidR="00651C36" w:rsidP="00A95C01" w14:paraId="5E857BED" w14:textId="77777777">
      <w:pPr>
        <w:pStyle w:val="00BodyText1"/>
        <w:ind w:firstLine="720"/>
        <w:contextualSpacing/>
        <w:jc w:val="both"/>
        <w:rPr>
          <w:sz w:val="28"/>
          <w:szCs w:val="28"/>
        </w:rPr>
      </w:pPr>
      <w:r w:rsidRPr="00A50FBF">
        <w:rPr>
          <w:sz w:val="28"/>
          <w:szCs w:val="28"/>
        </w:rPr>
        <w:t>T</w:t>
      </w:r>
      <w:r w:rsidRPr="00A50FBF" w:rsidR="00611F05">
        <w:rPr>
          <w:sz w:val="28"/>
          <w:szCs w:val="28"/>
        </w:rPr>
        <w:t>hen-</w:t>
      </w:r>
      <w:r w:rsidRPr="00A50FBF" w:rsidR="00FE2FBD">
        <w:rPr>
          <w:sz w:val="28"/>
          <w:szCs w:val="28"/>
        </w:rPr>
        <w:t xml:space="preserve">Arizona Attorney General </w:t>
      </w:r>
      <w:r w:rsidRPr="00A50FBF" w:rsidR="00611F05">
        <w:rPr>
          <w:sz w:val="28"/>
          <w:szCs w:val="28"/>
        </w:rPr>
        <w:t xml:space="preserve">Janet Napolitano </w:t>
      </w:r>
      <w:r w:rsidRPr="00A50FBF" w:rsidR="00FE2FBD">
        <w:rPr>
          <w:sz w:val="28"/>
          <w:szCs w:val="28"/>
        </w:rPr>
        <w:t>explained to voters:</w:t>
      </w:r>
    </w:p>
    <w:p w:rsidR="00AC4186" w:rsidRPr="00A50FBF" w:rsidP="00A95C01" w14:paraId="41F02391" w14:textId="77777777">
      <w:pPr>
        <w:pStyle w:val="00BodyText1"/>
        <w:ind w:firstLine="720"/>
        <w:contextualSpacing/>
        <w:jc w:val="both"/>
        <w:rPr>
          <w:sz w:val="28"/>
          <w:szCs w:val="28"/>
        </w:rPr>
      </w:pPr>
    </w:p>
    <w:p w:rsidR="00FE2FBD" w:rsidP="00A95C01" w14:paraId="34913DCE" w14:textId="6448171C">
      <w:pPr>
        <w:pStyle w:val="00BodyText1"/>
        <w:ind w:left="720" w:right="720" w:firstLine="0"/>
        <w:contextualSpacing/>
        <w:jc w:val="both"/>
        <w:rPr>
          <w:sz w:val="28"/>
          <w:szCs w:val="28"/>
        </w:rPr>
      </w:pPr>
      <w:r w:rsidRPr="00A50FBF">
        <w:rPr>
          <w:sz w:val="28"/>
          <w:szCs w:val="28"/>
        </w:rPr>
        <w:t xml:space="preserve">[Prop 106] allows you, the citizen, to have a voice in drawing the boundaries for your legislative and congressional districts. </w:t>
      </w:r>
      <w:r w:rsidRPr="00A50FBF">
        <w:rPr>
          <w:i/>
          <w:sz w:val="28"/>
          <w:szCs w:val="28"/>
        </w:rPr>
        <w:t>Through open meetings throughout the State – not backroom dealing – we will have a process run by the public</w:t>
      </w:r>
      <w:r w:rsidRPr="00A50FBF">
        <w:rPr>
          <w:sz w:val="28"/>
          <w:szCs w:val="28"/>
        </w:rPr>
        <w:t xml:space="preserve">. This initiative takes redistricting out of the hands of incumbents who too often draw district lines to protect their seats rather than to create fair, competitive legislative and congressional districts.  </w:t>
      </w:r>
      <w:r w:rsidRPr="00A50FBF">
        <w:rPr>
          <w:i/>
          <w:sz w:val="28"/>
          <w:szCs w:val="28"/>
        </w:rPr>
        <w:t>This initiative is fair to all Arizonans because it opens up the system to public scrutiny</w:t>
      </w:r>
      <w:r w:rsidRPr="00A50FBF">
        <w:rPr>
          <w:sz w:val="28"/>
          <w:szCs w:val="28"/>
        </w:rPr>
        <w:t xml:space="preserve">; it eliminates conflicts of interest by taking the process of redistricting out of incumbents’ hands; and, it just might encourage more people to run for public office. </w:t>
      </w:r>
      <w:r w:rsidRPr="00A032ED">
        <w:rPr>
          <w:i/>
          <w:sz w:val="28"/>
          <w:szCs w:val="28"/>
        </w:rPr>
        <w:t>We need a politically neutral commission to handle redistricting.</w:t>
      </w:r>
      <w:r w:rsidRPr="00A50FBF">
        <w:rPr>
          <w:sz w:val="28"/>
          <w:szCs w:val="28"/>
        </w:rPr>
        <w:t xml:space="preserve"> </w:t>
      </w:r>
    </w:p>
    <w:p w:rsidR="00A95C01" w:rsidRPr="00A50FBF" w:rsidP="00A95C01" w14:paraId="42FCD04B" w14:textId="77777777">
      <w:pPr>
        <w:pStyle w:val="00BodyText1"/>
        <w:ind w:left="720" w:right="720" w:firstLine="0"/>
        <w:contextualSpacing/>
        <w:jc w:val="both"/>
        <w:rPr>
          <w:sz w:val="28"/>
          <w:szCs w:val="28"/>
        </w:rPr>
      </w:pPr>
    </w:p>
    <w:p w:rsidR="004C78C8" w:rsidRPr="00A50FBF" w:rsidP="00A95C01" w14:paraId="77CF9985" w14:textId="43B5635C">
      <w:pPr>
        <w:pStyle w:val="00BodyText1"/>
        <w:spacing w:line="480" w:lineRule="auto"/>
        <w:ind w:firstLine="0"/>
        <w:contextualSpacing/>
        <w:jc w:val="both"/>
        <w:rPr>
          <w:sz w:val="28"/>
          <w:szCs w:val="28"/>
        </w:rPr>
      </w:pPr>
      <w:r w:rsidRPr="00002ECE">
        <w:rPr>
          <w:sz w:val="28"/>
          <w:szCs w:val="28"/>
        </w:rPr>
        <w:t xml:space="preserve">Ariz. Sec’y of State, General Election 2000 Publicity Pamphlet 57 (Nov. 7, 2000), </w:t>
      </w:r>
      <w:r w:rsidRPr="00C95709" w:rsidR="007C1BF5">
        <w:rPr>
          <w:rStyle w:val="DefaultParagraphFont"/>
          <w:sz w:val="28"/>
          <w:szCs w:val="28"/>
        </w:rPr>
        <w:t>https://apps.azsos.gov/election/2000/Info/pubpamphlet/english/prop106.pdf</w:t>
      </w:r>
      <w:bookmarkStart w:id="7" w:name="_BA_Cite_23A6C1_000149"/>
      <w:bookmarkEnd w:id="7"/>
      <w:r w:rsidR="007C1BF5">
        <w:rPr>
          <w:sz w:val="28"/>
          <w:szCs w:val="28"/>
        </w:rPr>
        <w:t xml:space="preserve"> </w:t>
      </w:r>
      <w:r w:rsidRPr="00A50FBF" w:rsidR="00B76DB8">
        <w:rPr>
          <w:sz w:val="28"/>
          <w:szCs w:val="28"/>
        </w:rPr>
        <w:t>(emphasis added)</w:t>
      </w:r>
      <w:r w:rsidRPr="00A50FBF" w:rsidR="00FE2FBD">
        <w:rPr>
          <w:sz w:val="28"/>
          <w:szCs w:val="28"/>
        </w:rPr>
        <w:t>.</w:t>
      </w:r>
      <w:r w:rsidRPr="00A50FBF" w:rsidR="00611F05">
        <w:rPr>
          <w:sz w:val="28"/>
          <w:szCs w:val="28"/>
        </w:rPr>
        <w:t xml:space="preserve">  Arizona’s electorate </w:t>
      </w:r>
      <w:r w:rsidR="00080604">
        <w:rPr>
          <w:sz w:val="28"/>
          <w:szCs w:val="28"/>
        </w:rPr>
        <w:t xml:space="preserve">approved </w:t>
      </w:r>
      <w:r w:rsidRPr="00A50FBF" w:rsidR="00611F05">
        <w:rPr>
          <w:sz w:val="28"/>
          <w:szCs w:val="28"/>
        </w:rPr>
        <w:t>Prop 106, ushe</w:t>
      </w:r>
      <w:r w:rsidRPr="00A50FBF" w:rsidR="00531658">
        <w:rPr>
          <w:sz w:val="28"/>
          <w:szCs w:val="28"/>
        </w:rPr>
        <w:t xml:space="preserve">ring in a new era of impartial </w:t>
      </w:r>
      <w:r w:rsidRPr="00A50FBF" w:rsidR="00611F05">
        <w:rPr>
          <w:sz w:val="28"/>
          <w:szCs w:val="28"/>
        </w:rPr>
        <w:t xml:space="preserve">and transparent redistricting.  </w:t>
      </w:r>
    </w:p>
    <w:p w:rsidR="00A14221" w:rsidRPr="00A50FBF" w:rsidP="00A95C01" w14:paraId="72418012" w14:textId="312E2657">
      <w:pPr>
        <w:pStyle w:val="00BodyText1"/>
        <w:spacing w:line="480" w:lineRule="auto"/>
        <w:ind w:firstLine="0"/>
        <w:contextualSpacing/>
        <w:jc w:val="both"/>
        <w:rPr>
          <w:sz w:val="28"/>
          <w:szCs w:val="28"/>
        </w:rPr>
      </w:pPr>
      <w:r w:rsidRPr="00A50FBF">
        <w:rPr>
          <w:sz w:val="28"/>
          <w:szCs w:val="28"/>
        </w:rPr>
        <w:tab/>
      </w:r>
      <w:r w:rsidRPr="00A50FBF">
        <w:rPr>
          <w:sz w:val="28"/>
          <w:szCs w:val="28"/>
        </w:rPr>
        <w:t xml:space="preserve">The elaborate constitutional scheme for appointing </w:t>
      </w:r>
      <w:r w:rsidR="00080604">
        <w:rPr>
          <w:sz w:val="28"/>
          <w:szCs w:val="28"/>
        </w:rPr>
        <w:t xml:space="preserve">Independent Redistricting </w:t>
      </w:r>
      <w:r w:rsidRPr="00A50FBF">
        <w:rPr>
          <w:sz w:val="28"/>
          <w:szCs w:val="28"/>
        </w:rPr>
        <w:t xml:space="preserve">Commission members is carefully </w:t>
      </w:r>
      <w:r w:rsidR="00AC4186">
        <w:rPr>
          <w:sz w:val="28"/>
          <w:szCs w:val="28"/>
        </w:rPr>
        <w:t>constructed</w:t>
      </w:r>
      <w:r w:rsidRPr="00A50FBF">
        <w:rPr>
          <w:sz w:val="28"/>
          <w:szCs w:val="28"/>
        </w:rPr>
        <w:t xml:space="preserve"> to maintain the impartial character of the Commission:</w:t>
      </w:r>
    </w:p>
    <w:p w:rsidR="00A14221" w:rsidP="00A95C01" w14:paraId="55DB1D03" w14:textId="77777777">
      <w:pPr>
        <w:pStyle w:val="00BodyText1"/>
        <w:ind w:left="720" w:right="720" w:firstLine="0"/>
        <w:contextualSpacing/>
        <w:jc w:val="both"/>
        <w:rPr>
          <w:sz w:val="28"/>
          <w:szCs w:val="28"/>
        </w:rPr>
      </w:pPr>
      <w:r w:rsidRPr="00A50FBF">
        <w:rPr>
          <w:sz w:val="28"/>
          <w:szCs w:val="28"/>
        </w:rPr>
        <w:t xml:space="preserve">No more than two members of the independent redistricting commission shall be members of the same political party. Of the first four members appointed, no more than two shall reside in the same county. Each member shall be a registered Arizona voter who has been continuously registered with the same political party or registered as unaffiliated with a political party for three or more years immediately preceding appointment, </w:t>
      </w:r>
      <w:r w:rsidRPr="00A50FBF">
        <w:rPr>
          <w:i/>
          <w:sz w:val="28"/>
          <w:szCs w:val="28"/>
        </w:rPr>
        <w:t>who is committed to applying the provisions of this section in an honest, independent and impartial fashion and to upholding public confidence in the integrity of the redistricting process</w:t>
      </w:r>
      <w:r w:rsidRPr="00A50FBF">
        <w:rPr>
          <w:sz w:val="28"/>
          <w:szCs w:val="28"/>
        </w:rPr>
        <w:t>.</w:t>
      </w:r>
    </w:p>
    <w:p w:rsidR="00A95C01" w:rsidRPr="00A50FBF" w:rsidP="00A95C01" w14:paraId="51F4DA46" w14:textId="77777777">
      <w:pPr>
        <w:pStyle w:val="00BodyText1"/>
        <w:ind w:left="720" w:right="720" w:firstLine="0"/>
        <w:contextualSpacing/>
        <w:jc w:val="both"/>
        <w:rPr>
          <w:sz w:val="28"/>
          <w:szCs w:val="28"/>
        </w:rPr>
      </w:pPr>
    </w:p>
    <w:p w:rsidR="001C511B" w:rsidP="00A95C01" w14:paraId="3712CCF3" w14:textId="12603748">
      <w:pPr>
        <w:pStyle w:val="00BodyText1"/>
        <w:spacing w:line="480" w:lineRule="auto"/>
        <w:ind w:firstLine="0"/>
        <w:contextualSpacing/>
        <w:jc w:val="both"/>
        <w:rPr>
          <w:sz w:val="28"/>
          <w:szCs w:val="28"/>
        </w:rPr>
      </w:pPr>
      <w:r w:rsidRPr="00A50FBF">
        <w:rPr>
          <w:sz w:val="28"/>
          <w:szCs w:val="28"/>
        </w:rPr>
        <w:t>Ariz. Const. art. IV, part 2, sec. 1(3)</w:t>
      </w:r>
      <w:r w:rsidRPr="00A50FBF" w:rsidR="00531658">
        <w:rPr>
          <w:sz w:val="28"/>
          <w:szCs w:val="28"/>
        </w:rPr>
        <w:t xml:space="preserve"> (emphasis added)</w:t>
      </w:r>
      <w:r w:rsidRPr="00A50FBF">
        <w:rPr>
          <w:sz w:val="28"/>
          <w:szCs w:val="28"/>
        </w:rPr>
        <w:t xml:space="preserve">.  </w:t>
      </w:r>
      <w:r w:rsidRPr="00A50FBF" w:rsidR="00B36455">
        <w:rPr>
          <w:sz w:val="28"/>
          <w:szCs w:val="28"/>
        </w:rPr>
        <w:t xml:space="preserve">Candidates for appointment to the </w:t>
      </w:r>
      <w:r w:rsidR="0018606E">
        <w:rPr>
          <w:sz w:val="28"/>
          <w:szCs w:val="28"/>
        </w:rPr>
        <w:t xml:space="preserve">Independent Redistricting </w:t>
      </w:r>
      <w:r w:rsidRPr="00A50FBF" w:rsidR="00B36455">
        <w:rPr>
          <w:sz w:val="28"/>
          <w:szCs w:val="28"/>
        </w:rPr>
        <w:t xml:space="preserve">Commission are nominated by the Commission on Appellate Court Appointments.  Ariz. Const. art. IV, part 2, sec. 1(6).  </w:t>
      </w:r>
    </w:p>
    <w:p w:rsidR="008523BA" w:rsidRPr="00A50FBF" w:rsidP="00C668CF" w14:paraId="396695A2" w14:textId="0A8AEADD">
      <w:pPr>
        <w:pStyle w:val="00BodyText1"/>
        <w:spacing w:line="480" w:lineRule="auto"/>
        <w:ind w:firstLine="720"/>
        <w:contextualSpacing/>
        <w:jc w:val="both"/>
        <w:rPr>
          <w:i/>
          <w:sz w:val="28"/>
          <w:szCs w:val="28"/>
        </w:rPr>
      </w:pPr>
      <w:r w:rsidRPr="00A50FBF">
        <w:rPr>
          <w:sz w:val="28"/>
          <w:szCs w:val="28"/>
        </w:rPr>
        <w:t xml:space="preserve">Through its rule-making authority, the Arizona Supreme Court has established procedures governing the </w:t>
      </w:r>
      <w:r w:rsidRPr="00A50FBF">
        <w:rPr>
          <w:sz w:val="28"/>
          <w:szCs w:val="28"/>
        </w:rPr>
        <w:t>application</w:t>
      </w:r>
      <w:r w:rsidRPr="00A50FBF">
        <w:rPr>
          <w:sz w:val="28"/>
          <w:szCs w:val="28"/>
        </w:rPr>
        <w:t xml:space="preserve"> process for the Independent Redistricting Commission.  </w:t>
      </w:r>
      <w:r w:rsidRPr="00A50FBF">
        <w:rPr>
          <w:i/>
          <w:sz w:val="28"/>
          <w:szCs w:val="28"/>
        </w:rPr>
        <w:t>See</w:t>
      </w:r>
      <w:r w:rsidRPr="00A50FBF">
        <w:rPr>
          <w:sz w:val="28"/>
          <w:szCs w:val="28"/>
        </w:rPr>
        <w:t xml:space="preserve"> </w:t>
      </w:r>
      <w:r w:rsidR="00EA79B9">
        <w:rPr>
          <w:sz w:val="28"/>
          <w:szCs w:val="28"/>
        </w:rPr>
        <w:t>Ariz. R. Sup. Ct.</w:t>
      </w:r>
      <w:r w:rsidRPr="00A50FBF">
        <w:rPr>
          <w:sz w:val="28"/>
          <w:szCs w:val="28"/>
        </w:rPr>
        <w:t xml:space="preserve"> 1</w:t>
      </w:r>
      <w:r w:rsidR="00071EFD">
        <w:rPr>
          <w:sz w:val="28"/>
          <w:szCs w:val="28"/>
        </w:rPr>
        <w:t>26-133</w:t>
      </w:r>
      <w:r w:rsidRPr="00A50FBF">
        <w:rPr>
          <w:sz w:val="28"/>
          <w:szCs w:val="28"/>
        </w:rPr>
        <w:t xml:space="preserve">.  </w:t>
      </w:r>
      <w:r w:rsidRPr="00A50FBF">
        <w:rPr>
          <w:sz w:val="28"/>
          <w:szCs w:val="28"/>
        </w:rPr>
        <w:t xml:space="preserve">Effective since September 7, 2010, Rule 132 provided </w:t>
      </w:r>
      <w:r w:rsidRPr="00A50FBF" w:rsidR="00AC4186">
        <w:rPr>
          <w:sz w:val="28"/>
          <w:szCs w:val="28"/>
        </w:rPr>
        <w:t xml:space="preserve">previously </w:t>
      </w:r>
      <w:r w:rsidRPr="00A50FBF">
        <w:rPr>
          <w:sz w:val="28"/>
          <w:szCs w:val="28"/>
        </w:rPr>
        <w:t xml:space="preserve">that “the contents of </w:t>
      </w:r>
      <w:r w:rsidRPr="00B86177">
        <w:rPr>
          <w:i/>
          <w:sz w:val="28"/>
          <w:szCs w:val="28"/>
        </w:rPr>
        <w:t>all applications</w:t>
      </w:r>
      <w:r w:rsidRPr="00A50FBF">
        <w:rPr>
          <w:sz w:val="28"/>
          <w:szCs w:val="28"/>
        </w:rPr>
        <w:t xml:space="preserve"> that relate to the applicant are </w:t>
      </w:r>
      <w:r w:rsidRPr="00A032ED">
        <w:rPr>
          <w:i/>
          <w:sz w:val="28"/>
          <w:szCs w:val="28"/>
        </w:rPr>
        <w:t>public information</w:t>
      </w:r>
      <w:r w:rsidRPr="00A50FBF">
        <w:rPr>
          <w:sz w:val="28"/>
          <w:szCs w:val="28"/>
        </w:rPr>
        <w:t xml:space="preserve"> and </w:t>
      </w:r>
      <w:r w:rsidRPr="00B86177">
        <w:rPr>
          <w:i/>
          <w:sz w:val="28"/>
          <w:szCs w:val="28"/>
        </w:rPr>
        <w:t>shall be made available</w:t>
      </w:r>
      <w:r w:rsidRPr="00A50FBF">
        <w:rPr>
          <w:sz w:val="28"/>
          <w:szCs w:val="28"/>
        </w:rPr>
        <w:t xml:space="preserve"> to the public,” making only one specific exception for the “names and contact information of persons listed as references.” </w:t>
      </w:r>
      <w:r w:rsidR="00EA79B9">
        <w:rPr>
          <w:sz w:val="28"/>
          <w:szCs w:val="28"/>
        </w:rPr>
        <w:t>Ariz. R. Sup. Ct.</w:t>
      </w:r>
      <w:r w:rsidRPr="00A50FBF">
        <w:rPr>
          <w:sz w:val="28"/>
          <w:szCs w:val="28"/>
        </w:rPr>
        <w:t xml:space="preserve"> 132(c)</w:t>
      </w:r>
      <w:r w:rsidR="00B54DEE">
        <w:rPr>
          <w:sz w:val="28"/>
          <w:szCs w:val="28"/>
        </w:rPr>
        <w:t xml:space="preserve"> (2010)</w:t>
      </w:r>
      <w:r w:rsidR="005F705E">
        <w:rPr>
          <w:sz w:val="28"/>
          <w:szCs w:val="28"/>
        </w:rPr>
        <w:t xml:space="preserve"> (emphasis added)</w:t>
      </w:r>
      <w:r w:rsidRPr="00A50FBF">
        <w:rPr>
          <w:sz w:val="28"/>
          <w:szCs w:val="28"/>
        </w:rPr>
        <w:t xml:space="preserve">.  </w:t>
      </w:r>
    </w:p>
    <w:p w:rsidR="008523BA" w:rsidRPr="00A50FBF" w:rsidP="00D24808" w14:paraId="2F873867" w14:textId="71D7D66B">
      <w:pPr>
        <w:pStyle w:val="00BodyText1"/>
        <w:spacing w:line="480" w:lineRule="auto"/>
        <w:ind w:firstLine="0"/>
        <w:contextualSpacing/>
        <w:jc w:val="both"/>
        <w:rPr>
          <w:sz w:val="28"/>
          <w:szCs w:val="28"/>
        </w:rPr>
      </w:pPr>
      <w:r w:rsidRPr="00A50FBF">
        <w:rPr>
          <w:sz w:val="28"/>
          <w:szCs w:val="28"/>
        </w:rPr>
        <w:tab/>
        <w:t xml:space="preserve">On April 3, 2020, </w:t>
      </w:r>
      <w:r w:rsidR="00194EC6">
        <w:rPr>
          <w:sz w:val="28"/>
          <w:szCs w:val="28"/>
        </w:rPr>
        <w:t xml:space="preserve">the </w:t>
      </w:r>
      <w:r w:rsidRPr="00A50FBF">
        <w:rPr>
          <w:sz w:val="28"/>
          <w:szCs w:val="28"/>
        </w:rPr>
        <w:t xml:space="preserve">Chief Justice summarily </w:t>
      </w:r>
      <w:r w:rsidR="00D24808">
        <w:rPr>
          <w:sz w:val="28"/>
          <w:szCs w:val="28"/>
        </w:rPr>
        <w:t>approved</w:t>
      </w:r>
      <w:r w:rsidRPr="00A50FBF">
        <w:rPr>
          <w:sz w:val="28"/>
          <w:szCs w:val="28"/>
        </w:rPr>
        <w:t xml:space="preserve"> significa</w:t>
      </w:r>
      <w:r w:rsidR="00AC4186">
        <w:rPr>
          <w:sz w:val="28"/>
          <w:szCs w:val="28"/>
        </w:rPr>
        <w:t>nt changes to the scope of the R</w:t>
      </w:r>
      <w:r w:rsidRPr="00A50FBF">
        <w:rPr>
          <w:sz w:val="28"/>
          <w:szCs w:val="28"/>
        </w:rPr>
        <w:t xml:space="preserve">ules governing </w:t>
      </w:r>
      <w:r w:rsidR="002B2700">
        <w:rPr>
          <w:sz w:val="28"/>
          <w:szCs w:val="28"/>
        </w:rPr>
        <w:t xml:space="preserve">applications for </w:t>
      </w:r>
      <w:r w:rsidRPr="00A50FBF">
        <w:rPr>
          <w:sz w:val="28"/>
          <w:szCs w:val="28"/>
        </w:rPr>
        <w:t xml:space="preserve">the </w:t>
      </w:r>
      <w:r w:rsidR="001C511B">
        <w:rPr>
          <w:sz w:val="28"/>
          <w:szCs w:val="28"/>
        </w:rPr>
        <w:t xml:space="preserve">Independent Redistricting </w:t>
      </w:r>
      <w:r w:rsidRPr="00A50FBF" w:rsidR="00531658">
        <w:rPr>
          <w:sz w:val="28"/>
          <w:szCs w:val="28"/>
        </w:rPr>
        <w:t>Commission that c</w:t>
      </w:r>
      <w:r w:rsidRPr="00A50FBF">
        <w:rPr>
          <w:sz w:val="28"/>
          <w:szCs w:val="28"/>
        </w:rPr>
        <w:t xml:space="preserve">ould drastically limit the transparency of </w:t>
      </w:r>
      <w:r w:rsidR="002B2700">
        <w:rPr>
          <w:sz w:val="28"/>
          <w:szCs w:val="28"/>
        </w:rPr>
        <w:t xml:space="preserve">such </w:t>
      </w:r>
      <w:r w:rsidRPr="00A50FBF">
        <w:rPr>
          <w:sz w:val="28"/>
          <w:szCs w:val="28"/>
        </w:rPr>
        <w:t xml:space="preserve">applications.  </w:t>
      </w:r>
      <w:r w:rsidRPr="00A50FBF" w:rsidR="00FC1E9B">
        <w:rPr>
          <w:sz w:val="28"/>
          <w:szCs w:val="28"/>
        </w:rPr>
        <w:t>He</w:t>
      </w:r>
      <w:r w:rsidR="00AC4186">
        <w:rPr>
          <w:sz w:val="28"/>
          <w:szCs w:val="28"/>
        </w:rPr>
        <w:t xml:space="preserve"> did so only </w:t>
      </w:r>
      <w:r w:rsidRPr="001646AA" w:rsidR="00AC4186">
        <w:rPr>
          <w:sz w:val="28"/>
          <w:szCs w:val="28"/>
        </w:rPr>
        <w:t>one day</w:t>
      </w:r>
      <w:r w:rsidR="00AC4186">
        <w:rPr>
          <w:sz w:val="28"/>
          <w:szCs w:val="28"/>
        </w:rPr>
        <w:t xml:space="preserve"> after </w:t>
      </w:r>
      <w:r w:rsidRPr="00A50FBF" w:rsidR="00FC1E9B">
        <w:rPr>
          <w:sz w:val="28"/>
          <w:szCs w:val="28"/>
        </w:rPr>
        <w:t>changes</w:t>
      </w:r>
      <w:r w:rsidR="00AC4186">
        <w:rPr>
          <w:sz w:val="28"/>
          <w:szCs w:val="28"/>
        </w:rPr>
        <w:t xml:space="preserve"> to the Rules</w:t>
      </w:r>
      <w:r w:rsidRPr="00A50FBF" w:rsidR="00FC1E9B">
        <w:rPr>
          <w:sz w:val="28"/>
          <w:szCs w:val="28"/>
        </w:rPr>
        <w:t xml:space="preserve"> were proposed by the Commission on Appellate Court Appointments – a body that he chairs.  </w:t>
      </w:r>
      <w:r w:rsidRPr="00A50FBF">
        <w:rPr>
          <w:sz w:val="28"/>
          <w:szCs w:val="28"/>
        </w:rPr>
        <w:t>Even more concerning, such changes were imposed “on an emergency basis</w:t>
      </w:r>
      <w:r w:rsidRPr="00A50FBF" w:rsidR="00B76DB8">
        <w:rPr>
          <w:sz w:val="28"/>
          <w:szCs w:val="28"/>
        </w:rPr>
        <w:t>,</w:t>
      </w:r>
      <w:r w:rsidRPr="00A50FBF">
        <w:rPr>
          <w:sz w:val="28"/>
          <w:szCs w:val="28"/>
        </w:rPr>
        <w:t>”</w:t>
      </w:r>
      <w:r w:rsidRPr="00A50FBF" w:rsidR="00B76DB8">
        <w:rPr>
          <w:sz w:val="28"/>
          <w:szCs w:val="28"/>
        </w:rPr>
        <w:t xml:space="preserve"> “</w:t>
      </w:r>
      <w:r w:rsidRPr="00A50FBF">
        <w:rPr>
          <w:sz w:val="28"/>
          <w:szCs w:val="28"/>
        </w:rPr>
        <w:t>effective</w:t>
      </w:r>
      <w:r w:rsidR="00C668CF">
        <w:rPr>
          <w:sz w:val="28"/>
          <w:szCs w:val="28"/>
        </w:rPr>
        <w:t>[]</w:t>
      </w:r>
      <w:r w:rsidRPr="00A50FBF">
        <w:rPr>
          <w:sz w:val="28"/>
          <w:szCs w:val="28"/>
        </w:rPr>
        <w:t xml:space="preserve"> </w:t>
      </w:r>
      <w:r w:rsidRPr="00A50FBF" w:rsidR="00B76DB8">
        <w:rPr>
          <w:sz w:val="28"/>
          <w:szCs w:val="28"/>
        </w:rPr>
        <w:t>i</w:t>
      </w:r>
      <w:r w:rsidRPr="00A50FBF">
        <w:rPr>
          <w:sz w:val="28"/>
          <w:szCs w:val="28"/>
        </w:rPr>
        <w:t>mmediately”</w:t>
      </w:r>
      <w:r w:rsidRPr="00A50FBF" w:rsidR="00B76DB8">
        <w:rPr>
          <w:sz w:val="28"/>
          <w:szCs w:val="28"/>
        </w:rPr>
        <w:t xml:space="preserve"> and</w:t>
      </w:r>
      <w:r w:rsidRPr="00A50FBF">
        <w:rPr>
          <w:sz w:val="28"/>
          <w:szCs w:val="28"/>
        </w:rPr>
        <w:t xml:space="preserve"> without public comment. </w:t>
      </w:r>
      <w:r w:rsidRPr="00A50FBF" w:rsidR="00B76DB8">
        <w:rPr>
          <w:sz w:val="28"/>
          <w:szCs w:val="28"/>
        </w:rPr>
        <w:t xml:space="preserve"> </w:t>
      </w:r>
      <w:r w:rsidRPr="00A50FBF" w:rsidR="00B76DB8">
        <w:rPr>
          <w:i/>
          <w:sz w:val="28"/>
          <w:szCs w:val="28"/>
        </w:rPr>
        <w:t xml:space="preserve">See </w:t>
      </w:r>
      <w:r w:rsidRPr="00A50FBF" w:rsidR="00B76DB8">
        <w:rPr>
          <w:sz w:val="28"/>
          <w:szCs w:val="28"/>
        </w:rPr>
        <w:t xml:space="preserve">Order Amending Rules 128-134 of the Arizona Rules of the Supreme Court on an Emergency Basis, </w:t>
      </w:r>
      <w:r w:rsidRPr="00A50FBF" w:rsidR="00B76DB8">
        <w:rPr>
          <w:i/>
          <w:sz w:val="28"/>
          <w:szCs w:val="28"/>
        </w:rPr>
        <w:t>In the Matter of Rule 28, IRC Nomination Procedures</w:t>
      </w:r>
      <w:r w:rsidRPr="00A50FBF" w:rsidR="00B76DB8">
        <w:rPr>
          <w:sz w:val="28"/>
          <w:szCs w:val="28"/>
        </w:rPr>
        <w:t>, No. R-20-0035 (</w:t>
      </w:r>
      <w:r w:rsidRPr="00A50FBF" w:rsidR="00531658">
        <w:rPr>
          <w:sz w:val="28"/>
          <w:szCs w:val="28"/>
        </w:rPr>
        <w:t>Ariz.</w:t>
      </w:r>
      <w:r w:rsidRPr="00A50FBF" w:rsidR="00B76DB8">
        <w:rPr>
          <w:sz w:val="28"/>
          <w:szCs w:val="28"/>
        </w:rPr>
        <w:t xml:space="preserve"> Sup</w:t>
      </w:r>
      <w:r w:rsidRPr="00A50FBF" w:rsidR="00531658">
        <w:rPr>
          <w:sz w:val="28"/>
          <w:szCs w:val="28"/>
        </w:rPr>
        <w:t>.</w:t>
      </w:r>
      <w:r w:rsidRPr="00A50FBF" w:rsidR="00B76DB8">
        <w:rPr>
          <w:sz w:val="28"/>
          <w:szCs w:val="28"/>
        </w:rPr>
        <w:t xml:space="preserve"> Ct</w:t>
      </w:r>
      <w:r w:rsidRPr="00A50FBF" w:rsidR="00531658">
        <w:rPr>
          <w:sz w:val="28"/>
          <w:szCs w:val="28"/>
        </w:rPr>
        <w:t>.</w:t>
      </w:r>
      <w:r w:rsidRPr="00A50FBF" w:rsidR="00B76DB8">
        <w:rPr>
          <w:sz w:val="28"/>
          <w:szCs w:val="28"/>
        </w:rPr>
        <w:t>, Apr. 3, 2020) (hereinafter, the “Order”).</w:t>
      </w:r>
      <w:r w:rsidR="00A032ED">
        <w:rPr>
          <w:sz w:val="28"/>
          <w:szCs w:val="28"/>
        </w:rPr>
        <w:t xml:space="preserve">  These Comments are respectfully submitted to avoid the unforeseen adverse consequences of the proposed amendments to Rule 131.</w:t>
      </w:r>
    </w:p>
    <w:p w:rsidR="004D1864" w:rsidRPr="00A50FBF" w:rsidP="00D24808" w14:paraId="718B8502" w14:textId="77777777">
      <w:pPr>
        <w:pStyle w:val="00BodyText1"/>
        <w:spacing w:line="480" w:lineRule="auto"/>
        <w:ind w:firstLine="0"/>
        <w:contextualSpacing/>
        <w:jc w:val="center"/>
        <w:rPr>
          <w:sz w:val="28"/>
          <w:szCs w:val="28"/>
        </w:rPr>
      </w:pPr>
      <w:r w:rsidRPr="00A50FBF">
        <w:rPr>
          <w:b/>
          <w:sz w:val="28"/>
          <w:szCs w:val="28"/>
          <w:u w:val="single"/>
        </w:rPr>
        <w:t>Discussion</w:t>
      </w:r>
    </w:p>
    <w:p w:rsidR="008523BA" w:rsidRPr="001507DE" w:rsidP="00D24808" w14:paraId="107A8368" w14:textId="5132172A">
      <w:pPr>
        <w:pStyle w:val="00BodyText1"/>
        <w:numPr>
          <w:ilvl w:val="0"/>
          <w:numId w:val="10"/>
        </w:numPr>
        <w:contextualSpacing/>
        <w:jc w:val="both"/>
        <w:rPr>
          <w:rFonts w:ascii="Times New Roman Bold" w:hAnsi="Times New Roman Bold"/>
          <w:b/>
          <w:caps/>
          <w:sz w:val="28"/>
          <w:szCs w:val="28"/>
        </w:rPr>
      </w:pPr>
      <w:r>
        <w:rPr>
          <w:rFonts w:ascii="Times New Roman Bold" w:hAnsi="Times New Roman Bold"/>
          <w:b/>
          <w:caps/>
          <w:sz w:val="28"/>
          <w:szCs w:val="28"/>
        </w:rPr>
        <w:t xml:space="preserve">The emergency amendments to rule 131 erode transparency in the selection of members to the independent redistricting commission and </w:t>
      </w:r>
      <w:r w:rsidR="00D24808">
        <w:rPr>
          <w:rFonts w:ascii="Times New Roman Bold" w:hAnsi="Times New Roman Bold"/>
          <w:b/>
          <w:caps/>
          <w:sz w:val="28"/>
          <w:szCs w:val="28"/>
        </w:rPr>
        <w:t>undermine public Confidence in the Redistricting Process.</w:t>
      </w:r>
    </w:p>
    <w:p w:rsidR="00B54DEE" w:rsidRPr="00B54DEE" w:rsidP="00B54DEE" w14:paraId="470FF2FD" w14:textId="77777777">
      <w:pPr>
        <w:pStyle w:val="00BodyText1"/>
        <w:ind w:firstLine="0"/>
        <w:contextualSpacing/>
        <w:jc w:val="both"/>
        <w:rPr>
          <w:b/>
          <w:sz w:val="28"/>
          <w:szCs w:val="28"/>
        </w:rPr>
      </w:pPr>
    </w:p>
    <w:p w:rsidR="00224684" w:rsidP="0057665A" w14:paraId="49E9B551" w14:textId="700B8729">
      <w:pPr>
        <w:pStyle w:val="00BodyText1"/>
        <w:spacing w:line="480" w:lineRule="auto"/>
        <w:ind w:firstLine="720"/>
        <w:contextualSpacing/>
        <w:jc w:val="both"/>
        <w:rPr>
          <w:sz w:val="28"/>
          <w:szCs w:val="28"/>
        </w:rPr>
      </w:pPr>
      <w:r>
        <w:rPr>
          <w:sz w:val="28"/>
          <w:szCs w:val="28"/>
        </w:rPr>
        <w:t xml:space="preserve">Arizona voters created the </w:t>
      </w:r>
      <w:r w:rsidR="001C511B">
        <w:rPr>
          <w:sz w:val="28"/>
          <w:szCs w:val="28"/>
        </w:rPr>
        <w:t xml:space="preserve">Independent Redistricting </w:t>
      </w:r>
      <w:r>
        <w:rPr>
          <w:sz w:val="28"/>
          <w:szCs w:val="28"/>
        </w:rPr>
        <w:t>Commission so that redistricting would occur through open meetings subject to public scrutiny “</w:t>
      </w:r>
      <w:r w:rsidRPr="00A50FBF">
        <w:rPr>
          <w:sz w:val="28"/>
          <w:szCs w:val="28"/>
        </w:rPr>
        <w:t>to create fair, competitive legislative and congressional districts.</w:t>
      </w:r>
      <w:r w:rsidR="008B0450">
        <w:rPr>
          <w:sz w:val="28"/>
          <w:szCs w:val="28"/>
        </w:rPr>
        <w:t>”</w:t>
      </w:r>
      <w:r>
        <w:rPr>
          <w:sz w:val="28"/>
          <w:szCs w:val="28"/>
        </w:rPr>
        <w:t xml:space="preserve">  </w:t>
      </w:r>
      <w:r>
        <w:rPr>
          <w:i/>
          <w:sz w:val="28"/>
          <w:szCs w:val="28"/>
        </w:rPr>
        <w:t xml:space="preserve">See </w:t>
      </w:r>
      <w:r w:rsidRPr="00002ECE" w:rsidR="00002ECE">
        <w:rPr>
          <w:sz w:val="28"/>
          <w:szCs w:val="28"/>
        </w:rPr>
        <w:t xml:space="preserve">Ariz. Sec’y of State, General Election 2000 Publicity Pamphlet 57 (Nov. 7, 2000), </w:t>
      </w:r>
      <w:r w:rsidRPr="00C95709" w:rsidR="007C1BF5">
        <w:rPr>
          <w:rStyle w:val="DefaultParagraphFont"/>
          <w:sz w:val="28"/>
          <w:szCs w:val="28"/>
        </w:rPr>
        <w:t>https://apps.azsos.gov/election/2000/Info/pubpamphlet/english/prop106.pdf</w:t>
      </w:r>
      <w:r w:rsidRPr="00002ECE" w:rsidR="00002ECE">
        <w:rPr>
          <w:sz w:val="28"/>
          <w:szCs w:val="28"/>
        </w:rPr>
        <w:t>.</w:t>
      </w:r>
      <w:r w:rsidR="007C1BF5">
        <w:rPr>
          <w:sz w:val="28"/>
          <w:szCs w:val="28"/>
        </w:rPr>
        <w:t xml:space="preserve"> </w:t>
      </w:r>
      <w:r w:rsidRPr="00A50FBF">
        <w:rPr>
          <w:sz w:val="28"/>
          <w:szCs w:val="28"/>
        </w:rPr>
        <w:t xml:space="preserve">Consistent with this spirit and intent of transparency, Arizona’s courts and legislature have recognized that the </w:t>
      </w:r>
      <w:r w:rsidR="008B0450">
        <w:rPr>
          <w:sz w:val="28"/>
          <w:szCs w:val="28"/>
        </w:rPr>
        <w:t xml:space="preserve">Independent Redistricting </w:t>
      </w:r>
      <w:r w:rsidRPr="00A50FBF">
        <w:rPr>
          <w:sz w:val="28"/>
          <w:szCs w:val="28"/>
        </w:rPr>
        <w:t xml:space="preserve">Commission is subject to Arizona’s Open Meetings Law and Public Records Law.  </w:t>
      </w:r>
      <w:r w:rsidRPr="00A50FBF">
        <w:rPr>
          <w:i/>
          <w:sz w:val="28"/>
          <w:szCs w:val="28"/>
        </w:rPr>
        <w:t>See State ex rel. Montgomery v. Mathis</w:t>
      </w:r>
      <w:r w:rsidRPr="00A50FBF">
        <w:rPr>
          <w:sz w:val="28"/>
          <w:szCs w:val="28"/>
        </w:rPr>
        <w:t>, 231 Ariz. 103, 125 ¶ 88 (App. 2012) (concluding Open Meetings Law applies to Independent Redistricting Commission); A.R.S. § 38-431(6) (defining Public Body to include Independent Redistricting Commission); A.R.S. § 39-121.1(2) (defining “public body” to include a commission or committee of the state).</w:t>
      </w:r>
    </w:p>
    <w:p w:rsidR="003C2721" w:rsidP="003C2721" w14:paraId="25DDC35D" w14:textId="52A7899A">
      <w:pPr>
        <w:pStyle w:val="00BodyText1"/>
        <w:spacing w:line="480" w:lineRule="auto"/>
        <w:ind w:firstLine="720"/>
        <w:contextualSpacing/>
        <w:jc w:val="both"/>
        <w:rPr>
          <w:sz w:val="28"/>
          <w:szCs w:val="28"/>
        </w:rPr>
      </w:pPr>
      <w:r>
        <w:rPr>
          <w:sz w:val="28"/>
          <w:szCs w:val="28"/>
        </w:rPr>
        <w:t xml:space="preserve">As this state’s highest court recognized nearly </w:t>
      </w:r>
      <w:r w:rsidR="001C511B">
        <w:rPr>
          <w:sz w:val="28"/>
          <w:szCs w:val="28"/>
        </w:rPr>
        <w:t>40</w:t>
      </w:r>
      <w:r>
        <w:rPr>
          <w:sz w:val="28"/>
          <w:szCs w:val="28"/>
        </w:rPr>
        <w:t xml:space="preserve"> years ago, </w:t>
      </w:r>
      <w:r w:rsidR="00256AB9">
        <w:rPr>
          <w:sz w:val="28"/>
          <w:szCs w:val="28"/>
        </w:rPr>
        <w:t>“</w:t>
      </w:r>
      <w:r w:rsidR="001C511B">
        <w:rPr>
          <w:sz w:val="28"/>
          <w:szCs w:val="28"/>
        </w:rPr>
        <w:t>[d]</w:t>
      </w:r>
      <w:r w:rsidR="00256AB9">
        <w:rPr>
          <w:sz w:val="28"/>
          <w:szCs w:val="28"/>
        </w:rPr>
        <w:t>emocracy blooms where the public is informed and sta</w:t>
      </w:r>
      <w:r w:rsidR="00F34FF1">
        <w:rPr>
          <w:sz w:val="28"/>
          <w:szCs w:val="28"/>
        </w:rPr>
        <w:t xml:space="preserve">gnates where secrecy prevails.”  </w:t>
      </w:r>
      <w:bookmarkStart w:id="8" w:name="_BA_Cite_89"/>
      <w:r w:rsidR="00F34FF1">
        <w:rPr>
          <w:i/>
          <w:sz w:val="28"/>
          <w:szCs w:val="28"/>
        </w:rPr>
        <w:t>Phoenix Newspapers, Inc. v. Jennings</w:t>
      </w:r>
      <w:r w:rsidR="00F34FF1">
        <w:rPr>
          <w:sz w:val="28"/>
          <w:szCs w:val="28"/>
        </w:rPr>
        <w:t>, 107 Ariz. 557, 561 (1971)</w:t>
      </w:r>
      <w:bookmarkEnd w:id="8"/>
      <w:r>
        <w:rPr>
          <w:sz w:val="28"/>
          <w:szCs w:val="28"/>
        </w:rPr>
        <w:t xml:space="preserve">; </w:t>
      </w:r>
      <w:r>
        <w:rPr>
          <w:i/>
          <w:sz w:val="28"/>
          <w:szCs w:val="28"/>
        </w:rPr>
        <w:t xml:space="preserve">cf. </w:t>
      </w:r>
      <w:r w:rsidRPr="00A52490">
        <w:rPr>
          <w:i/>
          <w:sz w:val="28"/>
          <w:szCs w:val="28"/>
        </w:rPr>
        <w:fldChar w:fldCharType="begin"/>
      </w:r>
      <w:r w:rsidRPr="00A52490">
        <w:rPr>
          <w:i/>
          <w:sz w:val="28"/>
          <w:szCs w:val="28"/>
        </w:rPr>
        <w:instrText xml:space="preserve"> ADDIN BA \xc &lt;@cs&gt; \xl 63 \s IVJFHA000003 \xhfl Rep \l "Globe Newspaper Co. v. Superior Court,&lt;SoftRt&gt; 457 U.S. 596 (1982)" </w:instrText>
      </w:r>
      <w:r w:rsidRPr="00A52490">
        <w:rPr>
          <w:i/>
          <w:sz w:val="28"/>
          <w:szCs w:val="28"/>
        </w:rPr>
        <w:fldChar w:fldCharType="separate"/>
      </w:r>
      <w:r w:rsidRPr="00A52490">
        <w:rPr>
          <w:i/>
          <w:sz w:val="28"/>
          <w:szCs w:val="28"/>
        </w:rPr>
        <w:fldChar w:fldCharType="end"/>
      </w:r>
      <w:r w:rsidRPr="00A52490">
        <w:rPr>
          <w:i/>
          <w:sz w:val="28"/>
          <w:szCs w:val="28"/>
        </w:rPr>
        <w:t xml:space="preserve">Globe Newspaper Co. v. Superior Court, </w:t>
      </w:r>
      <w:r w:rsidRPr="00A52490">
        <w:rPr>
          <w:sz w:val="28"/>
          <w:szCs w:val="28"/>
        </w:rPr>
        <w:t>457 U.S. 596, 606 (1982</w:t>
      </w:r>
      <w:r>
        <w:rPr>
          <w:sz w:val="28"/>
          <w:szCs w:val="28"/>
        </w:rPr>
        <w:t>) (noting, in context of criminal trials</w:t>
      </w:r>
      <w:r w:rsidRPr="00A52490">
        <w:rPr>
          <w:sz w:val="28"/>
          <w:szCs w:val="28"/>
        </w:rPr>
        <w:t>,</w:t>
      </w:r>
      <w:r>
        <w:rPr>
          <w:sz w:val="28"/>
          <w:szCs w:val="28"/>
        </w:rPr>
        <w:t xml:space="preserve"> that</w:t>
      </w:r>
      <w:r w:rsidRPr="00A52490">
        <w:rPr>
          <w:sz w:val="28"/>
          <w:szCs w:val="28"/>
        </w:rPr>
        <w:t xml:space="preserve"> openness “</w:t>
      </w:r>
      <w:r w:rsidR="001646AA">
        <w:rPr>
          <w:sz w:val="28"/>
          <w:szCs w:val="28"/>
        </w:rPr>
        <w:t xml:space="preserve">enhances the quality and safeguards the integrity of the factfinding process, with benefits to . . . society as a whole.  [It] fosters an </w:t>
      </w:r>
      <w:r w:rsidRPr="00A032ED" w:rsidR="001646AA">
        <w:rPr>
          <w:i/>
          <w:sz w:val="28"/>
          <w:szCs w:val="28"/>
        </w:rPr>
        <w:t>appearance of fairness, thereby heightening public respect for the judicial process.</w:t>
      </w:r>
      <w:r w:rsidR="001646AA">
        <w:rPr>
          <w:sz w:val="28"/>
          <w:szCs w:val="28"/>
        </w:rPr>
        <w:t>”</w:t>
      </w:r>
      <w:bookmarkStart w:id="9" w:name="_BA_Cite_55"/>
      <w:r w:rsidRPr="00A52490">
        <w:rPr>
          <w:sz w:val="28"/>
          <w:szCs w:val="28"/>
        </w:rPr>
        <w:t>)</w:t>
      </w:r>
      <w:bookmarkEnd w:id="9"/>
      <w:r w:rsidR="00A032ED">
        <w:rPr>
          <w:sz w:val="28"/>
          <w:szCs w:val="28"/>
        </w:rPr>
        <w:t xml:space="preserve"> (emphasis added)</w:t>
      </w:r>
      <w:r w:rsidRPr="00A52490">
        <w:rPr>
          <w:sz w:val="28"/>
          <w:szCs w:val="28"/>
        </w:rPr>
        <w:t xml:space="preserve">.  </w:t>
      </w:r>
      <w:r>
        <w:rPr>
          <w:sz w:val="28"/>
          <w:szCs w:val="28"/>
        </w:rPr>
        <w:t>Instead of promoting openness</w:t>
      </w:r>
      <w:r w:rsidR="001646AA">
        <w:rPr>
          <w:sz w:val="28"/>
          <w:szCs w:val="28"/>
        </w:rPr>
        <w:t xml:space="preserve"> and respect for the selection process</w:t>
      </w:r>
      <w:r>
        <w:rPr>
          <w:sz w:val="28"/>
          <w:szCs w:val="28"/>
        </w:rPr>
        <w:t xml:space="preserve">, revised Rule 131 </w:t>
      </w:r>
      <w:r w:rsidR="001646AA">
        <w:rPr>
          <w:sz w:val="28"/>
          <w:szCs w:val="28"/>
        </w:rPr>
        <w:t xml:space="preserve">blocks </w:t>
      </w:r>
      <w:r>
        <w:rPr>
          <w:sz w:val="28"/>
          <w:szCs w:val="28"/>
        </w:rPr>
        <w:t xml:space="preserve">access to public records </w:t>
      </w:r>
      <w:r w:rsidR="001646AA">
        <w:rPr>
          <w:sz w:val="28"/>
          <w:szCs w:val="28"/>
        </w:rPr>
        <w:t xml:space="preserve">concerning </w:t>
      </w:r>
      <w:r w:rsidR="001C511B">
        <w:rPr>
          <w:sz w:val="28"/>
          <w:szCs w:val="28"/>
        </w:rPr>
        <w:t xml:space="preserve">the selection of members to </w:t>
      </w:r>
      <w:r w:rsidR="001646AA">
        <w:rPr>
          <w:sz w:val="28"/>
          <w:szCs w:val="28"/>
        </w:rPr>
        <w:t>the Independent Redistricting Commission and raises the specter of undue, and unchecked, influence</w:t>
      </w:r>
      <w:r>
        <w:rPr>
          <w:sz w:val="28"/>
          <w:szCs w:val="28"/>
        </w:rPr>
        <w:t>.</w:t>
      </w:r>
    </w:p>
    <w:p w:rsidR="003C2721" w:rsidP="00194EC6" w14:paraId="479C7F95" w14:textId="0CC8B325">
      <w:pPr>
        <w:pStyle w:val="00BodyText1"/>
        <w:keepNext/>
        <w:keepLines/>
        <w:numPr>
          <w:ilvl w:val="0"/>
          <w:numId w:val="13"/>
        </w:numPr>
        <w:contextualSpacing/>
        <w:jc w:val="both"/>
        <w:rPr>
          <w:b/>
          <w:sz w:val="28"/>
          <w:szCs w:val="28"/>
        </w:rPr>
      </w:pPr>
      <w:r w:rsidRPr="00C668CF">
        <w:rPr>
          <w:b/>
          <w:sz w:val="28"/>
          <w:szCs w:val="28"/>
          <w:u w:val="single"/>
        </w:rPr>
        <w:t>Revised Rule 131</w:t>
      </w:r>
      <w:r w:rsidR="003B06F2">
        <w:rPr>
          <w:b/>
          <w:sz w:val="28"/>
          <w:szCs w:val="28"/>
          <w:u w:val="single"/>
        </w:rPr>
        <w:t>(d)</w:t>
      </w:r>
      <w:r w:rsidR="00B86177">
        <w:rPr>
          <w:b/>
          <w:sz w:val="28"/>
          <w:szCs w:val="28"/>
          <w:u w:val="single"/>
        </w:rPr>
        <w:t xml:space="preserve"> </w:t>
      </w:r>
      <w:r w:rsidRPr="00C668CF" w:rsidR="001C511B">
        <w:rPr>
          <w:b/>
          <w:sz w:val="28"/>
          <w:szCs w:val="28"/>
          <w:u w:val="single"/>
        </w:rPr>
        <w:t>Forbid</w:t>
      </w:r>
      <w:r w:rsidR="00BC6F56">
        <w:rPr>
          <w:b/>
          <w:sz w:val="28"/>
          <w:szCs w:val="28"/>
          <w:u w:val="single"/>
        </w:rPr>
        <w:t>s</w:t>
      </w:r>
      <w:r w:rsidRPr="00C668CF" w:rsidR="001C511B">
        <w:rPr>
          <w:b/>
          <w:sz w:val="28"/>
          <w:szCs w:val="28"/>
          <w:u w:val="single"/>
        </w:rPr>
        <w:t xml:space="preserve"> </w:t>
      </w:r>
      <w:r w:rsidRPr="00C668CF">
        <w:rPr>
          <w:b/>
          <w:sz w:val="28"/>
          <w:szCs w:val="28"/>
          <w:u w:val="single"/>
        </w:rPr>
        <w:t xml:space="preserve">Scrutiny of </w:t>
      </w:r>
      <w:r w:rsidRPr="00C668CF" w:rsidR="001C511B">
        <w:rPr>
          <w:b/>
          <w:sz w:val="28"/>
          <w:szCs w:val="28"/>
          <w:u w:val="single"/>
        </w:rPr>
        <w:t xml:space="preserve">Key Elements of </w:t>
      </w:r>
      <w:r w:rsidRPr="00C668CF">
        <w:rPr>
          <w:b/>
          <w:sz w:val="28"/>
          <w:szCs w:val="28"/>
          <w:u w:val="single"/>
        </w:rPr>
        <w:t xml:space="preserve">Applications for the </w:t>
      </w:r>
      <w:r w:rsidRPr="00C668CF" w:rsidR="001C511B">
        <w:rPr>
          <w:b/>
          <w:sz w:val="28"/>
          <w:szCs w:val="28"/>
          <w:u w:val="single"/>
        </w:rPr>
        <w:t xml:space="preserve">Independent Redistricting </w:t>
      </w:r>
      <w:r w:rsidRPr="00C668CF">
        <w:rPr>
          <w:b/>
          <w:sz w:val="28"/>
          <w:szCs w:val="28"/>
          <w:u w:val="single"/>
        </w:rPr>
        <w:t>Commission</w:t>
      </w:r>
      <w:r w:rsidR="000400C4">
        <w:rPr>
          <w:b/>
          <w:sz w:val="28"/>
          <w:szCs w:val="28"/>
          <w:u w:val="single"/>
        </w:rPr>
        <w:t>, Which Are</w:t>
      </w:r>
      <w:r w:rsidRPr="00C668CF">
        <w:rPr>
          <w:b/>
          <w:sz w:val="28"/>
          <w:szCs w:val="28"/>
          <w:u w:val="single"/>
        </w:rPr>
        <w:t xml:space="preserve"> Public Records</w:t>
      </w:r>
      <w:r w:rsidRPr="003C2721">
        <w:rPr>
          <w:b/>
          <w:sz w:val="28"/>
          <w:szCs w:val="28"/>
        </w:rPr>
        <w:t>.</w:t>
      </w:r>
    </w:p>
    <w:p w:rsidR="003C2721" w:rsidRPr="003C2721" w:rsidP="00194EC6" w14:paraId="59D744D4" w14:textId="77777777">
      <w:pPr>
        <w:pStyle w:val="00BodyText1"/>
        <w:keepNext/>
        <w:keepLines/>
        <w:ind w:left="1440" w:firstLine="0"/>
        <w:contextualSpacing/>
        <w:jc w:val="both"/>
        <w:rPr>
          <w:b/>
          <w:sz w:val="28"/>
          <w:szCs w:val="28"/>
        </w:rPr>
      </w:pPr>
    </w:p>
    <w:p w:rsidR="00A14221" w:rsidRPr="00A50FBF" w:rsidP="00194EC6" w14:paraId="327860B8" w14:textId="397A0440">
      <w:pPr>
        <w:pStyle w:val="00BodyText1"/>
        <w:keepNext/>
        <w:keepLines/>
        <w:spacing w:line="480" w:lineRule="auto"/>
        <w:ind w:firstLine="720"/>
        <w:contextualSpacing/>
        <w:jc w:val="both"/>
        <w:rPr>
          <w:sz w:val="28"/>
          <w:szCs w:val="28"/>
        </w:rPr>
      </w:pPr>
      <w:r w:rsidRPr="00A50FBF">
        <w:rPr>
          <w:sz w:val="28"/>
          <w:szCs w:val="28"/>
        </w:rPr>
        <w:t xml:space="preserve">Supreme Court Rule 132(c) previously provided </w:t>
      </w:r>
      <w:r w:rsidR="003C2721">
        <w:rPr>
          <w:sz w:val="28"/>
          <w:szCs w:val="28"/>
        </w:rPr>
        <w:t xml:space="preserve">for a reasonable, carefully delimited exception to an otherwise broad mandate of public access to applications for membership on the </w:t>
      </w:r>
      <w:r w:rsidR="0018606E">
        <w:rPr>
          <w:sz w:val="28"/>
          <w:szCs w:val="28"/>
        </w:rPr>
        <w:t xml:space="preserve">Independent Redistricting </w:t>
      </w:r>
      <w:r w:rsidR="003C2721">
        <w:rPr>
          <w:sz w:val="28"/>
          <w:szCs w:val="28"/>
        </w:rPr>
        <w:t>Commission</w:t>
      </w:r>
      <w:r w:rsidRPr="00A50FBF">
        <w:rPr>
          <w:sz w:val="28"/>
          <w:szCs w:val="28"/>
        </w:rPr>
        <w:t xml:space="preserve">: </w:t>
      </w:r>
    </w:p>
    <w:p w:rsidR="00A14221" w:rsidP="003C2721" w14:paraId="4F23354E" w14:textId="77777777">
      <w:pPr>
        <w:pStyle w:val="00BodyText1"/>
        <w:ind w:left="720" w:right="720" w:firstLine="0"/>
        <w:contextualSpacing/>
        <w:jc w:val="both"/>
        <w:rPr>
          <w:sz w:val="28"/>
          <w:szCs w:val="28"/>
        </w:rPr>
      </w:pPr>
      <w:r w:rsidRPr="00A50FBF">
        <w:rPr>
          <w:b/>
          <w:sz w:val="28"/>
          <w:szCs w:val="28"/>
        </w:rPr>
        <w:t>The contents of all applications that relate to the applicant are public information and shall be made available to the public</w:t>
      </w:r>
      <w:r w:rsidRPr="00A50FBF">
        <w:rPr>
          <w:sz w:val="28"/>
          <w:szCs w:val="28"/>
        </w:rPr>
        <w:t xml:space="preserve"> on the Commission's website. The </w:t>
      </w:r>
      <w:r w:rsidRPr="003D689D">
        <w:rPr>
          <w:i/>
          <w:sz w:val="28"/>
          <w:szCs w:val="28"/>
        </w:rPr>
        <w:t>names and contact information of persons listed as references shall be kept confidential</w:t>
      </w:r>
      <w:r w:rsidRPr="00A50FBF">
        <w:rPr>
          <w:sz w:val="28"/>
          <w:szCs w:val="28"/>
        </w:rPr>
        <w:t xml:space="preserve"> to protect the privacy of third parties, and the </w:t>
      </w:r>
      <w:r w:rsidRPr="003D689D">
        <w:rPr>
          <w:i/>
          <w:sz w:val="28"/>
          <w:szCs w:val="28"/>
        </w:rPr>
        <w:t>confidential third-party information contained in the application shall not be made available to the public</w:t>
      </w:r>
      <w:r w:rsidRPr="00A50FBF">
        <w:rPr>
          <w:sz w:val="28"/>
          <w:szCs w:val="28"/>
        </w:rPr>
        <w:t>.</w:t>
      </w:r>
    </w:p>
    <w:p w:rsidR="00A10E82" w:rsidP="00A10E82" w14:paraId="14C0CF99" w14:textId="77777777">
      <w:pPr>
        <w:pStyle w:val="00BodyText1"/>
        <w:ind w:right="720" w:firstLine="0"/>
        <w:contextualSpacing/>
        <w:jc w:val="both"/>
        <w:rPr>
          <w:sz w:val="28"/>
          <w:szCs w:val="28"/>
        </w:rPr>
      </w:pPr>
    </w:p>
    <w:p w:rsidR="003C2721" w:rsidP="00F3769A" w14:paraId="43E8E764" w14:textId="168A503F">
      <w:pPr>
        <w:pStyle w:val="00BodyText1"/>
        <w:spacing w:line="480" w:lineRule="auto"/>
        <w:ind w:firstLine="0"/>
        <w:contextualSpacing/>
        <w:jc w:val="both"/>
        <w:rPr>
          <w:sz w:val="28"/>
          <w:szCs w:val="28"/>
        </w:rPr>
      </w:pPr>
      <w:r>
        <w:rPr>
          <w:sz w:val="28"/>
          <w:szCs w:val="28"/>
        </w:rPr>
        <w:t>Ariz. R. Sup. Ct.</w:t>
      </w:r>
      <w:r>
        <w:rPr>
          <w:sz w:val="28"/>
          <w:szCs w:val="28"/>
        </w:rPr>
        <w:t xml:space="preserve"> 132(c) (2010) (emphasis added).</w:t>
      </w:r>
      <w:r w:rsidR="003D689D">
        <w:rPr>
          <w:sz w:val="28"/>
          <w:szCs w:val="28"/>
        </w:rPr>
        <w:t xml:space="preserve">  </w:t>
      </w:r>
      <w:r w:rsidR="00174118">
        <w:rPr>
          <w:sz w:val="28"/>
          <w:szCs w:val="28"/>
        </w:rPr>
        <w:t>For the past decade,</w:t>
      </w:r>
      <w:r w:rsidR="003D689D">
        <w:rPr>
          <w:sz w:val="28"/>
          <w:szCs w:val="28"/>
        </w:rPr>
        <w:t xml:space="preserve"> Rule 132(c) provided that only names and contact information of third parties listed as references would be kept confidential to protect their privacy.  The last clause of </w:t>
      </w:r>
      <w:r w:rsidR="002B2700">
        <w:rPr>
          <w:sz w:val="28"/>
          <w:szCs w:val="28"/>
        </w:rPr>
        <w:t>the above-quoted</w:t>
      </w:r>
      <w:r w:rsidR="003D689D">
        <w:rPr>
          <w:sz w:val="28"/>
          <w:szCs w:val="28"/>
        </w:rPr>
        <w:t xml:space="preserve"> paragraph serves not to expand the scope of such protected information, but merely clarifies that such confidential information regarding third parties shall not be made available to the public.  </w:t>
      </w:r>
    </w:p>
    <w:p w:rsidR="003D689D" w:rsidP="00F3769A" w14:paraId="5901B3C1" w14:textId="7D321517">
      <w:pPr>
        <w:pStyle w:val="00BodyText1"/>
        <w:spacing w:line="480" w:lineRule="auto"/>
        <w:ind w:firstLine="720"/>
        <w:contextualSpacing/>
        <w:jc w:val="both"/>
        <w:rPr>
          <w:sz w:val="28"/>
          <w:szCs w:val="28"/>
        </w:rPr>
      </w:pPr>
      <w:r>
        <w:rPr>
          <w:sz w:val="28"/>
          <w:szCs w:val="28"/>
        </w:rPr>
        <w:t xml:space="preserve">By contrast, </w:t>
      </w:r>
      <w:r>
        <w:rPr>
          <w:sz w:val="28"/>
          <w:szCs w:val="28"/>
        </w:rPr>
        <w:t>Rule 131</w:t>
      </w:r>
      <w:r w:rsidR="0085707E">
        <w:rPr>
          <w:sz w:val="28"/>
          <w:szCs w:val="28"/>
        </w:rPr>
        <w:t>(d)</w:t>
      </w:r>
      <w:r>
        <w:rPr>
          <w:sz w:val="28"/>
          <w:szCs w:val="28"/>
        </w:rPr>
        <w:t xml:space="preserve"> now</w:t>
      </w:r>
      <w:r>
        <w:rPr>
          <w:sz w:val="28"/>
          <w:szCs w:val="28"/>
        </w:rPr>
        <w:t xml:space="preserve"> provides that “</w:t>
      </w:r>
      <w:r w:rsidRPr="00A032ED">
        <w:rPr>
          <w:i/>
          <w:sz w:val="28"/>
          <w:szCs w:val="28"/>
        </w:rPr>
        <w:t>[a]</w:t>
      </w:r>
      <w:r w:rsidRPr="00A032ED">
        <w:rPr>
          <w:i/>
          <w:sz w:val="28"/>
          <w:szCs w:val="28"/>
          <w:lang w:val="x-none"/>
        </w:rPr>
        <w:t xml:space="preserve">ll information </w:t>
      </w:r>
      <w:r w:rsidRPr="003D689D">
        <w:rPr>
          <w:sz w:val="28"/>
          <w:szCs w:val="28"/>
          <w:lang w:val="x-none"/>
        </w:rPr>
        <w:t xml:space="preserve">in response to questions contained in the confidential section of the application form shall </w:t>
      </w:r>
      <w:r w:rsidRPr="00A032ED">
        <w:rPr>
          <w:i/>
          <w:sz w:val="28"/>
          <w:szCs w:val="28"/>
          <w:lang w:val="x-none"/>
        </w:rPr>
        <w:t xml:space="preserve">not </w:t>
      </w:r>
      <w:r w:rsidRPr="003D689D">
        <w:rPr>
          <w:sz w:val="28"/>
          <w:szCs w:val="28"/>
          <w:lang w:val="x-none"/>
        </w:rPr>
        <w:t>be made available to the public to protect the privacy of third parties</w:t>
      </w:r>
      <w:r>
        <w:rPr>
          <w:sz w:val="28"/>
          <w:szCs w:val="28"/>
        </w:rPr>
        <w:t xml:space="preserve">.”  </w:t>
      </w:r>
      <w:r w:rsidR="00EA79B9">
        <w:rPr>
          <w:sz w:val="28"/>
          <w:szCs w:val="28"/>
        </w:rPr>
        <w:t>Ariz. R. Sup. Ct.</w:t>
      </w:r>
      <w:r>
        <w:rPr>
          <w:sz w:val="28"/>
          <w:szCs w:val="28"/>
        </w:rPr>
        <w:t xml:space="preserve"> 131</w:t>
      </w:r>
      <w:r w:rsidR="003B06F2">
        <w:rPr>
          <w:sz w:val="28"/>
          <w:szCs w:val="28"/>
        </w:rPr>
        <w:t>(d</w:t>
      </w:r>
      <w:r w:rsidR="0085707E">
        <w:rPr>
          <w:sz w:val="28"/>
          <w:szCs w:val="28"/>
        </w:rPr>
        <w:t>)</w:t>
      </w:r>
      <w:r w:rsidR="00A032ED">
        <w:rPr>
          <w:sz w:val="28"/>
          <w:szCs w:val="28"/>
        </w:rPr>
        <w:t xml:space="preserve"> (emphasis added)</w:t>
      </w:r>
      <w:r>
        <w:rPr>
          <w:sz w:val="28"/>
          <w:szCs w:val="28"/>
        </w:rPr>
        <w:t xml:space="preserve">.  </w:t>
      </w:r>
      <w:r>
        <w:rPr>
          <w:sz w:val="28"/>
          <w:szCs w:val="28"/>
        </w:rPr>
        <w:t xml:space="preserve">Under the emergency amendments, </w:t>
      </w:r>
      <w:r>
        <w:rPr>
          <w:sz w:val="28"/>
          <w:szCs w:val="28"/>
        </w:rPr>
        <w:t xml:space="preserve">the Rule </w:t>
      </w:r>
      <w:r>
        <w:rPr>
          <w:sz w:val="28"/>
          <w:szCs w:val="28"/>
        </w:rPr>
        <w:t xml:space="preserve">now permits </w:t>
      </w:r>
      <w:r>
        <w:rPr>
          <w:sz w:val="28"/>
          <w:szCs w:val="28"/>
        </w:rPr>
        <w:t xml:space="preserve">an undefined, potentially </w:t>
      </w:r>
      <w:r w:rsidR="00BC6F56">
        <w:rPr>
          <w:sz w:val="28"/>
          <w:szCs w:val="28"/>
        </w:rPr>
        <w:t xml:space="preserve">elastic </w:t>
      </w:r>
      <w:r>
        <w:rPr>
          <w:sz w:val="28"/>
          <w:szCs w:val="28"/>
        </w:rPr>
        <w:t>“confidential section” of the application form</w:t>
      </w:r>
      <w:r w:rsidR="00BC6F56">
        <w:rPr>
          <w:sz w:val="28"/>
          <w:szCs w:val="28"/>
        </w:rPr>
        <w:t>, which</w:t>
      </w:r>
      <w:r>
        <w:rPr>
          <w:sz w:val="28"/>
          <w:szCs w:val="28"/>
        </w:rPr>
        <w:t xml:space="preserve"> could include any number of questions relevant to candidates’ political </w:t>
      </w:r>
      <w:r w:rsidR="00A032ED">
        <w:rPr>
          <w:sz w:val="28"/>
          <w:szCs w:val="28"/>
        </w:rPr>
        <w:t xml:space="preserve">affiliation, </w:t>
      </w:r>
      <w:r>
        <w:rPr>
          <w:sz w:val="28"/>
          <w:szCs w:val="28"/>
        </w:rPr>
        <w:t>past conduct</w:t>
      </w:r>
      <w:r w:rsidR="00A032ED">
        <w:rPr>
          <w:sz w:val="28"/>
          <w:szCs w:val="28"/>
        </w:rPr>
        <w:t xml:space="preserve"> and other pertinent topics</w:t>
      </w:r>
      <w:r>
        <w:rPr>
          <w:sz w:val="28"/>
          <w:szCs w:val="28"/>
        </w:rPr>
        <w:t>.  No section of the application form should be per se confidential.  Previous Rule 13</w:t>
      </w:r>
      <w:r w:rsidR="000F78BA">
        <w:rPr>
          <w:sz w:val="28"/>
          <w:szCs w:val="28"/>
        </w:rPr>
        <w:t>2</w:t>
      </w:r>
      <w:r w:rsidR="002310B9">
        <w:rPr>
          <w:sz w:val="28"/>
          <w:szCs w:val="28"/>
        </w:rPr>
        <w:t>(c) struck</w:t>
      </w:r>
      <w:r>
        <w:rPr>
          <w:sz w:val="28"/>
          <w:szCs w:val="28"/>
        </w:rPr>
        <w:t xml:space="preserve"> the right balance:  the names and contact information of third parties – designated as references by the </w:t>
      </w:r>
      <w:r w:rsidR="000F78BA">
        <w:rPr>
          <w:sz w:val="28"/>
          <w:szCs w:val="28"/>
        </w:rPr>
        <w:t>applicants, not the third</w:t>
      </w:r>
      <w:r w:rsidR="00BC6F56">
        <w:rPr>
          <w:sz w:val="28"/>
          <w:szCs w:val="28"/>
        </w:rPr>
        <w:t>-</w:t>
      </w:r>
      <w:r w:rsidR="000F78BA">
        <w:rPr>
          <w:sz w:val="28"/>
          <w:szCs w:val="28"/>
        </w:rPr>
        <w:t>parties themselves</w:t>
      </w:r>
      <w:r>
        <w:rPr>
          <w:sz w:val="28"/>
          <w:szCs w:val="28"/>
        </w:rPr>
        <w:t xml:space="preserve"> – </w:t>
      </w:r>
      <w:r w:rsidR="00BC6F56">
        <w:rPr>
          <w:sz w:val="28"/>
          <w:szCs w:val="28"/>
        </w:rPr>
        <w:t>w</w:t>
      </w:r>
      <w:r>
        <w:rPr>
          <w:sz w:val="28"/>
          <w:szCs w:val="28"/>
        </w:rPr>
        <w:t xml:space="preserve">ould be redacted with a scalpel, not a </w:t>
      </w:r>
      <w:r w:rsidR="00BF2D88">
        <w:rPr>
          <w:sz w:val="28"/>
          <w:szCs w:val="28"/>
        </w:rPr>
        <w:t>blunt instrument</w:t>
      </w:r>
      <w:r>
        <w:rPr>
          <w:sz w:val="28"/>
          <w:szCs w:val="28"/>
        </w:rPr>
        <w:t xml:space="preserve">.  </w:t>
      </w:r>
      <w:r w:rsidR="00071EFD">
        <w:rPr>
          <w:sz w:val="28"/>
          <w:szCs w:val="28"/>
        </w:rPr>
        <w:t>As currently drafted, Rule 131</w:t>
      </w:r>
      <w:r w:rsidR="002310B9">
        <w:rPr>
          <w:sz w:val="28"/>
          <w:szCs w:val="28"/>
        </w:rPr>
        <w:t xml:space="preserve">(d) contains no practical limitation </w:t>
      </w:r>
      <w:r>
        <w:rPr>
          <w:sz w:val="28"/>
          <w:szCs w:val="28"/>
        </w:rPr>
        <w:t xml:space="preserve">on </w:t>
      </w:r>
      <w:r w:rsidR="002310B9">
        <w:rPr>
          <w:sz w:val="28"/>
          <w:szCs w:val="28"/>
        </w:rPr>
        <w:t xml:space="preserve">what information may be designated </w:t>
      </w:r>
      <w:r>
        <w:rPr>
          <w:sz w:val="28"/>
          <w:szCs w:val="28"/>
        </w:rPr>
        <w:t>“</w:t>
      </w:r>
      <w:r w:rsidR="002310B9">
        <w:rPr>
          <w:sz w:val="28"/>
          <w:szCs w:val="28"/>
        </w:rPr>
        <w:t>confidential</w:t>
      </w:r>
      <w:r>
        <w:rPr>
          <w:sz w:val="28"/>
          <w:szCs w:val="28"/>
        </w:rPr>
        <w:t>”</w:t>
      </w:r>
      <w:r w:rsidR="002310B9">
        <w:rPr>
          <w:sz w:val="28"/>
          <w:szCs w:val="28"/>
        </w:rPr>
        <w:t xml:space="preserve"> and therefore exempt from public scrutiny.</w:t>
      </w:r>
      <w:r w:rsidR="003B06F2">
        <w:rPr>
          <w:sz w:val="28"/>
          <w:szCs w:val="28"/>
        </w:rPr>
        <w:t xml:space="preserve"> </w:t>
      </w:r>
    </w:p>
    <w:p w:rsidR="002310B9" w:rsidRPr="00F3769A" w:rsidP="00F3769A" w14:paraId="3159D772" w14:textId="2947DF73">
      <w:pPr>
        <w:pStyle w:val="00BodyText1"/>
        <w:numPr>
          <w:ilvl w:val="0"/>
          <w:numId w:val="13"/>
        </w:numPr>
        <w:contextualSpacing/>
        <w:jc w:val="both"/>
        <w:rPr>
          <w:b/>
          <w:sz w:val="28"/>
          <w:szCs w:val="28"/>
        </w:rPr>
      </w:pPr>
      <w:r w:rsidRPr="00C668CF">
        <w:rPr>
          <w:b/>
          <w:sz w:val="28"/>
          <w:szCs w:val="28"/>
          <w:u w:val="single"/>
        </w:rPr>
        <w:t>Rule 131(e)</w:t>
      </w:r>
      <w:r w:rsidRPr="00C668CF" w:rsidR="00872151">
        <w:rPr>
          <w:b/>
          <w:sz w:val="28"/>
          <w:szCs w:val="28"/>
          <w:u w:val="single"/>
        </w:rPr>
        <w:t>(1)</w:t>
      </w:r>
      <w:r w:rsidRPr="00C668CF">
        <w:rPr>
          <w:b/>
          <w:sz w:val="28"/>
          <w:szCs w:val="28"/>
          <w:u w:val="single"/>
        </w:rPr>
        <w:t xml:space="preserve"> Create</w:t>
      </w:r>
      <w:r w:rsidR="00174118">
        <w:rPr>
          <w:b/>
          <w:sz w:val="28"/>
          <w:szCs w:val="28"/>
          <w:u w:val="single"/>
        </w:rPr>
        <w:t>s</w:t>
      </w:r>
      <w:r w:rsidRPr="00C668CF">
        <w:rPr>
          <w:b/>
          <w:sz w:val="28"/>
          <w:szCs w:val="28"/>
          <w:u w:val="single"/>
        </w:rPr>
        <w:t xml:space="preserve"> a Limitless Exemption from Public Disclosure for </w:t>
      </w:r>
      <w:r w:rsidRPr="00C668CF">
        <w:rPr>
          <w:b/>
          <w:i/>
          <w:sz w:val="28"/>
          <w:szCs w:val="28"/>
          <w:u w:val="single"/>
        </w:rPr>
        <w:t>Any</w:t>
      </w:r>
      <w:r w:rsidRPr="00C668CF">
        <w:rPr>
          <w:b/>
          <w:sz w:val="28"/>
          <w:szCs w:val="28"/>
          <w:u w:val="single"/>
        </w:rPr>
        <w:t xml:space="preserve"> Information Designated by Third Parties as Confidential</w:t>
      </w:r>
      <w:r w:rsidRPr="00F3769A">
        <w:rPr>
          <w:b/>
          <w:sz w:val="28"/>
          <w:szCs w:val="28"/>
        </w:rPr>
        <w:t xml:space="preserve">. </w:t>
      </w:r>
    </w:p>
    <w:p w:rsidR="003C2721" w:rsidRPr="00A50FBF" w:rsidP="00A10E82" w14:paraId="5EAAEC35" w14:textId="77777777">
      <w:pPr>
        <w:pStyle w:val="00BodyText1"/>
        <w:ind w:right="720" w:firstLine="0"/>
        <w:contextualSpacing/>
        <w:jc w:val="both"/>
        <w:rPr>
          <w:sz w:val="28"/>
          <w:szCs w:val="28"/>
        </w:rPr>
      </w:pPr>
    </w:p>
    <w:p w:rsidR="003E7BD5" w:rsidP="00BC6F56" w14:paraId="748B2380" w14:textId="243FDE49">
      <w:pPr>
        <w:pStyle w:val="00BodyText1"/>
        <w:spacing w:line="480" w:lineRule="auto"/>
        <w:ind w:firstLine="720"/>
        <w:contextualSpacing/>
        <w:jc w:val="both"/>
        <w:rPr>
          <w:sz w:val="28"/>
          <w:szCs w:val="28"/>
        </w:rPr>
      </w:pPr>
      <w:r>
        <w:rPr>
          <w:sz w:val="28"/>
          <w:szCs w:val="28"/>
        </w:rPr>
        <w:t xml:space="preserve">As proposed by the Commission on Appellate Court Appointments and accepted by </w:t>
      </w:r>
      <w:r w:rsidR="00BC6F56">
        <w:rPr>
          <w:sz w:val="28"/>
          <w:szCs w:val="28"/>
        </w:rPr>
        <w:t xml:space="preserve">the </w:t>
      </w:r>
      <w:r>
        <w:rPr>
          <w:sz w:val="28"/>
          <w:szCs w:val="28"/>
        </w:rPr>
        <w:t>Chief Justice, Rule 131(e) create</w:t>
      </w:r>
      <w:r w:rsidR="00BC6F56">
        <w:rPr>
          <w:sz w:val="28"/>
          <w:szCs w:val="28"/>
        </w:rPr>
        <w:t>s</w:t>
      </w:r>
      <w:r>
        <w:rPr>
          <w:sz w:val="28"/>
          <w:szCs w:val="28"/>
        </w:rPr>
        <w:t xml:space="preserve"> an entirely new exception to public scrutiny: </w:t>
      </w:r>
      <w:r w:rsidR="00174118">
        <w:rPr>
          <w:sz w:val="28"/>
          <w:szCs w:val="28"/>
        </w:rPr>
        <w:t xml:space="preserve"> </w:t>
      </w:r>
      <w:r w:rsidR="00A032ED">
        <w:rPr>
          <w:sz w:val="28"/>
          <w:szCs w:val="28"/>
        </w:rPr>
        <w:t xml:space="preserve">specifically, </w:t>
      </w:r>
      <w:r>
        <w:rPr>
          <w:sz w:val="28"/>
          <w:szCs w:val="28"/>
        </w:rPr>
        <w:t>any “[w]ritten information provided to the Commission by a third party regarding an applicant</w:t>
      </w:r>
      <w:r w:rsidR="000400C4">
        <w:rPr>
          <w:sz w:val="28"/>
          <w:szCs w:val="28"/>
        </w:rPr>
        <w:t>,</w:t>
      </w:r>
      <w:r>
        <w:rPr>
          <w:sz w:val="28"/>
          <w:szCs w:val="28"/>
        </w:rPr>
        <w:t xml:space="preserve"> . . . which the third party designates . . . as confidential.” </w:t>
      </w:r>
      <w:r w:rsidR="00EA79B9">
        <w:rPr>
          <w:sz w:val="28"/>
          <w:szCs w:val="28"/>
        </w:rPr>
        <w:t>Ariz. R. Sup. Ct.</w:t>
      </w:r>
      <w:r>
        <w:rPr>
          <w:sz w:val="28"/>
          <w:szCs w:val="28"/>
        </w:rPr>
        <w:t xml:space="preserve"> 13</w:t>
      </w:r>
      <w:r w:rsidR="00BF2D88">
        <w:rPr>
          <w:sz w:val="28"/>
          <w:szCs w:val="28"/>
        </w:rPr>
        <w:t>1</w:t>
      </w:r>
      <w:r>
        <w:rPr>
          <w:sz w:val="28"/>
          <w:szCs w:val="28"/>
        </w:rPr>
        <w:t>(e)</w:t>
      </w:r>
      <w:r w:rsidR="00BF2D88">
        <w:rPr>
          <w:sz w:val="28"/>
          <w:szCs w:val="28"/>
        </w:rPr>
        <w:t>(1)</w:t>
      </w:r>
      <w:r>
        <w:rPr>
          <w:sz w:val="28"/>
          <w:szCs w:val="28"/>
        </w:rPr>
        <w:t xml:space="preserve">.  Such a broad exception in practice means that any individual who comments on an applicant for the </w:t>
      </w:r>
      <w:r w:rsidR="0018606E">
        <w:rPr>
          <w:sz w:val="28"/>
          <w:szCs w:val="28"/>
        </w:rPr>
        <w:t xml:space="preserve">Independent Redistricting </w:t>
      </w:r>
      <w:r>
        <w:rPr>
          <w:sz w:val="28"/>
          <w:szCs w:val="28"/>
        </w:rPr>
        <w:t>Commission – a public body entrusted with a task fundamental to the ex</w:t>
      </w:r>
      <w:r w:rsidR="00872151">
        <w:rPr>
          <w:sz w:val="28"/>
          <w:szCs w:val="28"/>
        </w:rPr>
        <w:t>ercise of democracy across the s</w:t>
      </w:r>
      <w:r>
        <w:rPr>
          <w:sz w:val="28"/>
          <w:szCs w:val="28"/>
        </w:rPr>
        <w:t xml:space="preserve">tate – can hide </w:t>
      </w:r>
      <w:r w:rsidR="00BF2D88">
        <w:rPr>
          <w:sz w:val="28"/>
          <w:szCs w:val="28"/>
        </w:rPr>
        <w:t>his or her</w:t>
      </w:r>
      <w:r>
        <w:rPr>
          <w:sz w:val="28"/>
          <w:szCs w:val="28"/>
        </w:rPr>
        <w:t xml:space="preserve"> comments from the public</w:t>
      </w:r>
      <w:r w:rsidR="00872151">
        <w:rPr>
          <w:sz w:val="28"/>
          <w:szCs w:val="28"/>
        </w:rPr>
        <w:t xml:space="preserve"> indefinitely</w:t>
      </w:r>
      <w:r>
        <w:rPr>
          <w:sz w:val="28"/>
          <w:szCs w:val="28"/>
        </w:rPr>
        <w:t xml:space="preserve"> </w:t>
      </w:r>
      <w:r>
        <w:rPr>
          <w:i/>
          <w:sz w:val="28"/>
          <w:szCs w:val="28"/>
        </w:rPr>
        <w:t>without any justification</w:t>
      </w:r>
      <w:r>
        <w:rPr>
          <w:sz w:val="28"/>
          <w:szCs w:val="28"/>
        </w:rPr>
        <w:t xml:space="preserve">. </w:t>
      </w:r>
    </w:p>
    <w:p w:rsidR="008B0450" w:rsidRPr="00CC029B" w:rsidP="00B86177" w14:paraId="67713A17" w14:textId="48EF1DE1">
      <w:pPr>
        <w:pStyle w:val="00BodyText1"/>
        <w:spacing w:line="480" w:lineRule="auto"/>
        <w:ind w:firstLine="720"/>
        <w:contextualSpacing/>
        <w:jc w:val="both"/>
        <w:rPr>
          <w:sz w:val="28"/>
          <w:szCs w:val="28"/>
        </w:rPr>
      </w:pPr>
      <w:r>
        <w:rPr>
          <w:sz w:val="28"/>
          <w:szCs w:val="28"/>
        </w:rPr>
        <w:t>Potentially, and as a practical matter, t</w:t>
      </w:r>
      <w:r w:rsidR="003E7BD5">
        <w:rPr>
          <w:sz w:val="28"/>
          <w:szCs w:val="28"/>
        </w:rPr>
        <w:t xml:space="preserve">his emergency rule amendment allows </w:t>
      </w:r>
      <w:r w:rsidR="00B86177">
        <w:rPr>
          <w:sz w:val="28"/>
          <w:szCs w:val="28"/>
        </w:rPr>
        <w:t>s</w:t>
      </w:r>
      <w:r w:rsidRPr="00361727" w:rsidR="00361727">
        <w:rPr>
          <w:sz w:val="28"/>
          <w:szCs w:val="28"/>
        </w:rPr>
        <w:t xml:space="preserve">ome to wield undue influence in promoting their choices and others to end the candidacies of </w:t>
      </w:r>
      <w:r w:rsidR="00361727">
        <w:rPr>
          <w:sz w:val="28"/>
          <w:szCs w:val="28"/>
        </w:rPr>
        <w:t xml:space="preserve">worthy </w:t>
      </w:r>
      <w:r w:rsidRPr="00361727" w:rsidR="00361727">
        <w:rPr>
          <w:sz w:val="28"/>
          <w:szCs w:val="28"/>
        </w:rPr>
        <w:t>candidates without any accountability</w:t>
      </w:r>
      <w:r w:rsidR="00361727">
        <w:rPr>
          <w:sz w:val="28"/>
          <w:szCs w:val="28"/>
        </w:rPr>
        <w:t xml:space="preserve">. </w:t>
      </w:r>
      <w:r w:rsidRPr="00361727" w:rsidR="00361727">
        <w:rPr>
          <w:sz w:val="28"/>
          <w:szCs w:val="28"/>
        </w:rPr>
        <w:t xml:space="preserve"> </w:t>
      </w:r>
      <w:r w:rsidR="00361727">
        <w:rPr>
          <w:sz w:val="28"/>
          <w:szCs w:val="28"/>
        </w:rPr>
        <w:t xml:space="preserve">By shrouding in secrecy </w:t>
      </w:r>
      <w:r w:rsidR="0092249B">
        <w:rPr>
          <w:sz w:val="28"/>
          <w:szCs w:val="28"/>
        </w:rPr>
        <w:t xml:space="preserve">all </w:t>
      </w:r>
      <w:r w:rsidR="00361727">
        <w:rPr>
          <w:sz w:val="28"/>
          <w:szCs w:val="28"/>
        </w:rPr>
        <w:t>commen</w:t>
      </w:r>
      <w:r w:rsidR="0092249B">
        <w:rPr>
          <w:sz w:val="28"/>
          <w:szCs w:val="28"/>
        </w:rPr>
        <w:t>ts about candidates for public office that are submitted by anyone who designates them confidential</w:t>
      </w:r>
      <w:r w:rsidR="00361727">
        <w:rPr>
          <w:sz w:val="28"/>
          <w:szCs w:val="28"/>
        </w:rPr>
        <w:t xml:space="preserve">, </w:t>
      </w:r>
      <w:r w:rsidRPr="00361727" w:rsidR="00361727">
        <w:rPr>
          <w:sz w:val="28"/>
          <w:szCs w:val="28"/>
        </w:rPr>
        <w:t>Rule 131(e)</w:t>
      </w:r>
      <w:r w:rsidR="00C05CE8">
        <w:rPr>
          <w:sz w:val="28"/>
          <w:szCs w:val="28"/>
        </w:rPr>
        <w:t>(1)</w:t>
      </w:r>
      <w:r w:rsidRPr="00361727" w:rsidR="00361727">
        <w:rPr>
          <w:sz w:val="28"/>
          <w:szCs w:val="28"/>
        </w:rPr>
        <w:t xml:space="preserve"> </w:t>
      </w:r>
      <w:r w:rsidR="00361727">
        <w:rPr>
          <w:sz w:val="28"/>
          <w:szCs w:val="28"/>
        </w:rPr>
        <w:t>transforms a transparent application process into a vehicle for</w:t>
      </w:r>
      <w:r w:rsidR="00C05CE8">
        <w:rPr>
          <w:sz w:val="28"/>
          <w:szCs w:val="28"/>
        </w:rPr>
        <w:t xml:space="preserve"> misinformation and</w:t>
      </w:r>
      <w:r w:rsidR="003E7BD5">
        <w:rPr>
          <w:sz w:val="28"/>
          <w:szCs w:val="28"/>
        </w:rPr>
        <w:t xml:space="preserve"> mischief.  To recall this Court’s </w:t>
      </w:r>
      <w:r w:rsidR="0092249B">
        <w:rPr>
          <w:sz w:val="28"/>
          <w:szCs w:val="28"/>
        </w:rPr>
        <w:t xml:space="preserve">apt </w:t>
      </w:r>
      <w:r w:rsidR="003E7BD5">
        <w:rPr>
          <w:sz w:val="28"/>
          <w:szCs w:val="28"/>
        </w:rPr>
        <w:t>observation</w:t>
      </w:r>
      <w:r w:rsidR="0092249B">
        <w:rPr>
          <w:sz w:val="28"/>
          <w:szCs w:val="28"/>
        </w:rPr>
        <w:t xml:space="preserve"> in another context</w:t>
      </w:r>
      <w:r w:rsidR="003E7BD5">
        <w:rPr>
          <w:sz w:val="28"/>
          <w:szCs w:val="28"/>
        </w:rPr>
        <w:t xml:space="preserve">, this is not how democracy blooms, but rather how it “stagnates where secrecy prevails.”  </w:t>
      </w:r>
      <w:r w:rsidR="003E7BD5">
        <w:rPr>
          <w:i/>
          <w:sz w:val="28"/>
          <w:szCs w:val="28"/>
        </w:rPr>
        <w:t>Jennings</w:t>
      </w:r>
      <w:r w:rsidR="003E7BD5">
        <w:rPr>
          <w:sz w:val="28"/>
          <w:szCs w:val="28"/>
        </w:rPr>
        <w:t>, 107 Ariz. at 561.</w:t>
      </w:r>
    </w:p>
    <w:p w:rsidR="00F3769A" w:rsidRPr="009C65DE" w:rsidP="00872151" w14:paraId="1FE4B8C1" w14:textId="77777777">
      <w:pPr>
        <w:pStyle w:val="00BodyText1"/>
        <w:numPr>
          <w:ilvl w:val="0"/>
          <w:numId w:val="13"/>
        </w:numPr>
        <w:contextualSpacing/>
        <w:jc w:val="both"/>
        <w:rPr>
          <w:sz w:val="28"/>
          <w:szCs w:val="28"/>
          <w:u w:val="single"/>
        </w:rPr>
      </w:pPr>
      <w:r w:rsidRPr="009C65DE">
        <w:rPr>
          <w:b/>
          <w:sz w:val="28"/>
          <w:szCs w:val="28"/>
          <w:u w:val="single"/>
        </w:rPr>
        <w:t xml:space="preserve">Rule 131(e)(2)-(3) Would Create Improper Exemptions from Public Disclosure for Materials Generated by </w:t>
      </w:r>
      <w:r w:rsidRPr="009C65DE" w:rsidR="00071EFD">
        <w:rPr>
          <w:b/>
          <w:sz w:val="28"/>
          <w:szCs w:val="28"/>
          <w:u w:val="single"/>
        </w:rPr>
        <w:t xml:space="preserve">the </w:t>
      </w:r>
      <w:r w:rsidRPr="009C65DE" w:rsidR="00524184">
        <w:rPr>
          <w:b/>
          <w:sz w:val="28"/>
          <w:szCs w:val="28"/>
          <w:u w:val="single"/>
        </w:rPr>
        <w:t>Commission on Appellate Court Appointments</w:t>
      </w:r>
      <w:r w:rsidRPr="009C65DE" w:rsidR="00071EFD">
        <w:rPr>
          <w:b/>
          <w:sz w:val="28"/>
          <w:szCs w:val="28"/>
          <w:u w:val="single"/>
        </w:rPr>
        <w:t>.</w:t>
      </w:r>
    </w:p>
    <w:p w:rsidR="00524184" w:rsidP="00524184" w14:paraId="24909590" w14:textId="77777777">
      <w:pPr>
        <w:pStyle w:val="00BodyText1"/>
        <w:contextualSpacing/>
        <w:jc w:val="both"/>
        <w:rPr>
          <w:sz w:val="28"/>
          <w:szCs w:val="28"/>
        </w:rPr>
      </w:pPr>
    </w:p>
    <w:p w:rsidR="00667F95" w:rsidP="000C4AE2" w14:paraId="538DC7DA" w14:textId="5A5C628E">
      <w:pPr>
        <w:pStyle w:val="00BodyText1"/>
        <w:spacing w:line="480" w:lineRule="auto"/>
        <w:ind w:firstLine="720"/>
        <w:contextualSpacing/>
        <w:jc w:val="both"/>
        <w:rPr>
          <w:sz w:val="28"/>
          <w:szCs w:val="28"/>
        </w:rPr>
      </w:pPr>
      <w:r>
        <w:rPr>
          <w:sz w:val="28"/>
          <w:szCs w:val="28"/>
        </w:rPr>
        <w:t>Rule 131(e)(2)-</w:t>
      </w:r>
      <w:r w:rsidR="00524184">
        <w:rPr>
          <w:sz w:val="28"/>
          <w:szCs w:val="28"/>
        </w:rPr>
        <w:t>(3) further allow</w:t>
      </w:r>
      <w:r w:rsidR="003E7BD5">
        <w:rPr>
          <w:sz w:val="28"/>
          <w:szCs w:val="28"/>
        </w:rPr>
        <w:t>s</w:t>
      </w:r>
      <w:r w:rsidR="00524184">
        <w:rPr>
          <w:sz w:val="28"/>
          <w:szCs w:val="28"/>
        </w:rPr>
        <w:t xml:space="preserve"> members of the Commission on Appellate Court Appointments to maintain the secrecy of any “notes that are generated for personal use” and all “procedural emails sent between commissioners.”  </w:t>
      </w:r>
      <w:r w:rsidR="00EA79B9">
        <w:rPr>
          <w:sz w:val="28"/>
          <w:szCs w:val="28"/>
        </w:rPr>
        <w:t>Ariz. R. Sup. Ct.</w:t>
      </w:r>
      <w:r w:rsidR="00524184">
        <w:rPr>
          <w:sz w:val="28"/>
          <w:szCs w:val="28"/>
        </w:rPr>
        <w:t xml:space="preserve"> 131(e)(2)-(3).  Such provisions </w:t>
      </w:r>
      <w:r w:rsidR="0092249B">
        <w:rPr>
          <w:sz w:val="28"/>
          <w:szCs w:val="28"/>
        </w:rPr>
        <w:t xml:space="preserve">illogically assume </w:t>
      </w:r>
      <w:r w:rsidR="005C2D39">
        <w:rPr>
          <w:sz w:val="28"/>
          <w:szCs w:val="28"/>
        </w:rPr>
        <w:t xml:space="preserve">that members of the Commission on Appellate Court Appointments could keep “personal” notes while evaluating an application for the Independent Redistricting Commission and that email correspondence between members of the Commission on Appellate Court Appointments could be characterized as solely procedural and devoid of substance.  </w:t>
      </w:r>
    </w:p>
    <w:p w:rsidR="001277E5" w:rsidP="001277E5" w14:paraId="07B9B6B7" w14:textId="296E2771">
      <w:pPr>
        <w:pStyle w:val="00BodyText1"/>
        <w:spacing w:line="480" w:lineRule="auto"/>
        <w:ind w:firstLine="720"/>
        <w:contextualSpacing/>
        <w:jc w:val="both"/>
        <w:rPr>
          <w:sz w:val="28"/>
          <w:szCs w:val="28"/>
        </w:rPr>
      </w:pPr>
      <w:r>
        <w:rPr>
          <w:sz w:val="28"/>
          <w:szCs w:val="28"/>
        </w:rPr>
        <w:t>Logic and experience</w:t>
      </w:r>
      <w:r w:rsidR="005C2D39">
        <w:rPr>
          <w:sz w:val="28"/>
          <w:szCs w:val="28"/>
        </w:rPr>
        <w:t xml:space="preserve"> indicate </w:t>
      </w:r>
      <w:r w:rsidR="00174118">
        <w:rPr>
          <w:sz w:val="28"/>
          <w:szCs w:val="28"/>
        </w:rPr>
        <w:t xml:space="preserve">precisely </w:t>
      </w:r>
      <w:r w:rsidR="005C2D39">
        <w:rPr>
          <w:sz w:val="28"/>
          <w:szCs w:val="28"/>
        </w:rPr>
        <w:t>the contrary:  notes taken by a member of the Commission on Appellate Court Appointments</w:t>
      </w:r>
      <w:r w:rsidR="00A108FF">
        <w:rPr>
          <w:sz w:val="28"/>
          <w:szCs w:val="28"/>
        </w:rPr>
        <w:t xml:space="preserve"> in his or her official capacity</w:t>
      </w:r>
      <w:r w:rsidR="005C2D39">
        <w:rPr>
          <w:sz w:val="28"/>
          <w:szCs w:val="28"/>
        </w:rPr>
        <w:t xml:space="preserve"> could not be merely “personal,” but would instead have some bearing on </w:t>
      </w:r>
      <w:r w:rsidR="000C4AE2">
        <w:rPr>
          <w:sz w:val="28"/>
          <w:szCs w:val="28"/>
        </w:rPr>
        <w:t xml:space="preserve">the evaluation of an applicant.  </w:t>
      </w:r>
      <w:r w:rsidR="00667F95">
        <w:rPr>
          <w:i/>
          <w:sz w:val="28"/>
          <w:szCs w:val="28"/>
        </w:rPr>
        <w:t>S</w:t>
      </w:r>
      <w:r w:rsidR="000C4AE2">
        <w:rPr>
          <w:i/>
          <w:sz w:val="28"/>
          <w:szCs w:val="28"/>
        </w:rPr>
        <w:t>ee Griffis v. Pinal Cty.</w:t>
      </w:r>
      <w:r w:rsidRPr="000C4AE2" w:rsidR="000C4AE2">
        <w:rPr>
          <w:sz w:val="28"/>
          <w:szCs w:val="28"/>
        </w:rPr>
        <w:t xml:space="preserve">, </w:t>
      </w:r>
      <w:r w:rsidR="000C4AE2">
        <w:rPr>
          <w:sz w:val="28"/>
          <w:szCs w:val="28"/>
        </w:rPr>
        <w:t>215 Ariz. 1, 4</w:t>
      </w:r>
      <w:r w:rsidRPr="000C4AE2" w:rsidR="000C4AE2">
        <w:rPr>
          <w:sz w:val="28"/>
          <w:szCs w:val="28"/>
        </w:rPr>
        <w:t xml:space="preserve"> </w:t>
      </w:r>
      <w:r w:rsidRPr="00A50FBF" w:rsidR="000C4AE2">
        <w:rPr>
          <w:sz w:val="28"/>
          <w:szCs w:val="28"/>
        </w:rPr>
        <w:t>¶</w:t>
      </w:r>
      <w:r w:rsidRPr="000C4AE2" w:rsidR="000C4AE2">
        <w:rPr>
          <w:sz w:val="28"/>
          <w:szCs w:val="28"/>
        </w:rPr>
        <w:t xml:space="preserve"> </w:t>
      </w:r>
      <w:r w:rsidR="000C4AE2">
        <w:rPr>
          <w:sz w:val="28"/>
          <w:szCs w:val="28"/>
        </w:rPr>
        <w:t xml:space="preserve">10 </w:t>
      </w:r>
      <w:r w:rsidRPr="000C4AE2" w:rsidR="000C4AE2">
        <w:rPr>
          <w:sz w:val="28"/>
          <w:szCs w:val="28"/>
        </w:rPr>
        <w:t>(2007)</w:t>
      </w:r>
      <w:r w:rsidR="000C4AE2">
        <w:rPr>
          <w:sz w:val="28"/>
          <w:szCs w:val="28"/>
        </w:rPr>
        <w:t xml:space="preserve"> (noting that documents </w:t>
      </w:r>
      <w:r w:rsidR="00667F95">
        <w:rPr>
          <w:sz w:val="28"/>
          <w:szCs w:val="28"/>
        </w:rPr>
        <w:t>related</w:t>
      </w:r>
      <w:r w:rsidR="0018606E">
        <w:rPr>
          <w:sz w:val="28"/>
          <w:szCs w:val="28"/>
        </w:rPr>
        <w:t xml:space="preserve"> to the activities</w:t>
      </w:r>
      <w:r w:rsidR="00667F95">
        <w:rPr>
          <w:sz w:val="28"/>
          <w:szCs w:val="28"/>
        </w:rPr>
        <w:t xml:space="preserve"> public officials “</w:t>
      </w:r>
      <w:r w:rsidRPr="000400C4" w:rsidR="00667F95">
        <w:rPr>
          <w:sz w:val="28"/>
          <w:szCs w:val="28"/>
        </w:rPr>
        <w:t>undertake</w:t>
      </w:r>
      <w:r w:rsidRPr="00B86177" w:rsidR="00667F95">
        <w:rPr>
          <w:i/>
          <w:sz w:val="28"/>
          <w:szCs w:val="28"/>
        </w:rPr>
        <w:t xml:space="preserve"> in the furtherance of their duties</w:t>
      </w:r>
      <w:r w:rsidR="00667F95">
        <w:rPr>
          <w:sz w:val="28"/>
          <w:szCs w:val="28"/>
        </w:rPr>
        <w:t xml:space="preserve">” </w:t>
      </w:r>
      <w:r w:rsidR="0018606E">
        <w:rPr>
          <w:sz w:val="28"/>
          <w:szCs w:val="28"/>
        </w:rPr>
        <w:t xml:space="preserve">are public records but documents </w:t>
      </w:r>
      <w:r w:rsidR="000C4AE2">
        <w:rPr>
          <w:sz w:val="28"/>
          <w:szCs w:val="28"/>
        </w:rPr>
        <w:t>of a “purely private</w:t>
      </w:r>
      <w:r w:rsidR="0018606E">
        <w:rPr>
          <w:sz w:val="28"/>
          <w:szCs w:val="28"/>
        </w:rPr>
        <w:t xml:space="preserve"> or personal</w:t>
      </w:r>
      <w:r w:rsidR="000C4AE2">
        <w:rPr>
          <w:sz w:val="28"/>
          <w:szCs w:val="28"/>
        </w:rPr>
        <w:t xml:space="preserve"> nature</w:t>
      </w:r>
      <w:r w:rsidR="0018606E">
        <w:rPr>
          <w:sz w:val="28"/>
          <w:szCs w:val="28"/>
        </w:rPr>
        <w:t>”</w:t>
      </w:r>
      <w:r w:rsidR="000C4AE2">
        <w:rPr>
          <w:sz w:val="28"/>
          <w:szCs w:val="28"/>
        </w:rPr>
        <w:t xml:space="preserve"> are not).  </w:t>
      </w:r>
      <w:r w:rsidR="003E7BD5">
        <w:rPr>
          <w:sz w:val="28"/>
          <w:szCs w:val="28"/>
        </w:rPr>
        <w:t>E</w:t>
      </w:r>
      <w:r w:rsidR="005C2D39">
        <w:rPr>
          <w:sz w:val="28"/>
          <w:szCs w:val="28"/>
        </w:rPr>
        <w:t xml:space="preserve">mails regarding procedural topics, such as whether the Commission </w:t>
      </w:r>
      <w:r w:rsidR="0018606E">
        <w:rPr>
          <w:sz w:val="28"/>
          <w:szCs w:val="28"/>
        </w:rPr>
        <w:t xml:space="preserve">on Appellate Court Appointments </w:t>
      </w:r>
      <w:r w:rsidR="005C2D39">
        <w:rPr>
          <w:sz w:val="28"/>
          <w:szCs w:val="28"/>
        </w:rPr>
        <w:t xml:space="preserve">has a quorum or should proceed in some form of executive session, can have a substantial impact on matters of great public concern.  </w:t>
      </w:r>
      <w:r w:rsidR="00A637BE">
        <w:rPr>
          <w:sz w:val="28"/>
          <w:szCs w:val="28"/>
        </w:rPr>
        <w:t xml:space="preserve">As amended, Rule 131(e)(2)-(3) creates the unnecessary risk and temptation for Commissioners to designate as “personal” or “procedural” documents that should instead by subject to public scrutiny.  </w:t>
      </w:r>
    </w:p>
    <w:p w:rsidR="0018606E" w:rsidRPr="000C4AE2" w:rsidP="001277E5" w14:paraId="6D0E3105" w14:textId="5112411B">
      <w:pPr>
        <w:pStyle w:val="00BodyText1"/>
        <w:spacing w:line="480" w:lineRule="auto"/>
        <w:ind w:firstLine="720"/>
        <w:contextualSpacing/>
        <w:jc w:val="both"/>
        <w:rPr>
          <w:sz w:val="28"/>
          <w:szCs w:val="28"/>
        </w:rPr>
      </w:pPr>
      <w:r>
        <w:rPr>
          <w:sz w:val="28"/>
          <w:szCs w:val="28"/>
        </w:rPr>
        <w:t xml:space="preserve">Notes and emails created by the Commissioners of the Commission on Appellate Court Appointments regarding nominations for the Independent Redistricting Commission </w:t>
      </w:r>
      <w:r w:rsidR="000C4AE2">
        <w:rPr>
          <w:sz w:val="28"/>
          <w:szCs w:val="28"/>
        </w:rPr>
        <w:t>fall squarely within this Court’s definition of public records</w:t>
      </w:r>
      <w:r>
        <w:rPr>
          <w:sz w:val="28"/>
          <w:szCs w:val="28"/>
        </w:rPr>
        <w:t xml:space="preserve">. </w:t>
      </w:r>
      <w:r w:rsidR="000C4AE2">
        <w:rPr>
          <w:sz w:val="28"/>
          <w:szCs w:val="28"/>
        </w:rPr>
        <w:t xml:space="preserve"> </w:t>
      </w:r>
      <w:r>
        <w:rPr>
          <w:i/>
          <w:sz w:val="28"/>
          <w:szCs w:val="28"/>
        </w:rPr>
        <w:t>See, e.g.</w:t>
      </w:r>
      <w:r>
        <w:rPr>
          <w:sz w:val="28"/>
          <w:szCs w:val="28"/>
        </w:rPr>
        <w:t xml:space="preserve">, </w:t>
      </w:r>
      <w:r>
        <w:rPr>
          <w:i/>
          <w:sz w:val="28"/>
          <w:szCs w:val="28"/>
        </w:rPr>
        <w:t>Lake</w:t>
      </w:r>
      <w:r>
        <w:rPr>
          <w:sz w:val="28"/>
          <w:szCs w:val="28"/>
        </w:rPr>
        <w:t xml:space="preserve">, 222 Ariz. at 549 ¶ 8 (2009) (noting that Arizona law defines ‘public records’ broadly and creates a presumption requiring the disclosure of public documents”) (quoting </w:t>
      </w:r>
      <w:r>
        <w:rPr>
          <w:i/>
          <w:sz w:val="28"/>
          <w:szCs w:val="28"/>
        </w:rPr>
        <w:t>Griffis</w:t>
      </w:r>
      <w:r>
        <w:rPr>
          <w:sz w:val="28"/>
          <w:szCs w:val="28"/>
        </w:rPr>
        <w:t xml:space="preserve">, 215 Ariz. </w:t>
      </w:r>
      <w:r w:rsidR="00143F4C">
        <w:rPr>
          <w:sz w:val="28"/>
          <w:szCs w:val="28"/>
        </w:rPr>
        <w:t>at</w:t>
      </w:r>
      <w:r>
        <w:rPr>
          <w:sz w:val="28"/>
          <w:szCs w:val="28"/>
        </w:rPr>
        <w:t xml:space="preserve"> 4 ¶ </w:t>
      </w:r>
      <w:r w:rsidR="00143F4C">
        <w:rPr>
          <w:sz w:val="28"/>
          <w:szCs w:val="28"/>
        </w:rPr>
        <w:t>8</w:t>
      </w:r>
      <w:r>
        <w:rPr>
          <w:sz w:val="28"/>
          <w:szCs w:val="28"/>
        </w:rPr>
        <w:t xml:space="preserve">).  </w:t>
      </w:r>
      <w:r w:rsidR="0092249B">
        <w:rPr>
          <w:sz w:val="28"/>
          <w:szCs w:val="28"/>
        </w:rPr>
        <w:t>In contrast, p</w:t>
      </w:r>
      <w:r w:rsidR="002447CF">
        <w:rPr>
          <w:sz w:val="28"/>
          <w:szCs w:val="28"/>
        </w:rPr>
        <w:t xml:space="preserve">urely “personal” notes and emails fall </w:t>
      </w:r>
      <w:r w:rsidRPr="0092249B" w:rsidR="002447CF">
        <w:rPr>
          <w:i/>
          <w:sz w:val="28"/>
          <w:szCs w:val="28"/>
        </w:rPr>
        <w:t>outside</w:t>
      </w:r>
      <w:r w:rsidR="002447CF">
        <w:rPr>
          <w:sz w:val="28"/>
          <w:szCs w:val="28"/>
        </w:rPr>
        <w:t xml:space="preserve"> the Public Records Law and require no special exemption in Rule 131.  </w:t>
      </w:r>
      <w:r w:rsidR="002447CF">
        <w:rPr>
          <w:i/>
          <w:sz w:val="28"/>
          <w:szCs w:val="28"/>
        </w:rPr>
        <w:t xml:space="preserve">E.g., Griffis, </w:t>
      </w:r>
      <w:r w:rsidR="002447CF">
        <w:rPr>
          <w:sz w:val="28"/>
          <w:szCs w:val="28"/>
        </w:rPr>
        <w:t>215 Ariz. at 4</w:t>
      </w:r>
      <w:r w:rsidR="00143F4C">
        <w:rPr>
          <w:sz w:val="28"/>
          <w:szCs w:val="28"/>
        </w:rPr>
        <w:t xml:space="preserve"> ¶ 10</w:t>
      </w:r>
      <w:r w:rsidR="002447CF">
        <w:rPr>
          <w:sz w:val="28"/>
          <w:szCs w:val="28"/>
        </w:rPr>
        <w:t xml:space="preserve">.  </w:t>
      </w:r>
      <w:r>
        <w:rPr>
          <w:sz w:val="28"/>
          <w:szCs w:val="28"/>
        </w:rPr>
        <w:t xml:space="preserve">Accordingly, such documents </w:t>
      </w:r>
      <w:r w:rsidR="000C4AE2">
        <w:rPr>
          <w:sz w:val="28"/>
          <w:szCs w:val="28"/>
        </w:rPr>
        <w:t xml:space="preserve">should not be exempted from disclosure to the public by an emergency amendment to </w:t>
      </w:r>
      <w:r w:rsidR="00A108FF">
        <w:rPr>
          <w:sz w:val="28"/>
          <w:szCs w:val="28"/>
        </w:rPr>
        <w:t>the</w:t>
      </w:r>
      <w:r w:rsidR="000C4AE2">
        <w:rPr>
          <w:sz w:val="28"/>
          <w:szCs w:val="28"/>
        </w:rPr>
        <w:t xml:space="preserve"> Court’s Rules</w:t>
      </w:r>
      <w:r w:rsidR="0092249B">
        <w:rPr>
          <w:sz w:val="28"/>
          <w:szCs w:val="28"/>
        </w:rPr>
        <w:t>, which opens the door to the concealment of records by public officials that may be of legitimate public concern</w:t>
      </w:r>
      <w:r w:rsidR="000C4AE2">
        <w:rPr>
          <w:sz w:val="28"/>
          <w:szCs w:val="28"/>
        </w:rPr>
        <w:t>.</w:t>
      </w:r>
    </w:p>
    <w:p w:rsidR="00DB4C57" w:rsidRPr="009C65DE" w:rsidP="00194EC6" w14:paraId="2E3B61B3" w14:textId="32FB9FA0">
      <w:pPr>
        <w:pStyle w:val="00BodyText1"/>
        <w:keepNext/>
        <w:keepLines/>
        <w:numPr>
          <w:ilvl w:val="0"/>
          <w:numId w:val="13"/>
        </w:numPr>
        <w:contextualSpacing/>
        <w:jc w:val="both"/>
        <w:rPr>
          <w:b/>
          <w:sz w:val="28"/>
          <w:szCs w:val="28"/>
          <w:u w:val="single"/>
        </w:rPr>
      </w:pPr>
      <w:r>
        <w:rPr>
          <w:b/>
          <w:sz w:val="28"/>
          <w:szCs w:val="28"/>
          <w:u w:val="single"/>
        </w:rPr>
        <w:t xml:space="preserve">As Amended, </w:t>
      </w:r>
      <w:r w:rsidR="0092249B">
        <w:rPr>
          <w:b/>
          <w:sz w:val="28"/>
          <w:szCs w:val="28"/>
          <w:u w:val="single"/>
        </w:rPr>
        <w:t>Rule 131 I</w:t>
      </w:r>
      <w:r w:rsidRPr="009C65DE">
        <w:rPr>
          <w:b/>
          <w:sz w:val="28"/>
          <w:szCs w:val="28"/>
          <w:u w:val="single"/>
        </w:rPr>
        <w:t xml:space="preserve">s Antithetical to the Tenets of Transparency and Democracy </w:t>
      </w:r>
      <w:r w:rsidRPr="009C65DE" w:rsidR="00A108FF">
        <w:rPr>
          <w:b/>
          <w:sz w:val="28"/>
          <w:szCs w:val="28"/>
          <w:u w:val="single"/>
        </w:rPr>
        <w:t xml:space="preserve">on Which the </w:t>
      </w:r>
      <w:r w:rsidR="0018606E">
        <w:rPr>
          <w:b/>
          <w:sz w:val="28"/>
          <w:szCs w:val="28"/>
          <w:u w:val="single"/>
        </w:rPr>
        <w:t xml:space="preserve">Independent Redistricting </w:t>
      </w:r>
      <w:r w:rsidRPr="009C65DE">
        <w:rPr>
          <w:b/>
          <w:sz w:val="28"/>
          <w:szCs w:val="28"/>
          <w:u w:val="single"/>
        </w:rPr>
        <w:t>Commission</w:t>
      </w:r>
      <w:r w:rsidRPr="009C65DE" w:rsidR="00A108FF">
        <w:rPr>
          <w:b/>
          <w:sz w:val="28"/>
          <w:szCs w:val="28"/>
          <w:u w:val="single"/>
        </w:rPr>
        <w:t xml:space="preserve"> is Based</w:t>
      </w:r>
      <w:r w:rsidRPr="009C65DE">
        <w:rPr>
          <w:b/>
          <w:sz w:val="28"/>
          <w:szCs w:val="28"/>
          <w:u w:val="single"/>
        </w:rPr>
        <w:t>.</w:t>
      </w:r>
    </w:p>
    <w:p w:rsidR="00DB4C57" w:rsidRPr="00DB4C57" w:rsidP="00194EC6" w14:paraId="371FDAA8" w14:textId="77777777">
      <w:pPr>
        <w:pStyle w:val="00BodyText1"/>
        <w:keepNext/>
        <w:keepLines/>
        <w:ind w:left="1440" w:firstLine="0"/>
        <w:contextualSpacing/>
        <w:jc w:val="both"/>
        <w:rPr>
          <w:b/>
          <w:sz w:val="28"/>
          <w:szCs w:val="28"/>
        </w:rPr>
      </w:pPr>
    </w:p>
    <w:p w:rsidR="00F12908" w:rsidP="00194EC6" w14:paraId="5C143592" w14:textId="2AFBEC14">
      <w:pPr>
        <w:pStyle w:val="00BodyText1"/>
        <w:keepNext/>
        <w:keepLines/>
        <w:spacing w:line="480" w:lineRule="auto"/>
        <w:ind w:firstLine="720"/>
        <w:contextualSpacing/>
        <w:jc w:val="both"/>
        <w:rPr>
          <w:sz w:val="28"/>
          <w:szCs w:val="28"/>
        </w:rPr>
      </w:pPr>
      <w:r>
        <w:rPr>
          <w:sz w:val="28"/>
          <w:szCs w:val="28"/>
        </w:rPr>
        <w:t xml:space="preserve">The Independent Redistricting Commission </w:t>
      </w:r>
      <w:r w:rsidR="00732D70">
        <w:rPr>
          <w:sz w:val="28"/>
          <w:szCs w:val="28"/>
        </w:rPr>
        <w:t xml:space="preserve">promotes </w:t>
      </w:r>
      <w:r>
        <w:rPr>
          <w:sz w:val="28"/>
          <w:szCs w:val="28"/>
        </w:rPr>
        <w:t xml:space="preserve">the most basic principle of democracy – self-government.  Nothing could be more important </w:t>
      </w:r>
      <w:r w:rsidR="00A108FF">
        <w:rPr>
          <w:sz w:val="28"/>
          <w:szCs w:val="28"/>
        </w:rPr>
        <w:t xml:space="preserve">to </w:t>
      </w:r>
      <w:r w:rsidR="00732D70">
        <w:rPr>
          <w:sz w:val="28"/>
          <w:szCs w:val="28"/>
        </w:rPr>
        <w:t xml:space="preserve">self-government </w:t>
      </w:r>
      <w:r>
        <w:rPr>
          <w:sz w:val="28"/>
          <w:szCs w:val="28"/>
        </w:rPr>
        <w:t xml:space="preserve">than the public’s right to know information relevant to the impartiality and qualifications of those </w:t>
      </w:r>
      <w:r w:rsidR="00732D70">
        <w:rPr>
          <w:sz w:val="28"/>
          <w:szCs w:val="28"/>
        </w:rPr>
        <w:t xml:space="preserve">who </w:t>
      </w:r>
      <w:r>
        <w:rPr>
          <w:sz w:val="28"/>
          <w:szCs w:val="28"/>
        </w:rPr>
        <w:t xml:space="preserve">will be </w:t>
      </w:r>
      <w:r w:rsidR="00732D70">
        <w:rPr>
          <w:sz w:val="28"/>
          <w:szCs w:val="28"/>
        </w:rPr>
        <w:t xml:space="preserve">responsible for </w:t>
      </w:r>
      <w:r>
        <w:rPr>
          <w:sz w:val="28"/>
          <w:szCs w:val="28"/>
        </w:rPr>
        <w:t>drawing fair legislative district boundaries</w:t>
      </w:r>
      <w:r w:rsidR="0092249B">
        <w:rPr>
          <w:sz w:val="28"/>
          <w:szCs w:val="28"/>
        </w:rPr>
        <w:t xml:space="preserve"> – and the process by which they are selected</w:t>
      </w:r>
      <w:r>
        <w:rPr>
          <w:sz w:val="28"/>
          <w:szCs w:val="28"/>
        </w:rPr>
        <w:t xml:space="preserve">.  The new exemptions </w:t>
      </w:r>
      <w:r>
        <w:rPr>
          <w:sz w:val="28"/>
          <w:szCs w:val="28"/>
        </w:rPr>
        <w:t xml:space="preserve">from public disclosure </w:t>
      </w:r>
      <w:r w:rsidR="0092249B">
        <w:rPr>
          <w:sz w:val="28"/>
          <w:szCs w:val="28"/>
        </w:rPr>
        <w:t>under emergency</w:t>
      </w:r>
      <w:r>
        <w:rPr>
          <w:sz w:val="28"/>
          <w:szCs w:val="28"/>
        </w:rPr>
        <w:t xml:space="preserve"> Rule 131 would prevent the public from monitoring this essential governmental function.  </w:t>
      </w:r>
      <w:r>
        <w:rPr>
          <w:i/>
          <w:sz w:val="28"/>
          <w:szCs w:val="28"/>
        </w:rPr>
        <w:t>Cf.</w:t>
      </w:r>
      <w:r w:rsidRPr="00A04EBC">
        <w:rPr>
          <w:i/>
          <w:sz w:val="28"/>
          <w:szCs w:val="28"/>
          <w:lang w:val="x-none"/>
        </w:rPr>
        <w:t xml:space="preserve"> </w:t>
      </w:r>
      <w:r w:rsidRPr="00DB4C57">
        <w:rPr>
          <w:i/>
          <w:sz w:val="28"/>
          <w:szCs w:val="28"/>
          <w:lang w:val="x-none"/>
        </w:rPr>
        <w:t>Jessup v. Luther</w:t>
      </w:r>
      <w:r w:rsidRPr="00DB4C57">
        <w:rPr>
          <w:sz w:val="28"/>
          <w:szCs w:val="28"/>
          <w:lang w:val="x-none"/>
        </w:rPr>
        <w:t>, 27</w:t>
      </w:r>
      <w:r>
        <w:rPr>
          <w:sz w:val="28"/>
          <w:szCs w:val="28"/>
          <w:lang w:val="x-none"/>
        </w:rPr>
        <w:t>7 F.3d 926, 928 (7th Cir. 2002)</w:t>
      </w:r>
      <w:r>
        <w:rPr>
          <w:i/>
          <w:sz w:val="28"/>
          <w:szCs w:val="28"/>
        </w:rPr>
        <w:t xml:space="preserve"> </w:t>
      </w:r>
      <w:r>
        <w:rPr>
          <w:sz w:val="28"/>
          <w:szCs w:val="28"/>
          <w:lang w:val="x-none"/>
        </w:rPr>
        <w:t>(</w:t>
      </w:r>
      <w:r>
        <w:rPr>
          <w:sz w:val="28"/>
          <w:szCs w:val="28"/>
        </w:rPr>
        <w:t>“[T]</w:t>
      </w:r>
      <w:r w:rsidRPr="00DB4C57" w:rsidR="00DB4C57">
        <w:rPr>
          <w:sz w:val="28"/>
          <w:szCs w:val="28"/>
          <w:lang w:val="x-none"/>
        </w:rPr>
        <w:t>he public</w:t>
      </w:r>
      <w:r w:rsidR="00DB4C57">
        <w:rPr>
          <w:sz w:val="28"/>
          <w:szCs w:val="28"/>
        </w:rPr>
        <w:t xml:space="preserve"> </w:t>
      </w:r>
      <w:r w:rsidRPr="00DB4C57" w:rsidR="00DB4C57">
        <w:rPr>
          <w:sz w:val="28"/>
          <w:szCs w:val="28"/>
          <w:lang w:val="x-none"/>
        </w:rPr>
        <w:t>cannot monitor judicial performance adequately if the records</w:t>
      </w:r>
      <w:r w:rsidR="00DB4C57">
        <w:rPr>
          <w:sz w:val="28"/>
          <w:szCs w:val="28"/>
        </w:rPr>
        <w:t xml:space="preserve"> o</w:t>
      </w:r>
      <w:r w:rsidRPr="00DB4C57" w:rsidR="00DB4C57">
        <w:rPr>
          <w:sz w:val="28"/>
          <w:szCs w:val="28"/>
          <w:lang w:val="x-none"/>
        </w:rPr>
        <w:t>f judicial proceedings are secret.</w:t>
      </w:r>
      <w:r>
        <w:rPr>
          <w:sz w:val="28"/>
          <w:szCs w:val="28"/>
        </w:rPr>
        <w:t xml:space="preserve">”).  </w:t>
      </w:r>
    </w:p>
    <w:p w:rsidR="00DB4C57" w:rsidRPr="00F12908" w:rsidP="00F12908" w14:paraId="0E581A61" w14:textId="56B2FBEB">
      <w:pPr>
        <w:pStyle w:val="00BodyText1"/>
        <w:spacing w:line="480" w:lineRule="auto"/>
        <w:ind w:firstLine="720"/>
        <w:contextualSpacing/>
        <w:jc w:val="both"/>
        <w:rPr>
          <w:sz w:val="28"/>
          <w:szCs w:val="28"/>
          <w:lang w:val="x-none"/>
        </w:rPr>
      </w:pPr>
      <w:r>
        <w:rPr>
          <w:sz w:val="28"/>
          <w:szCs w:val="28"/>
        </w:rPr>
        <w:t xml:space="preserve">By creating broad exemptions from public inspection for </w:t>
      </w:r>
      <w:r w:rsidR="004C4E30">
        <w:rPr>
          <w:sz w:val="28"/>
          <w:szCs w:val="28"/>
        </w:rPr>
        <w:t xml:space="preserve">(a) potentially </w:t>
      </w:r>
      <w:r w:rsidR="0092249B">
        <w:rPr>
          <w:sz w:val="28"/>
          <w:szCs w:val="28"/>
        </w:rPr>
        <w:t xml:space="preserve">limitless “confidential” </w:t>
      </w:r>
      <w:r>
        <w:rPr>
          <w:sz w:val="28"/>
          <w:szCs w:val="28"/>
        </w:rPr>
        <w:t>information</w:t>
      </w:r>
      <w:r w:rsidR="0092249B">
        <w:rPr>
          <w:sz w:val="28"/>
          <w:szCs w:val="28"/>
        </w:rPr>
        <w:t xml:space="preserve">, </w:t>
      </w:r>
      <w:r w:rsidR="004C4E30">
        <w:rPr>
          <w:sz w:val="28"/>
          <w:szCs w:val="28"/>
        </w:rPr>
        <w:t xml:space="preserve">(b) all </w:t>
      </w:r>
      <w:r w:rsidR="0092249B">
        <w:rPr>
          <w:sz w:val="28"/>
          <w:szCs w:val="28"/>
        </w:rPr>
        <w:t>information</w:t>
      </w:r>
      <w:r>
        <w:rPr>
          <w:sz w:val="28"/>
          <w:szCs w:val="28"/>
        </w:rPr>
        <w:t xml:space="preserve"> designated a</w:t>
      </w:r>
      <w:r w:rsidR="004C4E30">
        <w:rPr>
          <w:sz w:val="28"/>
          <w:szCs w:val="28"/>
        </w:rPr>
        <w:t>s confidential by third parties and (c)</w:t>
      </w:r>
      <w:r>
        <w:rPr>
          <w:sz w:val="28"/>
          <w:szCs w:val="28"/>
        </w:rPr>
        <w:t xml:space="preserve"> “personal” notes and “procedural” emails, Rule 131 permits the Commission on Appellate Court Appointments to circumvent </w:t>
      </w:r>
      <w:r w:rsidR="00D74C33">
        <w:rPr>
          <w:sz w:val="28"/>
          <w:szCs w:val="28"/>
        </w:rPr>
        <w:t xml:space="preserve">the </w:t>
      </w:r>
      <w:r w:rsidR="00732D70">
        <w:rPr>
          <w:sz w:val="28"/>
          <w:szCs w:val="28"/>
        </w:rPr>
        <w:t xml:space="preserve">Arizona </w:t>
      </w:r>
      <w:r>
        <w:rPr>
          <w:sz w:val="28"/>
          <w:szCs w:val="28"/>
        </w:rPr>
        <w:t>Public Records Law and stymie public scrutiny</w:t>
      </w:r>
      <w:r w:rsidR="00CE2813">
        <w:rPr>
          <w:sz w:val="28"/>
          <w:szCs w:val="28"/>
        </w:rPr>
        <w:t xml:space="preserve"> of the Independent Redistricting Commission</w:t>
      </w:r>
      <w:r>
        <w:rPr>
          <w:sz w:val="28"/>
          <w:szCs w:val="28"/>
        </w:rPr>
        <w:t xml:space="preserve">.  Such a system </w:t>
      </w:r>
      <w:r w:rsidR="004C4E30">
        <w:rPr>
          <w:sz w:val="28"/>
          <w:szCs w:val="28"/>
        </w:rPr>
        <w:t xml:space="preserve">does not advance Arizona’s historic and abiding commitment to transparency and open government, but rather </w:t>
      </w:r>
      <w:r>
        <w:rPr>
          <w:sz w:val="28"/>
          <w:szCs w:val="28"/>
        </w:rPr>
        <w:t xml:space="preserve">invites </w:t>
      </w:r>
      <w:r w:rsidR="004C4E30">
        <w:rPr>
          <w:sz w:val="28"/>
          <w:szCs w:val="28"/>
        </w:rPr>
        <w:t>distrust of official activities that could be avoided by rescinding the emergency amendments of Rule 131.</w:t>
      </w:r>
      <w:r>
        <w:rPr>
          <w:sz w:val="28"/>
          <w:szCs w:val="28"/>
        </w:rPr>
        <w:t xml:space="preserve">  </w:t>
      </w:r>
    </w:p>
    <w:p w:rsidR="00F3769A" w:rsidRPr="003E0B4A" w:rsidP="00194EC6" w14:paraId="64F8A3C6" w14:textId="77777777">
      <w:pPr>
        <w:pStyle w:val="00BodyText1"/>
        <w:keepNext/>
        <w:keepLines/>
        <w:spacing w:line="480" w:lineRule="auto"/>
        <w:ind w:firstLine="0"/>
        <w:contextualSpacing/>
        <w:jc w:val="center"/>
        <w:rPr>
          <w:b/>
          <w:sz w:val="28"/>
          <w:szCs w:val="28"/>
          <w:u w:val="single"/>
        </w:rPr>
      </w:pPr>
      <w:r w:rsidRPr="003E0B4A">
        <w:rPr>
          <w:b/>
          <w:sz w:val="28"/>
          <w:szCs w:val="28"/>
          <w:u w:val="single"/>
        </w:rPr>
        <w:t>Conclusion</w:t>
      </w:r>
    </w:p>
    <w:p w:rsidR="00872151" w:rsidRPr="003E0B4A" w:rsidP="00194EC6" w14:paraId="31AFC709" w14:textId="36A1DE3D">
      <w:pPr>
        <w:pStyle w:val="00BodyText1"/>
        <w:keepNext/>
        <w:keepLines/>
        <w:spacing w:line="480" w:lineRule="auto"/>
        <w:ind w:firstLine="0"/>
        <w:contextualSpacing/>
        <w:jc w:val="both"/>
        <w:rPr>
          <w:sz w:val="28"/>
          <w:szCs w:val="28"/>
        </w:rPr>
      </w:pPr>
      <w:r w:rsidRPr="003E0B4A">
        <w:rPr>
          <w:sz w:val="28"/>
          <w:szCs w:val="28"/>
        </w:rPr>
        <w:tab/>
        <w:t xml:space="preserve">For the foregoing reasons, the Arizona Supreme Court should </w:t>
      </w:r>
      <w:r w:rsidR="000026B2">
        <w:rPr>
          <w:sz w:val="28"/>
          <w:szCs w:val="28"/>
        </w:rPr>
        <w:t xml:space="preserve">decline to adopt permanently </w:t>
      </w:r>
      <w:r w:rsidRPr="003E0B4A">
        <w:rPr>
          <w:sz w:val="28"/>
          <w:szCs w:val="28"/>
        </w:rPr>
        <w:t xml:space="preserve">the </w:t>
      </w:r>
      <w:r w:rsidR="004C4E30">
        <w:rPr>
          <w:sz w:val="28"/>
          <w:szCs w:val="28"/>
        </w:rPr>
        <w:t>emergency amendments of</w:t>
      </w:r>
      <w:r w:rsidR="000026B2">
        <w:rPr>
          <w:sz w:val="28"/>
          <w:szCs w:val="28"/>
        </w:rPr>
        <w:t xml:space="preserve"> Rule 131</w:t>
      </w:r>
      <w:r w:rsidRPr="003E0B4A" w:rsidR="00CE2813">
        <w:rPr>
          <w:sz w:val="28"/>
          <w:szCs w:val="28"/>
        </w:rPr>
        <w:t xml:space="preserve"> </w:t>
      </w:r>
      <w:r w:rsidRPr="003E0B4A">
        <w:rPr>
          <w:sz w:val="28"/>
          <w:szCs w:val="28"/>
        </w:rPr>
        <w:t>and re</w:t>
      </w:r>
      <w:r w:rsidR="002447CF">
        <w:rPr>
          <w:sz w:val="28"/>
          <w:szCs w:val="28"/>
        </w:rPr>
        <w:t>instate</w:t>
      </w:r>
      <w:r w:rsidRPr="003E0B4A">
        <w:rPr>
          <w:sz w:val="28"/>
          <w:szCs w:val="28"/>
        </w:rPr>
        <w:t xml:space="preserve"> the </w:t>
      </w:r>
      <w:r w:rsidR="004C4E30">
        <w:rPr>
          <w:sz w:val="28"/>
          <w:szCs w:val="28"/>
        </w:rPr>
        <w:t>original</w:t>
      </w:r>
      <w:r w:rsidRPr="003E0B4A">
        <w:rPr>
          <w:sz w:val="28"/>
          <w:szCs w:val="28"/>
        </w:rPr>
        <w:t xml:space="preserve"> language contained in Supreme Court Rule 132 (2010).</w:t>
      </w:r>
    </w:p>
    <w:p w:rsidR="003032B6" w:rsidP="003032B6" w14:paraId="3F737185" w14:textId="54EA0EF4">
      <w:pPr>
        <w:widowControl w:val="0"/>
        <w:spacing w:after="240" w:line="480" w:lineRule="auto"/>
        <w:ind w:firstLine="720"/>
        <w:rPr>
          <w:rFonts w:eastAsia="Times New Roman" w:cs="Times New Roman"/>
          <w:sz w:val="28"/>
          <w:szCs w:val="28"/>
        </w:rPr>
      </w:pPr>
      <w:r w:rsidRPr="003E0B4A">
        <w:rPr>
          <w:rFonts w:eastAsia="Times New Roman" w:cs="Times New Roman"/>
          <w:sz w:val="28"/>
          <w:szCs w:val="28"/>
        </w:rPr>
        <w:t xml:space="preserve">DATED </w:t>
      </w:r>
      <w:bookmarkStart w:id="10" w:name="Date"/>
      <w:r w:rsidRPr="003E0B4A">
        <w:rPr>
          <w:rFonts w:eastAsia="Times New Roman" w:cs="Times New Roman"/>
          <w:sz w:val="28"/>
          <w:szCs w:val="28"/>
        </w:rPr>
        <w:t xml:space="preserve">this </w:t>
      </w:r>
      <w:r w:rsidRPr="003E0B4A">
        <w:rPr>
          <w:rFonts w:eastAsia="Times New Roman" w:cs="Times New Roman"/>
          <w:sz w:val="28"/>
          <w:szCs w:val="28"/>
        </w:rPr>
        <w:fldChar w:fldCharType="begin"/>
      </w:r>
      <w:r w:rsidRPr="003E0B4A">
        <w:rPr>
          <w:rFonts w:eastAsia="Times New Roman" w:cs="Times New Roman"/>
          <w:sz w:val="28"/>
          <w:szCs w:val="28"/>
        </w:rPr>
        <w:instrText xml:space="preserve"> DATE \@ "d" \* ORDINAL \* MERGEFORMAT </w:instrText>
      </w:r>
      <w:r w:rsidRPr="003E0B4A">
        <w:rPr>
          <w:rFonts w:eastAsia="Times New Roman" w:cs="Times New Roman"/>
          <w:sz w:val="28"/>
          <w:szCs w:val="28"/>
        </w:rPr>
        <w:fldChar w:fldCharType="separate"/>
      </w:r>
      <w:r w:rsidR="001148E7">
        <w:rPr>
          <w:rFonts w:eastAsia="Times New Roman" w:cs="Times New Roman"/>
          <w:noProof/>
          <w:sz w:val="28"/>
          <w:szCs w:val="28"/>
        </w:rPr>
        <w:t>29th</w:t>
      </w:r>
      <w:r w:rsidRPr="003E0B4A">
        <w:rPr>
          <w:rFonts w:eastAsia="Times New Roman" w:cs="Times New Roman"/>
          <w:sz w:val="28"/>
          <w:szCs w:val="28"/>
        </w:rPr>
        <w:fldChar w:fldCharType="end"/>
      </w:r>
      <w:r w:rsidRPr="003E0B4A">
        <w:rPr>
          <w:rFonts w:eastAsia="Times New Roman" w:cs="Times New Roman"/>
          <w:sz w:val="28"/>
          <w:szCs w:val="28"/>
        </w:rPr>
        <w:t xml:space="preserve"> day of </w:t>
      </w:r>
      <w:r w:rsidRPr="003E0B4A">
        <w:rPr>
          <w:rFonts w:eastAsia="Times New Roman" w:cs="Times New Roman"/>
          <w:sz w:val="28"/>
          <w:szCs w:val="28"/>
        </w:rPr>
        <w:fldChar w:fldCharType="begin"/>
      </w:r>
      <w:r w:rsidRPr="003E0B4A">
        <w:rPr>
          <w:rFonts w:eastAsia="Times New Roman" w:cs="Times New Roman"/>
          <w:sz w:val="28"/>
          <w:szCs w:val="28"/>
        </w:rPr>
        <w:instrText xml:space="preserve"> DATE \@ "MMMM" \* MERGEFORMAT </w:instrText>
      </w:r>
      <w:r w:rsidRPr="003E0B4A">
        <w:rPr>
          <w:rFonts w:eastAsia="Times New Roman" w:cs="Times New Roman"/>
          <w:sz w:val="28"/>
          <w:szCs w:val="28"/>
        </w:rPr>
        <w:fldChar w:fldCharType="separate"/>
      </w:r>
      <w:r w:rsidR="001148E7">
        <w:rPr>
          <w:rFonts w:eastAsia="Times New Roman" w:cs="Times New Roman"/>
          <w:noProof/>
          <w:sz w:val="28"/>
          <w:szCs w:val="28"/>
        </w:rPr>
        <w:t>May</w:t>
      </w:r>
      <w:r w:rsidRPr="003E0B4A">
        <w:rPr>
          <w:rFonts w:eastAsia="Times New Roman" w:cs="Times New Roman"/>
          <w:sz w:val="28"/>
          <w:szCs w:val="28"/>
        </w:rPr>
        <w:fldChar w:fldCharType="end"/>
      </w:r>
      <w:r w:rsidRPr="003E0B4A">
        <w:rPr>
          <w:rFonts w:eastAsia="Times New Roman" w:cs="Times New Roman"/>
          <w:sz w:val="28"/>
          <w:szCs w:val="28"/>
        </w:rPr>
        <w:t xml:space="preserve">, </w:t>
      </w:r>
      <w:r w:rsidRPr="003E0B4A">
        <w:rPr>
          <w:rFonts w:eastAsia="Times New Roman" w:cs="Times New Roman"/>
          <w:sz w:val="28"/>
          <w:szCs w:val="28"/>
        </w:rPr>
        <w:fldChar w:fldCharType="begin"/>
      </w:r>
      <w:r w:rsidRPr="003E0B4A">
        <w:rPr>
          <w:rFonts w:eastAsia="Times New Roman" w:cs="Times New Roman"/>
          <w:sz w:val="28"/>
          <w:szCs w:val="28"/>
        </w:rPr>
        <w:instrText xml:space="preserve"> DATE \@ "yyyy" \* MERGEFORMAT </w:instrText>
      </w:r>
      <w:r w:rsidRPr="003E0B4A">
        <w:rPr>
          <w:rFonts w:eastAsia="Times New Roman" w:cs="Times New Roman"/>
          <w:sz w:val="28"/>
          <w:szCs w:val="28"/>
        </w:rPr>
        <w:fldChar w:fldCharType="separate"/>
      </w:r>
      <w:r w:rsidR="001148E7">
        <w:rPr>
          <w:rFonts w:eastAsia="Times New Roman" w:cs="Times New Roman"/>
          <w:noProof/>
          <w:sz w:val="28"/>
          <w:szCs w:val="28"/>
        </w:rPr>
        <w:t>2020</w:t>
      </w:r>
      <w:r w:rsidRPr="003E0B4A">
        <w:rPr>
          <w:rFonts w:eastAsia="Times New Roman" w:cs="Times New Roman"/>
          <w:sz w:val="28"/>
          <w:szCs w:val="28"/>
        </w:rPr>
        <w:fldChar w:fldCharType="end"/>
      </w:r>
      <w:bookmarkEnd w:id="10"/>
      <w:r w:rsidRPr="003E0B4A">
        <w:rPr>
          <w:rFonts w:eastAsia="Times New Roman" w:cs="Times New Roman"/>
          <w:sz w:val="28"/>
          <w:szCs w:val="28"/>
        </w:rPr>
        <w:t>.</w:t>
      </w:r>
    </w:p>
    <w:p w:rsidR="000026B2" w:rsidRPr="003E0B4A" w:rsidP="003032B6" w14:paraId="63A182A5" w14:textId="760052C7">
      <w:pPr>
        <w:widowControl w:val="0"/>
        <w:spacing w:after="240" w:line="480" w:lineRule="auto"/>
        <w:ind w:firstLine="720"/>
        <w:rPr>
          <w:rFonts w:eastAsia="Times New Roman" w:cs="Times New Roman"/>
          <w:sz w:val="28"/>
          <w:szCs w:val="28"/>
        </w:rPr>
      </w:pPr>
      <w:r>
        <w:rPr>
          <w:rFonts w:eastAsia="Times New Roman" w:cs="Times New Roman"/>
          <w:sz w:val="28"/>
          <w:szCs w:val="28"/>
        </w:rPr>
        <w:tab/>
      </w:r>
      <w:r>
        <w:rPr>
          <w:rFonts w:eastAsia="Times New Roman" w:cs="Times New Roman"/>
          <w:sz w:val="28"/>
          <w:szCs w:val="28"/>
        </w:rPr>
        <w:tab/>
      </w:r>
      <w:r>
        <w:rPr>
          <w:rFonts w:eastAsia="Times New Roman" w:cs="Times New Roman"/>
          <w:sz w:val="28"/>
          <w:szCs w:val="28"/>
        </w:rPr>
        <w:tab/>
      </w:r>
      <w:r>
        <w:rPr>
          <w:rFonts w:eastAsia="Times New Roman" w:cs="Times New Roman"/>
          <w:sz w:val="28"/>
          <w:szCs w:val="28"/>
        </w:rPr>
        <w:tab/>
      </w:r>
      <w:r>
        <w:rPr>
          <w:rFonts w:eastAsia="Times New Roman" w:cs="Times New Roman"/>
          <w:sz w:val="28"/>
          <w:szCs w:val="28"/>
        </w:rPr>
        <w:tab/>
        <w:t>Respectfully submitted,</w:t>
      </w:r>
    </w:p>
    <w:p w:rsidR="003032B6" w:rsidRPr="003E0B4A" w:rsidP="003032B6" w14:paraId="4AD6DF92" w14:textId="015EED8E">
      <w:pPr>
        <w:keepNext/>
        <w:widowControl w:val="0"/>
        <w:ind w:left="4320"/>
        <w:rPr>
          <w:rFonts w:eastAsia="Times New Roman" w:cs="Times New Roman"/>
          <w:caps/>
          <w:sz w:val="28"/>
          <w:szCs w:val="28"/>
        </w:rPr>
      </w:pPr>
      <w:bookmarkStart w:id="11" w:name="FirmName3"/>
      <w:r w:rsidRPr="003E0B4A">
        <w:rPr>
          <w:rFonts w:eastAsia="Times New Roman" w:cs="Times New Roman"/>
          <w:caps/>
          <w:sz w:val="28"/>
          <w:szCs w:val="28"/>
        </w:rPr>
        <w:t>Ballard Spahr LLP</w:t>
      </w:r>
      <w:bookmarkEnd w:id="11"/>
    </w:p>
    <w:p w:rsidR="003032B6" w:rsidRPr="003E0B4A" w:rsidP="003032B6" w14:paraId="304BBF3A" w14:textId="231E20BF">
      <w:pPr>
        <w:keepNext/>
        <w:widowControl w:val="0"/>
        <w:ind w:left="4320"/>
        <w:rPr>
          <w:rFonts w:eastAsia="Times New Roman" w:cs="Times New Roman"/>
          <w:caps/>
          <w:sz w:val="28"/>
          <w:szCs w:val="28"/>
        </w:rPr>
      </w:pPr>
      <w:r>
        <w:rPr>
          <w:rFonts w:eastAsia="Times New Roman" w:cs="Times New Roman"/>
          <w:noProof/>
          <w:sz w:val="28"/>
          <w:szCs w:val="28"/>
          <w:u w:val="single"/>
        </w:rPr>
        <w:drawing>
          <wp:anchor distT="0" distB="0" distL="114300" distR="114300" simplePos="0" relativeHeight="251658240" behindDoc="1" locked="0" layoutInCell="1" allowOverlap="1">
            <wp:simplePos x="0" y="0"/>
            <wp:positionH relativeFrom="column">
              <wp:posOffset>3000375</wp:posOffset>
            </wp:positionH>
            <wp:positionV relativeFrom="paragraph">
              <wp:posOffset>38735</wp:posOffset>
            </wp:positionV>
            <wp:extent cx="2095500" cy="913483"/>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50478" name="Bodney Signature.JPG"/>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2109485" cy="919579"/>
                    </a:xfrm>
                    <a:prstGeom prst="rect">
                      <a:avLst/>
                    </a:prstGeom>
                  </pic:spPr>
                </pic:pic>
              </a:graphicData>
            </a:graphic>
            <wp14:sizeRelH relativeFrom="page">
              <wp14:pctWidth>0</wp14:pctWidth>
            </wp14:sizeRelH>
            <wp14:sizeRelV relativeFrom="page">
              <wp14:pctHeight>0</wp14:pctHeight>
            </wp14:sizeRelV>
          </wp:anchor>
        </w:drawing>
      </w:r>
    </w:p>
    <w:p w:rsidR="003032B6" w:rsidRPr="003E0B4A" w:rsidP="003032B6" w14:paraId="64F3F015" w14:textId="6EBB50F8">
      <w:pPr>
        <w:keepNext/>
        <w:widowControl w:val="0"/>
        <w:ind w:left="4320"/>
        <w:rPr>
          <w:rFonts w:eastAsia="Times New Roman" w:cs="Times New Roman"/>
          <w:caps/>
          <w:sz w:val="28"/>
          <w:szCs w:val="28"/>
        </w:rPr>
      </w:pPr>
    </w:p>
    <w:p w:rsidR="003032B6" w:rsidRPr="003E0B4A" w:rsidP="003032B6" w14:paraId="7D4E3190" w14:textId="53D721A3">
      <w:pPr>
        <w:keepNext/>
        <w:keepLines/>
        <w:widowControl w:val="0"/>
        <w:tabs>
          <w:tab w:val="left" w:pos="4752"/>
          <w:tab w:val="right" w:pos="9270"/>
        </w:tabs>
        <w:ind w:left="4320"/>
        <w:rPr>
          <w:rFonts w:eastAsia="Times New Roman" w:cs="Times New Roman"/>
          <w:sz w:val="28"/>
          <w:szCs w:val="28"/>
          <w:u w:val="single"/>
        </w:rPr>
      </w:pPr>
      <w:r w:rsidRPr="003E0B4A">
        <w:rPr>
          <w:rFonts w:eastAsia="Times New Roman" w:cs="Times New Roman"/>
          <w:sz w:val="28"/>
          <w:szCs w:val="28"/>
        </w:rPr>
        <w:t>By:</w:t>
      </w:r>
      <w:r w:rsidRPr="003E0B4A">
        <w:rPr>
          <w:rFonts w:eastAsia="Times New Roman" w:cs="Times New Roman"/>
          <w:sz w:val="28"/>
          <w:szCs w:val="28"/>
        </w:rPr>
        <w:tab/>
      </w:r>
      <w:bookmarkStart w:id="12" w:name="ElectronicSignature"/>
      <w:bookmarkEnd w:id="12"/>
      <w:r w:rsidRPr="003E0B4A">
        <w:rPr>
          <w:rFonts w:eastAsia="Times New Roman" w:cs="Times New Roman"/>
          <w:sz w:val="28"/>
          <w:szCs w:val="28"/>
          <w:u w:val="single"/>
        </w:rPr>
        <w:tab/>
      </w:r>
    </w:p>
    <w:p w:rsidR="003032B6" w:rsidRPr="003E0B4A" w:rsidP="003032B6" w14:paraId="3BD05CA5" w14:textId="77777777">
      <w:pPr>
        <w:keepLines/>
        <w:widowControl w:val="0"/>
        <w:ind w:left="4752"/>
        <w:rPr>
          <w:rFonts w:eastAsia="Times New Roman" w:cs="Times New Roman"/>
          <w:i/>
          <w:sz w:val="28"/>
          <w:szCs w:val="28"/>
        </w:rPr>
      </w:pPr>
      <w:bookmarkStart w:id="13" w:name="AttyNameAndBarNo"/>
      <w:bookmarkStart w:id="14" w:name="Addresses"/>
      <w:r w:rsidRPr="003E0B4A">
        <w:rPr>
          <w:rFonts w:eastAsia="Times New Roman" w:cs="Times New Roman"/>
          <w:sz w:val="28"/>
          <w:szCs w:val="28"/>
        </w:rPr>
        <w:t>David J. Bodney</w:t>
      </w:r>
      <w:r w:rsidRPr="003E0B4A">
        <w:rPr>
          <w:rFonts w:eastAsia="Times New Roman" w:cs="Times New Roman"/>
          <w:sz w:val="28"/>
          <w:szCs w:val="28"/>
        </w:rPr>
        <w:br/>
        <w:t xml:space="preserve">Ian O. Bucon </w:t>
      </w:r>
      <w:r w:rsidRPr="003E0B4A">
        <w:rPr>
          <w:rFonts w:eastAsia="Times New Roman" w:cs="Times New Roman"/>
          <w:sz w:val="28"/>
          <w:szCs w:val="28"/>
        </w:rPr>
        <w:br/>
      </w:r>
      <w:bookmarkStart w:id="15" w:name="OfficeAddress"/>
      <w:bookmarkEnd w:id="13"/>
      <w:r w:rsidRPr="003E0B4A">
        <w:rPr>
          <w:rFonts w:eastAsia="Times New Roman" w:cs="Times New Roman"/>
          <w:sz w:val="28"/>
          <w:szCs w:val="28"/>
        </w:rPr>
        <w:t>1 East Washington Street, Suite 2300</w:t>
      </w:r>
      <w:r w:rsidRPr="003E0B4A">
        <w:rPr>
          <w:rFonts w:eastAsia="Times New Roman" w:cs="Times New Roman"/>
          <w:sz w:val="28"/>
          <w:szCs w:val="28"/>
        </w:rPr>
        <w:br/>
        <w:t>Phoenix, AZ 85004-2555</w:t>
      </w:r>
      <w:r w:rsidRPr="003E0B4A">
        <w:rPr>
          <w:rFonts w:eastAsia="Times New Roman" w:cs="Times New Roman"/>
          <w:sz w:val="28"/>
          <w:szCs w:val="28"/>
        </w:rPr>
        <w:br/>
      </w:r>
      <w:bookmarkEnd w:id="14"/>
      <w:bookmarkEnd w:id="15"/>
      <w:r w:rsidRPr="003E0B4A">
        <w:rPr>
          <w:rFonts w:eastAsia="Times New Roman" w:cs="Times New Roman"/>
          <w:i/>
          <w:sz w:val="28"/>
          <w:szCs w:val="28"/>
        </w:rPr>
        <w:t>Attorneys for Phoenix Newspapers, Inc.,</w:t>
      </w:r>
    </w:p>
    <w:p w:rsidR="003032B6" w:rsidRPr="003E0B4A" w:rsidP="00F04DBC" w14:paraId="7A106E5C" w14:textId="7FDAC81B">
      <w:pPr>
        <w:keepLines/>
        <w:widowControl w:val="0"/>
        <w:ind w:left="4752"/>
        <w:rPr>
          <w:sz w:val="28"/>
          <w:szCs w:val="28"/>
        </w:rPr>
      </w:pPr>
      <w:r w:rsidRPr="003E0B4A">
        <w:rPr>
          <w:rFonts w:eastAsia="Times New Roman" w:cs="Times New Roman"/>
          <w:i/>
          <w:sz w:val="28"/>
          <w:szCs w:val="28"/>
        </w:rPr>
        <w:t>KPNX-TV Channel 12, Scripps Media, Inc.</w:t>
      </w:r>
      <w:r w:rsidR="00F04DBC">
        <w:rPr>
          <w:rFonts w:eastAsia="Times New Roman" w:cs="Times New Roman"/>
          <w:i/>
          <w:sz w:val="28"/>
          <w:szCs w:val="28"/>
        </w:rPr>
        <w:t xml:space="preserve"> </w:t>
      </w:r>
      <w:r w:rsidRPr="003E0B4A">
        <w:rPr>
          <w:rFonts w:eastAsia="Times New Roman" w:cs="Times New Roman"/>
          <w:i/>
          <w:sz w:val="28"/>
          <w:szCs w:val="28"/>
        </w:rPr>
        <w:t>and Meredith Corp.</w:t>
      </w:r>
    </w:p>
    <w:sectPr w:rsidSect="001E1DE4">
      <w:footerReference w:type="default" r:id="rId7"/>
      <w:foot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46AA" w14:paraId="1B3456B8" w14:textId="54C3E134">
    <w:pPr>
      <w:pStyle w:val="Footer"/>
    </w:pPr>
    <w:r>
      <w:fldChar w:fldCharType="begin"/>
    </w:r>
    <w:r>
      <w:instrText xml:space="preserve"> DOCPROPERTY "DOCID" \* MERGEFORMAT </w:instrText>
    </w:r>
    <w:r>
      <w:fldChar w:fldCharType="separate"/>
    </w:r>
    <w:r w:rsidRPr="008F14C4" w:rsidR="008F14C4">
      <w:rPr>
        <w:rStyle w:val="DocID"/>
      </w:rPr>
      <w:t>DMWEST #40170525 v1</w:t>
    </w:r>
    <w:r w:rsidRPr="008F14C4" w:rsidR="008F14C4">
      <w:rPr>
        <w:rStyle w:val="DocID"/>
      </w:rPr>
      <w:fldChar w:fldCharType="end"/>
    </w:r>
    <w:r>
      <w:tab/>
    </w:r>
    <w:r>
      <w:fldChar w:fldCharType="begin"/>
    </w:r>
    <w:r>
      <w:instrText xml:space="preserve"> PAGE   \* MERGEFORMAT </w:instrText>
    </w:r>
    <w:r>
      <w:fldChar w:fldCharType="separate"/>
    </w:r>
    <w:r w:rsidR="001148E7">
      <w:rPr>
        <w:noProof/>
      </w:rPr>
      <w:t>14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46AA" w:rsidRPr="001E1DE4" w14:paraId="438909CB" w14:textId="5157C11B">
    <w:pPr>
      <w:pStyle w:val="Footer"/>
      <w:rPr>
        <w:rStyle w:val="DocID"/>
      </w:rPr>
    </w:pPr>
    <w:r w:rsidRPr="001E1DE4">
      <w:rPr>
        <w:rStyle w:val="DocID"/>
      </w:rPr>
      <w:fldChar w:fldCharType="begin"/>
    </w:r>
    <w:r w:rsidRPr="001E1DE4">
      <w:rPr>
        <w:rStyle w:val="DocID"/>
      </w:rPr>
      <w:instrText xml:space="preserve"> DOCPROPERTY "DOCID" \* MERGEFORMAT </w:instrText>
    </w:r>
    <w:r w:rsidRPr="001E1DE4">
      <w:rPr>
        <w:rStyle w:val="DocID"/>
      </w:rPr>
      <w:fldChar w:fldCharType="separate"/>
    </w:r>
    <w:r w:rsidR="008F14C4">
      <w:rPr>
        <w:rStyle w:val="DocID"/>
      </w:rPr>
      <w:t>DMWEST #40170525 v1</w:t>
    </w:r>
    <w:r w:rsidRPr="001E1DE4">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A696E" w:rsidP="001E1DE4" w14:paraId="755505A2" w14:textId="77777777">
      <w:r>
        <w:separator/>
      </w:r>
    </w:p>
  </w:footnote>
  <w:footnote w:type="continuationSeparator" w:id="1">
    <w:p w:rsidR="00DA696E" w:rsidP="001E1DE4" w14:paraId="1EA70D7F" w14:textId="77777777">
      <w:r>
        <w:continuationSeparator/>
      </w:r>
    </w:p>
  </w:footnote>
  <w:footnote w:id="2">
    <w:p w:rsidR="001646AA" w:rsidRPr="00267469" w:rsidP="00FE2FBD" w14:paraId="49E51F7B" w14:textId="77777777">
      <w:pPr>
        <w:pStyle w:val="FootnoteText"/>
        <w:ind w:left="0" w:firstLine="18"/>
        <w:rPr>
          <w:sz w:val="28"/>
          <w:szCs w:val="28"/>
        </w:rPr>
      </w:pPr>
      <w:r w:rsidRPr="00267469">
        <w:rPr>
          <w:rStyle w:val="FootnoteReference"/>
          <w:sz w:val="28"/>
          <w:szCs w:val="28"/>
        </w:rPr>
        <w:footnoteRef/>
      </w:r>
      <w:r w:rsidRPr="00267469">
        <w:rPr>
          <w:sz w:val="28"/>
          <w:szCs w:val="28"/>
        </w:rPr>
        <w:t xml:space="preserve">  Courts look to the publicity pamphlet for insight when evaluating the electorate’s intent in proposing and enacting an initiative.</w:t>
      </w:r>
      <w:bookmarkStart w:id="5" w:name="_BA_Cite_23A6C1_000181"/>
      <w:bookmarkEnd w:id="5"/>
      <w:r w:rsidRPr="00267469">
        <w:rPr>
          <w:sz w:val="28"/>
          <w:szCs w:val="28"/>
        </w:rPr>
        <w:t xml:space="preserve"> </w:t>
      </w:r>
      <w:r w:rsidRPr="00267469">
        <w:rPr>
          <w:i/>
          <w:sz w:val="28"/>
          <w:szCs w:val="28"/>
        </w:rPr>
        <w:t xml:space="preserve"> C</w:t>
      </w:r>
      <w:bookmarkStart w:id="6" w:name="_BA_Cite_23A6C1_000021"/>
      <w:bookmarkEnd w:id="6"/>
      <w:r w:rsidRPr="00267469">
        <w:rPr>
          <w:i/>
          <w:sz w:val="28"/>
          <w:szCs w:val="28"/>
        </w:rPr>
        <w:t>alik v. Kongable</w:t>
      </w:r>
      <w:r w:rsidRPr="00267469">
        <w:rPr>
          <w:sz w:val="28"/>
          <w:szCs w:val="28"/>
        </w:rPr>
        <w:t>, 195 Ariz. 496, 500 ¶ 16 (1999).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BA94556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114A30"/>
    <w:multiLevelType w:val="multilevel"/>
    <w:tmpl w:val="4E94F6B4"/>
    <w:name w:val="Ballard Spahr Scheme 1-Scheme 1"/>
    <w:lvl w:ilvl="0">
      <w:start w:val="1"/>
      <w:numFmt w:val="decimal"/>
      <w:pStyle w:val="Heading1"/>
      <w:lvlText w:val="%1."/>
      <w:lvlJc w:val="left"/>
      <w:pPr>
        <w:tabs>
          <w:tab w:val="num" w:pos="2160"/>
        </w:tabs>
        <w:ind w:left="0" w:firstLine="1440"/>
      </w:pPr>
      <w:rPr>
        <w:b w:val="0"/>
        <w:i w:val="0"/>
        <w:caps w:val="0"/>
        <w:color w:val="000000"/>
        <w:u w:val="none"/>
      </w:rPr>
    </w:lvl>
    <w:lvl w:ilvl="1">
      <w:start w:val="1"/>
      <w:numFmt w:val="lowerLetter"/>
      <w:pStyle w:val="Heading2"/>
      <w:lvlText w:val="(%2)"/>
      <w:lvlJc w:val="left"/>
      <w:pPr>
        <w:tabs>
          <w:tab w:val="num" w:pos="2880"/>
        </w:tabs>
        <w:ind w:left="0" w:firstLine="2160"/>
      </w:pPr>
      <w:rPr>
        <w:b w:val="0"/>
        <w:color w:val="010000"/>
        <w:u w:val="none"/>
      </w:rPr>
    </w:lvl>
    <w:lvl w:ilvl="2">
      <w:start w:val="1"/>
      <w:numFmt w:val="lowerRoman"/>
      <w:pStyle w:val="Heading3"/>
      <w:lvlText w:val="(%3)"/>
      <w:lvlJc w:val="left"/>
      <w:pPr>
        <w:tabs>
          <w:tab w:val="num" w:pos="3600"/>
        </w:tabs>
        <w:ind w:left="0" w:firstLine="2880"/>
      </w:pPr>
      <w:rPr>
        <w:color w:val="010000"/>
        <w:u w:val="none"/>
      </w:rPr>
    </w:lvl>
    <w:lvl w:ilvl="3">
      <w:start w:val="1"/>
      <w:numFmt w:val="decimal"/>
      <w:pStyle w:val="Heading4"/>
      <w:lvlText w:val="(%4)"/>
      <w:lvlJc w:val="left"/>
      <w:pPr>
        <w:tabs>
          <w:tab w:val="num" w:pos="4320"/>
        </w:tabs>
        <w:ind w:left="0" w:firstLine="3600"/>
      </w:pPr>
      <w:rPr>
        <w:color w:val="010000"/>
        <w:u w:val="none"/>
      </w:rPr>
    </w:lvl>
    <w:lvl w:ilvl="4">
      <w:start w:val="1"/>
      <w:numFmt w:val="lowerLetter"/>
      <w:pStyle w:val="Heading5"/>
      <w:lvlText w:val="%5."/>
      <w:lvlJc w:val="left"/>
      <w:pPr>
        <w:tabs>
          <w:tab w:val="num" w:pos="5040"/>
        </w:tabs>
        <w:ind w:left="0" w:firstLine="4320"/>
      </w:pPr>
      <w:rPr>
        <w:color w:val="010000"/>
        <w:u w:val="none"/>
      </w:rPr>
    </w:lvl>
    <w:lvl w:ilvl="5">
      <w:start w:val="1"/>
      <w:numFmt w:val="lowerRoman"/>
      <w:pStyle w:val="Heading6"/>
      <w:lvlText w:val="%6."/>
      <w:lvlJc w:val="left"/>
      <w:pPr>
        <w:tabs>
          <w:tab w:val="num" w:pos="5760"/>
        </w:tabs>
        <w:ind w:left="0" w:firstLine="5040"/>
      </w:pPr>
      <w:rPr>
        <w:color w:val="010000"/>
        <w:u w:val="none"/>
      </w:rPr>
    </w:lvl>
    <w:lvl w:ilvl="6">
      <w:start w:val="1"/>
      <w:numFmt w:val="decimal"/>
      <w:pStyle w:val="Heading7"/>
      <w:lvlText w:val="%7)"/>
      <w:lvlJc w:val="left"/>
      <w:pPr>
        <w:tabs>
          <w:tab w:val="num" w:pos="6480"/>
        </w:tabs>
        <w:ind w:left="0" w:firstLine="5760"/>
      </w:pPr>
      <w:rPr>
        <w:color w:val="010000"/>
        <w:u w:val="none"/>
      </w:rPr>
    </w:lvl>
    <w:lvl w:ilvl="7">
      <w:start w:val="1"/>
      <w:numFmt w:val="lowerLetter"/>
      <w:pStyle w:val="Heading8"/>
      <w:lvlText w:val="%8)"/>
      <w:lvlJc w:val="left"/>
      <w:pPr>
        <w:tabs>
          <w:tab w:val="num" w:pos="7200"/>
        </w:tabs>
        <w:ind w:left="0" w:firstLine="6480"/>
      </w:pPr>
      <w:rPr>
        <w:color w:val="010000"/>
        <w:u w:val="none"/>
      </w:rPr>
    </w:lvl>
    <w:lvl w:ilvl="8">
      <w:start w:val="1"/>
      <w:numFmt w:val="lowerRoman"/>
      <w:pStyle w:val="Heading9"/>
      <w:lvlText w:val="%9)"/>
      <w:lvlJc w:val="left"/>
      <w:pPr>
        <w:tabs>
          <w:tab w:val="num" w:pos="7920"/>
        </w:tabs>
        <w:ind w:left="0" w:firstLine="7200"/>
      </w:pPr>
      <w:rPr>
        <w:color w:val="010000"/>
        <w:u w:val="none"/>
      </w:rPr>
    </w:lvl>
  </w:abstractNum>
  <w:abstractNum w:abstractNumId="2">
    <w:nsid w:val="17D20A63"/>
    <w:multiLevelType w:val="multilevel"/>
    <w:tmpl w:val="E872F188"/>
    <w:styleLink w:val="MKTGBullets-list"/>
    <w:lvl w:ilvl="0">
      <w:start w:val="1"/>
      <w:numFmt w:val="bullet"/>
      <w:pStyle w:val="MKTGBullets"/>
      <w:lvlText w:val=""/>
      <w:lvlJc w:val="left"/>
      <w:pPr>
        <w:tabs>
          <w:tab w:val="num" w:pos="216"/>
        </w:tabs>
        <w:ind w:left="216" w:hanging="216"/>
      </w:pPr>
      <w:rPr>
        <w:rFonts w:ascii="Symbol" w:hAnsi="Symbol" w:hint="default"/>
        <w:b w:val="0"/>
        <w:i w:val="0"/>
        <w:color w:val="auto"/>
        <w:sz w:val="24"/>
        <w:szCs w:val="20"/>
      </w:rPr>
    </w:lvl>
    <w:lvl w:ilvl="1">
      <w:start w:val="1"/>
      <w:numFmt w:val="bullet"/>
      <w:lvlText w:val=""/>
      <w:lvlJc w:val="left"/>
      <w:pPr>
        <w:tabs>
          <w:tab w:val="num" w:pos="576"/>
        </w:tabs>
        <w:ind w:left="576" w:hanging="216"/>
      </w:pPr>
      <w:rPr>
        <w:rFonts w:ascii="Symbol" w:hAnsi="Symbol" w:hint="default"/>
        <w:b w:val="0"/>
        <w:i w:val="0"/>
        <w:color w:val="auto"/>
        <w:sz w:val="22"/>
        <w:szCs w:val="20"/>
      </w:rPr>
    </w:lvl>
    <w:lvl w:ilvl="2">
      <w:start w:val="1"/>
      <w:numFmt w:val="bullet"/>
      <w:lvlText w:val="▪"/>
      <w:lvlJc w:val="left"/>
      <w:pPr>
        <w:tabs>
          <w:tab w:val="num" w:pos="936"/>
        </w:tabs>
        <w:ind w:left="936" w:hanging="216"/>
      </w:pPr>
      <w:rPr>
        <w:rFonts w:ascii="Garamond" w:hAnsi="Garamond" w:hint="default"/>
        <w:b w:val="0"/>
        <w:i w:val="0"/>
        <w:color w:val="auto"/>
        <w:sz w:val="24"/>
        <w:szCs w:val="20"/>
      </w:rPr>
    </w:lvl>
    <w:lvl w:ilvl="3">
      <w:start w:val="1"/>
      <w:numFmt w:val="bullet"/>
      <w:lvlText w:val="-"/>
      <w:lvlJc w:val="left"/>
      <w:pPr>
        <w:tabs>
          <w:tab w:val="num" w:pos="1296"/>
        </w:tabs>
        <w:ind w:left="1296" w:hanging="216"/>
      </w:pPr>
      <w:rPr>
        <w:rFonts w:ascii="Arial" w:hAnsi="Arial" w:cs="Arial" w:hint="default"/>
        <w:b w:val="0"/>
        <w:i w:val="0"/>
        <w:color w:val="auto"/>
        <w:sz w:val="20"/>
        <w:szCs w:val="20"/>
      </w:rPr>
    </w:lvl>
    <w:lvl w:ilvl="4">
      <w:start w:val="1"/>
      <w:numFmt w:val="lowerLetter"/>
      <w:lvlText w:val="(%5)"/>
      <w:lvlJc w:val="left"/>
      <w:pPr>
        <w:tabs>
          <w:tab w:val="num" w:pos="1656"/>
        </w:tabs>
        <w:ind w:left="1656" w:hanging="216"/>
      </w:pPr>
      <w:rPr>
        <w:rFonts w:hint="default"/>
      </w:rPr>
    </w:lvl>
    <w:lvl w:ilvl="5">
      <w:start w:val="1"/>
      <w:numFmt w:val="lowerRoman"/>
      <w:lvlText w:val="(%6)"/>
      <w:lvlJc w:val="left"/>
      <w:pPr>
        <w:tabs>
          <w:tab w:val="num" w:pos="2016"/>
        </w:tabs>
        <w:ind w:left="2016" w:hanging="216"/>
      </w:pPr>
      <w:rPr>
        <w:rFonts w:hint="default"/>
      </w:rPr>
    </w:lvl>
    <w:lvl w:ilvl="6">
      <w:start w:val="1"/>
      <w:numFmt w:val="decimal"/>
      <w:lvlText w:val="%7."/>
      <w:lvlJc w:val="left"/>
      <w:pPr>
        <w:tabs>
          <w:tab w:val="num" w:pos="2376"/>
        </w:tabs>
        <w:ind w:left="2376" w:hanging="216"/>
      </w:pPr>
      <w:rPr>
        <w:rFonts w:hint="default"/>
      </w:rPr>
    </w:lvl>
    <w:lvl w:ilvl="7">
      <w:start w:val="1"/>
      <w:numFmt w:val="lowerLetter"/>
      <w:lvlText w:val="%8."/>
      <w:lvlJc w:val="left"/>
      <w:pPr>
        <w:tabs>
          <w:tab w:val="num" w:pos="2736"/>
        </w:tabs>
        <w:ind w:left="2736" w:hanging="216"/>
      </w:pPr>
      <w:rPr>
        <w:rFonts w:hint="default"/>
      </w:rPr>
    </w:lvl>
    <w:lvl w:ilvl="8">
      <w:start w:val="1"/>
      <w:numFmt w:val="lowerRoman"/>
      <w:lvlText w:val="%9."/>
      <w:lvlJc w:val="left"/>
      <w:pPr>
        <w:tabs>
          <w:tab w:val="num" w:pos="3096"/>
        </w:tabs>
        <w:ind w:left="3096" w:hanging="216"/>
      </w:pPr>
      <w:rPr>
        <w:rFonts w:hint="default"/>
      </w:rPr>
    </w:lvl>
  </w:abstractNum>
  <w:abstractNum w:abstractNumId="3">
    <w:nsid w:val="2E330743"/>
    <w:multiLevelType w:val="hybridMultilevel"/>
    <w:tmpl w:val="67628D4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6A505E8"/>
    <w:multiLevelType w:val="hybridMultilevel"/>
    <w:tmpl w:val="424A5B1C"/>
    <w:lvl w:ilvl="0">
      <w:start w:val="1"/>
      <w:numFmt w:val="decimal"/>
      <w:pStyle w:val="00NumberList"/>
      <w:lvlText w:val="%1."/>
      <w:lvlJc w:val="left"/>
      <w:pPr>
        <w:tabs>
          <w:tab w:val="num" w:pos="1440"/>
        </w:tabs>
        <w:ind w:left="0" w:firstLine="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F3B4AD8"/>
    <w:multiLevelType w:val="hybridMultilevel"/>
    <w:tmpl w:val="68E6CE7E"/>
    <w:lvl w:ilvl="0">
      <w:start w:val="1"/>
      <w:numFmt w:val="upperLetter"/>
      <w:lvlText w:val="%1."/>
      <w:lvlJc w:val="left"/>
      <w:pPr>
        <w:ind w:left="1440" w:hanging="72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575518DE"/>
    <w:multiLevelType w:val="hybridMultilevel"/>
    <w:tmpl w:val="3AF05A66"/>
    <w:lvl w:ilvl="0">
      <w:start w:val="1"/>
      <w:numFmt w:val="bullet"/>
      <w:pStyle w:val="00BulletList"/>
      <w:lvlText w:val=""/>
      <w:lvlJc w:val="left"/>
      <w:pPr>
        <w:ind w:left="144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EEA6EDE"/>
    <w:multiLevelType w:val="hybridMultilevel"/>
    <w:tmpl w:val="FF10BF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3395690"/>
    <w:multiLevelType w:val="hybridMultilevel"/>
    <w:tmpl w:val="2108A7D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3F45510"/>
    <w:multiLevelType w:val="hybridMultilevel"/>
    <w:tmpl w:val="B596E07A"/>
    <w:lvl w:ilvl="0">
      <w:start w:val="1"/>
      <w:numFmt w:val="bullet"/>
      <w:pStyle w:val="MKTGGutterBullet"/>
      <w:lvlText w:val=""/>
      <w:lvlJc w:val="left"/>
      <w:pPr>
        <w:ind w:left="144" w:hanging="144"/>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7E5138B"/>
    <w:multiLevelType w:val="hybridMultilevel"/>
    <w:tmpl w:val="E0E2C5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10B1513"/>
    <w:multiLevelType w:val="hybridMultilevel"/>
    <w:tmpl w:val="663697EE"/>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2"/>
  </w:num>
  <w:num w:numId="5">
    <w:abstractNumId w:val="0"/>
  </w:num>
  <w:num w:numId="6">
    <w:abstractNumId w:val="9"/>
  </w:num>
  <w:num w:numId="7">
    <w:abstractNumId w:val="1"/>
  </w:num>
  <w:num w:numId="8">
    <w:abstractNumId w:val="11"/>
  </w:num>
  <w:num w:numId="9">
    <w:abstractNumId w:val="8"/>
  </w:num>
  <w:num w:numId="10">
    <w:abstractNumId w:val="3"/>
  </w:num>
  <w:num w:numId="11">
    <w:abstractNumId w:val="10"/>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CB1"/>
    <w:rsid w:val="000026B2"/>
    <w:rsid w:val="00002ECE"/>
    <w:rsid w:val="000400C4"/>
    <w:rsid w:val="0004072F"/>
    <w:rsid w:val="00040F1B"/>
    <w:rsid w:val="00071EFD"/>
    <w:rsid w:val="00080604"/>
    <w:rsid w:val="000A0A6E"/>
    <w:rsid w:val="000C4AE2"/>
    <w:rsid w:val="000F78BA"/>
    <w:rsid w:val="001057E2"/>
    <w:rsid w:val="001148E7"/>
    <w:rsid w:val="0011608D"/>
    <w:rsid w:val="00117812"/>
    <w:rsid w:val="001277E5"/>
    <w:rsid w:val="001329DE"/>
    <w:rsid w:val="00143F4C"/>
    <w:rsid w:val="001507DE"/>
    <w:rsid w:val="001646AA"/>
    <w:rsid w:val="00174118"/>
    <w:rsid w:val="0018606E"/>
    <w:rsid w:val="00194EC6"/>
    <w:rsid w:val="001C44E1"/>
    <w:rsid w:val="001C511B"/>
    <w:rsid w:val="001D7A6C"/>
    <w:rsid w:val="001E1DE4"/>
    <w:rsid w:val="00224684"/>
    <w:rsid w:val="002310B9"/>
    <w:rsid w:val="002447CF"/>
    <w:rsid w:val="00256AB9"/>
    <w:rsid w:val="00267469"/>
    <w:rsid w:val="00282DCF"/>
    <w:rsid w:val="002B1729"/>
    <w:rsid w:val="002B2700"/>
    <w:rsid w:val="002C786A"/>
    <w:rsid w:val="002D4683"/>
    <w:rsid w:val="003032B6"/>
    <w:rsid w:val="00304B93"/>
    <w:rsid w:val="00340A38"/>
    <w:rsid w:val="00345927"/>
    <w:rsid w:val="00361727"/>
    <w:rsid w:val="003634AE"/>
    <w:rsid w:val="003634D0"/>
    <w:rsid w:val="003B06F2"/>
    <w:rsid w:val="003B56B4"/>
    <w:rsid w:val="003C2721"/>
    <w:rsid w:val="003D689D"/>
    <w:rsid w:val="003E0B4A"/>
    <w:rsid w:val="003E7BD5"/>
    <w:rsid w:val="003F0045"/>
    <w:rsid w:val="00476B32"/>
    <w:rsid w:val="004879B8"/>
    <w:rsid w:val="004C1C77"/>
    <w:rsid w:val="004C407F"/>
    <w:rsid w:val="004C4E30"/>
    <w:rsid w:val="004C78C8"/>
    <w:rsid w:val="004D1864"/>
    <w:rsid w:val="00502E78"/>
    <w:rsid w:val="00521A0A"/>
    <w:rsid w:val="00524184"/>
    <w:rsid w:val="00531658"/>
    <w:rsid w:val="005423E7"/>
    <w:rsid w:val="00542CFF"/>
    <w:rsid w:val="0057665A"/>
    <w:rsid w:val="00587970"/>
    <w:rsid w:val="005971D5"/>
    <w:rsid w:val="005A37C7"/>
    <w:rsid w:val="005C2D39"/>
    <w:rsid w:val="005D1812"/>
    <w:rsid w:val="005E0579"/>
    <w:rsid w:val="005E6258"/>
    <w:rsid w:val="005F705E"/>
    <w:rsid w:val="00611DCC"/>
    <w:rsid w:val="00611F05"/>
    <w:rsid w:val="006215BB"/>
    <w:rsid w:val="006407F1"/>
    <w:rsid w:val="00642A68"/>
    <w:rsid w:val="00651C36"/>
    <w:rsid w:val="00657521"/>
    <w:rsid w:val="00667F95"/>
    <w:rsid w:val="00677407"/>
    <w:rsid w:val="00682345"/>
    <w:rsid w:val="006A3056"/>
    <w:rsid w:val="006E3249"/>
    <w:rsid w:val="006E3508"/>
    <w:rsid w:val="006E7493"/>
    <w:rsid w:val="0073081E"/>
    <w:rsid w:val="00732D70"/>
    <w:rsid w:val="00771C1D"/>
    <w:rsid w:val="007C1BF5"/>
    <w:rsid w:val="00801553"/>
    <w:rsid w:val="0081556A"/>
    <w:rsid w:val="00842B1D"/>
    <w:rsid w:val="008523BA"/>
    <w:rsid w:val="0085707E"/>
    <w:rsid w:val="00871199"/>
    <w:rsid w:val="00872151"/>
    <w:rsid w:val="0087240D"/>
    <w:rsid w:val="008B0450"/>
    <w:rsid w:val="008C46A4"/>
    <w:rsid w:val="008D29F7"/>
    <w:rsid w:val="008F14C4"/>
    <w:rsid w:val="0092249B"/>
    <w:rsid w:val="00922567"/>
    <w:rsid w:val="00931CB1"/>
    <w:rsid w:val="009B035E"/>
    <w:rsid w:val="009B7F40"/>
    <w:rsid w:val="009C30EF"/>
    <w:rsid w:val="009C65DE"/>
    <w:rsid w:val="009E1EB6"/>
    <w:rsid w:val="00A032ED"/>
    <w:rsid w:val="00A04EBC"/>
    <w:rsid w:val="00A060CA"/>
    <w:rsid w:val="00A07FF4"/>
    <w:rsid w:val="00A108FF"/>
    <w:rsid w:val="00A10E82"/>
    <w:rsid w:val="00A14221"/>
    <w:rsid w:val="00A33E91"/>
    <w:rsid w:val="00A50FBF"/>
    <w:rsid w:val="00A52490"/>
    <w:rsid w:val="00A637BE"/>
    <w:rsid w:val="00A95C01"/>
    <w:rsid w:val="00AC4186"/>
    <w:rsid w:val="00AC52DC"/>
    <w:rsid w:val="00AF5098"/>
    <w:rsid w:val="00B36455"/>
    <w:rsid w:val="00B37BCD"/>
    <w:rsid w:val="00B54DEE"/>
    <w:rsid w:val="00B55EF7"/>
    <w:rsid w:val="00B76DB8"/>
    <w:rsid w:val="00B86177"/>
    <w:rsid w:val="00BB0449"/>
    <w:rsid w:val="00BC6F56"/>
    <w:rsid w:val="00BF2D88"/>
    <w:rsid w:val="00BF3522"/>
    <w:rsid w:val="00C05A7E"/>
    <w:rsid w:val="00C05CE8"/>
    <w:rsid w:val="00C343CD"/>
    <w:rsid w:val="00C37B70"/>
    <w:rsid w:val="00C61788"/>
    <w:rsid w:val="00C668CF"/>
    <w:rsid w:val="00C7247F"/>
    <w:rsid w:val="00C84EC5"/>
    <w:rsid w:val="00C95709"/>
    <w:rsid w:val="00C97887"/>
    <w:rsid w:val="00C97DDF"/>
    <w:rsid w:val="00CB4841"/>
    <w:rsid w:val="00CC029B"/>
    <w:rsid w:val="00CC43EA"/>
    <w:rsid w:val="00CE2813"/>
    <w:rsid w:val="00CF2B13"/>
    <w:rsid w:val="00D24808"/>
    <w:rsid w:val="00D4080D"/>
    <w:rsid w:val="00D64F47"/>
    <w:rsid w:val="00D74C33"/>
    <w:rsid w:val="00D93EB5"/>
    <w:rsid w:val="00DA696E"/>
    <w:rsid w:val="00DB4C57"/>
    <w:rsid w:val="00DC4663"/>
    <w:rsid w:val="00DF7FA3"/>
    <w:rsid w:val="00E1555E"/>
    <w:rsid w:val="00E32C76"/>
    <w:rsid w:val="00E654B5"/>
    <w:rsid w:val="00EA79B9"/>
    <w:rsid w:val="00EB116B"/>
    <w:rsid w:val="00EC245B"/>
    <w:rsid w:val="00ED75AF"/>
    <w:rsid w:val="00ED7EE1"/>
    <w:rsid w:val="00F04DBC"/>
    <w:rsid w:val="00F12908"/>
    <w:rsid w:val="00F34FF1"/>
    <w:rsid w:val="00F3769A"/>
    <w:rsid w:val="00F61616"/>
    <w:rsid w:val="00F6745C"/>
    <w:rsid w:val="00F707E1"/>
    <w:rsid w:val="00F82147"/>
    <w:rsid w:val="00FA370D"/>
    <w:rsid w:val="00FC1E9B"/>
    <w:rsid w:val="00FE2F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AEA5D504-B562-4696-BD20-C06AB347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0EF"/>
  </w:style>
  <w:style w:type="paragraph" w:styleId="Heading1">
    <w:name w:val="heading 1"/>
    <w:basedOn w:val="Normal"/>
    <w:next w:val="00BodyText1"/>
    <w:link w:val="Heading1Char"/>
    <w:uiPriority w:val="9"/>
    <w:qFormat/>
    <w:rsid w:val="00922567"/>
    <w:pPr>
      <w:numPr>
        <w:numId w:val="7"/>
      </w:numPr>
      <w:spacing w:after="240"/>
      <w:outlineLvl w:val="0"/>
    </w:pPr>
    <w:rPr>
      <w:rFonts w:eastAsiaTheme="majorEastAsia" w:cs="Times New Roman"/>
      <w:szCs w:val="32"/>
    </w:rPr>
  </w:style>
  <w:style w:type="paragraph" w:styleId="Heading2">
    <w:name w:val="heading 2"/>
    <w:basedOn w:val="Normal"/>
    <w:next w:val="00BodyText1"/>
    <w:link w:val="Heading2Char"/>
    <w:uiPriority w:val="9"/>
    <w:semiHidden/>
    <w:unhideWhenUsed/>
    <w:qFormat/>
    <w:rsid w:val="00922567"/>
    <w:pPr>
      <w:numPr>
        <w:ilvl w:val="1"/>
        <w:numId w:val="7"/>
      </w:numPr>
      <w:tabs>
        <w:tab w:val="left" w:pos="2880"/>
      </w:tabs>
      <w:spacing w:after="240"/>
      <w:outlineLvl w:val="1"/>
    </w:pPr>
    <w:rPr>
      <w:rFonts w:eastAsiaTheme="majorEastAsia" w:cs="Times New Roman"/>
      <w:szCs w:val="26"/>
    </w:rPr>
  </w:style>
  <w:style w:type="paragraph" w:styleId="Heading3">
    <w:name w:val="heading 3"/>
    <w:basedOn w:val="Normal"/>
    <w:next w:val="00BodyText1"/>
    <w:link w:val="Heading3Char"/>
    <w:uiPriority w:val="9"/>
    <w:semiHidden/>
    <w:unhideWhenUsed/>
    <w:qFormat/>
    <w:rsid w:val="00922567"/>
    <w:pPr>
      <w:numPr>
        <w:ilvl w:val="2"/>
        <w:numId w:val="7"/>
      </w:numPr>
      <w:tabs>
        <w:tab w:val="left" w:pos="3600"/>
      </w:tabs>
      <w:spacing w:after="240"/>
      <w:outlineLvl w:val="2"/>
    </w:pPr>
    <w:rPr>
      <w:rFonts w:eastAsiaTheme="majorEastAsia" w:cs="Times New Roman"/>
    </w:rPr>
  </w:style>
  <w:style w:type="paragraph" w:styleId="Heading4">
    <w:name w:val="heading 4"/>
    <w:basedOn w:val="Normal"/>
    <w:next w:val="00BodyText1"/>
    <w:link w:val="Heading4Char"/>
    <w:uiPriority w:val="9"/>
    <w:semiHidden/>
    <w:unhideWhenUsed/>
    <w:qFormat/>
    <w:rsid w:val="00922567"/>
    <w:pPr>
      <w:numPr>
        <w:ilvl w:val="3"/>
        <w:numId w:val="7"/>
      </w:numPr>
      <w:tabs>
        <w:tab w:val="left" w:pos="4320"/>
      </w:tabs>
      <w:spacing w:after="240"/>
      <w:outlineLvl w:val="3"/>
    </w:pPr>
    <w:rPr>
      <w:rFonts w:eastAsiaTheme="majorEastAsia" w:cs="Times New Roman"/>
      <w:iCs/>
    </w:rPr>
  </w:style>
  <w:style w:type="paragraph" w:styleId="Heading5">
    <w:name w:val="heading 5"/>
    <w:basedOn w:val="Normal"/>
    <w:next w:val="00BodyText1"/>
    <w:link w:val="Heading5Char"/>
    <w:uiPriority w:val="9"/>
    <w:semiHidden/>
    <w:unhideWhenUsed/>
    <w:qFormat/>
    <w:rsid w:val="00922567"/>
    <w:pPr>
      <w:numPr>
        <w:ilvl w:val="4"/>
        <w:numId w:val="7"/>
      </w:numPr>
      <w:tabs>
        <w:tab w:val="left" w:pos="5040"/>
      </w:tabs>
      <w:spacing w:after="240"/>
      <w:outlineLvl w:val="4"/>
    </w:pPr>
    <w:rPr>
      <w:rFonts w:eastAsiaTheme="majorEastAsia" w:cs="Times New Roman"/>
    </w:rPr>
  </w:style>
  <w:style w:type="paragraph" w:styleId="Heading6">
    <w:name w:val="heading 6"/>
    <w:basedOn w:val="Normal"/>
    <w:next w:val="00BodyText1"/>
    <w:link w:val="Heading6Char"/>
    <w:uiPriority w:val="9"/>
    <w:semiHidden/>
    <w:unhideWhenUsed/>
    <w:qFormat/>
    <w:rsid w:val="00922567"/>
    <w:pPr>
      <w:numPr>
        <w:ilvl w:val="5"/>
        <w:numId w:val="7"/>
      </w:numPr>
      <w:tabs>
        <w:tab w:val="left" w:pos="5760"/>
      </w:tabs>
      <w:spacing w:after="240"/>
      <w:outlineLvl w:val="5"/>
    </w:pPr>
    <w:rPr>
      <w:rFonts w:eastAsiaTheme="majorEastAsia" w:cs="Times New Roman"/>
    </w:rPr>
  </w:style>
  <w:style w:type="paragraph" w:styleId="Heading7">
    <w:name w:val="heading 7"/>
    <w:basedOn w:val="Normal"/>
    <w:next w:val="00BodyText1"/>
    <w:link w:val="Heading7Char"/>
    <w:uiPriority w:val="9"/>
    <w:semiHidden/>
    <w:unhideWhenUsed/>
    <w:qFormat/>
    <w:rsid w:val="00922567"/>
    <w:pPr>
      <w:numPr>
        <w:ilvl w:val="6"/>
        <w:numId w:val="7"/>
      </w:numPr>
      <w:tabs>
        <w:tab w:val="left" w:pos="6480"/>
      </w:tabs>
      <w:spacing w:after="240"/>
      <w:outlineLvl w:val="6"/>
    </w:pPr>
    <w:rPr>
      <w:rFonts w:eastAsiaTheme="majorEastAsia" w:cs="Times New Roman"/>
      <w:iCs/>
    </w:rPr>
  </w:style>
  <w:style w:type="paragraph" w:styleId="Heading8">
    <w:name w:val="heading 8"/>
    <w:basedOn w:val="Normal"/>
    <w:next w:val="00BodyText1"/>
    <w:link w:val="Heading8Char"/>
    <w:uiPriority w:val="9"/>
    <w:semiHidden/>
    <w:unhideWhenUsed/>
    <w:qFormat/>
    <w:rsid w:val="00922567"/>
    <w:pPr>
      <w:numPr>
        <w:ilvl w:val="7"/>
        <w:numId w:val="7"/>
      </w:numPr>
      <w:tabs>
        <w:tab w:val="left" w:pos="7200"/>
      </w:tabs>
      <w:spacing w:after="240"/>
      <w:outlineLvl w:val="7"/>
    </w:pPr>
    <w:rPr>
      <w:rFonts w:eastAsiaTheme="majorEastAsia" w:cs="Times New Roman"/>
      <w:szCs w:val="21"/>
    </w:rPr>
  </w:style>
  <w:style w:type="paragraph" w:styleId="Heading9">
    <w:name w:val="heading 9"/>
    <w:basedOn w:val="Normal"/>
    <w:next w:val="00BodyText1"/>
    <w:link w:val="Heading9Char"/>
    <w:uiPriority w:val="9"/>
    <w:semiHidden/>
    <w:unhideWhenUsed/>
    <w:qFormat/>
    <w:rsid w:val="00922567"/>
    <w:pPr>
      <w:numPr>
        <w:ilvl w:val="8"/>
        <w:numId w:val="7"/>
      </w:numPr>
      <w:tabs>
        <w:tab w:val="left" w:pos="7920"/>
      </w:tabs>
      <w:spacing w:after="240"/>
      <w:outlineLvl w:val="8"/>
    </w:pPr>
    <w:rPr>
      <w:rFonts w:eastAsiaTheme="majorEastAsia" w:cs="Times New Roman"/>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DE4"/>
    <w:pPr>
      <w:tabs>
        <w:tab w:val="center" w:pos="4680"/>
        <w:tab w:val="right" w:pos="9360"/>
      </w:tabs>
    </w:pPr>
  </w:style>
  <w:style w:type="character" w:customStyle="1" w:styleId="HeaderChar">
    <w:name w:val="Header Char"/>
    <w:basedOn w:val="DefaultParagraphFont"/>
    <w:link w:val="Header"/>
    <w:uiPriority w:val="99"/>
    <w:rsid w:val="001E1DE4"/>
  </w:style>
  <w:style w:type="paragraph" w:styleId="Footer">
    <w:name w:val="footer"/>
    <w:basedOn w:val="Normal"/>
    <w:link w:val="FooterChar"/>
    <w:uiPriority w:val="99"/>
    <w:unhideWhenUsed/>
    <w:rsid w:val="001E1DE4"/>
    <w:pPr>
      <w:tabs>
        <w:tab w:val="center" w:pos="4680"/>
        <w:tab w:val="right" w:pos="9360"/>
      </w:tabs>
    </w:pPr>
  </w:style>
  <w:style w:type="character" w:customStyle="1" w:styleId="FooterChar">
    <w:name w:val="Footer Char"/>
    <w:basedOn w:val="DefaultParagraphFont"/>
    <w:link w:val="Footer"/>
    <w:uiPriority w:val="99"/>
    <w:rsid w:val="001E1DE4"/>
  </w:style>
  <w:style w:type="character" w:customStyle="1" w:styleId="DocID">
    <w:name w:val="DocID"/>
    <w:basedOn w:val="DefaultParagraphFont"/>
    <w:uiPriority w:val="1"/>
    <w:rsid w:val="001E1DE4"/>
    <w:rPr>
      <w:rFonts w:ascii="Arial" w:hAnsi="Arial"/>
      <w:sz w:val="16"/>
    </w:rPr>
  </w:style>
  <w:style w:type="paragraph" w:customStyle="1" w:styleId="00BlockInd5">
    <w:name w:val="00 Block Ind .5"/>
    <w:basedOn w:val="Normal"/>
    <w:qFormat/>
    <w:rsid w:val="001E1DE4"/>
    <w:pPr>
      <w:spacing w:after="240"/>
      <w:ind w:left="720" w:right="720"/>
    </w:pPr>
  </w:style>
  <w:style w:type="paragraph" w:customStyle="1" w:styleId="00BlockInd1">
    <w:name w:val="00 Block Ind 1"/>
    <w:basedOn w:val="Normal"/>
    <w:qFormat/>
    <w:rsid w:val="001E1DE4"/>
    <w:pPr>
      <w:spacing w:after="240"/>
      <w:ind w:left="1440" w:right="1440"/>
    </w:pPr>
  </w:style>
  <w:style w:type="paragraph" w:customStyle="1" w:styleId="00BodyText5">
    <w:name w:val="00 Body Text .5"/>
    <w:basedOn w:val="Normal"/>
    <w:qFormat/>
    <w:rsid w:val="001E1DE4"/>
    <w:pPr>
      <w:spacing w:after="240"/>
      <w:ind w:firstLine="720"/>
    </w:pPr>
  </w:style>
  <w:style w:type="paragraph" w:customStyle="1" w:styleId="00BodyText1">
    <w:name w:val="00 Body Text 1"/>
    <w:basedOn w:val="Normal"/>
    <w:qFormat/>
    <w:rsid w:val="001E1DE4"/>
    <w:pPr>
      <w:spacing w:after="240"/>
      <w:ind w:firstLine="1440"/>
    </w:pPr>
  </w:style>
  <w:style w:type="paragraph" w:customStyle="1" w:styleId="00BodyText15">
    <w:name w:val="00 Body Text 1.5"/>
    <w:basedOn w:val="Normal"/>
    <w:qFormat/>
    <w:rsid w:val="001E1DE4"/>
    <w:pPr>
      <w:spacing w:line="360" w:lineRule="auto"/>
      <w:ind w:firstLine="1440"/>
    </w:pPr>
  </w:style>
  <w:style w:type="paragraph" w:customStyle="1" w:styleId="00BodyTextDbl">
    <w:name w:val="00 Body Text Dbl"/>
    <w:basedOn w:val="Normal"/>
    <w:qFormat/>
    <w:rsid w:val="001E1DE4"/>
    <w:pPr>
      <w:spacing w:line="480" w:lineRule="auto"/>
      <w:ind w:firstLine="1440"/>
    </w:pPr>
  </w:style>
  <w:style w:type="paragraph" w:customStyle="1" w:styleId="00BulletList">
    <w:name w:val="00 Bullet List"/>
    <w:basedOn w:val="Normal"/>
    <w:qFormat/>
    <w:rsid w:val="001E1DE4"/>
    <w:pPr>
      <w:numPr>
        <w:numId w:val="1"/>
      </w:numPr>
      <w:spacing w:after="240"/>
    </w:pPr>
  </w:style>
  <w:style w:type="paragraph" w:customStyle="1" w:styleId="00Center">
    <w:name w:val="00 Center"/>
    <w:basedOn w:val="Normal"/>
    <w:qFormat/>
    <w:rsid w:val="001E1DE4"/>
    <w:pPr>
      <w:keepNext/>
      <w:spacing w:after="240"/>
      <w:jc w:val="center"/>
    </w:pPr>
  </w:style>
  <w:style w:type="paragraph" w:customStyle="1" w:styleId="00Double">
    <w:name w:val="00 Double"/>
    <w:basedOn w:val="Normal"/>
    <w:qFormat/>
    <w:rsid w:val="001E1DE4"/>
    <w:pPr>
      <w:spacing w:line="480" w:lineRule="auto"/>
    </w:pPr>
  </w:style>
  <w:style w:type="paragraph" w:customStyle="1" w:styleId="00HangingIndent">
    <w:name w:val="00 Hanging Indent"/>
    <w:basedOn w:val="Normal"/>
    <w:qFormat/>
    <w:rsid w:val="001E1DE4"/>
    <w:pPr>
      <w:spacing w:after="240"/>
      <w:ind w:left="2880" w:hanging="2160"/>
    </w:pPr>
  </w:style>
  <w:style w:type="paragraph" w:customStyle="1" w:styleId="00JBodyText1">
    <w:name w:val="00 J Body Text 1"/>
    <w:basedOn w:val="Normal"/>
    <w:qFormat/>
    <w:rsid w:val="001E1DE4"/>
    <w:pPr>
      <w:spacing w:after="240"/>
      <w:ind w:firstLine="1440"/>
      <w:jc w:val="both"/>
    </w:pPr>
  </w:style>
  <w:style w:type="paragraph" w:customStyle="1" w:styleId="00LeftIndent5">
    <w:name w:val="00 Left Indent .5"/>
    <w:basedOn w:val="Normal"/>
    <w:qFormat/>
    <w:rsid w:val="001E1DE4"/>
    <w:pPr>
      <w:spacing w:after="240"/>
      <w:ind w:left="720"/>
    </w:pPr>
  </w:style>
  <w:style w:type="paragraph" w:customStyle="1" w:styleId="00LeftIndent10">
    <w:name w:val="00 Left Indent 1.0"/>
    <w:basedOn w:val="Normal"/>
    <w:qFormat/>
    <w:rsid w:val="001E1DE4"/>
    <w:pPr>
      <w:spacing w:after="240"/>
      <w:ind w:left="1440"/>
    </w:pPr>
  </w:style>
  <w:style w:type="paragraph" w:customStyle="1" w:styleId="00LeftIndent15">
    <w:name w:val="00 Left Indent 1.5"/>
    <w:basedOn w:val="Normal"/>
    <w:qFormat/>
    <w:rsid w:val="001E1DE4"/>
    <w:pPr>
      <w:spacing w:after="240"/>
      <w:ind w:left="2160"/>
    </w:pPr>
  </w:style>
  <w:style w:type="paragraph" w:customStyle="1" w:styleId="00Normal">
    <w:name w:val="00 Normal"/>
    <w:basedOn w:val="Normal"/>
    <w:qFormat/>
    <w:rsid w:val="001E1DE4"/>
    <w:pPr>
      <w:spacing w:after="240"/>
    </w:pPr>
  </w:style>
  <w:style w:type="paragraph" w:customStyle="1" w:styleId="00NumberList">
    <w:name w:val="00 Number List"/>
    <w:basedOn w:val="Normal"/>
    <w:qFormat/>
    <w:rsid w:val="001E1DE4"/>
    <w:pPr>
      <w:numPr>
        <w:numId w:val="2"/>
      </w:numPr>
      <w:spacing w:after="240"/>
    </w:pPr>
  </w:style>
  <w:style w:type="paragraph" w:customStyle="1" w:styleId="00PlainText">
    <w:name w:val="00 Plain Text"/>
    <w:basedOn w:val="Normal"/>
    <w:qFormat/>
    <w:rsid w:val="001E1DE4"/>
  </w:style>
  <w:style w:type="paragraph" w:customStyle="1" w:styleId="00TitleC">
    <w:name w:val="00 Title C"/>
    <w:basedOn w:val="Normal"/>
    <w:qFormat/>
    <w:rsid w:val="001E1DE4"/>
    <w:pPr>
      <w:keepNext/>
      <w:spacing w:after="240"/>
      <w:jc w:val="center"/>
    </w:pPr>
    <w:rPr>
      <w:b/>
    </w:rPr>
  </w:style>
  <w:style w:type="paragraph" w:customStyle="1" w:styleId="00TitleL">
    <w:name w:val="00 Title L"/>
    <w:basedOn w:val="Normal"/>
    <w:qFormat/>
    <w:rsid w:val="001E1DE4"/>
    <w:pPr>
      <w:keepNext/>
      <w:spacing w:after="240"/>
    </w:pPr>
    <w:rPr>
      <w:b/>
    </w:rPr>
  </w:style>
  <w:style w:type="paragraph" w:styleId="EndnoteText">
    <w:name w:val="endnote text"/>
    <w:basedOn w:val="Normal"/>
    <w:link w:val="EndnoteTextChar"/>
    <w:uiPriority w:val="99"/>
    <w:semiHidden/>
    <w:unhideWhenUsed/>
    <w:rsid w:val="001E1DE4"/>
    <w:pPr>
      <w:spacing w:after="240"/>
      <w:ind w:left="720" w:hanging="720"/>
    </w:pPr>
    <w:rPr>
      <w:szCs w:val="20"/>
    </w:rPr>
  </w:style>
  <w:style w:type="character" w:customStyle="1" w:styleId="EndnoteTextChar">
    <w:name w:val="Endnote Text Char"/>
    <w:basedOn w:val="DefaultParagraphFont"/>
    <w:link w:val="EndnoteText"/>
    <w:uiPriority w:val="99"/>
    <w:semiHidden/>
    <w:rsid w:val="001E1DE4"/>
    <w:rPr>
      <w:szCs w:val="20"/>
    </w:rPr>
  </w:style>
  <w:style w:type="paragraph" w:customStyle="1" w:styleId="EndnoteTextmore">
    <w:name w:val="Endnote Text more"/>
    <w:basedOn w:val="Normal"/>
    <w:link w:val="EndnoteTextmoreChar"/>
    <w:semiHidden/>
    <w:qFormat/>
    <w:rsid w:val="001E1DE4"/>
    <w:pPr>
      <w:spacing w:after="240"/>
      <w:ind w:left="720"/>
    </w:pPr>
  </w:style>
  <w:style w:type="character" w:customStyle="1" w:styleId="EndnoteTextmoreChar">
    <w:name w:val="Endnote Text more Char"/>
    <w:basedOn w:val="DefaultParagraphFont"/>
    <w:link w:val="EndnoteTextmore"/>
    <w:semiHidden/>
    <w:rsid w:val="001E1DE4"/>
  </w:style>
  <w:style w:type="paragraph" w:styleId="FootnoteText">
    <w:name w:val="footnote text"/>
    <w:basedOn w:val="Normal"/>
    <w:link w:val="FootnoteTextChar"/>
    <w:uiPriority w:val="99"/>
    <w:semiHidden/>
    <w:unhideWhenUsed/>
    <w:rsid w:val="00E32C76"/>
    <w:pPr>
      <w:spacing w:after="240"/>
      <w:ind w:left="432" w:hanging="432"/>
    </w:pPr>
    <w:rPr>
      <w:szCs w:val="20"/>
    </w:rPr>
  </w:style>
  <w:style w:type="character" w:customStyle="1" w:styleId="FootnoteTextChar">
    <w:name w:val="Footnote Text Char"/>
    <w:basedOn w:val="DefaultParagraphFont"/>
    <w:link w:val="FootnoteText"/>
    <w:uiPriority w:val="99"/>
    <w:semiHidden/>
    <w:rsid w:val="00E32C76"/>
    <w:rPr>
      <w:szCs w:val="20"/>
    </w:rPr>
  </w:style>
  <w:style w:type="paragraph" w:customStyle="1" w:styleId="FootnoteTextMore">
    <w:name w:val="Footnote Text More"/>
    <w:basedOn w:val="Normal"/>
    <w:semiHidden/>
    <w:rsid w:val="009C30EF"/>
    <w:pPr>
      <w:spacing w:after="240" w:line="240" w:lineRule="exact"/>
      <w:ind w:left="432"/>
    </w:pPr>
    <w:rPr>
      <w:rFonts w:eastAsia="Times New Roman" w:cs="Times New Roman"/>
    </w:rPr>
  </w:style>
  <w:style w:type="paragraph" w:customStyle="1" w:styleId="MKTGBioBodyText">
    <w:name w:val="MKTG Bio Body Text"/>
    <w:qFormat/>
    <w:rsid w:val="001E1DE4"/>
    <w:pPr>
      <w:spacing w:after="120" w:line="260" w:lineRule="atLeast"/>
    </w:pPr>
    <w:rPr>
      <w:rFonts w:ascii="Garamond" w:hAnsi="Garamond"/>
    </w:rPr>
  </w:style>
  <w:style w:type="paragraph" w:customStyle="1" w:styleId="MKTGBioContact">
    <w:name w:val="MKTG Bio Contact"/>
    <w:basedOn w:val="Normal"/>
    <w:qFormat/>
    <w:rsid w:val="001E1DE4"/>
    <w:pPr>
      <w:spacing w:line="260" w:lineRule="atLeast"/>
      <w:contextualSpacing/>
    </w:pPr>
    <w:rPr>
      <w:rFonts w:ascii="Garamond" w:hAnsi="Garamond"/>
    </w:rPr>
  </w:style>
  <w:style w:type="paragraph" w:customStyle="1" w:styleId="MKTGBioHeading1">
    <w:name w:val="MKTG Bio Heading 1"/>
    <w:qFormat/>
    <w:rsid w:val="001E1DE4"/>
    <w:pPr>
      <w:spacing w:after="60"/>
      <w:outlineLvl w:val="1"/>
    </w:pPr>
    <w:rPr>
      <w:rFonts w:ascii="Garamond" w:hAnsi="Garamond"/>
      <w:b/>
    </w:rPr>
  </w:style>
  <w:style w:type="paragraph" w:customStyle="1" w:styleId="MKTGBioHeading2">
    <w:name w:val="MKTG Bio Heading 2"/>
    <w:qFormat/>
    <w:rsid w:val="001E1DE4"/>
    <w:pPr>
      <w:keepNext/>
      <w:spacing w:before="240" w:after="120"/>
    </w:pPr>
    <w:rPr>
      <w:rFonts w:ascii="Garamond" w:hAnsi="Garamond"/>
      <w:b/>
    </w:rPr>
  </w:style>
  <w:style w:type="paragraph" w:customStyle="1" w:styleId="MKTGBioPractice1">
    <w:name w:val="MKTG Bio Practice 1"/>
    <w:qFormat/>
    <w:rsid w:val="001E1DE4"/>
    <w:pPr>
      <w:keepNext/>
      <w:spacing w:before="240" w:after="60"/>
    </w:pPr>
    <w:rPr>
      <w:rFonts w:ascii="Garamond" w:hAnsi="Garamond"/>
      <w:b/>
    </w:rPr>
  </w:style>
  <w:style w:type="paragraph" w:customStyle="1" w:styleId="MKTGBioPractice1-NoSpaceBefore">
    <w:name w:val="MKTG Bio Practice 1 - No Space Before"/>
    <w:basedOn w:val="MKTGBioPractice1"/>
    <w:qFormat/>
    <w:rsid w:val="001E1DE4"/>
    <w:pPr>
      <w:spacing w:before="0"/>
    </w:pPr>
  </w:style>
  <w:style w:type="paragraph" w:customStyle="1" w:styleId="MKTGBioTitle">
    <w:name w:val="MKTG Bio Title"/>
    <w:basedOn w:val="MKTGBioContact"/>
    <w:qFormat/>
    <w:rsid w:val="001E1DE4"/>
    <w:pPr>
      <w:spacing w:after="240"/>
      <w:contextualSpacing w:val="0"/>
    </w:pPr>
    <w:rPr>
      <w:i/>
    </w:rPr>
  </w:style>
  <w:style w:type="paragraph" w:customStyle="1" w:styleId="MKTGBodyText">
    <w:name w:val="MKTG Body Text"/>
    <w:qFormat/>
    <w:rsid w:val="001E1DE4"/>
    <w:pPr>
      <w:spacing w:after="120"/>
    </w:pPr>
    <w:rPr>
      <w:rFonts w:ascii="Garamond" w:hAnsi="Garamond"/>
    </w:rPr>
  </w:style>
  <w:style w:type="paragraph" w:customStyle="1" w:styleId="MKTGBullets">
    <w:name w:val="MKTG Bullets"/>
    <w:qFormat/>
    <w:rsid w:val="001E1DE4"/>
    <w:pPr>
      <w:numPr>
        <w:numId w:val="4"/>
      </w:numPr>
      <w:spacing w:after="240" w:line="240" w:lineRule="exact"/>
    </w:pPr>
    <w:rPr>
      <w:rFonts w:ascii="Garamond" w:hAnsi="Garamond"/>
    </w:rPr>
  </w:style>
  <w:style w:type="numbering" w:customStyle="1" w:styleId="MKTGBullets-list">
    <w:name w:val="MKTG Bullets-list"/>
    <w:basedOn w:val="NoList"/>
    <w:uiPriority w:val="99"/>
    <w:rsid w:val="001E1DE4"/>
    <w:pPr>
      <w:numPr>
        <w:numId w:val="3"/>
      </w:numPr>
    </w:pPr>
  </w:style>
  <w:style w:type="paragraph" w:customStyle="1" w:styleId="MKTGGutterBullet">
    <w:name w:val="MKTG Gutter Bullet"/>
    <w:basedOn w:val="ListBullet"/>
    <w:qFormat/>
    <w:rsid w:val="001E1DE4"/>
    <w:pPr>
      <w:numPr>
        <w:numId w:val="6"/>
      </w:numPr>
      <w:spacing w:line="240" w:lineRule="atLeast"/>
      <w:contextualSpacing w:val="0"/>
    </w:pPr>
    <w:rPr>
      <w:rFonts w:ascii="Garamond" w:hAnsi="Garamond"/>
    </w:rPr>
  </w:style>
  <w:style w:type="paragraph" w:styleId="ListBullet">
    <w:name w:val="List Bullet"/>
    <w:basedOn w:val="Normal"/>
    <w:uiPriority w:val="99"/>
    <w:semiHidden/>
    <w:unhideWhenUsed/>
    <w:rsid w:val="001E1DE4"/>
    <w:pPr>
      <w:numPr>
        <w:numId w:val="5"/>
      </w:numPr>
      <w:contextualSpacing/>
    </w:pPr>
  </w:style>
  <w:style w:type="paragraph" w:customStyle="1" w:styleId="MKTGHeaderTitle1">
    <w:name w:val="MKTG Header Title 1"/>
    <w:qFormat/>
    <w:rsid w:val="001E1DE4"/>
    <w:pPr>
      <w:outlineLvl w:val="0"/>
    </w:pPr>
    <w:rPr>
      <w:rFonts w:ascii="Garamond" w:eastAsia="Garamond" w:hAnsi="Garamond" w:cs="Garamond"/>
      <w:color w:val="000000"/>
      <w:sz w:val="36"/>
    </w:rPr>
  </w:style>
  <w:style w:type="paragraph" w:customStyle="1" w:styleId="MKTGHeading1">
    <w:name w:val="MKTG Heading 1"/>
    <w:basedOn w:val="MKTGHeaderTitle1"/>
    <w:qFormat/>
    <w:rsid w:val="001E1DE4"/>
    <w:pPr>
      <w:spacing w:after="240"/>
      <w:outlineLvl w:val="1"/>
    </w:pPr>
  </w:style>
  <w:style w:type="paragraph" w:customStyle="1" w:styleId="MKTGHeading2">
    <w:name w:val="MKTG Heading 2"/>
    <w:basedOn w:val="MKTGHeading1"/>
    <w:qFormat/>
    <w:rsid w:val="001E1DE4"/>
    <w:pPr>
      <w:keepNext/>
      <w:spacing w:before="240" w:after="60"/>
      <w:outlineLvl w:val="2"/>
    </w:pPr>
    <w:rPr>
      <w:b/>
      <w:sz w:val="24"/>
    </w:rPr>
  </w:style>
  <w:style w:type="paragraph" w:customStyle="1" w:styleId="MKTGHeading3">
    <w:name w:val="MKTG Heading 3"/>
    <w:basedOn w:val="MKTGHeading2"/>
    <w:qFormat/>
    <w:rsid w:val="001E1DE4"/>
    <w:pPr>
      <w:outlineLvl w:val="3"/>
    </w:pPr>
    <w:rPr>
      <w:i/>
    </w:rPr>
  </w:style>
  <w:style w:type="paragraph" w:customStyle="1" w:styleId="MKTGOfficeAddress">
    <w:name w:val="MKTG Office Address"/>
    <w:qFormat/>
    <w:rsid w:val="001E1DE4"/>
    <w:pPr>
      <w:keepLines/>
      <w:spacing w:after="120"/>
      <w:contextualSpacing/>
    </w:pPr>
    <w:rPr>
      <w:rFonts w:ascii="Garamond" w:hAnsi="Garamond"/>
    </w:rPr>
  </w:style>
  <w:style w:type="paragraph" w:customStyle="1" w:styleId="MKTGTableHeading1">
    <w:name w:val="MKTG Table Heading 1"/>
    <w:qFormat/>
    <w:rsid w:val="001E1DE4"/>
    <w:pPr>
      <w:spacing w:before="40" w:after="40"/>
    </w:pPr>
    <w:rPr>
      <w:rFonts w:ascii="Garamond" w:hAnsi="Garamond"/>
      <w:b/>
    </w:rPr>
  </w:style>
  <w:style w:type="paragraph" w:customStyle="1" w:styleId="MKTGTableBodyText">
    <w:name w:val="MKTG Table Body Text"/>
    <w:basedOn w:val="MKTGTableHeading1"/>
    <w:qFormat/>
    <w:rsid w:val="001E1DE4"/>
    <w:pPr>
      <w:spacing w:before="60" w:after="60"/>
    </w:pPr>
    <w:rPr>
      <w:b w:val="0"/>
    </w:rPr>
  </w:style>
  <w:style w:type="character" w:customStyle="1" w:styleId="MKTGTimeline">
    <w:name w:val="MKTG Timeline"/>
    <w:basedOn w:val="DefaultParagraphFont"/>
    <w:uiPriority w:val="1"/>
    <w:qFormat/>
    <w:rsid w:val="001E1DE4"/>
    <w:rPr>
      <w:rFonts w:ascii="Garamond" w:hAnsi="Garamond"/>
      <w:b/>
      <w:sz w:val="24"/>
    </w:rPr>
  </w:style>
  <w:style w:type="paragraph" w:styleId="Signature">
    <w:name w:val="Signature"/>
    <w:basedOn w:val="Normal"/>
    <w:link w:val="SignatureChar"/>
    <w:uiPriority w:val="99"/>
    <w:semiHidden/>
    <w:unhideWhenUsed/>
    <w:rsid w:val="001E1DE4"/>
    <w:pPr>
      <w:tabs>
        <w:tab w:val="right" w:pos="9360"/>
      </w:tabs>
      <w:ind w:left="5040"/>
    </w:pPr>
  </w:style>
  <w:style w:type="character" w:customStyle="1" w:styleId="SignatureChar">
    <w:name w:val="Signature Char"/>
    <w:basedOn w:val="DefaultParagraphFont"/>
    <w:link w:val="Signature"/>
    <w:uiPriority w:val="99"/>
    <w:semiHidden/>
    <w:rsid w:val="001E1DE4"/>
  </w:style>
  <w:style w:type="paragraph" w:styleId="TOAHeading">
    <w:name w:val="toa heading"/>
    <w:basedOn w:val="Normal"/>
    <w:next w:val="Normal"/>
    <w:uiPriority w:val="99"/>
    <w:semiHidden/>
    <w:unhideWhenUsed/>
    <w:rsid w:val="001E1DE4"/>
    <w:pPr>
      <w:spacing w:before="120"/>
    </w:pPr>
    <w:rPr>
      <w:rFonts w:eastAsiaTheme="majorEastAsia" w:cstheme="majorBidi"/>
      <w:b/>
      <w:bCs/>
    </w:rPr>
  </w:style>
  <w:style w:type="paragraph" w:styleId="TOC1">
    <w:name w:val="toc 1"/>
    <w:basedOn w:val="Normal"/>
    <w:next w:val="Normal"/>
    <w:autoRedefine/>
    <w:uiPriority w:val="39"/>
    <w:semiHidden/>
    <w:unhideWhenUsed/>
    <w:rsid w:val="001E1DE4"/>
    <w:pPr>
      <w:tabs>
        <w:tab w:val="right" w:leader="dot" w:pos="9346"/>
      </w:tabs>
      <w:ind w:left="720" w:right="720" w:hanging="720"/>
    </w:pPr>
  </w:style>
  <w:style w:type="paragraph" w:styleId="TOC2">
    <w:name w:val="toc 2"/>
    <w:basedOn w:val="Normal"/>
    <w:next w:val="Normal"/>
    <w:autoRedefine/>
    <w:uiPriority w:val="39"/>
    <w:semiHidden/>
    <w:unhideWhenUsed/>
    <w:rsid w:val="001E1DE4"/>
    <w:pPr>
      <w:tabs>
        <w:tab w:val="right" w:leader="dot" w:pos="9346"/>
      </w:tabs>
      <w:ind w:left="1440" w:right="720" w:hanging="720"/>
    </w:pPr>
  </w:style>
  <w:style w:type="paragraph" w:styleId="TOC3">
    <w:name w:val="toc 3"/>
    <w:basedOn w:val="Normal"/>
    <w:next w:val="Normal"/>
    <w:autoRedefine/>
    <w:uiPriority w:val="39"/>
    <w:semiHidden/>
    <w:unhideWhenUsed/>
    <w:rsid w:val="001E1DE4"/>
    <w:pPr>
      <w:tabs>
        <w:tab w:val="right" w:leader="dot" w:pos="9346"/>
      </w:tabs>
      <w:ind w:left="2160" w:right="720" w:hanging="720"/>
    </w:pPr>
  </w:style>
  <w:style w:type="paragraph" w:styleId="TOC4">
    <w:name w:val="toc 4"/>
    <w:basedOn w:val="Normal"/>
    <w:next w:val="Normal"/>
    <w:autoRedefine/>
    <w:uiPriority w:val="39"/>
    <w:semiHidden/>
    <w:unhideWhenUsed/>
    <w:rsid w:val="001E1DE4"/>
    <w:pPr>
      <w:tabs>
        <w:tab w:val="right" w:leader="dot" w:pos="9346"/>
      </w:tabs>
      <w:ind w:left="2880" w:right="720" w:hanging="720"/>
    </w:pPr>
  </w:style>
  <w:style w:type="paragraph" w:styleId="TOC5">
    <w:name w:val="toc 5"/>
    <w:basedOn w:val="Normal"/>
    <w:next w:val="Normal"/>
    <w:autoRedefine/>
    <w:uiPriority w:val="39"/>
    <w:semiHidden/>
    <w:unhideWhenUsed/>
    <w:rsid w:val="001E1DE4"/>
    <w:pPr>
      <w:tabs>
        <w:tab w:val="right" w:leader="dot" w:pos="9346"/>
      </w:tabs>
      <w:ind w:left="3600" w:right="720" w:hanging="720"/>
    </w:pPr>
  </w:style>
  <w:style w:type="paragraph" w:styleId="TOC6">
    <w:name w:val="toc 6"/>
    <w:basedOn w:val="Normal"/>
    <w:next w:val="Normal"/>
    <w:autoRedefine/>
    <w:uiPriority w:val="39"/>
    <w:semiHidden/>
    <w:unhideWhenUsed/>
    <w:rsid w:val="001E1DE4"/>
    <w:pPr>
      <w:tabs>
        <w:tab w:val="right" w:leader="dot" w:pos="9346"/>
      </w:tabs>
      <w:ind w:left="4320" w:right="720" w:hanging="720"/>
    </w:pPr>
  </w:style>
  <w:style w:type="paragraph" w:styleId="TOC7">
    <w:name w:val="toc 7"/>
    <w:basedOn w:val="Normal"/>
    <w:next w:val="Normal"/>
    <w:autoRedefine/>
    <w:uiPriority w:val="39"/>
    <w:semiHidden/>
    <w:unhideWhenUsed/>
    <w:rsid w:val="001E1DE4"/>
    <w:pPr>
      <w:tabs>
        <w:tab w:val="right" w:leader="dot" w:pos="9346"/>
      </w:tabs>
      <w:ind w:left="5040" w:right="720" w:hanging="720"/>
    </w:pPr>
  </w:style>
  <w:style w:type="paragraph" w:styleId="TOC8">
    <w:name w:val="toc 8"/>
    <w:basedOn w:val="Normal"/>
    <w:next w:val="Normal"/>
    <w:autoRedefine/>
    <w:uiPriority w:val="39"/>
    <w:semiHidden/>
    <w:unhideWhenUsed/>
    <w:rsid w:val="001E1DE4"/>
    <w:pPr>
      <w:tabs>
        <w:tab w:val="right" w:leader="dot" w:pos="9346"/>
      </w:tabs>
      <w:ind w:left="5760" w:right="720" w:hanging="720"/>
    </w:pPr>
  </w:style>
  <w:style w:type="paragraph" w:styleId="TOC9">
    <w:name w:val="toc 9"/>
    <w:basedOn w:val="Normal"/>
    <w:next w:val="Normal"/>
    <w:autoRedefine/>
    <w:uiPriority w:val="39"/>
    <w:semiHidden/>
    <w:unhideWhenUsed/>
    <w:rsid w:val="001E1DE4"/>
    <w:pPr>
      <w:tabs>
        <w:tab w:val="right" w:leader="dot" w:pos="9346"/>
      </w:tabs>
      <w:ind w:left="6480" w:right="720" w:hanging="720"/>
    </w:pPr>
  </w:style>
  <w:style w:type="character" w:customStyle="1" w:styleId="Heading1Char">
    <w:name w:val="Heading 1 Char"/>
    <w:basedOn w:val="DefaultParagraphFont"/>
    <w:link w:val="Heading1"/>
    <w:uiPriority w:val="9"/>
    <w:rsid w:val="001E1DE4"/>
    <w:rPr>
      <w:rFonts w:eastAsiaTheme="majorEastAsia" w:cs="Times New Roman"/>
      <w:szCs w:val="32"/>
    </w:rPr>
  </w:style>
  <w:style w:type="paragraph" w:styleId="TOCHeading">
    <w:name w:val="TOC Heading"/>
    <w:basedOn w:val="Normal"/>
    <w:next w:val="Normal"/>
    <w:uiPriority w:val="39"/>
    <w:semiHidden/>
    <w:qFormat/>
    <w:rsid w:val="001E1DE4"/>
    <w:pPr>
      <w:keepNext/>
      <w:jc w:val="center"/>
    </w:pPr>
    <w:rPr>
      <w:rFonts w:cstheme="majorBidi"/>
      <w:b/>
    </w:rPr>
  </w:style>
  <w:style w:type="paragraph" w:customStyle="1" w:styleId="TOCPage">
    <w:name w:val="TOC Page"/>
    <w:basedOn w:val="Normal"/>
    <w:semiHidden/>
    <w:qFormat/>
    <w:rsid w:val="001E1DE4"/>
    <w:pPr>
      <w:spacing w:after="240"/>
      <w:jc w:val="right"/>
    </w:pPr>
    <w:rPr>
      <w:b/>
    </w:rPr>
  </w:style>
  <w:style w:type="character" w:customStyle="1" w:styleId="Heading2Char">
    <w:name w:val="Heading 2 Char"/>
    <w:basedOn w:val="DefaultParagraphFont"/>
    <w:link w:val="Heading2"/>
    <w:uiPriority w:val="9"/>
    <w:semiHidden/>
    <w:rsid w:val="00922567"/>
    <w:rPr>
      <w:rFonts w:eastAsiaTheme="majorEastAsia" w:cs="Times New Roman"/>
      <w:szCs w:val="26"/>
    </w:rPr>
  </w:style>
  <w:style w:type="character" w:customStyle="1" w:styleId="Heading3Char">
    <w:name w:val="Heading 3 Char"/>
    <w:basedOn w:val="DefaultParagraphFont"/>
    <w:link w:val="Heading3"/>
    <w:uiPriority w:val="9"/>
    <w:semiHidden/>
    <w:rsid w:val="00922567"/>
    <w:rPr>
      <w:rFonts w:eastAsiaTheme="majorEastAsia" w:cs="Times New Roman"/>
    </w:rPr>
  </w:style>
  <w:style w:type="character" w:customStyle="1" w:styleId="Heading4Char">
    <w:name w:val="Heading 4 Char"/>
    <w:basedOn w:val="DefaultParagraphFont"/>
    <w:link w:val="Heading4"/>
    <w:uiPriority w:val="9"/>
    <w:semiHidden/>
    <w:rsid w:val="00922567"/>
    <w:rPr>
      <w:rFonts w:eastAsiaTheme="majorEastAsia" w:cs="Times New Roman"/>
      <w:iCs/>
    </w:rPr>
  </w:style>
  <w:style w:type="character" w:customStyle="1" w:styleId="Heading5Char">
    <w:name w:val="Heading 5 Char"/>
    <w:basedOn w:val="DefaultParagraphFont"/>
    <w:link w:val="Heading5"/>
    <w:uiPriority w:val="9"/>
    <w:semiHidden/>
    <w:rsid w:val="00922567"/>
    <w:rPr>
      <w:rFonts w:eastAsiaTheme="majorEastAsia" w:cs="Times New Roman"/>
    </w:rPr>
  </w:style>
  <w:style w:type="character" w:customStyle="1" w:styleId="Heading6Char">
    <w:name w:val="Heading 6 Char"/>
    <w:basedOn w:val="DefaultParagraphFont"/>
    <w:link w:val="Heading6"/>
    <w:uiPriority w:val="9"/>
    <w:semiHidden/>
    <w:rsid w:val="00922567"/>
    <w:rPr>
      <w:rFonts w:eastAsiaTheme="majorEastAsia" w:cs="Times New Roman"/>
    </w:rPr>
  </w:style>
  <w:style w:type="character" w:customStyle="1" w:styleId="Heading7Char">
    <w:name w:val="Heading 7 Char"/>
    <w:basedOn w:val="DefaultParagraphFont"/>
    <w:link w:val="Heading7"/>
    <w:uiPriority w:val="9"/>
    <w:semiHidden/>
    <w:rsid w:val="00922567"/>
    <w:rPr>
      <w:rFonts w:eastAsiaTheme="majorEastAsia" w:cs="Times New Roman"/>
      <w:iCs/>
    </w:rPr>
  </w:style>
  <w:style w:type="character" w:customStyle="1" w:styleId="Heading8Char">
    <w:name w:val="Heading 8 Char"/>
    <w:basedOn w:val="DefaultParagraphFont"/>
    <w:link w:val="Heading8"/>
    <w:uiPriority w:val="9"/>
    <w:semiHidden/>
    <w:rsid w:val="00922567"/>
    <w:rPr>
      <w:rFonts w:eastAsiaTheme="majorEastAsia" w:cs="Times New Roman"/>
      <w:szCs w:val="21"/>
    </w:rPr>
  </w:style>
  <w:style w:type="character" w:customStyle="1" w:styleId="Heading9Char">
    <w:name w:val="Heading 9 Char"/>
    <w:basedOn w:val="DefaultParagraphFont"/>
    <w:link w:val="Heading9"/>
    <w:uiPriority w:val="9"/>
    <w:semiHidden/>
    <w:rsid w:val="00922567"/>
    <w:rPr>
      <w:rFonts w:eastAsiaTheme="majorEastAsia" w:cs="Times New Roman"/>
      <w:iCs/>
      <w:szCs w:val="21"/>
    </w:rPr>
  </w:style>
  <w:style w:type="character" w:styleId="Hyperlink">
    <w:name w:val="Hyperlink"/>
    <w:basedOn w:val="DefaultParagraphFont"/>
    <w:uiPriority w:val="99"/>
    <w:unhideWhenUsed/>
    <w:rsid w:val="00117812"/>
    <w:rPr>
      <w:color w:val="0563C1" w:themeColor="hyperlink"/>
      <w:u w:val="single"/>
    </w:rPr>
  </w:style>
  <w:style w:type="character" w:styleId="FootnoteReference">
    <w:name w:val="footnote reference"/>
    <w:basedOn w:val="DefaultParagraphFont"/>
    <w:uiPriority w:val="99"/>
    <w:semiHidden/>
    <w:unhideWhenUsed/>
    <w:rsid w:val="00FE2FBD"/>
    <w:rPr>
      <w:vertAlign w:val="superscript"/>
    </w:rPr>
  </w:style>
  <w:style w:type="paragraph" w:styleId="BalloonText">
    <w:name w:val="Balloon Text"/>
    <w:basedOn w:val="Normal"/>
    <w:link w:val="BalloonTextChar"/>
    <w:uiPriority w:val="99"/>
    <w:semiHidden/>
    <w:unhideWhenUsed/>
    <w:rsid w:val="00771C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C1D"/>
    <w:rPr>
      <w:rFonts w:ascii="Segoe UI" w:hAnsi="Segoe UI" w:cs="Segoe UI"/>
      <w:sz w:val="18"/>
      <w:szCs w:val="18"/>
    </w:rPr>
  </w:style>
  <w:style w:type="character" w:styleId="CommentReference">
    <w:name w:val="annotation reference"/>
    <w:basedOn w:val="DefaultParagraphFont"/>
    <w:uiPriority w:val="99"/>
    <w:semiHidden/>
    <w:unhideWhenUsed/>
    <w:rsid w:val="00771C1D"/>
    <w:rPr>
      <w:sz w:val="16"/>
      <w:szCs w:val="16"/>
    </w:rPr>
  </w:style>
  <w:style w:type="paragraph" w:styleId="CommentText">
    <w:name w:val="annotation text"/>
    <w:basedOn w:val="Normal"/>
    <w:link w:val="CommentTextChar"/>
    <w:uiPriority w:val="99"/>
    <w:semiHidden/>
    <w:unhideWhenUsed/>
    <w:rsid w:val="00771C1D"/>
    <w:rPr>
      <w:sz w:val="20"/>
      <w:szCs w:val="20"/>
    </w:rPr>
  </w:style>
  <w:style w:type="character" w:customStyle="1" w:styleId="CommentTextChar">
    <w:name w:val="Comment Text Char"/>
    <w:basedOn w:val="DefaultParagraphFont"/>
    <w:link w:val="CommentText"/>
    <w:uiPriority w:val="99"/>
    <w:semiHidden/>
    <w:rsid w:val="00771C1D"/>
    <w:rPr>
      <w:sz w:val="20"/>
      <w:szCs w:val="20"/>
    </w:rPr>
  </w:style>
  <w:style w:type="paragraph" w:styleId="CommentSubject">
    <w:name w:val="annotation subject"/>
    <w:basedOn w:val="CommentText"/>
    <w:next w:val="CommentText"/>
    <w:link w:val="CommentSubjectChar"/>
    <w:uiPriority w:val="99"/>
    <w:semiHidden/>
    <w:unhideWhenUsed/>
    <w:rsid w:val="00771C1D"/>
    <w:rPr>
      <w:b/>
      <w:bCs/>
    </w:rPr>
  </w:style>
  <w:style w:type="character" w:customStyle="1" w:styleId="CommentSubjectChar">
    <w:name w:val="Comment Subject Char"/>
    <w:basedOn w:val="CommentTextChar"/>
    <w:link w:val="CommentSubject"/>
    <w:uiPriority w:val="99"/>
    <w:semiHidden/>
    <w:rsid w:val="00771C1D"/>
    <w:rPr>
      <w:b/>
      <w:bCs/>
      <w:sz w:val="20"/>
      <w:szCs w:val="20"/>
    </w:rPr>
  </w:style>
  <w:style w:type="character" w:styleId="FollowedHyperlink">
    <w:name w:val="FollowedHyperlink"/>
    <w:basedOn w:val="DefaultParagraphFont"/>
    <w:uiPriority w:val="99"/>
    <w:semiHidden/>
    <w:unhideWhenUsed/>
    <w:rsid w:val="001160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jpe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0AD22-1D66-4635-A79A-7D342FBBF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0</TotalTime>
  <Pages>14</Pages>
  <Words>3102</Words>
  <Characters>17684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2020-05-29T22:02:55Z</dcterms:created>
  <dcterms:modified xsi:type="dcterms:W3CDTF">2020-05-29T22:02:55Z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DMWEST #40170525 v1</vt:lpwstr>
  </property>
  <property fmtid="{D5CDD505-2E9C-101B-9397-08002B2CF9AE}" pid="3" name="DocumentType">
    <vt:lpwstr>pgBlank</vt:lpwstr>
  </property>
</Properties>
</file>