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BDE1C" w14:textId="77777777" w:rsidR="000B277A" w:rsidRPr="00076933" w:rsidRDefault="000B277A">
      <w:pPr>
        <w:rPr>
          <w:sz w:val="28"/>
          <w:szCs w:val="28"/>
        </w:rPr>
      </w:pPr>
      <w:r w:rsidRPr="00076933">
        <w:rPr>
          <w:sz w:val="28"/>
          <w:szCs w:val="28"/>
        </w:rPr>
        <w:t>BARBARA LAWALL</w:t>
      </w:r>
    </w:p>
    <w:p w14:paraId="695498FC" w14:textId="77777777" w:rsidR="000B277A" w:rsidRPr="00076933" w:rsidRDefault="000B277A">
      <w:pPr>
        <w:rPr>
          <w:sz w:val="28"/>
          <w:szCs w:val="28"/>
        </w:rPr>
      </w:pPr>
      <w:r w:rsidRPr="00076933">
        <w:rPr>
          <w:sz w:val="28"/>
          <w:szCs w:val="28"/>
        </w:rPr>
        <w:t>PIMA COUNTY ATTORNEY</w:t>
      </w:r>
    </w:p>
    <w:p w14:paraId="6D7DD9F4" w14:textId="77777777" w:rsidR="000B277A" w:rsidRPr="00076933" w:rsidRDefault="000B277A">
      <w:pPr>
        <w:rPr>
          <w:sz w:val="28"/>
          <w:szCs w:val="28"/>
        </w:rPr>
      </w:pPr>
      <w:r w:rsidRPr="00076933">
        <w:rPr>
          <w:sz w:val="28"/>
          <w:szCs w:val="28"/>
        </w:rPr>
        <w:t xml:space="preserve">32 N. Stone, </w:t>
      </w:r>
      <w:r w:rsidR="00A75D84" w:rsidRPr="00076933">
        <w:rPr>
          <w:sz w:val="28"/>
          <w:szCs w:val="28"/>
        </w:rPr>
        <w:t>8</w:t>
      </w:r>
      <w:r w:rsidRPr="00076933">
        <w:rPr>
          <w:sz w:val="28"/>
          <w:szCs w:val="28"/>
          <w:vertAlign w:val="superscript"/>
        </w:rPr>
        <w:t>th</w:t>
      </w:r>
      <w:r w:rsidRPr="00076933">
        <w:rPr>
          <w:sz w:val="28"/>
          <w:szCs w:val="28"/>
        </w:rPr>
        <w:t xml:space="preserve"> Floor</w:t>
      </w:r>
    </w:p>
    <w:p w14:paraId="101F60C0" w14:textId="77777777" w:rsidR="000B277A" w:rsidRPr="00076933" w:rsidRDefault="000B277A">
      <w:pPr>
        <w:rPr>
          <w:sz w:val="28"/>
          <w:szCs w:val="28"/>
        </w:rPr>
      </w:pPr>
      <w:r w:rsidRPr="00076933">
        <w:rPr>
          <w:sz w:val="28"/>
          <w:szCs w:val="28"/>
        </w:rPr>
        <w:t>Tucson, AZ 85701</w:t>
      </w:r>
    </w:p>
    <w:p w14:paraId="1ECF6A03" w14:textId="77777777" w:rsidR="000B277A" w:rsidRPr="00076933" w:rsidRDefault="000B277A">
      <w:pPr>
        <w:rPr>
          <w:sz w:val="28"/>
          <w:szCs w:val="28"/>
        </w:rPr>
      </w:pPr>
      <w:r w:rsidRPr="00076933">
        <w:rPr>
          <w:sz w:val="28"/>
          <w:szCs w:val="28"/>
        </w:rPr>
        <w:t>Telephone: (520) 7</w:t>
      </w:r>
      <w:r w:rsidR="008F1946" w:rsidRPr="00076933">
        <w:rPr>
          <w:sz w:val="28"/>
          <w:szCs w:val="28"/>
        </w:rPr>
        <w:t>2</w:t>
      </w:r>
      <w:r w:rsidRPr="00076933">
        <w:rPr>
          <w:sz w:val="28"/>
          <w:szCs w:val="28"/>
        </w:rPr>
        <w:t>4-5600</w:t>
      </w:r>
    </w:p>
    <w:p w14:paraId="1622BAC7" w14:textId="77777777" w:rsidR="000B277A" w:rsidRPr="00076933" w:rsidRDefault="000B277A">
      <w:pPr>
        <w:rPr>
          <w:sz w:val="28"/>
          <w:szCs w:val="28"/>
        </w:rPr>
      </w:pPr>
      <w:r w:rsidRPr="00076933">
        <w:rPr>
          <w:sz w:val="28"/>
          <w:szCs w:val="28"/>
        </w:rPr>
        <w:t>State Bar No. 0</w:t>
      </w:r>
      <w:r w:rsidR="00C476D4" w:rsidRPr="00076933">
        <w:rPr>
          <w:sz w:val="28"/>
          <w:szCs w:val="28"/>
        </w:rPr>
        <w:t>04906</w:t>
      </w:r>
    </w:p>
    <w:p w14:paraId="4D6414EC" w14:textId="77777777" w:rsidR="000B277A" w:rsidRPr="00076933" w:rsidRDefault="000B277A">
      <w:pPr>
        <w:rPr>
          <w:sz w:val="28"/>
          <w:szCs w:val="28"/>
        </w:rPr>
      </w:pPr>
      <w:r w:rsidRPr="00076933">
        <w:rPr>
          <w:sz w:val="28"/>
          <w:szCs w:val="28"/>
        </w:rPr>
        <w:t>Law Firm No. 69000</w:t>
      </w:r>
    </w:p>
    <w:p w14:paraId="13837728" w14:textId="77777777" w:rsidR="000B277A" w:rsidRPr="00076933" w:rsidRDefault="00C476D4">
      <w:pPr>
        <w:rPr>
          <w:sz w:val="28"/>
          <w:szCs w:val="28"/>
        </w:rPr>
      </w:pPr>
      <w:r w:rsidRPr="00076933">
        <w:rPr>
          <w:sz w:val="28"/>
          <w:szCs w:val="28"/>
        </w:rPr>
        <w:t>Barbara.LaWall</w:t>
      </w:r>
      <w:r w:rsidR="000B277A" w:rsidRPr="00076933">
        <w:rPr>
          <w:sz w:val="28"/>
          <w:szCs w:val="28"/>
        </w:rPr>
        <w:t>@pcao.pima.gov</w:t>
      </w:r>
    </w:p>
    <w:p w14:paraId="357EEFB5" w14:textId="77777777" w:rsidR="000B277A" w:rsidRPr="00076933" w:rsidRDefault="000B277A">
      <w:pPr>
        <w:rPr>
          <w:sz w:val="28"/>
          <w:szCs w:val="28"/>
        </w:rPr>
      </w:pPr>
    </w:p>
    <w:p w14:paraId="61BEB2BE" w14:textId="77777777" w:rsidR="000B277A" w:rsidRDefault="000B277A">
      <w:pPr>
        <w:jc w:val="center"/>
        <w:rPr>
          <w:sz w:val="28"/>
          <w:szCs w:val="28"/>
        </w:rPr>
      </w:pPr>
      <w:r>
        <w:rPr>
          <w:sz w:val="28"/>
          <w:szCs w:val="28"/>
        </w:rPr>
        <w:t xml:space="preserve">IN THE </w:t>
      </w:r>
      <w:r w:rsidR="00C476D4">
        <w:rPr>
          <w:sz w:val="28"/>
          <w:szCs w:val="28"/>
        </w:rPr>
        <w:t xml:space="preserve">SUPREME </w:t>
      </w:r>
      <w:r>
        <w:rPr>
          <w:sz w:val="28"/>
          <w:szCs w:val="28"/>
        </w:rPr>
        <w:t>COURT</w:t>
      </w:r>
    </w:p>
    <w:p w14:paraId="6BDC0181" w14:textId="77777777" w:rsidR="000B277A" w:rsidRDefault="000B277A" w:rsidP="00C476D4">
      <w:pPr>
        <w:jc w:val="center"/>
        <w:rPr>
          <w:sz w:val="28"/>
          <w:szCs w:val="28"/>
        </w:rPr>
      </w:pPr>
      <w:r>
        <w:rPr>
          <w:sz w:val="28"/>
          <w:szCs w:val="28"/>
        </w:rPr>
        <w:t>STATE OF ARIZONA</w:t>
      </w:r>
    </w:p>
    <w:p w14:paraId="7232B3F0" w14:textId="77777777" w:rsidR="00CC629F" w:rsidRDefault="00CC629F">
      <w:pPr>
        <w:jc w:val="center"/>
        <w:rPr>
          <w:sz w:val="28"/>
          <w:szCs w:val="28"/>
        </w:rPr>
      </w:pPr>
    </w:p>
    <w:tbl>
      <w:tblPr>
        <w:tblW w:w="0" w:type="auto"/>
        <w:tblInd w:w="115" w:type="dxa"/>
        <w:tblBorders>
          <w:bottom w:val="single" w:sz="12" w:space="0" w:color="auto"/>
          <w:insideV w:val="single" w:sz="12" w:space="0" w:color="auto"/>
        </w:tblBorders>
        <w:tblCellMar>
          <w:top w:w="115" w:type="dxa"/>
          <w:left w:w="115" w:type="dxa"/>
          <w:bottom w:w="115" w:type="dxa"/>
          <w:right w:w="115" w:type="dxa"/>
        </w:tblCellMar>
        <w:tblLook w:val="04A0" w:firstRow="1" w:lastRow="0" w:firstColumn="1" w:lastColumn="0" w:noHBand="0" w:noVBand="1"/>
      </w:tblPr>
      <w:tblGrid>
        <w:gridCol w:w="4627"/>
        <w:gridCol w:w="4618"/>
      </w:tblGrid>
      <w:tr w:rsidR="00CC629F" w14:paraId="529B03C9" w14:textId="77777777" w:rsidTr="00A253AC">
        <w:trPr>
          <w:trHeight w:val="2315"/>
        </w:trPr>
        <w:tc>
          <w:tcPr>
            <w:tcW w:w="4739" w:type="dxa"/>
          </w:tcPr>
          <w:p w14:paraId="1E2DE49E" w14:textId="77777777" w:rsidR="00C476D4" w:rsidRDefault="00C476D4" w:rsidP="00C476D4">
            <w:pPr>
              <w:rPr>
                <w:sz w:val="28"/>
                <w:szCs w:val="28"/>
              </w:rPr>
            </w:pPr>
            <w:r>
              <w:rPr>
                <w:sz w:val="28"/>
                <w:szCs w:val="28"/>
              </w:rPr>
              <w:t>In the Matter of:</w:t>
            </w:r>
          </w:p>
          <w:p w14:paraId="61A84090" w14:textId="77777777" w:rsidR="00C476D4" w:rsidRDefault="00C476D4" w:rsidP="00C476D4">
            <w:pPr>
              <w:rPr>
                <w:sz w:val="28"/>
                <w:szCs w:val="28"/>
              </w:rPr>
            </w:pPr>
          </w:p>
          <w:p w14:paraId="0EC1B2E0" w14:textId="77777777" w:rsidR="00CC629F" w:rsidRPr="00CC629F" w:rsidRDefault="00C476D4" w:rsidP="00C476D4">
            <w:pPr>
              <w:widowControl/>
              <w:rPr>
                <w:sz w:val="28"/>
                <w:szCs w:val="28"/>
              </w:rPr>
            </w:pPr>
            <w:r>
              <w:rPr>
                <w:sz w:val="28"/>
                <w:szCs w:val="28"/>
              </w:rPr>
              <w:t>AMENDMENT OF RULE 404 OF THE ARIZONA RULES OF EVIDENCE</w:t>
            </w:r>
          </w:p>
          <w:p w14:paraId="37F7F7B1" w14:textId="77777777" w:rsidR="00CC629F" w:rsidRDefault="00CC629F" w:rsidP="0093250D"/>
        </w:tc>
        <w:tc>
          <w:tcPr>
            <w:tcW w:w="4736" w:type="dxa"/>
            <w:tcBorders>
              <w:bottom w:val="nil"/>
            </w:tcBorders>
          </w:tcPr>
          <w:p w14:paraId="3EE6239B" w14:textId="4063ED60" w:rsidR="008F1946" w:rsidRDefault="00C476D4" w:rsidP="0093250D">
            <w:pPr>
              <w:rPr>
                <w:b/>
                <w:bCs/>
                <w:sz w:val="28"/>
                <w:szCs w:val="28"/>
              </w:rPr>
            </w:pPr>
            <w:r>
              <w:rPr>
                <w:sz w:val="28"/>
                <w:szCs w:val="28"/>
              </w:rPr>
              <w:t xml:space="preserve">Supreme Court </w:t>
            </w:r>
            <w:r w:rsidR="009005CE">
              <w:rPr>
                <w:sz w:val="28"/>
                <w:szCs w:val="28"/>
              </w:rPr>
              <w:t xml:space="preserve">No. </w:t>
            </w:r>
            <w:r w:rsidR="00195CC7">
              <w:rPr>
                <w:sz w:val="28"/>
                <w:szCs w:val="28"/>
              </w:rPr>
              <w:t>R-20-0023</w:t>
            </w:r>
          </w:p>
          <w:p w14:paraId="1DF0D723" w14:textId="77777777" w:rsidR="009B7F82" w:rsidRDefault="009B7F82" w:rsidP="0093250D">
            <w:pPr>
              <w:rPr>
                <w:b/>
                <w:bCs/>
                <w:sz w:val="28"/>
                <w:szCs w:val="28"/>
              </w:rPr>
            </w:pPr>
          </w:p>
          <w:p w14:paraId="3B7A2DC9" w14:textId="42CB3518" w:rsidR="00CC629F" w:rsidRDefault="00A253AC" w:rsidP="0093250D">
            <w:r>
              <w:rPr>
                <w:b/>
                <w:bCs/>
                <w:sz w:val="28"/>
                <w:szCs w:val="28"/>
              </w:rPr>
              <w:t>RESPON</w:t>
            </w:r>
            <w:r w:rsidR="00D865B6">
              <w:rPr>
                <w:b/>
                <w:bCs/>
                <w:sz w:val="28"/>
                <w:szCs w:val="28"/>
              </w:rPr>
              <w:t>S</w:t>
            </w:r>
            <w:r>
              <w:rPr>
                <w:b/>
                <w:bCs/>
                <w:sz w:val="28"/>
                <w:szCs w:val="28"/>
              </w:rPr>
              <w:t xml:space="preserve">E TO COMMENTS TO </w:t>
            </w:r>
            <w:r w:rsidR="00C476D4">
              <w:rPr>
                <w:b/>
                <w:bCs/>
                <w:sz w:val="28"/>
                <w:szCs w:val="28"/>
              </w:rPr>
              <w:t xml:space="preserve">PETITION TO AMEND RULE 404 OF THE ARIZONA RULES OF EVIDENCE </w:t>
            </w:r>
          </w:p>
          <w:p w14:paraId="593B4A37" w14:textId="77777777" w:rsidR="00CC629F" w:rsidRDefault="00CC629F" w:rsidP="0093250D"/>
        </w:tc>
      </w:tr>
    </w:tbl>
    <w:p w14:paraId="1FED0DC3" w14:textId="77777777" w:rsidR="000B277A" w:rsidRDefault="000B277A">
      <w:pPr>
        <w:jc w:val="both"/>
      </w:pPr>
    </w:p>
    <w:p w14:paraId="6435C037" w14:textId="1FD7EDA2" w:rsidR="00A253AC" w:rsidRPr="00FF6A3B" w:rsidRDefault="00A253AC" w:rsidP="00FF6A3B">
      <w:pPr>
        <w:jc w:val="both"/>
        <w:rPr>
          <w:rFonts w:ascii="Book Antiqua" w:hAnsi="Book Antiqua"/>
          <w:b/>
          <w:bCs/>
          <w:caps/>
          <w:sz w:val="26"/>
          <w:szCs w:val="26"/>
        </w:rPr>
      </w:pPr>
      <w:r w:rsidRPr="00FF6A3B">
        <w:rPr>
          <w:rFonts w:ascii="Book Antiqua" w:hAnsi="Book Antiqua"/>
          <w:b/>
          <w:bCs/>
          <w:caps/>
          <w:sz w:val="26"/>
          <w:szCs w:val="26"/>
        </w:rPr>
        <w:t>Rule 404(b) is insufficient to address the unique difficulties in prosecuting domestic violence in Arizona.</w:t>
      </w:r>
    </w:p>
    <w:p w14:paraId="7D1BD7AB" w14:textId="77777777" w:rsidR="00A253AC" w:rsidRPr="003D65B5" w:rsidRDefault="00A253AC" w:rsidP="00A253AC">
      <w:pPr>
        <w:pStyle w:val="ListParagraph"/>
        <w:spacing w:after="0" w:line="240" w:lineRule="auto"/>
        <w:ind w:left="1080"/>
        <w:jc w:val="both"/>
        <w:rPr>
          <w:rFonts w:ascii="Book Antiqua" w:hAnsi="Book Antiqua"/>
          <w:b/>
          <w:bCs/>
          <w:caps/>
          <w:sz w:val="26"/>
          <w:szCs w:val="26"/>
        </w:rPr>
      </w:pPr>
    </w:p>
    <w:p w14:paraId="302DA539" w14:textId="77777777" w:rsidR="00A253AC" w:rsidRDefault="00A253AC" w:rsidP="00A253AC">
      <w:pPr>
        <w:spacing w:line="480" w:lineRule="auto"/>
        <w:ind w:firstLine="720"/>
        <w:jc w:val="both"/>
        <w:rPr>
          <w:rFonts w:ascii="Book Antiqua" w:hAnsi="Book Antiqua"/>
          <w:sz w:val="26"/>
          <w:szCs w:val="26"/>
        </w:rPr>
      </w:pPr>
      <w:r>
        <w:rPr>
          <w:rFonts w:ascii="Book Antiqua" w:hAnsi="Book Antiqua"/>
          <w:sz w:val="26"/>
          <w:szCs w:val="26"/>
        </w:rPr>
        <w:t>There are unique difficulties in prosecuting domestic violence cases across the nation and in Arizona.  And the current Rules of Evidence, including the current Rule 404(b), do not sufficiently address those issues. Thus, we urge the Court to grant the petition to permit the use of propensity evidence in domestic violence cases.</w:t>
      </w:r>
    </w:p>
    <w:p w14:paraId="622836F9" w14:textId="77777777" w:rsidR="00A253AC" w:rsidRPr="00F15E0B" w:rsidRDefault="00A253AC" w:rsidP="00A253AC">
      <w:pPr>
        <w:pStyle w:val="ListParagraph"/>
        <w:numPr>
          <w:ilvl w:val="0"/>
          <w:numId w:val="2"/>
        </w:numPr>
        <w:spacing w:after="0" w:line="480" w:lineRule="auto"/>
        <w:jc w:val="both"/>
        <w:rPr>
          <w:rFonts w:ascii="Book Antiqua" w:hAnsi="Book Antiqua"/>
          <w:b/>
          <w:bCs/>
          <w:sz w:val="26"/>
          <w:szCs w:val="26"/>
        </w:rPr>
      </w:pPr>
      <w:r w:rsidRPr="00F15E0B">
        <w:rPr>
          <w:rFonts w:ascii="Book Antiqua" w:hAnsi="Book Antiqua"/>
          <w:b/>
          <w:bCs/>
          <w:sz w:val="26"/>
          <w:szCs w:val="26"/>
        </w:rPr>
        <w:lastRenderedPageBreak/>
        <w:t xml:space="preserve">Domestic </w:t>
      </w:r>
      <w:r>
        <w:rPr>
          <w:rFonts w:ascii="Book Antiqua" w:hAnsi="Book Antiqua"/>
          <w:b/>
          <w:bCs/>
          <w:sz w:val="26"/>
          <w:szCs w:val="26"/>
        </w:rPr>
        <w:t>v</w:t>
      </w:r>
      <w:r w:rsidRPr="00F15E0B">
        <w:rPr>
          <w:rFonts w:ascii="Book Antiqua" w:hAnsi="Book Antiqua"/>
          <w:b/>
          <w:bCs/>
          <w:sz w:val="26"/>
          <w:szCs w:val="26"/>
        </w:rPr>
        <w:t xml:space="preserve">iolence </w:t>
      </w:r>
      <w:r>
        <w:rPr>
          <w:rFonts w:ascii="Book Antiqua" w:hAnsi="Book Antiqua"/>
          <w:b/>
          <w:bCs/>
          <w:sz w:val="26"/>
          <w:szCs w:val="26"/>
        </w:rPr>
        <w:t>c</w:t>
      </w:r>
      <w:r w:rsidRPr="00F15E0B">
        <w:rPr>
          <w:rFonts w:ascii="Book Antiqua" w:hAnsi="Book Antiqua"/>
          <w:b/>
          <w:bCs/>
          <w:sz w:val="26"/>
          <w:szCs w:val="26"/>
        </w:rPr>
        <w:t>ases present unique difficulties in prosecution.</w:t>
      </w:r>
    </w:p>
    <w:p w14:paraId="3BD1E24C" w14:textId="77777777" w:rsidR="00A253AC" w:rsidRPr="003D65B5" w:rsidRDefault="00A253AC" w:rsidP="00A253AC">
      <w:pPr>
        <w:spacing w:line="480" w:lineRule="auto"/>
        <w:ind w:firstLine="720"/>
        <w:jc w:val="both"/>
        <w:rPr>
          <w:rFonts w:ascii="Book Antiqua" w:hAnsi="Book Antiqua"/>
          <w:color w:val="000000"/>
          <w:sz w:val="26"/>
          <w:szCs w:val="26"/>
        </w:rPr>
      </w:pPr>
      <w:r w:rsidRPr="003D65B5">
        <w:rPr>
          <w:rFonts w:ascii="Book Antiqua" w:hAnsi="Book Antiqua"/>
          <w:sz w:val="26"/>
          <w:szCs w:val="26"/>
        </w:rPr>
        <w:t>Any prosecutor in Arizona will speak of the problems in prosecuting domestic violence cases in Arizona. For decades</w:t>
      </w:r>
      <w:r>
        <w:rPr>
          <w:rFonts w:ascii="Book Antiqua" w:hAnsi="Book Antiqua"/>
          <w:sz w:val="26"/>
          <w:szCs w:val="26"/>
        </w:rPr>
        <w:t>,</w:t>
      </w:r>
      <w:r w:rsidRPr="003D65B5">
        <w:rPr>
          <w:rFonts w:ascii="Book Antiqua" w:hAnsi="Book Antiqua"/>
          <w:sz w:val="26"/>
          <w:szCs w:val="26"/>
        </w:rPr>
        <w:t xml:space="preserve"> articles and studies </w:t>
      </w:r>
      <w:r>
        <w:rPr>
          <w:rFonts w:ascii="Book Antiqua" w:hAnsi="Book Antiqua"/>
          <w:sz w:val="26"/>
          <w:szCs w:val="26"/>
        </w:rPr>
        <w:t xml:space="preserve">have </w:t>
      </w:r>
      <w:r w:rsidRPr="003D65B5">
        <w:rPr>
          <w:rFonts w:ascii="Book Antiqua" w:hAnsi="Book Antiqua"/>
          <w:sz w:val="26"/>
          <w:szCs w:val="26"/>
        </w:rPr>
        <w:t>repeatedly show</w:t>
      </w:r>
      <w:r>
        <w:rPr>
          <w:rFonts w:ascii="Book Antiqua" w:hAnsi="Book Antiqua"/>
          <w:sz w:val="26"/>
          <w:szCs w:val="26"/>
        </w:rPr>
        <w:t>n</w:t>
      </w:r>
      <w:r w:rsidRPr="003D65B5">
        <w:rPr>
          <w:rFonts w:ascii="Book Antiqua" w:hAnsi="Book Antiqua"/>
          <w:sz w:val="26"/>
          <w:szCs w:val="26"/>
        </w:rPr>
        <w:t xml:space="preserve"> that victims of domestic violence recant, refuse to cooperate, refuse to testify, refuse </w:t>
      </w:r>
      <w:r>
        <w:rPr>
          <w:rFonts w:ascii="Book Antiqua" w:hAnsi="Book Antiqua"/>
          <w:sz w:val="26"/>
          <w:szCs w:val="26"/>
        </w:rPr>
        <w:t xml:space="preserve">to </w:t>
      </w:r>
      <w:r w:rsidRPr="003D65B5">
        <w:rPr>
          <w:rFonts w:ascii="Book Antiqua" w:hAnsi="Book Antiqua"/>
          <w:sz w:val="26"/>
          <w:szCs w:val="26"/>
        </w:rPr>
        <w:t xml:space="preserve">assist in prosecution, refuse to talk about the abuse, refuse to come to court, seek the dismissal of charges, withhold information from police, disclose information late, minimize the abusers involvement, and blame themselves. </w:t>
      </w:r>
      <w:r w:rsidRPr="003D65B5">
        <w:rPr>
          <w:rFonts w:ascii="Book Antiqua" w:hAnsi="Book Antiqua"/>
          <w:i/>
          <w:iCs/>
          <w:sz w:val="26"/>
          <w:szCs w:val="26"/>
        </w:rPr>
        <w:t xml:space="preserve">See </w:t>
      </w:r>
      <w:r w:rsidRPr="00615541">
        <w:rPr>
          <w:rFonts w:ascii="Book Antiqua" w:hAnsi="Book Antiqua"/>
          <w:color w:val="000000"/>
          <w:sz w:val="26"/>
          <w:szCs w:val="26"/>
        </w:rPr>
        <w:t>Andrea M. Kovach, </w:t>
      </w:r>
      <w:r w:rsidRPr="00615541">
        <w:rPr>
          <w:rFonts w:ascii="Book Antiqua" w:hAnsi="Book Antiqua"/>
          <w:i/>
          <w:iCs/>
          <w:color w:val="000000"/>
          <w:sz w:val="26"/>
          <w:szCs w:val="26"/>
          <w:bdr w:val="none" w:sz="0" w:space="0" w:color="auto" w:frame="1"/>
        </w:rPr>
        <w:t>Prosecutorial Use of Other Acts of Domestic Violence for Propensity Purposes: A Brief Look at Its Past, Present, and Future</w:t>
      </w:r>
      <w:r w:rsidRPr="00615541">
        <w:rPr>
          <w:rFonts w:ascii="Book Antiqua" w:hAnsi="Book Antiqua"/>
          <w:color w:val="000000"/>
          <w:sz w:val="26"/>
          <w:szCs w:val="26"/>
        </w:rPr>
        <w:t>, 2003 U. Ill. L. Rev. 1115, 1126 (2003)</w:t>
      </w:r>
      <w:r w:rsidRPr="003D65B5">
        <w:rPr>
          <w:rFonts w:ascii="Book Antiqua" w:hAnsi="Book Antiqua"/>
          <w:color w:val="000000"/>
          <w:sz w:val="26"/>
          <w:szCs w:val="26"/>
        </w:rPr>
        <w:t xml:space="preserve">; </w:t>
      </w:r>
      <w:r w:rsidRPr="006D5E51">
        <w:rPr>
          <w:rFonts w:ascii="Book Antiqua" w:hAnsi="Book Antiqua"/>
          <w:color w:val="000000"/>
          <w:sz w:val="26"/>
          <w:szCs w:val="26"/>
        </w:rPr>
        <w:t>Pamela Vartabedian, </w:t>
      </w:r>
      <w:r w:rsidRPr="006D5E51">
        <w:rPr>
          <w:rFonts w:ascii="Book Antiqua" w:hAnsi="Book Antiqua"/>
          <w:i/>
          <w:iCs/>
          <w:color w:val="000000"/>
          <w:sz w:val="26"/>
          <w:szCs w:val="26"/>
          <w:bdr w:val="none" w:sz="0" w:space="0" w:color="auto" w:frame="1"/>
        </w:rPr>
        <w:t>The Need to Hold Batterers Accountable: Admitting Prior Acts of Abuse in Cases of Domestic Violence</w:t>
      </w:r>
      <w:r w:rsidRPr="006D5E51">
        <w:rPr>
          <w:rFonts w:ascii="Book Antiqua" w:hAnsi="Book Antiqua"/>
          <w:color w:val="000000"/>
          <w:sz w:val="26"/>
          <w:szCs w:val="26"/>
        </w:rPr>
        <w:t>, 47 Santa Clara L. Rev. 157, 160 (2007)</w:t>
      </w:r>
      <w:r w:rsidRPr="003D65B5">
        <w:rPr>
          <w:rFonts w:ascii="Book Antiqua" w:hAnsi="Book Antiqua"/>
          <w:color w:val="000000"/>
          <w:sz w:val="26"/>
          <w:szCs w:val="26"/>
        </w:rPr>
        <w:t>; Jay A. Abarbanel, </w:t>
      </w:r>
      <w:r w:rsidRPr="003D65B5">
        <w:rPr>
          <w:rFonts w:ascii="Book Antiqua" w:hAnsi="Book Antiqua"/>
          <w:i/>
          <w:iCs/>
          <w:color w:val="000000"/>
          <w:sz w:val="26"/>
          <w:szCs w:val="26"/>
          <w:bdr w:val="none" w:sz="0" w:space="0" w:color="auto" w:frame="1"/>
        </w:rPr>
        <w:t>In Light of Crawford v. Washington and the Difficult Nature of Domestic Violence Prosecutions, Maryland Should Adopt Legislation Making Admissible Prior Acts of Domestic Violence in Domestic Violence Prosecutions.</w:t>
      </w:r>
      <w:r w:rsidRPr="003D65B5">
        <w:rPr>
          <w:rFonts w:ascii="Book Antiqua" w:hAnsi="Book Antiqua"/>
          <w:color w:val="000000"/>
          <w:sz w:val="26"/>
          <w:szCs w:val="26"/>
        </w:rPr>
        <w:t xml:space="preserve">, 39 U. </w:t>
      </w:r>
      <w:proofErr w:type="spellStart"/>
      <w:r w:rsidRPr="003D65B5">
        <w:rPr>
          <w:rFonts w:ascii="Book Antiqua" w:hAnsi="Book Antiqua"/>
          <w:color w:val="000000"/>
          <w:sz w:val="26"/>
          <w:szCs w:val="26"/>
        </w:rPr>
        <w:t>Balt</w:t>
      </w:r>
      <w:proofErr w:type="spellEnd"/>
      <w:r w:rsidRPr="003D65B5">
        <w:rPr>
          <w:rFonts w:ascii="Book Antiqua" w:hAnsi="Book Antiqua"/>
          <w:color w:val="000000"/>
          <w:sz w:val="26"/>
          <w:szCs w:val="26"/>
        </w:rPr>
        <w:t>. L. Rev. 467, 472 (2010); Ed Furman, </w:t>
      </w:r>
      <w:r w:rsidRPr="003D65B5">
        <w:rPr>
          <w:rFonts w:ascii="Book Antiqua" w:hAnsi="Book Antiqua"/>
          <w:i/>
          <w:iCs/>
          <w:color w:val="000000"/>
          <w:sz w:val="26"/>
          <w:szCs w:val="26"/>
          <w:bdr w:val="none" w:sz="0" w:space="0" w:color="auto" w:frame="1"/>
        </w:rPr>
        <w:t>Addressing Evidentiary Problems in Prosecuting Domestic Violence Cases Post-Crawford</w:t>
      </w:r>
      <w:r w:rsidRPr="003D65B5">
        <w:rPr>
          <w:rFonts w:ascii="Book Antiqua" w:hAnsi="Book Antiqua"/>
          <w:color w:val="000000"/>
          <w:sz w:val="26"/>
          <w:szCs w:val="26"/>
        </w:rPr>
        <w:t xml:space="preserve">, 25 Temp. Pol. &amp; Civ. </w:t>
      </w:r>
      <w:proofErr w:type="spellStart"/>
      <w:r w:rsidRPr="003D65B5">
        <w:rPr>
          <w:rFonts w:ascii="Book Antiqua" w:hAnsi="Book Antiqua"/>
          <w:color w:val="000000"/>
          <w:sz w:val="26"/>
          <w:szCs w:val="26"/>
        </w:rPr>
        <w:t>Rts</w:t>
      </w:r>
      <w:proofErr w:type="spellEnd"/>
      <w:r w:rsidRPr="003D65B5">
        <w:rPr>
          <w:rFonts w:ascii="Book Antiqua" w:hAnsi="Book Antiqua"/>
          <w:color w:val="000000"/>
          <w:sz w:val="26"/>
          <w:szCs w:val="26"/>
        </w:rPr>
        <w:t xml:space="preserve">. L. </w:t>
      </w:r>
      <w:r w:rsidRPr="003D65B5">
        <w:rPr>
          <w:rFonts w:ascii="Book Antiqua" w:hAnsi="Book Antiqua"/>
          <w:color w:val="000000"/>
          <w:sz w:val="26"/>
          <w:szCs w:val="26"/>
        </w:rPr>
        <w:lastRenderedPageBreak/>
        <w:t xml:space="preserve">Rev. 143, 147 (2016).  </w:t>
      </w:r>
    </w:p>
    <w:p w14:paraId="7DE35067" w14:textId="77777777" w:rsidR="00A253AC" w:rsidRPr="003D65B5" w:rsidRDefault="00A253AC" w:rsidP="00A253AC">
      <w:pPr>
        <w:spacing w:line="480" w:lineRule="auto"/>
        <w:ind w:firstLine="720"/>
        <w:jc w:val="both"/>
        <w:rPr>
          <w:rFonts w:ascii="Book Antiqua" w:hAnsi="Book Antiqua"/>
          <w:color w:val="000000"/>
          <w:sz w:val="26"/>
          <w:szCs w:val="26"/>
        </w:rPr>
      </w:pPr>
      <w:r>
        <w:rPr>
          <w:rFonts w:ascii="Book Antiqua" w:hAnsi="Book Antiqua"/>
          <w:color w:val="000000"/>
          <w:sz w:val="26"/>
          <w:szCs w:val="26"/>
        </w:rPr>
        <w:t>In fact, e</w:t>
      </w:r>
      <w:r w:rsidRPr="003D65B5">
        <w:rPr>
          <w:rFonts w:ascii="Book Antiqua" w:hAnsi="Book Antiqua"/>
          <w:color w:val="000000"/>
          <w:sz w:val="26"/>
          <w:szCs w:val="26"/>
        </w:rPr>
        <w:t xml:space="preserve">vidence suggests that “eighty to ninety percent of domestic violence victims will recant as some point.” Abarbanel, 39 U. </w:t>
      </w:r>
      <w:proofErr w:type="spellStart"/>
      <w:r w:rsidRPr="003D65B5">
        <w:rPr>
          <w:rFonts w:ascii="Book Antiqua" w:hAnsi="Book Antiqua"/>
          <w:color w:val="000000"/>
          <w:sz w:val="26"/>
          <w:szCs w:val="26"/>
        </w:rPr>
        <w:t>Balt</w:t>
      </w:r>
      <w:proofErr w:type="spellEnd"/>
      <w:r w:rsidRPr="003D65B5">
        <w:rPr>
          <w:rFonts w:ascii="Book Antiqua" w:hAnsi="Book Antiqua"/>
          <w:color w:val="000000"/>
          <w:sz w:val="26"/>
          <w:szCs w:val="26"/>
        </w:rPr>
        <w:t xml:space="preserve">. L. Rev. at 472. </w:t>
      </w:r>
      <w:r w:rsidRPr="003D65B5">
        <w:rPr>
          <w:rFonts w:ascii="Book Antiqua" w:hAnsi="Book Antiqua"/>
          <w:sz w:val="26"/>
          <w:szCs w:val="26"/>
        </w:rPr>
        <w:t xml:space="preserve">But prosecutors also face other hurdles including lack of other witnesses, additional documented evidence, and juror biases against domestic violence victims. </w:t>
      </w:r>
      <w:proofErr w:type="spellStart"/>
      <w:r w:rsidRPr="003D65B5">
        <w:rPr>
          <w:rFonts w:ascii="Book Antiqua" w:hAnsi="Book Antiqua"/>
          <w:color w:val="000000"/>
          <w:sz w:val="26"/>
          <w:szCs w:val="26"/>
        </w:rPr>
        <w:t>Linell</w:t>
      </w:r>
      <w:proofErr w:type="spellEnd"/>
      <w:r w:rsidRPr="003D65B5">
        <w:rPr>
          <w:rFonts w:ascii="Book Antiqua" w:hAnsi="Book Antiqua"/>
          <w:color w:val="000000"/>
          <w:sz w:val="26"/>
          <w:szCs w:val="26"/>
        </w:rPr>
        <w:t xml:space="preserve"> A. </w:t>
      </w:r>
      <w:proofErr w:type="spellStart"/>
      <w:r w:rsidRPr="003D65B5">
        <w:rPr>
          <w:rFonts w:ascii="Book Antiqua" w:hAnsi="Book Antiqua"/>
          <w:color w:val="000000"/>
          <w:sz w:val="26"/>
          <w:szCs w:val="26"/>
        </w:rPr>
        <w:t>Letendre</w:t>
      </w:r>
      <w:proofErr w:type="spellEnd"/>
      <w:r w:rsidRPr="003D65B5">
        <w:rPr>
          <w:rFonts w:ascii="Book Antiqua" w:hAnsi="Book Antiqua"/>
          <w:color w:val="000000"/>
          <w:sz w:val="26"/>
          <w:szCs w:val="26"/>
        </w:rPr>
        <w:t>, </w:t>
      </w:r>
      <w:r w:rsidRPr="003D65B5">
        <w:rPr>
          <w:rFonts w:ascii="Book Antiqua" w:hAnsi="Book Antiqua"/>
          <w:i/>
          <w:iCs/>
          <w:color w:val="000000"/>
          <w:sz w:val="26"/>
          <w:szCs w:val="26"/>
          <w:bdr w:val="none" w:sz="0" w:space="0" w:color="auto" w:frame="1"/>
        </w:rPr>
        <w:t>Beating Again and Again and Again: Why Washington Needs A New Rule of Evidence Admitting Prior Acts of Domestic Violence</w:t>
      </w:r>
      <w:r w:rsidRPr="003D65B5">
        <w:rPr>
          <w:rFonts w:ascii="Book Antiqua" w:hAnsi="Book Antiqua"/>
          <w:color w:val="000000"/>
          <w:sz w:val="26"/>
          <w:szCs w:val="26"/>
        </w:rPr>
        <w:t xml:space="preserve">, 75 Wash. L. Rev. 973, 974 (2000). </w:t>
      </w:r>
      <w:r>
        <w:rPr>
          <w:rFonts w:ascii="Book Antiqua" w:hAnsi="Book Antiqua"/>
          <w:color w:val="000000"/>
          <w:sz w:val="26"/>
          <w:szCs w:val="26"/>
        </w:rPr>
        <w:t>S</w:t>
      </w:r>
      <w:r w:rsidRPr="003D65B5">
        <w:rPr>
          <w:rFonts w:ascii="Book Antiqua" w:hAnsi="Book Antiqua"/>
          <w:color w:val="000000"/>
          <w:sz w:val="26"/>
          <w:szCs w:val="26"/>
        </w:rPr>
        <w:t>tudies</w:t>
      </w:r>
      <w:r>
        <w:rPr>
          <w:rFonts w:ascii="Book Antiqua" w:hAnsi="Book Antiqua"/>
          <w:color w:val="000000"/>
          <w:sz w:val="26"/>
          <w:szCs w:val="26"/>
        </w:rPr>
        <w:t xml:space="preserve"> further</w:t>
      </w:r>
      <w:r w:rsidRPr="003D65B5">
        <w:rPr>
          <w:rFonts w:ascii="Book Antiqua" w:hAnsi="Book Antiqua"/>
          <w:color w:val="000000"/>
          <w:sz w:val="26"/>
          <w:szCs w:val="26"/>
        </w:rPr>
        <w:t xml:space="preserve"> show that even if a victim testifies at trial, without evidence of prior abuse jurors “tend to believe the violence did not occur.” </w:t>
      </w:r>
      <w:r w:rsidRPr="003D65B5">
        <w:rPr>
          <w:rFonts w:ascii="Book Antiqua" w:hAnsi="Book Antiqua"/>
          <w:i/>
          <w:iCs/>
          <w:color w:val="000000"/>
          <w:sz w:val="26"/>
          <w:szCs w:val="26"/>
        </w:rPr>
        <w:t>Id</w:t>
      </w:r>
      <w:r w:rsidRPr="003D65B5">
        <w:rPr>
          <w:rFonts w:ascii="Book Antiqua" w:hAnsi="Book Antiqua"/>
          <w:color w:val="000000"/>
          <w:sz w:val="26"/>
          <w:szCs w:val="26"/>
        </w:rPr>
        <w:t xml:space="preserve">. </w:t>
      </w:r>
    </w:p>
    <w:p w14:paraId="1490749C" w14:textId="77777777" w:rsidR="00A253AC" w:rsidRPr="003D65B5" w:rsidRDefault="00A253AC" w:rsidP="00A253AC">
      <w:pPr>
        <w:shd w:val="clear" w:color="auto" w:fill="FFFFFF"/>
        <w:spacing w:line="480" w:lineRule="auto"/>
        <w:ind w:firstLine="720"/>
        <w:jc w:val="both"/>
        <w:textAlignment w:val="baseline"/>
        <w:rPr>
          <w:rFonts w:ascii="Book Antiqua" w:hAnsi="Book Antiqua"/>
          <w:color w:val="000000"/>
          <w:sz w:val="26"/>
          <w:szCs w:val="26"/>
        </w:rPr>
      </w:pPr>
      <w:r>
        <w:rPr>
          <w:rFonts w:ascii="Book Antiqua" w:hAnsi="Book Antiqua"/>
          <w:color w:val="000000"/>
          <w:sz w:val="26"/>
          <w:szCs w:val="26"/>
        </w:rPr>
        <w:t>What is more, t</w:t>
      </w:r>
      <w:r w:rsidRPr="003D65B5">
        <w:rPr>
          <w:rFonts w:ascii="Book Antiqua" w:hAnsi="Book Antiqua"/>
          <w:color w:val="000000"/>
          <w:sz w:val="26"/>
          <w:szCs w:val="26"/>
        </w:rPr>
        <w:t xml:space="preserve">his </w:t>
      </w:r>
      <w:r>
        <w:rPr>
          <w:rFonts w:ascii="Book Antiqua" w:hAnsi="Book Antiqua"/>
          <w:color w:val="000000"/>
          <w:sz w:val="26"/>
          <w:szCs w:val="26"/>
        </w:rPr>
        <w:t xml:space="preserve">reluctant behavior </w:t>
      </w:r>
      <w:r w:rsidRPr="003D65B5">
        <w:rPr>
          <w:rFonts w:ascii="Book Antiqua" w:hAnsi="Book Antiqua"/>
          <w:color w:val="000000"/>
          <w:sz w:val="26"/>
          <w:szCs w:val="26"/>
        </w:rPr>
        <w:t xml:space="preserve">seen in victims </w:t>
      </w:r>
      <w:r>
        <w:rPr>
          <w:rFonts w:ascii="Book Antiqua" w:hAnsi="Book Antiqua"/>
          <w:color w:val="000000"/>
          <w:sz w:val="26"/>
          <w:szCs w:val="26"/>
        </w:rPr>
        <w:t xml:space="preserve">of </w:t>
      </w:r>
      <w:r w:rsidRPr="003D65B5">
        <w:rPr>
          <w:rFonts w:ascii="Book Antiqua" w:hAnsi="Book Antiqua"/>
          <w:color w:val="000000"/>
          <w:sz w:val="26"/>
          <w:szCs w:val="26"/>
        </w:rPr>
        <w:t>domestic violence can be</w:t>
      </w:r>
      <w:r>
        <w:rPr>
          <w:rFonts w:ascii="Book Antiqua" w:hAnsi="Book Antiqua"/>
          <w:color w:val="000000"/>
          <w:sz w:val="26"/>
          <w:szCs w:val="26"/>
        </w:rPr>
        <w:t xml:space="preserve"> directly</w:t>
      </w:r>
      <w:r w:rsidRPr="003D65B5">
        <w:rPr>
          <w:rFonts w:ascii="Book Antiqua" w:hAnsi="Book Antiqua"/>
          <w:color w:val="000000"/>
          <w:sz w:val="26"/>
          <w:szCs w:val="26"/>
        </w:rPr>
        <w:t xml:space="preserve"> traced to “the significant control that the batterer exerts over the victim.” Abarbanel, 39 U. </w:t>
      </w:r>
      <w:proofErr w:type="spellStart"/>
      <w:r w:rsidRPr="003D65B5">
        <w:rPr>
          <w:rFonts w:ascii="Book Antiqua" w:hAnsi="Book Antiqua"/>
          <w:color w:val="000000"/>
          <w:sz w:val="26"/>
          <w:szCs w:val="26"/>
        </w:rPr>
        <w:t>Balt</w:t>
      </w:r>
      <w:proofErr w:type="spellEnd"/>
      <w:r w:rsidRPr="003D65B5">
        <w:rPr>
          <w:rFonts w:ascii="Book Antiqua" w:hAnsi="Book Antiqua"/>
          <w:color w:val="000000"/>
          <w:sz w:val="26"/>
          <w:szCs w:val="26"/>
        </w:rPr>
        <w:t>. L. Rev. at 472. And the “</w:t>
      </w:r>
      <w:r w:rsidRPr="003D65B5">
        <w:rPr>
          <w:rFonts w:ascii="Book Antiqua" w:hAnsi="Book Antiqua"/>
          <w:color w:val="000000"/>
          <w:sz w:val="26"/>
          <w:szCs w:val="26"/>
          <w:bdr w:val="none" w:sz="0" w:space="0" w:color="auto" w:frame="1"/>
          <w:shd w:val="clear" w:color="auto" w:fill="FFFFFF"/>
        </w:rPr>
        <w:t>propensity inference is appropriate precisely because of this ‘system of control.’”</w:t>
      </w:r>
      <w:r w:rsidRPr="003D65B5">
        <w:rPr>
          <w:rFonts w:ascii="Book Antiqua" w:hAnsi="Book Antiqua"/>
          <w:color w:val="000000"/>
          <w:sz w:val="26"/>
          <w:szCs w:val="26"/>
          <w:shd w:val="clear" w:color="auto" w:fill="FFFFFF"/>
        </w:rPr>
        <w:t> </w:t>
      </w:r>
      <w:r w:rsidRPr="003D65B5">
        <w:rPr>
          <w:rFonts w:ascii="Book Antiqua" w:hAnsi="Book Antiqua"/>
          <w:color w:val="000000"/>
          <w:sz w:val="26"/>
          <w:szCs w:val="26"/>
        </w:rPr>
        <w:t xml:space="preserve">Lisa Marie De </w:t>
      </w:r>
      <w:proofErr w:type="spellStart"/>
      <w:r w:rsidRPr="003D65B5">
        <w:rPr>
          <w:rFonts w:ascii="Book Antiqua" w:hAnsi="Book Antiqua"/>
          <w:color w:val="000000"/>
          <w:sz w:val="26"/>
          <w:szCs w:val="26"/>
        </w:rPr>
        <w:t>Sanctis</w:t>
      </w:r>
      <w:proofErr w:type="spellEnd"/>
      <w:r w:rsidRPr="003D65B5">
        <w:rPr>
          <w:rFonts w:ascii="Book Antiqua" w:hAnsi="Book Antiqua"/>
          <w:color w:val="000000"/>
          <w:sz w:val="26"/>
          <w:szCs w:val="26"/>
        </w:rPr>
        <w:t>, </w:t>
      </w:r>
      <w:r w:rsidRPr="003D65B5">
        <w:rPr>
          <w:rFonts w:ascii="Book Antiqua" w:hAnsi="Book Antiqua"/>
          <w:i/>
          <w:iCs/>
          <w:color w:val="000000"/>
          <w:sz w:val="26"/>
          <w:szCs w:val="26"/>
          <w:bdr w:val="none" w:sz="0" w:space="0" w:color="auto" w:frame="1"/>
        </w:rPr>
        <w:t>Bridging the Gap Between the Rules of Evidence and Justice for Victims of Domestic Violence</w:t>
      </w:r>
      <w:r w:rsidRPr="003D65B5">
        <w:rPr>
          <w:rFonts w:ascii="Book Antiqua" w:hAnsi="Book Antiqua"/>
          <w:color w:val="000000"/>
          <w:sz w:val="26"/>
          <w:szCs w:val="26"/>
        </w:rPr>
        <w:t xml:space="preserve">, 8 Yale J.L. &amp; Feminism 359, 388 (1996); </w:t>
      </w:r>
      <w:r w:rsidRPr="003D65B5">
        <w:rPr>
          <w:rFonts w:ascii="Book Antiqua" w:hAnsi="Book Antiqua"/>
          <w:i/>
          <w:iCs/>
          <w:color w:val="000000"/>
          <w:sz w:val="26"/>
          <w:szCs w:val="26"/>
        </w:rPr>
        <w:t>See also</w:t>
      </w:r>
      <w:r w:rsidRPr="003D65B5">
        <w:rPr>
          <w:rFonts w:ascii="Book Antiqua" w:hAnsi="Book Antiqua"/>
          <w:color w:val="000000"/>
          <w:sz w:val="26"/>
          <w:szCs w:val="26"/>
        </w:rPr>
        <w:t xml:space="preserve"> </w:t>
      </w:r>
      <w:proofErr w:type="spellStart"/>
      <w:r w:rsidRPr="003D65B5">
        <w:rPr>
          <w:rFonts w:ascii="Book Antiqua" w:hAnsi="Book Antiqua"/>
          <w:color w:val="000000"/>
          <w:sz w:val="26"/>
          <w:szCs w:val="26"/>
        </w:rPr>
        <w:t>Letendre</w:t>
      </w:r>
      <w:proofErr w:type="spellEnd"/>
      <w:r w:rsidRPr="003D65B5">
        <w:rPr>
          <w:rFonts w:ascii="Book Antiqua" w:hAnsi="Book Antiqua"/>
          <w:color w:val="000000"/>
          <w:sz w:val="26"/>
          <w:szCs w:val="26"/>
        </w:rPr>
        <w:t xml:space="preserve">,  75 Wash. L. Rev. at 998–99 (citing American Medical Association study showing that “47% </w:t>
      </w:r>
      <w:r w:rsidRPr="003D65B5">
        <w:rPr>
          <w:rFonts w:ascii="Book Antiqua" w:hAnsi="Book Antiqua"/>
          <w:color w:val="000000"/>
          <w:sz w:val="26"/>
          <w:szCs w:val="26"/>
        </w:rPr>
        <w:lastRenderedPageBreak/>
        <w:t>of batters who beat their intimate partners do so at least three times a year”)</w:t>
      </w:r>
      <w:r>
        <w:rPr>
          <w:rFonts w:ascii="Book Antiqua" w:hAnsi="Book Antiqua"/>
          <w:color w:val="000000"/>
          <w:sz w:val="26"/>
          <w:szCs w:val="26"/>
        </w:rPr>
        <w:t>.</w:t>
      </w:r>
    </w:p>
    <w:p w14:paraId="04D63B73" w14:textId="77777777" w:rsidR="00A253AC" w:rsidRDefault="00A253AC" w:rsidP="00A253AC">
      <w:pPr>
        <w:pStyle w:val="ListParagraph"/>
        <w:numPr>
          <w:ilvl w:val="0"/>
          <w:numId w:val="2"/>
        </w:numPr>
        <w:shd w:val="clear" w:color="auto" w:fill="FFFFFF"/>
        <w:spacing w:after="0" w:line="240" w:lineRule="auto"/>
        <w:jc w:val="both"/>
        <w:textAlignment w:val="baseline"/>
        <w:rPr>
          <w:rFonts w:ascii="Book Antiqua" w:hAnsi="Book Antiqua"/>
          <w:b/>
          <w:bCs/>
          <w:sz w:val="26"/>
          <w:szCs w:val="26"/>
        </w:rPr>
      </w:pPr>
      <w:r w:rsidRPr="00DC5D0D">
        <w:rPr>
          <w:rFonts w:ascii="Book Antiqua" w:hAnsi="Book Antiqua"/>
          <w:b/>
          <w:bCs/>
          <w:sz w:val="26"/>
          <w:szCs w:val="26"/>
        </w:rPr>
        <w:t xml:space="preserve">Rule 404(b) is insufficient to address the difficulties in prosecuting domestic violence cases. </w:t>
      </w:r>
    </w:p>
    <w:p w14:paraId="29B355CA" w14:textId="77777777" w:rsidR="00A253AC" w:rsidRPr="00DC5D0D" w:rsidRDefault="00A253AC" w:rsidP="00A253AC">
      <w:pPr>
        <w:pStyle w:val="ListParagraph"/>
        <w:shd w:val="clear" w:color="auto" w:fill="FFFFFF"/>
        <w:spacing w:after="0" w:line="240" w:lineRule="auto"/>
        <w:ind w:left="1080"/>
        <w:jc w:val="both"/>
        <w:textAlignment w:val="baseline"/>
        <w:rPr>
          <w:rFonts w:ascii="Book Antiqua" w:hAnsi="Book Antiqua"/>
          <w:b/>
          <w:bCs/>
          <w:sz w:val="26"/>
          <w:szCs w:val="26"/>
        </w:rPr>
      </w:pPr>
    </w:p>
    <w:p w14:paraId="5FEEE3E6" w14:textId="77777777" w:rsidR="00A253AC" w:rsidRDefault="00A253AC" w:rsidP="00A253AC">
      <w:pPr>
        <w:shd w:val="clear" w:color="auto" w:fill="FFFFFF"/>
        <w:spacing w:line="480" w:lineRule="auto"/>
        <w:ind w:firstLine="720"/>
        <w:jc w:val="both"/>
        <w:textAlignment w:val="baseline"/>
        <w:rPr>
          <w:rFonts w:ascii="Book Antiqua" w:hAnsi="Book Antiqua"/>
          <w:color w:val="000000"/>
          <w:sz w:val="26"/>
          <w:szCs w:val="26"/>
        </w:rPr>
      </w:pPr>
      <w:r>
        <w:rPr>
          <w:rFonts w:ascii="Book Antiqua" w:hAnsi="Book Antiqua"/>
          <w:sz w:val="26"/>
          <w:szCs w:val="26"/>
        </w:rPr>
        <w:t>Rule</w:t>
      </w:r>
      <w:r w:rsidRPr="003D65B5">
        <w:rPr>
          <w:rFonts w:ascii="Book Antiqua" w:hAnsi="Book Antiqua"/>
          <w:sz w:val="26"/>
          <w:szCs w:val="26"/>
        </w:rPr>
        <w:t xml:space="preserve"> 404(b) does not address these many </w:t>
      </w:r>
      <w:r>
        <w:rPr>
          <w:rFonts w:ascii="Book Antiqua" w:hAnsi="Book Antiqua"/>
          <w:sz w:val="26"/>
          <w:szCs w:val="26"/>
        </w:rPr>
        <w:t>challenges</w:t>
      </w:r>
      <w:r w:rsidRPr="003D65B5">
        <w:rPr>
          <w:rFonts w:ascii="Book Antiqua" w:hAnsi="Book Antiqua"/>
          <w:sz w:val="26"/>
          <w:szCs w:val="26"/>
        </w:rPr>
        <w:t xml:space="preserve"> associated with prosecuting domestic violence </w:t>
      </w:r>
      <w:r>
        <w:rPr>
          <w:rFonts w:ascii="Book Antiqua" w:hAnsi="Book Antiqua"/>
          <w:sz w:val="26"/>
          <w:szCs w:val="26"/>
        </w:rPr>
        <w:t xml:space="preserve">cases </w:t>
      </w:r>
      <w:r w:rsidRPr="003D65B5">
        <w:rPr>
          <w:rFonts w:ascii="Book Antiqua" w:hAnsi="Book Antiqua"/>
          <w:sz w:val="26"/>
          <w:szCs w:val="26"/>
        </w:rPr>
        <w:t xml:space="preserve">in Arizona. The issue with 404(b) is that prior incidents of domestic violence towards the victim often do not fit within any exception of 404(b). Part of this difficulty arises because acts of domestic violence often “share conceptual similarities but not factual similarities” and are thus not usually admissible under Rule 404(b). </w:t>
      </w:r>
      <w:r w:rsidRPr="003D65B5">
        <w:rPr>
          <w:rStyle w:val="FootnoteReference"/>
          <w:rFonts w:ascii="Book Antiqua" w:hAnsi="Book Antiqua"/>
          <w:sz w:val="26"/>
          <w:szCs w:val="26"/>
        </w:rPr>
        <w:t xml:space="preserve"> </w:t>
      </w:r>
      <w:r w:rsidRPr="003D65B5">
        <w:rPr>
          <w:rFonts w:ascii="Book Antiqua" w:hAnsi="Book Antiqua"/>
          <w:color w:val="000000"/>
          <w:sz w:val="26"/>
          <w:szCs w:val="26"/>
        </w:rPr>
        <w:t>Abarbanel,</w:t>
      </w:r>
      <w:proofErr w:type="gramStart"/>
      <w:r w:rsidRPr="003D65B5">
        <w:rPr>
          <w:rFonts w:ascii="Book Antiqua" w:hAnsi="Book Antiqua"/>
          <w:color w:val="000000"/>
          <w:sz w:val="26"/>
          <w:szCs w:val="26"/>
        </w:rPr>
        <w:t>  39</w:t>
      </w:r>
      <w:proofErr w:type="gramEnd"/>
      <w:r w:rsidRPr="003D65B5">
        <w:rPr>
          <w:rFonts w:ascii="Book Antiqua" w:hAnsi="Book Antiqua"/>
          <w:color w:val="000000"/>
          <w:sz w:val="26"/>
          <w:szCs w:val="26"/>
        </w:rPr>
        <w:t xml:space="preserve"> U. </w:t>
      </w:r>
      <w:proofErr w:type="spellStart"/>
      <w:r w:rsidRPr="003D65B5">
        <w:rPr>
          <w:rFonts w:ascii="Book Antiqua" w:hAnsi="Book Antiqua"/>
          <w:color w:val="000000"/>
          <w:sz w:val="26"/>
          <w:szCs w:val="26"/>
        </w:rPr>
        <w:t>Balt</w:t>
      </w:r>
      <w:proofErr w:type="spellEnd"/>
      <w:r w:rsidRPr="003D65B5">
        <w:rPr>
          <w:rFonts w:ascii="Book Antiqua" w:hAnsi="Book Antiqua"/>
          <w:color w:val="000000"/>
          <w:sz w:val="26"/>
          <w:szCs w:val="26"/>
        </w:rPr>
        <w:t>. L. Rev. at 492.</w:t>
      </w:r>
    </w:p>
    <w:p w14:paraId="6AA9CD43" w14:textId="77777777" w:rsidR="00A253AC" w:rsidRDefault="00A253AC" w:rsidP="00A253AC">
      <w:pPr>
        <w:shd w:val="clear" w:color="auto" w:fill="FFFFFF"/>
        <w:spacing w:line="480" w:lineRule="auto"/>
        <w:ind w:firstLine="720"/>
        <w:jc w:val="both"/>
        <w:textAlignment w:val="baseline"/>
        <w:rPr>
          <w:rFonts w:ascii="Book Antiqua" w:hAnsi="Book Antiqua"/>
          <w:sz w:val="26"/>
          <w:szCs w:val="26"/>
        </w:rPr>
      </w:pPr>
      <w:r w:rsidRPr="003D65B5">
        <w:rPr>
          <w:rFonts w:ascii="Book Antiqua" w:hAnsi="Book Antiqua"/>
          <w:sz w:val="26"/>
          <w:szCs w:val="26"/>
        </w:rPr>
        <w:t xml:space="preserve"> For example, a </w:t>
      </w:r>
      <w:r>
        <w:rPr>
          <w:rFonts w:ascii="Book Antiqua" w:hAnsi="Book Antiqua"/>
          <w:sz w:val="26"/>
          <w:szCs w:val="26"/>
        </w:rPr>
        <w:t>d</w:t>
      </w:r>
      <w:r w:rsidRPr="003D65B5">
        <w:rPr>
          <w:rFonts w:ascii="Book Antiqua" w:hAnsi="Book Antiqua"/>
          <w:sz w:val="26"/>
          <w:szCs w:val="26"/>
        </w:rPr>
        <w:t>efendant on one occasion may break the victim’s apartment window, on another he may threaten</w:t>
      </w:r>
      <w:r>
        <w:rPr>
          <w:rFonts w:ascii="Book Antiqua" w:hAnsi="Book Antiqua"/>
          <w:sz w:val="26"/>
          <w:szCs w:val="26"/>
        </w:rPr>
        <w:t xml:space="preserve"> to harm</w:t>
      </w:r>
      <w:r w:rsidRPr="003D65B5">
        <w:rPr>
          <w:rFonts w:ascii="Book Antiqua" w:hAnsi="Book Antiqua"/>
          <w:sz w:val="26"/>
          <w:szCs w:val="26"/>
        </w:rPr>
        <w:t xml:space="preserve"> the victim’s </w:t>
      </w:r>
      <w:r>
        <w:rPr>
          <w:rFonts w:ascii="Book Antiqua" w:hAnsi="Book Antiqua"/>
          <w:sz w:val="26"/>
          <w:szCs w:val="26"/>
        </w:rPr>
        <w:t>child</w:t>
      </w:r>
      <w:r w:rsidRPr="003D65B5">
        <w:rPr>
          <w:rFonts w:ascii="Book Antiqua" w:hAnsi="Book Antiqua"/>
          <w:sz w:val="26"/>
          <w:szCs w:val="26"/>
        </w:rPr>
        <w:t xml:space="preserve">, and on another he may punch the victim. Months later when he strangles the victim, the jury does not get to hear any of the prior incidents. Even when the victim takes the stand and recants or minimizes, nothing in the current rule allows a prosecutor to discuss these </w:t>
      </w:r>
      <w:r>
        <w:rPr>
          <w:rFonts w:ascii="Book Antiqua" w:hAnsi="Book Antiqua"/>
          <w:sz w:val="26"/>
          <w:szCs w:val="26"/>
        </w:rPr>
        <w:t>prior</w:t>
      </w:r>
      <w:r w:rsidRPr="003D65B5">
        <w:rPr>
          <w:rFonts w:ascii="Book Antiqua" w:hAnsi="Book Antiqua"/>
          <w:sz w:val="26"/>
          <w:szCs w:val="26"/>
        </w:rPr>
        <w:t xml:space="preserve"> acts that certainly would influence the victim’s testimony or show the pattern of power and control that lead to the strangulation. The prior acts do not show Defendant’s intent or motive for the strangulation</w:t>
      </w:r>
      <w:r>
        <w:rPr>
          <w:rFonts w:ascii="Book Antiqua" w:hAnsi="Book Antiqua"/>
          <w:sz w:val="26"/>
          <w:szCs w:val="26"/>
        </w:rPr>
        <w:t>, and i</w:t>
      </w:r>
      <w:r w:rsidRPr="003D65B5">
        <w:rPr>
          <w:rFonts w:ascii="Book Antiqua" w:hAnsi="Book Antiqua"/>
          <w:sz w:val="26"/>
          <w:szCs w:val="26"/>
        </w:rPr>
        <w:t xml:space="preserve">dentity </w:t>
      </w:r>
      <w:r w:rsidRPr="003D65B5">
        <w:rPr>
          <w:rFonts w:ascii="Book Antiqua" w:hAnsi="Book Antiqua"/>
          <w:sz w:val="26"/>
          <w:szCs w:val="26"/>
        </w:rPr>
        <w:lastRenderedPageBreak/>
        <w:t xml:space="preserve">is rarely the issue because the victim knows the abuser. The prior acts do not show a plan, </w:t>
      </w:r>
      <w:r>
        <w:rPr>
          <w:rFonts w:ascii="Book Antiqua" w:hAnsi="Book Antiqua"/>
          <w:sz w:val="26"/>
          <w:szCs w:val="26"/>
        </w:rPr>
        <w:t xml:space="preserve">lack of mistake, </w:t>
      </w:r>
      <w:r w:rsidRPr="003D65B5">
        <w:rPr>
          <w:rFonts w:ascii="Book Antiqua" w:hAnsi="Book Antiqua"/>
          <w:sz w:val="26"/>
          <w:szCs w:val="26"/>
        </w:rPr>
        <w:t>modus operandi, or any other permissible purpose suggested under 404</w:t>
      </w:r>
      <w:r>
        <w:rPr>
          <w:rFonts w:ascii="Book Antiqua" w:hAnsi="Book Antiqua"/>
          <w:sz w:val="26"/>
          <w:szCs w:val="26"/>
        </w:rPr>
        <w:t>(</w:t>
      </w:r>
      <w:r w:rsidRPr="003D65B5">
        <w:rPr>
          <w:rFonts w:ascii="Book Antiqua" w:hAnsi="Book Antiqua"/>
          <w:sz w:val="26"/>
          <w:szCs w:val="26"/>
        </w:rPr>
        <w:t>b</w:t>
      </w:r>
      <w:r>
        <w:rPr>
          <w:rFonts w:ascii="Book Antiqua" w:hAnsi="Book Antiqua"/>
          <w:sz w:val="26"/>
          <w:szCs w:val="26"/>
        </w:rPr>
        <w:t>)</w:t>
      </w:r>
      <w:r w:rsidRPr="003D65B5">
        <w:rPr>
          <w:rFonts w:ascii="Book Antiqua" w:hAnsi="Book Antiqua"/>
          <w:sz w:val="26"/>
          <w:szCs w:val="26"/>
        </w:rPr>
        <w:t xml:space="preserve">. What the prior incidents do show is a pattern of power and control that have influenced the victim—a </w:t>
      </w:r>
      <w:r>
        <w:rPr>
          <w:rFonts w:ascii="Book Antiqua" w:hAnsi="Book Antiqua"/>
          <w:sz w:val="26"/>
          <w:szCs w:val="26"/>
        </w:rPr>
        <w:t>pattern that is documented and recognized by every domestic violence expert.</w:t>
      </w:r>
      <w:r w:rsidRPr="003D65B5">
        <w:rPr>
          <w:rFonts w:ascii="Book Antiqua" w:hAnsi="Book Antiqua"/>
          <w:sz w:val="26"/>
          <w:szCs w:val="26"/>
        </w:rPr>
        <w:t xml:space="preserve"> </w:t>
      </w:r>
    </w:p>
    <w:p w14:paraId="0F3473F6" w14:textId="77777777" w:rsidR="00A253AC" w:rsidRDefault="00A253AC" w:rsidP="00A253AC">
      <w:pPr>
        <w:spacing w:line="480" w:lineRule="auto"/>
        <w:ind w:firstLine="720"/>
        <w:jc w:val="both"/>
        <w:rPr>
          <w:rFonts w:ascii="Book Antiqua" w:hAnsi="Book Antiqua"/>
          <w:color w:val="000000"/>
          <w:sz w:val="26"/>
          <w:szCs w:val="26"/>
        </w:rPr>
      </w:pPr>
      <w:r w:rsidRPr="00B35DB1">
        <w:rPr>
          <w:rFonts w:ascii="Book Antiqua" w:hAnsi="Book Antiqua"/>
          <w:sz w:val="26"/>
          <w:szCs w:val="26"/>
        </w:rPr>
        <w:t>While those prior acts would be highly relevant, very rarely would a judge ever allow that evidence at trial. As one commentator noted, under Rule 404(b) “</w:t>
      </w:r>
      <w:r w:rsidRPr="00B35DB1">
        <w:rPr>
          <w:rFonts w:ascii="Book Antiqua" w:hAnsi="Book Antiqua"/>
          <w:color w:val="000000"/>
          <w:sz w:val="26"/>
          <w:szCs w:val="26"/>
          <w:bdr w:val="none" w:sz="0" w:space="0" w:color="auto" w:frame="1"/>
          <w:shd w:val="clear" w:color="auto" w:fill="FFFFFF"/>
        </w:rPr>
        <w:t xml:space="preserve">the narrow openings through which evidence of prior acts may be admitted […] do not reflect the realities of domestic violence.” </w:t>
      </w:r>
      <w:r w:rsidRPr="00B35DB1">
        <w:rPr>
          <w:rFonts w:ascii="Book Antiqua" w:hAnsi="Book Antiqua"/>
          <w:color w:val="000000"/>
          <w:sz w:val="26"/>
          <w:szCs w:val="26"/>
        </w:rPr>
        <w:t>Pamela Vartabedian, </w:t>
      </w:r>
      <w:r w:rsidRPr="00B35DB1">
        <w:rPr>
          <w:rFonts w:ascii="Book Antiqua" w:hAnsi="Book Antiqua"/>
          <w:i/>
          <w:iCs/>
          <w:color w:val="000000"/>
          <w:sz w:val="26"/>
          <w:szCs w:val="26"/>
          <w:bdr w:val="none" w:sz="0" w:space="0" w:color="auto" w:frame="1"/>
        </w:rPr>
        <w:t>The Need to Hold Batterers Accountable: Admitting Prior Acts of Abuse in Cases of Domestic Violence</w:t>
      </w:r>
      <w:r w:rsidRPr="00B35DB1">
        <w:rPr>
          <w:rFonts w:ascii="Book Antiqua" w:hAnsi="Book Antiqua"/>
          <w:color w:val="000000"/>
          <w:sz w:val="26"/>
          <w:szCs w:val="26"/>
        </w:rPr>
        <w:t xml:space="preserve">, 47 Santa Clara L. Rev. 157, 175–76 (2007) (internal quotations and citations omitted). </w:t>
      </w:r>
    </w:p>
    <w:p w14:paraId="6A515811" w14:textId="77777777" w:rsidR="00A253AC" w:rsidRDefault="00A253AC" w:rsidP="00A253AC">
      <w:pPr>
        <w:spacing w:line="480" w:lineRule="auto"/>
        <w:ind w:firstLine="720"/>
        <w:jc w:val="both"/>
        <w:rPr>
          <w:rFonts w:ascii="Book Antiqua" w:hAnsi="Book Antiqua"/>
          <w:sz w:val="26"/>
          <w:szCs w:val="26"/>
        </w:rPr>
      </w:pPr>
      <w:r w:rsidRPr="00B35DB1">
        <w:rPr>
          <w:rFonts w:ascii="Book Antiqua" w:hAnsi="Book Antiqua"/>
          <w:color w:val="000000"/>
          <w:sz w:val="26"/>
          <w:szCs w:val="26"/>
        </w:rPr>
        <w:t xml:space="preserve">What is needed is a rule akin to Rule 404(c), a rule that allows for propensity evidence in sexual misconduct cases precisely because of the recognized difficulties in prosecuting such cases. </w:t>
      </w:r>
      <w:r w:rsidRPr="00B35DB1">
        <w:rPr>
          <w:rFonts w:ascii="Book Antiqua" w:hAnsi="Book Antiqua"/>
          <w:i/>
          <w:iCs/>
          <w:color w:val="000000"/>
          <w:sz w:val="26"/>
          <w:szCs w:val="26"/>
        </w:rPr>
        <w:t xml:space="preserve">See </w:t>
      </w:r>
      <w:proofErr w:type="spellStart"/>
      <w:r w:rsidRPr="00B35DB1">
        <w:rPr>
          <w:rFonts w:ascii="Book Antiqua" w:hAnsi="Book Antiqua"/>
          <w:color w:val="000000"/>
          <w:sz w:val="26"/>
          <w:szCs w:val="26"/>
        </w:rPr>
        <w:t>Letendre</w:t>
      </w:r>
      <w:proofErr w:type="spellEnd"/>
      <w:r w:rsidRPr="00B35DB1">
        <w:rPr>
          <w:rFonts w:ascii="Book Antiqua" w:hAnsi="Book Antiqua"/>
          <w:color w:val="000000"/>
          <w:sz w:val="26"/>
          <w:szCs w:val="26"/>
        </w:rPr>
        <w:t xml:space="preserve">, </w:t>
      </w:r>
      <w:r w:rsidRPr="00B30BC2">
        <w:rPr>
          <w:rFonts w:ascii="Book Antiqua" w:hAnsi="Book Antiqua"/>
          <w:color w:val="000000"/>
          <w:sz w:val="26"/>
          <w:szCs w:val="26"/>
        </w:rPr>
        <w:t>75 Wash. L. Rev. 973</w:t>
      </w:r>
      <w:r w:rsidRPr="00B35DB1">
        <w:rPr>
          <w:rFonts w:ascii="Book Antiqua" w:hAnsi="Book Antiqua"/>
          <w:color w:val="000000"/>
          <w:sz w:val="26"/>
          <w:szCs w:val="26"/>
        </w:rPr>
        <w:t xml:space="preserve"> at</w:t>
      </w:r>
      <w:r w:rsidRPr="00B30BC2">
        <w:rPr>
          <w:rFonts w:ascii="Book Antiqua" w:hAnsi="Book Antiqua"/>
          <w:color w:val="000000"/>
          <w:sz w:val="26"/>
          <w:szCs w:val="26"/>
        </w:rPr>
        <w:t xml:space="preserve"> 999</w:t>
      </w:r>
      <w:r w:rsidRPr="00B35DB1">
        <w:rPr>
          <w:rFonts w:ascii="Book Antiqua" w:hAnsi="Book Antiqua"/>
          <w:color w:val="000000"/>
          <w:sz w:val="26"/>
          <w:szCs w:val="26"/>
        </w:rPr>
        <w:t xml:space="preserve"> (“L</w:t>
      </w:r>
      <w:r w:rsidRPr="00B35DB1">
        <w:rPr>
          <w:rFonts w:ascii="Book Antiqua" w:hAnsi="Book Antiqua"/>
          <w:color w:val="000000"/>
          <w:sz w:val="26"/>
          <w:szCs w:val="26"/>
          <w:shd w:val="clear" w:color="auto" w:fill="FFFFFF"/>
        </w:rPr>
        <w:t xml:space="preserve">ike victims of sexual assault and child molestation, domestic violence victims are </w:t>
      </w:r>
      <w:r w:rsidRPr="00B35DB1">
        <w:rPr>
          <w:rFonts w:ascii="Book Antiqua" w:hAnsi="Book Antiqua"/>
          <w:color w:val="000000"/>
          <w:sz w:val="26"/>
          <w:szCs w:val="26"/>
          <w:shd w:val="clear" w:color="auto" w:fill="FFFFFF"/>
        </w:rPr>
        <w:lastRenderedPageBreak/>
        <w:t xml:space="preserve">normally the only witnesses to the crime, thereby making the victim's credibility central to a prosecutor's case.”); Furman, </w:t>
      </w:r>
      <w:r w:rsidRPr="00B35DB1">
        <w:rPr>
          <w:rFonts w:ascii="Book Antiqua" w:hAnsi="Book Antiqua"/>
          <w:color w:val="000000"/>
          <w:sz w:val="26"/>
          <w:szCs w:val="26"/>
        </w:rPr>
        <w:t xml:space="preserve">25 Temp. Pol. &amp; Civ. </w:t>
      </w:r>
      <w:proofErr w:type="spellStart"/>
      <w:r w:rsidRPr="00B35DB1">
        <w:rPr>
          <w:rFonts w:ascii="Book Antiqua" w:hAnsi="Book Antiqua"/>
          <w:color w:val="000000"/>
          <w:sz w:val="26"/>
          <w:szCs w:val="26"/>
        </w:rPr>
        <w:t>Rts</w:t>
      </w:r>
      <w:proofErr w:type="spellEnd"/>
      <w:r w:rsidRPr="00B35DB1">
        <w:rPr>
          <w:rFonts w:ascii="Book Antiqua" w:hAnsi="Book Antiqua"/>
          <w:color w:val="000000"/>
          <w:sz w:val="26"/>
          <w:szCs w:val="26"/>
        </w:rPr>
        <w:t>. L. Rev. 143 at 162 (noting that “[e]</w:t>
      </w:r>
      <w:proofErr w:type="spellStart"/>
      <w:r w:rsidRPr="00B35DB1">
        <w:rPr>
          <w:rFonts w:ascii="Book Antiqua" w:hAnsi="Book Antiqua"/>
          <w:color w:val="000000"/>
          <w:sz w:val="26"/>
          <w:szCs w:val="26"/>
          <w:bdr w:val="none" w:sz="0" w:space="0" w:color="auto" w:frame="1"/>
          <w:shd w:val="clear" w:color="auto" w:fill="FFFFFF"/>
        </w:rPr>
        <w:t>xemptions</w:t>
      </w:r>
      <w:proofErr w:type="spellEnd"/>
      <w:r w:rsidRPr="00B35DB1">
        <w:rPr>
          <w:rFonts w:ascii="Book Antiqua" w:hAnsi="Book Antiqua"/>
          <w:color w:val="000000"/>
          <w:sz w:val="26"/>
          <w:szCs w:val="26"/>
          <w:bdr w:val="none" w:sz="0" w:space="0" w:color="auto" w:frame="1"/>
          <w:shd w:val="clear" w:color="auto" w:fill="FFFFFF"/>
        </w:rPr>
        <w:t xml:space="preserve"> for sexual offenses exist because evidence showing propensity has a probative value that sufficiently outweighs any prejudicial effect” and “the recidivism rate of domestic violence batterers is higher than that of other sexual offenders.”)</w:t>
      </w:r>
      <w:r>
        <w:rPr>
          <w:rFonts w:ascii="Book Antiqua" w:hAnsi="Book Antiqua"/>
          <w:color w:val="000000"/>
          <w:sz w:val="26"/>
          <w:szCs w:val="26"/>
          <w:bdr w:val="none" w:sz="0" w:space="0" w:color="auto" w:frame="1"/>
          <w:shd w:val="clear" w:color="auto" w:fill="FFFFFF"/>
        </w:rPr>
        <w:t xml:space="preserve">. </w:t>
      </w:r>
    </w:p>
    <w:p w14:paraId="367EBD24" w14:textId="0A789AB2" w:rsidR="00FF6A3B" w:rsidRDefault="00A253AC" w:rsidP="00FF6A3B">
      <w:pPr>
        <w:spacing w:line="480" w:lineRule="auto"/>
        <w:ind w:firstLine="720"/>
        <w:jc w:val="both"/>
        <w:rPr>
          <w:rFonts w:ascii="Book Antiqua" w:hAnsi="Book Antiqua"/>
          <w:sz w:val="26"/>
          <w:szCs w:val="26"/>
        </w:rPr>
      </w:pPr>
      <w:r w:rsidRPr="00B35DB1">
        <w:rPr>
          <w:rFonts w:ascii="Book Antiqua" w:hAnsi="Book Antiqua"/>
          <w:sz w:val="26"/>
          <w:szCs w:val="26"/>
        </w:rPr>
        <w:t>The Advisory Committee’s comment cites one unpublished</w:t>
      </w:r>
      <w:r w:rsidRPr="003D65B5">
        <w:rPr>
          <w:rFonts w:ascii="Book Antiqua" w:hAnsi="Book Antiqua"/>
          <w:sz w:val="26"/>
          <w:szCs w:val="26"/>
        </w:rPr>
        <w:t xml:space="preserve"> opinion from Maricopa County to imply that courts routinely allow other act evidence in Domestic Violence and suggest</w:t>
      </w:r>
      <w:r>
        <w:rPr>
          <w:rFonts w:ascii="Book Antiqua" w:hAnsi="Book Antiqua"/>
          <w:sz w:val="26"/>
          <w:szCs w:val="26"/>
        </w:rPr>
        <w:t>s</w:t>
      </w:r>
      <w:r w:rsidRPr="003D65B5">
        <w:rPr>
          <w:rFonts w:ascii="Book Antiqua" w:hAnsi="Book Antiqua"/>
          <w:sz w:val="26"/>
          <w:szCs w:val="26"/>
        </w:rPr>
        <w:t xml:space="preserve"> that Rule 404(b) is sufficient. But that is not the case across Arizona. In fact, </w:t>
      </w:r>
      <w:r>
        <w:rPr>
          <w:rFonts w:ascii="Book Antiqua" w:hAnsi="Book Antiqua"/>
          <w:sz w:val="26"/>
          <w:szCs w:val="26"/>
        </w:rPr>
        <w:t>we are</w:t>
      </w:r>
      <w:r w:rsidRPr="003D65B5">
        <w:rPr>
          <w:rFonts w:ascii="Book Antiqua" w:hAnsi="Book Antiqua"/>
          <w:sz w:val="26"/>
          <w:szCs w:val="26"/>
        </w:rPr>
        <w:t xml:space="preserve"> not aware of a single case in Pima County where a judge </w:t>
      </w:r>
      <w:r>
        <w:rPr>
          <w:rFonts w:ascii="Book Antiqua" w:hAnsi="Book Antiqua"/>
          <w:sz w:val="26"/>
          <w:szCs w:val="26"/>
        </w:rPr>
        <w:t xml:space="preserve">has </w:t>
      </w:r>
      <w:r w:rsidRPr="003D65B5">
        <w:rPr>
          <w:rFonts w:ascii="Book Antiqua" w:hAnsi="Book Antiqua"/>
          <w:sz w:val="26"/>
          <w:szCs w:val="26"/>
        </w:rPr>
        <w:t>allowed evidence of prior domestic violence acts under Rule 404(b)</w:t>
      </w:r>
      <w:r>
        <w:rPr>
          <w:rFonts w:ascii="Book Antiqua" w:hAnsi="Book Antiqua"/>
          <w:sz w:val="26"/>
          <w:szCs w:val="26"/>
        </w:rPr>
        <w:t>.</w:t>
      </w:r>
    </w:p>
    <w:p w14:paraId="4FD35F67" w14:textId="77777777" w:rsidR="00FF6A3B" w:rsidRDefault="00FF6A3B" w:rsidP="00FF6A3B">
      <w:pPr>
        <w:spacing w:line="480" w:lineRule="auto"/>
        <w:ind w:firstLine="720"/>
        <w:jc w:val="both"/>
        <w:rPr>
          <w:rFonts w:ascii="Book Antiqua" w:hAnsi="Book Antiqua"/>
          <w:sz w:val="26"/>
          <w:szCs w:val="26"/>
        </w:rPr>
      </w:pPr>
    </w:p>
    <w:p w14:paraId="44A7FD43" w14:textId="1E10ED9E" w:rsidR="00FF6A3B" w:rsidRPr="00FF6A3B" w:rsidRDefault="00FF6A3B" w:rsidP="00FF6A3B">
      <w:pPr>
        <w:spacing w:line="480" w:lineRule="auto"/>
        <w:jc w:val="both"/>
        <w:rPr>
          <w:rFonts w:ascii="Book Antiqua" w:hAnsi="Book Antiqua"/>
          <w:b/>
          <w:bCs/>
          <w:sz w:val="26"/>
          <w:szCs w:val="26"/>
        </w:rPr>
      </w:pPr>
      <w:r w:rsidRPr="00FF6A3B">
        <w:rPr>
          <w:rFonts w:ascii="Book Antiqua" w:hAnsi="Book Antiqua"/>
          <w:b/>
          <w:bCs/>
          <w:sz w:val="26"/>
          <w:szCs w:val="26"/>
        </w:rPr>
        <w:t>CONCLUSION</w:t>
      </w:r>
    </w:p>
    <w:p w14:paraId="6A883B23" w14:textId="77777777" w:rsidR="00A253AC" w:rsidRPr="003D65B5" w:rsidRDefault="00A253AC" w:rsidP="00A253AC">
      <w:pPr>
        <w:spacing w:line="480" w:lineRule="auto"/>
        <w:ind w:firstLine="720"/>
        <w:jc w:val="both"/>
        <w:rPr>
          <w:rFonts w:ascii="Book Antiqua" w:hAnsi="Book Antiqua"/>
          <w:sz w:val="26"/>
          <w:szCs w:val="26"/>
        </w:rPr>
      </w:pPr>
      <w:r>
        <w:rPr>
          <w:rFonts w:ascii="Book Antiqua" w:hAnsi="Book Antiqua"/>
          <w:sz w:val="26"/>
          <w:szCs w:val="26"/>
        </w:rPr>
        <w:t xml:space="preserve">Domestic violence presents many unique challenges and the current Rule 404(b) is insufficient address those challenges. Thus, we urge the Court to grant </w:t>
      </w:r>
      <w:r>
        <w:rPr>
          <w:rFonts w:ascii="Book Antiqua" w:hAnsi="Book Antiqua"/>
          <w:sz w:val="26"/>
          <w:szCs w:val="26"/>
        </w:rPr>
        <w:lastRenderedPageBreak/>
        <w:t>the petition to permit prior acts of domestic violence.</w:t>
      </w:r>
    </w:p>
    <w:p w14:paraId="61F77426" w14:textId="77777777" w:rsidR="008E618D" w:rsidRDefault="008E618D" w:rsidP="000743E2">
      <w:pPr>
        <w:widowControl/>
        <w:spacing w:line="480" w:lineRule="auto"/>
        <w:ind w:firstLine="720"/>
        <w:jc w:val="both"/>
        <w:rPr>
          <w:sz w:val="28"/>
          <w:szCs w:val="28"/>
        </w:rPr>
      </w:pPr>
      <w:r>
        <w:rPr>
          <w:sz w:val="28"/>
          <w:szCs w:val="28"/>
        </w:rPr>
        <w:t xml:space="preserve">RESPECTFULLY SUBMITTED this </w:t>
      </w:r>
      <w:r w:rsidR="00A253AC">
        <w:rPr>
          <w:sz w:val="28"/>
          <w:szCs w:val="28"/>
        </w:rPr>
        <w:t>1st</w:t>
      </w:r>
      <w:r>
        <w:rPr>
          <w:sz w:val="28"/>
          <w:szCs w:val="28"/>
        </w:rPr>
        <w:t xml:space="preserve"> day of J</w:t>
      </w:r>
      <w:r w:rsidR="00A253AC">
        <w:rPr>
          <w:sz w:val="28"/>
          <w:szCs w:val="28"/>
        </w:rPr>
        <w:t>une</w:t>
      </w:r>
      <w:r>
        <w:rPr>
          <w:sz w:val="28"/>
          <w:szCs w:val="28"/>
        </w:rPr>
        <w:t>, 2020.</w:t>
      </w:r>
    </w:p>
    <w:p w14:paraId="599A5CCD" w14:textId="77777777" w:rsidR="008E618D" w:rsidRDefault="008E618D" w:rsidP="008E618D">
      <w:pPr>
        <w:tabs>
          <w:tab w:val="left" w:pos="-1440"/>
        </w:tabs>
        <w:ind w:left="8640" w:hanging="4320"/>
        <w:jc w:val="both"/>
        <w:rPr>
          <w:sz w:val="28"/>
          <w:szCs w:val="28"/>
        </w:rPr>
      </w:pPr>
    </w:p>
    <w:p w14:paraId="11E710E6" w14:textId="1237C23A" w:rsidR="008E618D" w:rsidRPr="0029667F" w:rsidRDefault="008E618D" w:rsidP="008E618D">
      <w:pPr>
        <w:tabs>
          <w:tab w:val="left" w:pos="-1440"/>
        </w:tabs>
        <w:ind w:left="8640" w:hanging="4320"/>
        <w:jc w:val="both"/>
        <w:rPr>
          <w:sz w:val="28"/>
          <w:szCs w:val="28"/>
          <w:u w:val="single"/>
        </w:rPr>
      </w:pPr>
      <w:r w:rsidRPr="0029667F">
        <w:rPr>
          <w:sz w:val="28"/>
          <w:szCs w:val="28"/>
          <w:u w:val="single"/>
        </w:rPr>
        <w:t xml:space="preserve">         </w:t>
      </w:r>
      <w:r w:rsidR="000743E2">
        <w:rPr>
          <w:sz w:val="28"/>
          <w:szCs w:val="28"/>
          <w:u w:val="single"/>
        </w:rPr>
        <w:t xml:space="preserve">     </w:t>
      </w:r>
      <w:r w:rsidRPr="0029667F">
        <w:rPr>
          <w:sz w:val="28"/>
          <w:szCs w:val="28"/>
          <w:u w:val="single"/>
        </w:rPr>
        <w:t xml:space="preserve">   /s/                      </w:t>
      </w:r>
      <w:r w:rsidRPr="0029667F">
        <w:rPr>
          <w:sz w:val="28"/>
          <w:szCs w:val="28"/>
          <w:u w:val="single"/>
        </w:rPr>
        <w:tab/>
      </w:r>
      <w:bookmarkStart w:id="0" w:name="_GoBack"/>
      <w:bookmarkEnd w:id="0"/>
    </w:p>
    <w:p w14:paraId="687FF4A9" w14:textId="77777777" w:rsidR="008E618D" w:rsidRDefault="008E618D" w:rsidP="008E618D">
      <w:pPr>
        <w:ind w:firstLine="4320"/>
        <w:jc w:val="both"/>
        <w:rPr>
          <w:sz w:val="28"/>
          <w:szCs w:val="28"/>
        </w:rPr>
      </w:pPr>
      <w:r>
        <w:rPr>
          <w:sz w:val="28"/>
          <w:szCs w:val="28"/>
        </w:rPr>
        <w:t>BARBARA LAWALL</w:t>
      </w:r>
    </w:p>
    <w:p w14:paraId="0FD9DE93" w14:textId="77777777" w:rsidR="008E618D" w:rsidRDefault="008E618D" w:rsidP="008E618D">
      <w:pPr>
        <w:tabs>
          <w:tab w:val="left" w:pos="-1440"/>
        </w:tabs>
        <w:ind w:left="8640" w:hanging="4320"/>
        <w:jc w:val="both"/>
        <w:rPr>
          <w:sz w:val="28"/>
          <w:szCs w:val="28"/>
        </w:rPr>
      </w:pPr>
      <w:r>
        <w:rPr>
          <w:sz w:val="28"/>
          <w:szCs w:val="28"/>
        </w:rPr>
        <w:t>PIMA COUNTY ATTORNEY</w:t>
      </w:r>
    </w:p>
    <w:p w14:paraId="343C6573" w14:textId="77777777" w:rsidR="008E618D" w:rsidRDefault="008E618D" w:rsidP="008E618D">
      <w:pPr>
        <w:widowControl/>
        <w:spacing w:line="480" w:lineRule="auto"/>
        <w:jc w:val="both"/>
        <w:rPr>
          <w:sz w:val="28"/>
          <w:szCs w:val="28"/>
        </w:rPr>
      </w:pPr>
    </w:p>
    <w:p w14:paraId="0C0CC186" w14:textId="77777777" w:rsidR="008E618D" w:rsidRDefault="008E618D" w:rsidP="008E618D">
      <w:pPr>
        <w:tabs>
          <w:tab w:val="left" w:pos="-1440"/>
        </w:tabs>
        <w:jc w:val="both"/>
        <w:rPr>
          <w:sz w:val="28"/>
          <w:szCs w:val="28"/>
        </w:rPr>
      </w:pPr>
    </w:p>
    <w:p w14:paraId="6068F5DD" w14:textId="77777777" w:rsidR="008E618D" w:rsidRDefault="008E618D" w:rsidP="008E618D">
      <w:pPr>
        <w:tabs>
          <w:tab w:val="left" w:pos="-1440"/>
        </w:tabs>
        <w:jc w:val="both"/>
        <w:rPr>
          <w:sz w:val="28"/>
          <w:szCs w:val="28"/>
        </w:rPr>
      </w:pPr>
    </w:p>
    <w:p w14:paraId="35AD045D" w14:textId="77777777" w:rsidR="008E618D" w:rsidRDefault="008E618D">
      <w:pPr>
        <w:widowControl/>
        <w:autoSpaceDE/>
        <w:autoSpaceDN/>
        <w:adjustRightInd/>
        <w:rPr>
          <w:sz w:val="28"/>
          <w:szCs w:val="28"/>
        </w:rPr>
      </w:pPr>
    </w:p>
    <w:sectPr w:rsidR="008E618D" w:rsidSect="000B277A">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0ADC4" w14:textId="77777777" w:rsidR="000D4EDD" w:rsidRDefault="000D4EDD" w:rsidP="000B277A">
      <w:r>
        <w:separator/>
      </w:r>
    </w:p>
  </w:endnote>
  <w:endnote w:type="continuationSeparator" w:id="0">
    <w:p w14:paraId="11EBD1E9" w14:textId="77777777" w:rsidR="000D4EDD" w:rsidRDefault="000D4EDD" w:rsidP="000B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9522F" w14:textId="77777777" w:rsidR="004B6996" w:rsidRDefault="004B6996">
    <w:pPr>
      <w:spacing w:line="240" w:lineRule="exact"/>
    </w:pPr>
  </w:p>
  <w:p w14:paraId="3FF2AA0B" w14:textId="77777777" w:rsidR="004B6996" w:rsidRDefault="004B6996">
    <w:pPr>
      <w:framePr w:w="9361" w:wrap="notBeside" w:vAnchor="text" w:hAnchor="text" w:x="1" w:y="1"/>
      <w:jc w:val="center"/>
    </w:pPr>
    <w:r>
      <w:fldChar w:fldCharType="begin"/>
    </w:r>
    <w:r>
      <w:instrText xml:space="preserve">PAGE </w:instrText>
    </w:r>
    <w:r>
      <w:fldChar w:fldCharType="separate"/>
    </w:r>
    <w:r w:rsidR="000743E2">
      <w:rPr>
        <w:noProof/>
      </w:rPr>
      <w:t>5</w:t>
    </w:r>
    <w:r>
      <w:fldChar w:fldCharType="end"/>
    </w:r>
  </w:p>
  <w:p w14:paraId="5B724116" w14:textId="77777777" w:rsidR="004B6996" w:rsidRDefault="004B69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5B70" w14:textId="77777777" w:rsidR="000D4EDD" w:rsidRDefault="000D4EDD" w:rsidP="000B277A">
      <w:r>
        <w:separator/>
      </w:r>
    </w:p>
  </w:footnote>
  <w:footnote w:type="continuationSeparator" w:id="0">
    <w:p w14:paraId="208F4515" w14:textId="77777777" w:rsidR="000D4EDD" w:rsidRDefault="000D4EDD" w:rsidP="000B2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CD0B83"/>
    <w:multiLevelType w:val="hybridMultilevel"/>
    <w:tmpl w:val="516044F4"/>
    <w:lvl w:ilvl="0" w:tplc="E8B615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6B567D"/>
    <w:multiLevelType w:val="hybridMultilevel"/>
    <w:tmpl w:val="79E48926"/>
    <w:lvl w:ilvl="0" w:tplc="9EC22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7A"/>
    <w:rsid w:val="00010256"/>
    <w:rsid w:val="00032F2E"/>
    <w:rsid w:val="0006606A"/>
    <w:rsid w:val="000743E2"/>
    <w:rsid w:val="00074B3E"/>
    <w:rsid w:val="00076933"/>
    <w:rsid w:val="000B277A"/>
    <w:rsid w:val="000D4EDD"/>
    <w:rsid w:val="000F0212"/>
    <w:rsid w:val="000F273C"/>
    <w:rsid w:val="00112B7D"/>
    <w:rsid w:val="0012553D"/>
    <w:rsid w:val="001269F1"/>
    <w:rsid w:val="00135B1B"/>
    <w:rsid w:val="00141196"/>
    <w:rsid w:val="00195CC7"/>
    <w:rsid w:val="001B1E44"/>
    <w:rsid w:val="001B47C6"/>
    <w:rsid w:val="00225650"/>
    <w:rsid w:val="002701CD"/>
    <w:rsid w:val="002816A3"/>
    <w:rsid w:val="00283F80"/>
    <w:rsid w:val="00286AB8"/>
    <w:rsid w:val="0029667F"/>
    <w:rsid w:val="002A1A9D"/>
    <w:rsid w:val="002A4DB0"/>
    <w:rsid w:val="002D1286"/>
    <w:rsid w:val="002D2EE6"/>
    <w:rsid w:val="002D3D20"/>
    <w:rsid w:val="002F4E4F"/>
    <w:rsid w:val="003245E7"/>
    <w:rsid w:val="00332ABB"/>
    <w:rsid w:val="0033509A"/>
    <w:rsid w:val="003F6459"/>
    <w:rsid w:val="003F6F3F"/>
    <w:rsid w:val="004622DD"/>
    <w:rsid w:val="004810A0"/>
    <w:rsid w:val="004942F3"/>
    <w:rsid w:val="00497856"/>
    <w:rsid w:val="004A34A5"/>
    <w:rsid w:val="004B663A"/>
    <w:rsid w:val="004B6996"/>
    <w:rsid w:val="004D238E"/>
    <w:rsid w:val="004D3517"/>
    <w:rsid w:val="00565E0D"/>
    <w:rsid w:val="005832FF"/>
    <w:rsid w:val="00593FC3"/>
    <w:rsid w:val="005A04BC"/>
    <w:rsid w:val="005B3A49"/>
    <w:rsid w:val="005C3687"/>
    <w:rsid w:val="005C6C85"/>
    <w:rsid w:val="005F0CA6"/>
    <w:rsid w:val="00630303"/>
    <w:rsid w:val="00630326"/>
    <w:rsid w:val="00657DD0"/>
    <w:rsid w:val="00676BB0"/>
    <w:rsid w:val="00730C14"/>
    <w:rsid w:val="00781055"/>
    <w:rsid w:val="007B5D61"/>
    <w:rsid w:val="007B6F9F"/>
    <w:rsid w:val="007F1D30"/>
    <w:rsid w:val="007F4297"/>
    <w:rsid w:val="00812334"/>
    <w:rsid w:val="008D4045"/>
    <w:rsid w:val="008E618D"/>
    <w:rsid w:val="008F1946"/>
    <w:rsid w:val="008F2770"/>
    <w:rsid w:val="0090036C"/>
    <w:rsid w:val="009005CE"/>
    <w:rsid w:val="00907687"/>
    <w:rsid w:val="0093250D"/>
    <w:rsid w:val="00987942"/>
    <w:rsid w:val="00995C20"/>
    <w:rsid w:val="009B7F82"/>
    <w:rsid w:val="009D6565"/>
    <w:rsid w:val="009E691B"/>
    <w:rsid w:val="009F1441"/>
    <w:rsid w:val="00A253AC"/>
    <w:rsid w:val="00A339EF"/>
    <w:rsid w:val="00A41C9A"/>
    <w:rsid w:val="00A42CF5"/>
    <w:rsid w:val="00A75D84"/>
    <w:rsid w:val="00A96CCA"/>
    <w:rsid w:val="00AB1239"/>
    <w:rsid w:val="00B04322"/>
    <w:rsid w:val="00B22B30"/>
    <w:rsid w:val="00B25B1A"/>
    <w:rsid w:val="00B35EEE"/>
    <w:rsid w:val="00B46C41"/>
    <w:rsid w:val="00BE30F3"/>
    <w:rsid w:val="00C052FC"/>
    <w:rsid w:val="00C058A8"/>
    <w:rsid w:val="00C05AE3"/>
    <w:rsid w:val="00C32C8B"/>
    <w:rsid w:val="00C476D4"/>
    <w:rsid w:val="00C8595A"/>
    <w:rsid w:val="00CC629F"/>
    <w:rsid w:val="00CD2CDE"/>
    <w:rsid w:val="00D10019"/>
    <w:rsid w:val="00D13FA7"/>
    <w:rsid w:val="00D201FC"/>
    <w:rsid w:val="00D865B6"/>
    <w:rsid w:val="00D96F8D"/>
    <w:rsid w:val="00DD5719"/>
    <w:rsid w:val="00DE746C"/>
    <w:rsid w:val="00E00CF0"/>
    <w:rsid w:val="00E56F41"/>
    <w:rsid w:val="00EC3E48"/>
    <w:rsid w:val="00F04ABD"/>
    <w:rsid w:val="00F214FA"/>
    <w:rsid w:val="00F35FC5"/>
    <w:rsid w:val="00F54DFF"/>
    <w:rsid w:val="00F93312"/>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7388F"/>
  <w15:chartTrackingRefBased/>
  <w15:docId w15:val="{0847C24F-D9B1-40B7-AB9A-A0FF5A19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table" w:styleId="TableGrid">
    <w:name w:val="Table Grid"/>
    <w:basedOn w:val="TableNormal"/>
    <w:uiPriority w:val="59"/>
    <w:rsid w:val="00CC629F"/>
    <w:rPr>
      <w:rFonts w:ascii="Times New Roman" w:hAnsi="Times New Roman"/>
    </w:rPr>
    <w:tblPr>
      <w:tblInd w:w="115" w:type="dxa"/>
      <w:tblCellMar>
        <w:top w:w="115" w:type="dxa"/>
        <w:left w:w="115" w:type="dxa"/>
        <w:bottom w:w="115" w:type="dxa"/>
        <w:right w:w="115" w:type="dxa"/>
      </w:tblCellMar>
    </w:tblPr>
  </w:style>
  <w:style w:type="character" w:styleId="Hyperlink">
    <w:name w:val="Hyperlink"/>
    <w:uiPriority w:val="99"/>
    <w:unhideWhenUsed/>
    <w:rsid w:val="009005CE"/>
    <w:rPr>
      <w:color w:val="0563C1"/>
      <w:u w:val="single"/>
    </w:rPr>
  </w:style>
  <w:style w:type="paragraph" w:styleId="BalloonText">
    <w:name w:val="Balloon Text"/>
    <w:basedOn w:val="Normal"/>
    <w:link w:val="BalloonTextChar"/>
    <w:uiPriority w:val="99"/>
    <w:semiHidden/>
    <w:unhideWhenUsed/>
    <w:rsid w:val="00583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2FF"/>
    <w:rPr>
      <w:rFonts w:ascii="Segoe UI" w:hAnsi="Segoe UI" w:cs="Segoe UI"/>
      <w:sz w:val="18"/>
      <w:szCs w:val="18"/>
    </w:rPr>
  </w:style>
  <w:style w:type="paragraph" w:styleId="FootnoteText">
    <w:name w:val="footnote text"/>
    <w:basedOn w:val="Normal"/>
    <w:link w:val="FootnoteTextChar"/>
    <w:uiPriority w:val="99"/>
    <w:semiHidden/>
    <w:unhideWhenUsed/>
    <w:rsid w:val="004A34A5"/>
    <w:rPr>
      <w:sz w:val="20"/>
      <w:szCs w:val="20"/>
    </w:rPr>
  </w:style>
  <w:style w:type="character" w:customStyle="1" w:styleId="FootnoteTextChar">
    <w:name w:val="Footnote Text Char"/>
    <w:basedOn w:val="DefaultParagraphFont"/>
    <w:link w:val="FootnoteText"/>
    <w:uiPriority w:val="99"/>
    <w:semiHidden/>
    <w:rsid w:val="004A34A5"/>
    <w:rPr>
      <w:rFonts w:ascii="Times New Roman" w:hAnsi="Times New Roman"/>
    </w:rPr>
  </w:style>
  <w:style w:type="paragraph" w:styleId="ListParagraph">
    <w:name w:val="List Paragraph"/>
    <w:basedOn w:val="Normal"/>
    <w:uiPriority w:val="34"/>
    <w:qFormat/>
    <w:rsid w:val="00A253A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03352">
      <w:bodyDiv w:val="1"/>
      <w:marLeft w:val="0"/>
      <w:marRight w:val="0"/>
      <w:marTop w:val="0"/>
      <w:marBottom w:val="0"/>
      <w:divBdr>
        <w:top w:val="none" w:sz="0" w:space="0" w:color="auto"/>
        <w:left w:val="none" w:sz="0" w:space="0" w:color="auto"/>
        <w:bottom w:val="none" w:sz="0" w:space="0" w:color="auto"/>
        <w:right w:val="none" w:sz="0" w:space="0" w:color="auto"/>
      </w:divBdr>
    </w:div>
    <w:div w:id="1433433105">
      <w:bodyDiv w:val="1"/>
      <w:marLeft w:val="0"/>
      <w:marRight w:val="0"/>
      <w:marTop w:val="0"/>
      <w:marBottom w:val="0"/>
      <w:divBdr>
        <w:top w:val="none" w:sz="0" w:space="0" w:color="auto"/>
        <w:left w:val="none" w:sz="0" w:space="0" w:color="auto"/>
        <w:bottom w:val="none" w:sz="0" w:space="0" w:color="auto"/>
        <w:right w:val="none" w:sz="0" w:space="0" w:color="auto"/>
      </w:divBdr>
    </w:div>
    <w:div w:id="15926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ACFDCCCFFBF945B1D5DFF6058C00E4" ma:contentTypeVersion="5" ma:contentTypeDescription="Create a new document." ma:contentTypeScope="" ma:versionID="0d4c9e23ef4cd69d74e6b396a953ac4b">
  <xsd:schema xmlns:xsd="http://www.w3.org/2001/XMLSchema" xmlns:xs="http://www.w3.org/2001/XMLSchema" xmlns:p="http://schemas.microsoft.com/office/2006/metadata/properties" xmlns:ns3="49b08668-f40c-4329-8676-381ac20b8765" xmlns:ns4="7e80e902-9ec4-4892-8c52-1f223e21387c" targetNamespace="http://schemas.microsoft.com/office/2006/metadata/properties" ma:root="true" ma:fieldsID="cea17ab382b8bd0b529be1a3bde09e9a" ns3:_="" ns4:_="">
    <xsd:import namespace="49b08668-f40c-4329-8676-381ac20b8765"/>
    <xsd:import namespace="7e80e902-9ec4-4892-8c52-1f223e2138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08668-f40c-4329-8676-381ac20b8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80e902-9ec4-4892-8c52-1f223e2138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0385C-69B4-4E74-B40D-6E37CB049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08668-f40c-4329-8676-381ac20b8765"/>
    <ds:schemaRef ds:uri="7e80e902-9ec4-4892-8c52-1f223e21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D1FEC-EDD1-4051-8714-ED393A737225}">
  <ds:schemaRefs>
    <ds:schemaRef ds:uri="http://schemas.microsoft.com/sharepoint/v3/contenttype/forms"/>
  </ds:schemaRefs>
</ds:datastoreItem>
</file>

<file path=customXml/itemProps3.xml><?xml version="1.0" encoding="utf-8"?>
<ds:datastoreItem xmlns:ds="http://schemas.openxmlformats.org/officeDocument/2006/customXml" ds:itemID="{97F9EBB5-1D47-4C6F-A10E-F58393F28893}">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49b08668-f40c-4329-8676-381ac20b8765"/>
    <ds:schemaRef ds:uri="http://schemas.microsoft.com/office/infopath/2007/PartnerControls"/>
    <ds:schemaRef ds:uri="7e80e902-9ec4-4892-8c52-1f223e21387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3B5C73-9474-4E62-8B14-4502ED3C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1110</Words>
  <Characters>5912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PCAO</Company>
  <LinksUpToDate>false</LinksUpToDate>
  <CharactersWithSpaces>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jlines</dc:creator>
  <cp:keywords/>
  <cp:lastModifiedBy>Jacob Lines</cp:lastModifiedBy>
  <cp:revision>3</cp:revision>
  <cp:lastPrinted>2020-01-09T21:37:00Z</cp:lastPrinted>
  <dcterms:created xsi:type="dcterms:W3CDTF">2020-06-01T17:04:00Z</dcterms:created>
  <dcterms:modified xsi:type="dcterms:W3CDTF">2020-06-01T17:04:00Z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0x01010031ACFDCCCFFBF945B1D5DFF6058C00E4</vt:lpwstr>
  </property>
</Properties>
</file>