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ADA9" w14:textId="77777777" w:rsidR="006B2AFF" w:rsidRPr="00D11965" w:rsidRDefault="006B2AFF" w:rsidP="00426134">
      <w:pPr>
        <w:spacing w:before="240" w:after="60" w:line="259" w:lineRule="auto"/>
        <w:outlineLvl w:val="2"/>
        <w:rPr>
          <w:b/>
          <w:bCs/>
          <w:color w:val="252525"/>
          <w:sz w:val="26"/>
          <w:szCs w:val="26"/>
        </w:rPr>
      </w:pPr>
      <w:bookmarkStart w:id="0" w:name="_Hlk39059462"/>
      <w:r w:rsidRPr="00D11965">
        <w:rPr>
          <w:b/>
          <w:bCs/>
          <w:color w:val="252525"/>
          <w:sz w:val="26"/>
          <w:szCs w:val="26"/>
        </w:rPr>
        <w:t>This version shows the proposed rule with no markup.</w:t>
      </w:r>
    </w:p>
    <w:p w14:paraId="37C24B81" w14:textId="4F7E9714" w:rsidR="00241A25" w:rsidRPr="00241A25" w:rsidRDefault="00241A25" w:rsidP="00426134">
      <w:pPr>
        <w:spacing w:before="240" w:after="60" w:line="259" w:lineRule="auto"/>
        <w:outlineLvl w:val="2"/>
        <w:rPr>
          <w:b/>
          <w:bCs/>
          <w:color w:val="252525"/>
          <w:sz w:val="26"/>
          <w:szCs w:val="26"/>
        </w:rPr>
      </w:pPr>
      <w:r w:rsidRPr="004A481B">
        <w:rPr>
          <w:b/>
          <w:bCs/>
          <w:color w:val="252525"/>
          <w:sz w:val="26"/>
          <w:szCs w:val="26"/>
        </w:rPr>
        <w:t>Rule 17.1.  The Defendant's Plea</w:t>
      </w:r>
      <w:r w:rsidR="00944758">
        <w:rPr>
          <w:b/>
          <w:bCs/>
          <w:color w:val="252525"/>
          <w:sz w:val="26"/>
          <w:szCs w:val="26"/>
        </w:rPr>
        <w:t>.</w:t>
      </w:r>
      <w:r w:rsidR="00944758" w:rsidRPr="00426134">
        <w:rPr>
          <w:bCs/>
          <w:color w:val="252525"/>
          <w:sz w:val="26"/>
          <w:szCs w:val="26"/>
        </w:rPr>
        <w:t xml:space="preserve">  </w:t>
      </w:r>
    </w:p>
    <w:p w14:paraId="33D77712" w14:textId="77777777" w:rsidR="00241A25" w:rsidRPr="00757708" w:rsidRDefault="00241A25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sz w:val="26"/>
          <w:szCs w:val="26"/>
        </w:rPr>
        <w:t>Jurisdiction; Personal Appearance.</w:t>
      </w:r>
      <w:r w:rsidRPr="00757708">
        <w:rPr>
          <w:sz w:val="26"/>
          <w:szCs w:val="26"/>
        </w:rPr>
        <w:t xml:space="preserve"> </w:t>
      </w:r>
      <w:bookmarkStart w:id="1" w:name="_Hlk40965294"/>
      <w:r w:rsidR="00426134">
        <w:rPr>
          <w:sz w:val="26"/>
          <w:szCs w:val="26"/>
        </w:rPr>
        <w:t xml:space="preserve"> </w:t>
      </w:r>
      <w:r w:rsidRPr="00757708">
        <w:rPr>
          <w:sz w:val="26"/>
          <w:szCs w:val="26"/>
        </w:rPr>
        <w:t>[no change]</w:t>
      </w:r>
      <w:bookmarkStart w:id="2" w:name="_GoBack"/>
      <w:bookmarkEnd w:id="1"/>
      <w:bookmarkEnd w:id="2"/>
    </w:p>
    <w:p w14:paraId="6BFFB3E5" w14:textId="77777777" w:rsidR="00241A25" w:rsidRPr="00757708" w:rsidRDefault="00241A25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sz w:val="26"/>
          <w:szCs w:val="26"/>
        </w:rPr>
        <w:t>Voluntary and Intelligent Plea.</w:t>
      </w:r>
      <w:r w:rsidRPr="00757708">
        <w:rPr>
          <w:sz w:val="26"/>
          <w:szCs w:val="26"/>
        </w:rPr>
        <w:t xml:space="preserve"> </w:t>
      </w:r>
      <w:r w:rsidR="00426134">
        <w:rPr>
          <w:sz w:val="26"/>
          <w:szCs w:val="26"/>
        </w:rPr>
        <w:t xml:space="preserve"> </w:t>
      </w:r>
      <w:r w:rsidRPr="00757708">
        <w:rPr>
          <w:sz w:val="26"/>
          <w:szCs w:val="26"/>
        </w:rPr>
        <w:t>[no change]</w:t>
      </w:r>
    </w:p>
    <w:p w14:paraId="4BA54789" w14:textId="77777777" w:rsidR="00241A25" w:rsidRPr="00757708" w:rsidRDefault="00241A25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sz w:val="26"/>
          <w:szCs w:val="26"/>
        </w:rPr>
        <w:t>No Contest Plea.</w:t>
      </w:r>
      <w:r w:rsidRPr="00757708">
        <w:rPr>
          <w:sz w:val="26"/>
          <w:szCs w:val="26"/>
        </w:rPr>
        <w:t xml:space="preserve">  [no change]</w:t>
      </w:r>
    </w:p>
    <w:p w14:paraId="1EB6299D" w14:textId="77777777" w:rsidR="00241A25" w:rsidRPr="00757708" w:rsidRDefault="00241A25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sz w:val="26"/>
          <w:szCs w:val="26"/>
        </w:rPr>
        <w:t>Record of a Plea.</w:t>
      </w:r>
      <w:r w:rsidRPr="00757708">
        <w:rPr>
          <w:sz w:val="26"/>
          <w:szCs w:val="26"/>
        </w:rPr>
        <w:t xml:space="preserve"> </w:t>
      </w:r>
      <w:r w:rsidR="00426134">
        <w:rPr>
          <w:sz w:val="26"/>
          <w:szCs w:val="26"/>
        </w:rPr>
        <w:t xml:space="preserve"> </w:t>
      </w:r>
      <w:r w:rsidRPr="00757708">
        <w:rPr>
          <w:sz w:val="26"/>
          <w:szCs w:val="26"/>
        </w:rPr>
        <w:t>[no change]</w:t>
      </w:r>
    </w:p>
    <w:p w14:paraId="4D673384" w14:textId="77777777" w:rsidR="00757708" w:rsidRPr="00757708" w:rsidRDefault="00241A25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sz w:val="26"/>
          <w:szCs w:val="26"/>
        </w:rPr>
        <w:t>Waiver of Appeal.</w:t>
      </w:r>
      <w:r w:rsidRPr="00757708">
        <w:rPr>
          <w:sz w:val="26"/>
          <w:szCs w:val="26"/>
        </w:rPr>
        <w:t xml:space="preserve"> </w:t>
      </w:r>
      <w:r w:rsidR="00426134">
        <w:rPr>
          <w:sz w:val="26"/>
          <w:szCs w:val="26"/>
        </w:rPr>
        <w:t xml:space="preserve"> </w:t>
      </w:r>
      <w:r w:rsidRPr="00757708">
        <w:rPr>
          <w:sz w:val="26"/>
          <w:szCs w:val="26"/>
        </w:rPr>
        <w:t>[no change]</w:t>
      </w:r>
    </w:p>
    <w:p w14:paraId="0B3033BC" w14:textId="77777777" w:rsidR="00FF2F42" w:rsidRPr="00757708" w:rsidRDefault="00FF2F42" w:rsidP="00426134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 w:val="0"/>
        <w:rPr>
          <w:sz w:val="26"/>
          <w:szCs w:val="26"/>
        </w:rPr>
      </w:pPr>
      <w:r w:rsidRPr="00757708">
        <w:rPr>
          <w:b/>
          <w:bCs/>
          <w:sz w:val="26"/>
          <w:szCs w:val="26"/>
        </w:rPr>
        <w:t>Limited Jurisdiction Court Alternatives for Entering a Plea.</w:t>
      </w:r>
      <w:r w:rsidRPr="00757708">
        <w:rPr>
          <w:bCs/>
          <w:sz w:val="26"/>
          <w:szCs w:val="26"/>
        </w:rPr>
        <w:t xml:space="preserve">  The provisions of Rule 26.9, which require a defendant to be present at the time of sentencing, are met by the requirements of this section.</w:t>
      </w:r>
    </w:p>
    <w:bookmarkEnd w:id="0"/>
    <w:p w14:paraId="533D7289" w14:textId="77777777" w:rsidR="00FF2F42" w:rsidRPr="008742AF" w:rsidRDefault="00FF2F42" w:rsidP="00426134">
      <w:pPr>
        <w:numPr>
          <w:ilvl w:val="1"/>
          <w:numId w:val="1"/>
        </w:numPr>
        <w:spacing w:after="160" w:line="259" w:lineRule="auto"/>
        <w:rPr>
          <w:rFonts w:eastAsia="Calibri"/>
          <w:b/>
          <w:sz w:val="26"/>
          <w:szCs w:val="26"/>
        </w:rPr>
      </w:pPr>
      <w:r w:rsidRPr="008742AF">
        <w:rPr>
          <w:b/>
          <w:i/>
          <w:iCs/>
          <w:sz w:val="26"/>
          <w:szCs w:val="26"/>
        </w:rPr>
        <w:t>Telephonic Pleas.</w:t>
      </w:r>
      <w:r w:rsidR="00426134">
        <w:rPr>
          <w:iCs/>
          <w:sz w:val="26"/>
          <w:szCs w:val="26"/>
        </w:rPr>
        <w:t xml:space="preserve">  </w:t>
      </w:r>
      <w:r w:rsidR="00820F77" w:rsidRPr="008742AF">
        <w:rPr>
          <w:iCs/>
          <w:sz w:val="26"/>
          <w:szCs w:val="26"/>
        </w:rPr>
        <w:t xml:space="preserve">“Telephonic” includes </w:t>
      </w:r>
      <w:r w:rsidR="00831C50">
        <w:rPr>
          <w:iCs/>
          <w:sz w:val="26"/>
          <w:szCs w:val="26"/>
        </w:rPr>
        <w:t xml:space="preserve">voice only communications between the court and the parties, </w:t>
      </w:r>
      <w:r w:rsidR="00903D39">
        <w:rPr>
          <w:iCs/>
          <w:sz w:val="26"/>
          <w:szCs w:val="26"/>
        </w:rPr>
        <w:t xml:space="preserve">and </w:t>
      </w:r>
      <w:r w:rsidR="00820F77" w:rsidRPr="008742AF">
        <w:rPr>
          <w:iCs/>
          <w:sz w:val="26"/>
          <w:szCs w:val="26"/>
        </w:rPr>
        <w:t>a</w:t>
      </w:r>
      <w:r w:rsidR="00F868F6" w:rsidRPr="008742AF">
        <w:rPr>
          <w:iCs/>
          <w:sz w:val="26"/>
          <w:szCs w:val="26"/>
        </w:rPr>
        <w:t xml:space="preserve">n application that permits </w:t>
      </w:r>
      <w:r w:rsidR="00831C50">
        <w:rPr>
          <w:iCs/>
          <w:sz w:val="26"/>
          <w:szCs w:val="26"/>
        </w:rPr>
        <w:t>video in addition to</w:t>
      </w:r>
      <w:r w:rsidR="00F868F6" w:rsidRPr="008742AF">
        <w:rPr>
          <w:iCs/>
          <w:sz w:val="26"/>
          <w:szCs w:val="26"/>
        </w:rPr>
        <w:t xml:space="preserve"> voice communications.</w:t>
      </w:r>
      <w:r w:rsidR="00426134">
        <w:rPr>
          <w:iCs/>
          <w:sz w:val="26"/>
          <w:szCs w:val="26"/>
        </w:rPr>
        <w:t xml:space="preserve">  </w:t>
      </w:r>
      <w:r w:rsidR="00396BD1" w:rsidRPr="008742AF">
        <w:rPr>
          <w:iCs/>
          <w:sz w:val="26"/>
          <w:szCs w:val="26"/>
        </w:rPr>
        <w:t xml:space="preserve">The provisions </w:t>
      </w:r>
      <w:r w:rsidR="00CC0208" w:rsidRPr="008742AF">
        <w:rPr>
          <w:iCs/>
          <w:sz w:val="26"/>
          <w:szCs w:val="26"/>
        </w:rPr>
        <w:t xml:space="preserve">in this subpart </w:t>
      </w:r>
      <w:r w:rsidR="00396BD1" w:rsidRPr="008742AF">
        <w:rPr>
          <w:iCs/>
          <w:sz w:val="26"/>
          <w:szCs w:val="26"/>
        </w:rPr>
        <w:t>concerning telephonic pleas also apply to pleas submitted through an online dispute resolution (“ODR”) system.</w:t>
      </w:r>
    </w:p>
    <w:p w14:paraId="775FD74B" w14:textId="77777777" w:rsidR="00853BFC" w:rsidRPr="008742AF" w:rsidRDefault="004A6F0F" w:rsidP="00426134">
      <w:pPr>
        <w:numPr>
          <w:ilvl w:val="2"/>
          <w:numId w:val="1"/>
        </w:numPr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Discretionary</w:t>
      </w:r>
      <w:r w:rsidR="00FF2F42" w:rsidRPr="008742AF">
        <w:rPr>
          <w:i/>
          <w:sz w:val="26"/>
          <w:szCs w:val="26"/>
        </w:rPr>
        <w:t>.</w:t>
      </w:r>
      <w:r w:rsidR="00FF2F42" w:rsidRPr="008742AF">
        <w:rPr>
          <w:sz w:val="26"/>
          <w:szCs w:val="26"/>
        </w:rPr>
        <w:t xml:space="preserve">  A limited jurisdiction court has discretion to accept a telephonic plea of guilty or no contest to an</w:t>
      </w:r>
      <w:r w:rsidR="003D5756" w:rsidRPr="008742AF">
        <w:rPr>
          <w:sz w:val="26"/>
          <w:szCs w:val="26"/>
        </w:rPr>
        <w:t>y misdemeanor</w:t>
      </w:r>
      <w:r w:rsidR="00FF2F42" w:rsidRPr="008742AF">
        <w:rPr>
          <w:sz w:val="26"/>
          <w:szCs w:val="26"/>
        </w:rPr>
        <w:t xml:space="preserve"> offense</w:t>
      </w:r>
      <w:r w:rsidR="003D5756" w:rsidRPr="008742AF">
        <w:rPr>
          <w:sz w:val="26"/>
          <w:szCs w:val="26"/>
        </w:rPr>
        <w:t>.</w:t>
      </w:r>
    </w:p>
    <w:p w14:paraId="32D35D2C" w14:textId="77777777" w:rsidR="00FF2F42" w:rsidRPr="008742AF" w:rsidRDefault="00FF2F42" w:rsidP="00426134">
      <w:pPr>
        <w:numPr>
          <w:ilvl w:val="2"/>
          <w:numId w:val="1"/>
        </w:numPr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Procedure.</w:t>
      </w:r>
      <w:r w:rsidRPr="008742AF">
        <w:rPr>
          <w:sz w:val="26"/>
          <w:szCs w:val="26"/>
        </w:rPr>
        <w:t xml:space="preserve">  The defendant must submit the plea in writing</w:t>
      </w:r>
      <w:r w:rsidR="00F868F6" w:rsidRPr="008742AF">
        <w:rPr>
          <w:sz w:val="26"/>
          <w:szCs w:val="26"/>
        </w:rPr>
        <w:t xml:space="preserve"> to the court, and the writing must be</w:t>
      </w:r>
      <w:r w:rsidRPr="008742AF">
        <w:rPr>
          <w:sz w:val="26"/>
          <w:szCs w:val="26"/>
        </w:rPr>
        <w:t xml:space="preserve"> substantially in the form set forth in Rule 41, Form 28.  If authorized by the court, the defendant may submit plea documents through an online dispute resolution system</w:t>
      </w:r>
      <w:r w:rsidR="00F5425F" w:rsidRPr="008742AF">
        <w:rPr>
          <w:sz w:val="26"/>
          <w:szCs w:val="26"/>
        </w:rPr>
        <w:t xml:space="preserve">, and Form 28 may be </w:t>
      </w:r>
      <w:r w:rsidR="00396BD1" w:rsidRPr="008742AF">
        <w:rPr>
          <w:sz w:val="26"/>
          <w:szCs w:val="26"/>
        </w:rPr>
        <w:t xml:space="preserve">used </w:t>
      </w:r>
      <w:r w:rsidR="00F5425F" w:rsidRPr="008742AF">
        <w:rPr>
          <w:sz w:val="26"/>
          <w:szCs w:val="26"/>
        </w:rPr>
        <w:t>for that process</w:t>
      </w:r>
      <w:r w:rsidRPr="008742AF">
        <w:rPr>
          <w:sz w:val="26"/>
          <w:szCs w:val="26"/>
        </w:rPr>
        <w:t>.  The documents the defendant submits for a telephonic plea</w:t>
      </w:r>
      <w:r w:rsidR="008742AF">
        <w:rPr>
          <w:sz w:val="26"/>
          <w:szCs w:val="26"/>
        </w:rPr>
        <w:t xml:space="preserve"> must include</w:t>
      </w:r>
      <w:r w:rsidRPr="008742AF">
        <w:rPr>
          <w:sz w:val="26"/>
          <w:szCs w:val="26"/>
        </w:rPr>
        <w:t>:</w:t>
      </w:r>
    </w:p>
    <w:p w14:paraId="71AA1D73" w14:textId="77777777" w:rsidR="00FF2F42" w:rsidRPr="008742AF" w:rsidRDefault="00FF2F42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>a statement by the defendant that the defendant has read and understands the information in the form, waives applicable constitutional rights for a plea, and enters a plea of guilty or no contest to each of the offenses in the complaint</w:t>
      </w:r>
      <w:r w:rsidR="00396BD1" w:rsidRPr="008742AF">
        <w:rPr>
          <w:sz w:val="26"/>
          <w:szCs w:val="26"/>
        </w:rPr>
        <w:t xml:space="preserve"> or to</w:t>
      </w:r>
      <w:r w:rsidR="00820F77" w:rsidRPr="008742AF">
        <w:rPr>
          <w:sz w:val="26"/>
          <w:szCs w:val="26"/>
        </w:rPr>
        <w:t xml:space="preserve"> the offense</w:t>
      </w:r>
      <w:r w:rsidR="00F868F6" w:rsidRPr="008742AF">
        <w:rPr>
          <w:sz w:val="26"/>
          <w:szCs w:val="26"/>
        </w:rPr>
        <w:t xml:space="preserve"> or offenses</w:t>
      </w:r>
      <w:r w:rsidR="00820F77" w:rsidRPr="008742AF">
        <w:rPr>
          <w:sz w:val="26"/>
          <w:szCs w:val="26"/>
        </w:rPr>
        <w:t xml:space="preserve"> described in a written plea agreement</w:t>
      </w:r>
      <w:r w:rsidRPr="008742AF">
        <w:rPr>
          <w:sz w:val="26"/>
          <w:szCs w:val="26"/>
        </w:rPr>
        <w:t>;</w:t>
      </w:r>
    </w:p>
    <w:p w14:paraId="2638B506" w14:textId="77777777" w:rsidR="00820F77" w:rsidRDefault="00CC0208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rPr>
          <w:rFonts w:eastAsia="Calibri"/>
          <w:sz w:val="26"/>
          <w:szCs w:val="26"/>
        </w:rPr>
      </w:pPr>
      <w:bookmarkStart w:id="3" w:name="_Hlk40275359"/>
      <w:bookmarkStart w:id="4" w:name="_Hlk40274657"/>
      <w:r w:rsidRPr="008742AF">
        <w:rPr>
          <w:rFonts w:eastAsia="Calibri"/>
          <w:sz w:val="26"/>
          <w:szCs w:val="26"/>
        </w:rPr>
        <w:t xml:space="preserve">a legible photocopy of the defendant’s </w:t>
      </w:r>
      <w:r w:rsidR="008742AF" w:rsidRPr="008742AF">
        <w:rPr>
          <w:rFonts w:eastAsia="Calibri"/>
          <w:sz w:val="26"/>
          <w:szCs w:val="26"/>
        </w:rPr>
        <w:t>driver’s</w:t>
      </w:r>
      <w:r w:rsidRPr="008742AF">
        <w:rPr>
          <w:rFonts w:eastAsia="Calibri"/>
          <w:sz w:val="26"/>
          <w:szCs w:val="26"/>
        </w:rPr>
        <w:t xml:space="preserve"> license or other government-issued photo identification that contains the defendant’s name and birth date;</w:t>
      </w:r>
      <w:r w:rsidR="008742AF">
        <w:rPr>
          <w:rFonts w:eastAsia="Calibri"/>
          <w:sz w:val="26"/>
          <w:szCs w:val="26"/>
        </w:rPr>
        <w:t xml:space="preserve"> </w:t>
      </w:r>
      <w:bookmarkEnd w:id="3"/>
      <w:r w:rsidR="008742AF">
        <w:rPr>
          <w:rFonts w:eastAsia="Calibri"/>
          <w:sz w:val="26"/>
          <w:szCs w:val="26"/>
        </w:rPr>
        <w:t>and</w:t>
      </w:r>
    </w:p>
    <w:bookmarkEnd w:id="4"/>
    <w:p w14:paraId="68855E8D" w14:textId="77777777" w:rsidR="008742AF" w:rsidRPr="008742AF" w:rsidRDefault="000F5D53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ind w:left="1512" w:hanging="432"/>
        <w:rPr>
          <w:rFonts w:eastAsia="Calibri"/>
          <w:sz w:val="26"/>
          <w:szCs w:val="26"/>
        </w:rPr>
      </w:pPr>
      <w:r>
        <w:rPr>
          <w:sz w:val="26"/>
          <w:szCs w:val="26"/>
        </w:rPr>
        <w:t>a</w:t>
      </w:r>
      <w:r w:rsidR="008742AF" w:rsidRPr="008742AF">
        <w:rPr>
          <w:sz w:val="26"/>
          <w:szCs w:val="26"/>
        </w:rPr>
        <w:t>ny other forms the court or the parties deem necessary for completing a plea under the circumstances of the case</w:t>
      </w:r>
      <w:r w:rsidR="008742AF" w:rsidRPr="008742AF">
        <w:rPr>
          <w:rFonts w:eastAsia="Calibri"/>
          <w:sz w:val="26"/>
          <w:szCs w:val="26"/>
        </w:rPr>
        <w:t>.</w:t>
      </w:r>
    </w:p>
    <w:p w14:paraId="5F8929FA" w14:textId="77777777" w:rsidR="00903D39" w:rsidRPr="00903D39" w:rsidRDefault="008742AF" w:rsidP="00426134">
      <w:pPr>
        <w:pStyle w:val="ListParagraph"/>
        <w:keepNext/>
        <w:numPr>
          <w:ilvl w:val="2"/>
          <w:numId w:val="1"/>
        </w:numPr>
        <w:spacing w:after="160" w:line="259" w:lineRule="auto"/>
        <w:contextualSpacing w:val="0"/>
        <w:rPr>
          <w:rFonts w:eastAsia="Calibri"/>
          <w:sz w:val="26"/>
          <w:szCs w:val="26"/>
        </w:rPr>
      </w:pPr>
      <w:bookmarkStart w:id="5" w:name="_Hlk40274718"/>
      <w:r>
        <w:rPr>
          <w:i/>
          <w:sz w:val="26"/>
          <w:szCs w:val="26"/>
        </w:rPr>
        <w:lastRenderedPageBreak/>
        <w:t>Fingerprint.</w:t>
      </w:r>
    </w:p>
    <w:p w14:paraId="2C1C4519" w14:textId="77777777" w:rsidR="00903D39" w:rsidRPr="001702F8" w:rsidRDefault="008742AF" w:rsidP="00426134">
      <w:pPr>
        <w:pStyle w:val="ListParagraph"/>
        <w:numPr>
          <w:ilvl w:val="3"/>
          <w:numId w:val="1"/>
        </w:numPr>
        <w:tabs>
          <w:tab w:val="left" w:pos="1166"/>
        </w:tabs>
        <w:spacing w:after="160" w:line="259" w:lineRule="auto"/>
        <w:contextualSpacing w:val="0"/>
        <w:rPr>
          <w:rFonts w:eastAsia="Calibri"/>
          <w:sz w:val="26"/>
          <w:szCs w:val="26"/>
        </w:rPr>
      </w:pPr>
      <w:r w:rsidRPr="001702F8">
        <w:rPr>
          <w:sz w:val="26"/>
          <w:szCs w:val="26"/>
        </w:rPr>
        <w:t>I</w:t>
      </w:r>
      <w:r w:rsidR="00853BFC" w:rsidRPr="001702F8">
        <w:rPr>
          <w:sz w:val="26"/>
          <w:szCs w:val="26"/>
        </w:rPr>
        <w:t>f the defendant is entering a plea to an offense described in A.R.S. § 13-607(A),</w:t>
      </w:r>
      <w:r w:rsidRPr="001702F8">
        <w:rPr>
          <w:sz w:val="26"/>
          <w:szCs w:val="26"/>
        </w:rPr>
        <w:t xml:space="preserve"> Form 28 must</w:t>
      </w:r>
      <w:r w:rsidR="00A37609" w:rsidRPr="001702F8">
        <w:rPr>
          <w:sz w:val="26"/>
          <w:szCs w:val="26"/>
        </w:rPr>
        <w:t xml:space="preserve"> also</w:t>
      </w:r>
      <w:r w:rsidRPr="001702F8">
        <w:rPr>
          <w:sz w:val="26"/>
          <w:szCs w:val="26"/>
        </w:rPr>
        <w:t xml:space="preserve"> </w:t>
      </w:r>
      <w:r w:rsidR="00A37609" w:rsidRPr="001702F8">
        <w:rPr>
          <w:sz w:val="26"/>
          <w:szCs w:val="26"/>
        </w:rPr>
        <w:t>contain</w:t>
      </w:r>
      <w:r w:rsidR="00853BFC" w:rsidRPr="001702F8">
        <w:rPr>
          <w:sz w:val="26"/>
          <w:szCs w:val="26"/>
        </w:rPr>
        <w:t xml:space="preserve"> </w:t>
      </w:r>
      <w:r w:rsidR="00FF2F42" w:rsidRPr="001702F8">
        <w:rPr>
          <w:sz w:val="26"/>
          <w:szCs w:val="26"/>
        </w:rPr>
        <w:t xml:space="preserve">a signed certification from a </w:t>
      </w:r>
      <w:r w:rsidR="00AE19D9" w:rsidRPr="001702F8">
        <w:rPr>
          <w:sz w:val="26"/>
          <w:szCs w:val="26"/>
        </w:rPr>
        <w:t>law enforcement</w:t>
      </w:r>
      <w:r w:rsidR="00FF2F42" w:rsidRPr="001702F8">
        <w:rPr>
          <w:sz w:val="26"/>
          <w:szCs w:val="26"/>
        </w:rPr>
        <w:t xml:space="preserve"> officer in the state in which the defendant resides</w:t>
      </w:r>
      <w:r w:rsidR="00AE19D9" w:rsidRPr="001702F8">
        <w:rPr>
          <w:sz w:val="26"/>
          <w:szCs w:val="26"/>
        </w:rPr>
        <w:t xml:space="preserve"> </w:t>
      </w:r>
      <w:r w:rsidR="00FF2F42" w:rsidRPr="001702F8">
        <w:rPr>
          <w:sz w:val="26"/>
          <w:szCs w:val="26"/>
        </w:rPr>
        <w:t xml:space="preserve">that the defendant personally appeared before the officer and signed Form 28, and </w:t>
      </w:r>
      <w:r w:rsidR="00903D39" w:rsidRPr="001702F8">
        <w:rPr>
          <w:sz w:val="26"/>
          <w:szCs w:val="26"/>
        </w:rPr>
        <w:t xml:space="preserve">that </w:t>
      </w:r>
      <w:r w:rsidR="00FF2F42" w:rsidRPr="001702F8">
        <w:rPr>
          <w:sz w:val="26"/>
          <w:szCs w:val="26"/>
        </w:rPr>
        <w:t>the officer affixed the defendant's fingerprint to the form</w:t>
      </w:r>
      <w:r w:rsidRPr="001702F8">
        <w:rPr>
          <w:sz w:val="26"/>
          <w:szCs w:val="26"/>
        </w:rPr>
        <w:t>.</w:t>
      </w:r>
      <w:bookmarkStart w:id="6" w:name="_Hlk40765941"/>
    </w:p>
    <w:p w14:paraId="53938B6D" w14:textId="77777777" w:rsidR="00903D39" w:rsidRPr="001702F8" w:rsidRDefault="008742AF" w:rsidP="00426134">
      <w:pPr>
        <w:pStyle w:val="ListParagraph"/>
        <w:numPr>
          <w:ilvl w:val="3"/>
          <w:numId w:val="1"/>
        </w:numPr>
        <w:tabs>
          <w:tab w:val="left" w:pos="1166"/>
        </w:tabs>
        <w:spacing w:after="160" w:line="259" w:lineRule="auto"/>
        <w:contextualSpacing w:val="0"/>
        <w:rPr>
          <w:sz w:val="26"/>
          <w:szCs w:val="26"/>
        </w:rPr>
      </w:pPr>
      <w:r w:rsidRPr="001702F8">
        <w:rPr>
          <w:sz w:val="26"/>
          <w:szCs w:val="26"/>
        </w:rPr>
        <w:t xml:space="preserve">If the defendant is entering a plea to an offense described in A.R.S. § 13-607(A) and the defendant’s plea form does not include </w:t>
      </w:r>
      <w:r w:rsidR="00903D39" w:rsidRPr="001702F8">
        <w:rPr>
          <w:sz w:val="26"/>
          <w:szCs w:val="26"/>
        </w:rPr>
        <w:t xml:space="preserve">the defendant’s fingerprint and the </w:t>
      </w:r>
      <w:r w:rsidRPr="001702F8">
        <w:rPr>
          <w:sz w:val="26"/>
          <w:szCs w:val="26"/>
        </w:rPr>
        <w:t xml:space="preserve">certification of a law enforcement officer, as required by this subpart, the court may defer acceptance of the plea until the defendant has submitted the required fingerprint and certification, or </w:t>
      </w:r>
      <w:r w:rsidR="00F5375F" w:rsidRPr="001702F8">
        <w:rPr>
          <w:sz w:val="26"/>
          <w:szCs w:val="26"/>
        </w:rPr>
        <w:t xml:space="preserve">until the defendant appears </w:t>
      </w:r>
      <w:r w:rsidRPr="001702F8">
        <w:rPr>
          <w:sz w:val="26"/>
          <w:szCs w:val="26"/>
        </w:rPr>
        <w:t xml:space="preserve">in </w:t>
      </w:r>
      <w:r w:rsidR="00F5375F" w:rsidRPr="001702F8">
        <w:rPr>
          <w:sz w:val="26"/>
          <w:szCs w:val="26"/>
        </w:rPr>
        <w:t xml:space="preserve">open </w:t>
      </w:r>
      <w:r w:rsidRPr="001702F8">
        <w:rPr>
          <w:sz w:val="26"/>
          <w:szCs w:val="26"/>
        </w:rPr>
        <w:t>court for sentencing and provide</w:t>
      </w:r>
      <w:r w:rsidR="00F5375F" w:rsidRPr="001702F8">
        <w:rPr>
          <w:sz w:val="26"/>
          <w:szCs w:val="26"/>
        </w:rPr>
        <w:t>s</w:t>
      </w:r>
      <w:r w:rsidRPr="001702F8">
        <w:rPr>
          <w:sz w:val="26"/>
          <w:szCs w:val="26"/>
        </w:rPr>
        <w:t xml:space="preserve"> a fingerprint at that time.</w:t>
      </w:r>
      <w:bookmarkEnd w:id="6"/>
    </w:p>
    <w:p w14:paraId="5E58A90A" w14:textId="77777777" w:rsidR="008742AF" w:rsidRPr="008742AF" w:rsidRDefault="007C6294" w:rsidP="00426134">
      <w:pPr>
        <w:pStyle w:val="ListParagraph"/>
        <w:numPr>
          <w:ilvl w:val="3"/>
          <w:numId w:val="1"/>
        </w:numPr>
        <w:tabs>
          <w:tab w:val="left" w:pos="1166"/>
        </w:tabs>
        <w:spacing w:after="160" w:line="259" w:lineRule="auto"/>
        <w:ind w:left="1512" w:hanging="432"/>
        <w:contextualSpacing w:val="0"/>
        <w:rPr>
          <w:rFonts w:eastAsia="Calibri"/>
          <w:sz w:val="26"/>
          <w:szCs w:val="26"/>
        </w:rPr>
      </w:pPr>
      <w:r>
        <w:rPr>
          <w:sz w:val="26"/>
          <w:szCs w:val="26"/>
        </w:rPr>
        <w:t>Instead of requiring a certification and fingerprint</w:t>
      </w:r>
      <w:r w:rsidR="009A786E" w:rsidRPr="009A786E">
        <w:rPr>
          <w:sz w:val="26"/>
          <w:szCs w:val="26"/>
        </w:rPr>
        <w:t>, the court may permit another method of proving the defendant’s identification on Form 28, including but not limited</w:t>
      </w:r>
      <w:r w:rsidR="00564B6A">
        <w:rPr>
          <w:sz w:val="26"/>
          <w:szCs w:val="26"/>
        </w:rPr>
        <w:t xml:space="preserve"> to </w:t>
      </w:r>
      <w:r w:rsidR="009A786E" w:rsidRPr="009A786E">
        <w:rPr>
          <w:sz w:val="26"/>
          <w:szCs w:val="26"/>
        </w:rPr>
        <w:t>allowing the defendant to use a notary public to witness the defendant’s signature on the form.</w:t>
      </w:r>
    </w:p>
    <w:bookmarkEnd w:id="5"/>
    <w:p w14:paraId="0A59D9AD" w14:textId="77777777" w:rsidR="00FF2F42" w:rsidRPr="008742AF" w:rsidRDefault="00FF2F42" w:rsidP="00426134">
      <w:pPr>
        <w:numPr>
          <w:ilvl w:val="2"/>
          <w:numId w:val="1"/>
        </w:numPr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Judicial Findings.</w:t>
      </w:r>
      <w:r w:rsidRPr="008742AF">
        <w:rPr>
          <w:sz w:val="26"/>
          <w:szCs w:val="26"/>
        </w:rPr>
        <w:t xml:space="preserve">  Before accepting a plea,</w:t>
      </w:r>
      <w:r w:rsidR="00853BFC" w:rsidRPr="008742AF">
        <w:rPr>
          <w:sz w:val="26"/>
          <w:szCs w:val="26"/>
        </w:rPr>
        <w:t xml:space="preserve"> </w:t>
      </w:r>
      <w:r w:rsidRPr="008742AF">
        <w:rPr>
          <w:sz w:val="26"/>
          <w:szCs w:val="26"/>
        </w:rPr>
        <w:t>the court must hold a</w:t>
      </w:r>
      <w:r w:rsidR="00820F77" w:rsidRPr="008742AF">
        <w:rPr>
          <w:sz w:val="26"/>
          <w:szCs w:val="26"/>
        </w:rPr>
        <w:t>n in-person</w:t>
      </w:r>
      <w:r w:rsidR="004A6F0F" w:rsidRPr="008742AF">
        <w:rPr>
          <w:sz w:val="26"/>
          <w:szCs w:val="26"/>
        </w:rPr>
        <w:t xml:space="preserve"> or</w:t>
      </w:r>
      <w:r w:rsidRPr="008742AF">
        <w:rPr>
          <w:sz w:val="26"/>
          <w:szCs w:val="26"/>
        </w:rPr>
        <w:t xml:space="preserve"> telephonic hearing with the parties, inform the defendant that the offense may be used as a prior conviction, and find:</w:t>
      </w:r>
    </w:p>
    <w:p w14:paraId="34006AAF" w14:textId="77777777" w:rsidR="00FF2F42" w:rsidRPr="008742AF" w:rsidRDefault="00FF2F42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>it has personally advised the defendant of the items set forth in</w:t>
      </w:r>
      <w:r w:rsidR="008742AF">
        <w:rPr>
          <w:sz w:val="26"/>
          <w:szCs w:val="26"/>
        </w:rPr>
        <w:t xml:space="preserve"> F</w:t>
      </w:r>
      <w:r w:rsidRPr="008742AF">
        <w:rPr>
          <w:sz w:val="26"/>
          <w:szCs w:val="26"/>
        </w:rPr>
        <w:t>orm</w:t>
      </w:r>
      <w:r w:rsidR="008742AF">
        <w:rPr>
          <w:sz w:val="26"/>
          <w:szCs w:val="26"/>
        </w:rPr>
        <w:t xml:space="preserve"> 28</w:t>
      </w:r>
      <w:r w:rsidRPr="008742AF">
        <w:rPr>
          <w:sz w:val="26"/>
          <w:szCs w:val="26"/>
        </w:rPr>
        <w:t>;</w:t>
      </w:r>
    </w:p>
    <w:p w14:paraId="0F099531" w14:textId="77777777" w:rsidR="00FF2F42" w:rsidRPr="008742AF" w:rsidRDefault="00FF2F42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>a factual basis exists for believing the defendant is guilty of the offenses</w:t>
      </w:r>
      <w:r w:rsidR="001E0B17">
        <w:rPr>
          <w:sz w:val="26"/>
          <w:szCs w:val="26"/>
        </w:rPr>
        <w:t xml:space="preserve"> to which the defendant pleads</w:t>
      </w:r>
      <w:r w:rsidRPr="008742AF">
        <w:rPr>
          <w:sz w:val="26"/>
          <w:szCs w:val="26"/>
        </w:rPr>
        <w:t>; and</w:t>
      </w:r>
    </w:p>
    <w:p w14:paraId="7DAD3590" w14:textId="77777777" w:rsidR="00FF2F42" w:rsidRPr="008742AF" w:rsidRDefault="00FF2F42" w:rsidP="00426134">
      <w:pPr>
        <w:numPr>
          <w:ilvl w:val="3"/>
          <w:numId w:val="1"/>
        </w:numPr>
        <w:tabs>
          <w:tab w:val="left" w:pos="1166"/>
        </w:tabs>
        <w:spacing w:after="160" w:line="259" w:lineRule="auto"/>
        <w:ind w:left="1512" w:hanging="432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>the defendant's plea is knowingly, voluntarily, and intelligently entered.</w:t>
      </w:r>
    </w:p>
    <w:p w14:paraId="78ECE16D" w14:textId="77777777" w:rsidR="00FF2F42" w:rsidRPr="008742AF" w:rsidRDefault="00FF2F42" w:rsidP="00426134">
      <w:pPr>
        <w:numPr>
          <w:ilvl w:val="2"/>
          <w:numId w:val="1"/>
        </w:numPr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Sentencing.</w:t>
      </w:r>
      <w:r w:rsidRPr="008742AF">
        <w:rPr>
          <w:sz w:val="26"/>
          <w:szCs w:val="26"/>
        </w:rPr>
        <w:t xml:space="preserve">  </w:t>
      </w:r>
      <w:r w:rsidRPr="008742AF">
        <w:rPr>
          <w:rFonts w:eastAsia="Calibri"/>
          <w:sz w:val="26"/>
          <w:szCs w:val="26"/>
        </w:rPr>
        <w:t xml:space="preserve">After entry and acceptance of </w:t>
      </w:r>
      <w:r w:rsidR="00F868F6" w:rsidRPr="008742AF">
        <w:rPr>
          <w:rFonts w:eastAsia="Calibri"/>
          <w:sz w:val="26"/>
          <w:szCs w:val="26"/>
        </w:rPr>
        <w:t>the</w:t>
      </w:r>
      <w:r w:rsidRPr="008742AF">
        <w:rPr>
          <w:rFonts w:eastAsia="Calibri"/>
          <w:sz w:val="26"/>
          <w:szCs w:val="26"/>
        </w:rPr>
        <w:t xml:space="preserve"> plea, the court may proceed to sentence the defendant, either on the same day or subsequently</w:t>
      </w:r>
      <w:r w:rsidR="00F868F6" w:rsidRPr="008742AF">
        <w:rPr>
          <w:rFonts w:eastAsia="Calibri"/>
          <w:sz w:val="26"/>
          <w:szCs w:val="26"/>
        </w:rPr>
        <w:t>, in-person or telephonically.</w:t>
      </w:r>
    </w:p>
    <w:p w14:paraId="32910637" w14:textId="77777777" w:rsidR="00FF2F42" w:rsidRPr="008742AF" w:rsidRDefault="00FF2F42" w:rsidP="00426134">
      <w:pPr>
        <w:numPr>
          <w:ilvl w:val="2"/>
          <w:numId w:val="1"/>
        </w:numPr>
        <w:spacing w:after="160" w:line="259" w:lineRule="auto"/>
        <w:rPr>
          <w:rFonts w:eastAsia="Calibri"/>
          <w:sz w:val="26"/>
          <w:szCs w:val="26"/>
        </w:rPr>
      </w:pPr>
      <w:r w:rsidRPr="008742AF">
        <w:rPr>
          <w:rFonts w:eastAsia="Calibri"/>
          <w:i/>
          <w:sz w:val="26"/>
          <w:szCs w:val="26"/>
        </w:rPr>
        <w:t xml:space="preserve">Victim’s Rights.  </w:t>
      </w:r>
      <w:r w:rsidRPr="008742AF">
        <w:rPr>
          <w:rFonts w:eastAsia="Calibri"/>
          <w:sz w:val="26"/>
          <w:szCs w:val="26"/>
        </w:rPr>
        <w:t>In a telephonic plea proceeding, a victim has the same rights under Rule 39 to notice and participation as if the defendant physically appeared in the courtroom.</w:t>
      </w:r>
    </w:p>
    <w:p w14:paraId="00A829F3" w14:textId="77777777" w:rsidR="00532AD5" w:rsidRPr="00426134" w:rsidRDefault="00FF2F42" w:rsidP="00426134">
      <w:pPr>
        <w:numPr>
          <w:ilvl w:val="1"/>
          <w:numId w:val="1"/>
        </w:numPr>
        <w:spacing w:after="160" w:line="259" w:lineRule="auto"/>
        <w:rPr>
          <w:rFonts w:eastAsia="Calibri"/>
          <w:b/>
          <w:sz w:val="26"/>
          <w:szCs w:val="26"/>
        </w:rPr>
      </w:pPr>
      <w:r w:rsidRPr="008742AF">
        <w:rPr>
          <w:b/>
          <w:i/>
          <w:iCs/>
          <w:sz w:val="26"/>
          <w:szCs w:val="26"/>
        </w:rPr>
        <w:t>Plea by Mail.</w:t>
      </w:r>
      <w:r w:rsidR="008742AF">
        <w:rPr>
          <w:b/>
          <w:i/>
          <w:iCs/>
          <w:sz w:val="26"/>
          <w:szCs w:val="26"/>
        </w:rPr>
        <w:t xml:space="preserve"> </w:t>
      </w:r>
      <w:r w:rsidR="008742AF">
        <w:rPr>
          <w:iCs/>
          <w:sz w:val="26"/>
          <w:szCs w:val="26"/>
        </w:rPr>
        <w:t>[no change]</w:t>
      </w:r>
    </w:p>
    <w:sectPr w:rsidR="00532AD5" w:rsidRPr="0042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E07F" w14:textId="77777777" w:rsidR="003D5756" w:rsidRDefault="003D5756" w:rsidP="003D5756">
      <w:r>
        <w:separator/>
      </w:r>
    </w:p>
  </w:endnote>
  <w:endnote w:type="continuationSeparator" w:id="0">
    <w:p w14:paraId="43A325B2" w14:textId="77777777" w:rsidR="003D5756" w:rsidRDefault="003D5756" w:rsidP="003D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E0B12" w14:textId="77777777" w:rsidR="003D5756" w:rsidRDefault="003D5756" w:rsidP="003D5756">
      <w:r>
        <w:separator/>
      </w:r>
    </w:p>
  </w:footnote>
  <w:footnote w:type="continuationSeparator" w:id="0">
    <w:p w14:paraId="693428BC" w14:textId="77777777" w:rsidR="003D5756" w:rsidRDefault="003D5756" w:rsidP="003D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6A01"/>
    <w:multiLevelType w:val="hybridMultilevel"/>
    <w:tmpl w:val="3C3AF91C"/>
    <w:lvl w:ilvl="0" w:tplc="551A60D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972CF"/>
    <w:multiLevelType w:val="hybridMultilevel"/>
    <w:tmpl w:val="0D909214"/>
    <w:lvl w:ilvl="0" w:tplc="4DE82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214A"/>
    <w:multiLevelType w:val="multilevel"/>
    <w:tmpl w:val="0F30DFD4"/>
    <w:lvl w:ilvl="0">
      <w:start w:val="6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42"/>
    <w:rsid w:val="00007C3A"/>
    <w:rsid w:val="00090D52"/>
    <w:rsid w:val="000F5D53"/>
    <w:rsid w:val="00117C9A"/>
    <w:rsid w:val="001702F8"/>
    <w:rsid w:val="00192DD9"/>
    <w:rsid w:val="001E0B17"/>
    <w:rsid w:val="00241A25"/>
    <w:rsid w:val="002B16C3"/>
    <w:rsid w:val="002D3FD6"/>
    <w:rsid w:val="00310C5B"/>
    <w:rsid w:val="00316001"/>
    <w:rsid w:val="00393606"/>
    <w:rsid w:val="00396BD1"/>
    <w:rsid w:val="003D5756"/>
    <w:rsid w:val="00426134"/>
    <w:rsid w:val="004410B0"/>
    <w:rsid w:val="004A6F0F"/>
    <w:rsid w:val="00532AD5"/>
    <w:rsid w:val="00564B6A"/>
    <w:rsid w:val="00574585"/>
    <w:rsid w:val="00577AB7"/>
    <w:rsid w:val="005B7A04"/>
    <w:rsid w:val="005D639A"/>
    <w:rsid w:val="005F6AD7"/>
    <w:rsid w:val="006B2AFF"/>
    <w:rsid w:val="006B40C1"/>
    <w:rsid w:val="00757708"/>
    <w:rsid w:val="007843BB"/>
    <w:rsid w:val="007A18C7"/>
    <w:rsid w:val="007C6294"/>
    <w:rsid w:val="007E2C49"/>
    <w:rsid w:val="00820F77"/>
    <w:rsid w:val="00831C50"/>
    <w:rsid w:val="00853BFC"/>
    <w:rsid w:val="008742AF"/>
    <w:rsid w:val="008D25C0"/>
    <w:rsid w:val="008E5151"/>
    <w:rsid w:val="008E59C9"/>
    <w:rsid w:val="00903D39"/>
    <w:rsid w:val="00944758"/>
    <w:rsid w:val="009A20F7"/>
    <w:rsid w:val="009A786E"/>
    <w:rsid w:val="00A37609"/>
    <w:rsid w:val="00A50950"/>
    <w:rsid w:val="00AD3967"/>
    <w:rsid w:val="00AE19D9"/>
    <w:rsid w:val="00BC09A7"/>
    <w:rsid w:val="00CC0208"/>
    <w:rsid w:val="00D11965"/>
    <w:rsid w:val="00E114A2"/>
    <w:rsid w:val="00E33EE2"/>
    <w:rsid w:val="00E4596E"/>
    <w:rsid w:val="00EF44D8"/>
    <w:rsid w:val="00F5375F"/>
    <w:rsid w:val="00F5425F"/>
    <w:rsid w:val="00F868F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6308DE5"/>
  <w15:chartTrackingRefBased/>
  <w15:docId w15:val="{23017AAB-FF6F-4FF7-9DDD-67DB1B2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F42"/>
    <w:pPr>
      <w:spacing w:after="0" w:line="240" w:lineRule="auto"/>
      <w:ind w:firstLine="0"/>
      <w:jc w:val="left"/>
    </w:pPr>
    <w:rPr>
      <w:rFonts w:ascii="Times New Roman" w:eastAsia="Times New Roman" w:hAnsi="Times New Roman"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56"/>
    <w:rPr>
      <w:rFonts w:ascii="Times New Roman" w:eastAsia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unhideWhenUsed/>
    <w:rsid w:val="003D5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756"/>
    <w:rPr>
      <w:rFonts w:ascii="Times New Roman" w:eastAsia="Times New Roman" w:hAnsi="Times New Roman"/>
      <w:snapToGrid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77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26</cp:revision>
  <cp:lastPrinted>2020-05-27T20:37:00Z</cp:lastPrinted>
  <dcterms:created xsi:type="dcterms:W3CDTF">2020-05-13T21:45:00Z</dcterms:created>
  <dcterms:modified xsi:type="dcterms:W3CDTF">2020-05-27T20:37:00Z</dcterms:modified>
</cp:coreProperties>
</file>