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C18EE" w14:textId="77777777" w:rsidR="00827D7F" w:rsidRPr="00912D06" w:rsidRDefault="00827D7F" w:rsidP="00827D7F">
      <w:pPr>
        <w:rPr>
          <w:sz w:val="28"/>
          <w:szCs w:val="28"/>
        </w:rPr>
      </w:pPr>
      <w:bookmarkStart w:id="0" w:name="_Hlk532889440"/>
      <w:bookmarkStart w:id="1" w:name="_Hlk532825433"/>
      <w:r w:rsidRPr="00912D06">
        <w:rPr>
          <w:sz w:val="28"/>
          <w:szCs w:val="28"/>
        </w:rPr>
        <w:t>David K. Byers, Administrative Director</w:t>
      </w:r>
    </w:p>
    <w:p w14:paraId="690538DA" w14:textId="77777777" w:rsidR="00827D7F" w:rsidRPr="00912D06" w:rsidRDefault="00827D7F" w:rsidP="00827D7F">
      <w:pPr>
        <w:rPr>
          <w:sz w:val="28"/>
          <w:szCs w:val="28"/>
        </w:rPr>
      </w:pPr>
      <w:r w:rsidRPr="00912D06">
        <w:rPr>
          <w:sz w:val="28"/>
          <w:szCs w:val="28"/>
        </w:rPr>
        <w:t>Administrative Office of the Courts</w:t>
      </w:r>
    </w:p>
    <w:p w14:paraId="0862ED99" w14:textId="77777777" w:rsidR="00827D7F" w:rsidRPr="00912D06" w:rsidRDefault="00827D7F" w:rsidP="00827D7F">
      <w:pPr>
        <w:rPr>
          <w:sz w:val="28"/>
          <w:szCs w:val="28"/>
        </w:rPr>
      </w:pPr>
      <w:r w:rsidRPr="00912D06">
        <w:rPr>
          <w:sz w:val="28"/>
          <w:szCs w:val="28"/>
        </w:rPr>
        <w:t>1501 W. Washington St.</w:t>
      </w:r>
    </w:p>
    <w:p w14:paraId="5641B75C" w14:textId="77777777" w:rsidR="00827D7F" w:rsidRPr="00912D06" w:rsidRDefault="00827D7F" w:rsidP="00827D7F">
      <w:pPr>
        <w:rPr>
          <w:sz w:val="28"/>
          <w:szCs w:val="28"/>
        </w:rPr>
      </w:pPr>
      <w:r w:rsidRPr="00912D06">
        <w:rPr>
          <w:sz w:val="28"/>
          <w:szCs w:val="28"/>
        </w:rPr>
        <w:t>Phoenix, AZ 85007</w:t>
      </w:r>
    </w:p>
    <w:p w14:paraId="322427C7" w14:textId="77777777" w:rsidR="00827D7F" w:rsidRDefault="00827D7F" w:rsidP="00827D7F">
      <w:pPr>
        <w:rPr>
          <w:sz w:val="28"/>
          <w:szCs w:val="28"/>
        </w:rPr>
      </w:pPr>
    </w:p>
    <w:p w14:paraId="3016D197" w14:textId="77777777" w:rsidR="00EE050D" w:rsidRDefault="00EE050D" w:rsidP="00827D7F">
      <w:pPr>
        <w:rPr>
          <w:sz w:val="28"/>
          <w:szCs w:val="28"/>
        </w:rPr>
      </w:pPr>
    </w:p>
    <w:p w14:paraId="76734E97" w14:textId="77777777" w:rsidR="00EE050D" w:rsidRDefault="00EE050D" w:rsidP="00827D7F">
      <w:pPr>
        <w:rPr>
          <w:sz w:val="28"/>
          <w:szCs w:val="28"/>
        </w:rPr>
      </w:pPr>
    </w:p>
    <w:p w14:paraId="409AF4A9" w14:textId="77777777" w:rsidR="00EE050D" w:rsidRPr="00912D06" w:rsidRDefault="00EE050D" w:rsidP="00827D7F">
      <w:pPr>
        <w:rPr>
          <w:sz w:val="28"/>
          <w:szCs w:val="28"/>
        </w:rPr>
      </w:pPr>
    </w:p>
    <w:p w14:paraId="13A8D056" w14:textId="77777777" w:rsidR="00827D7F" w:rsidRPr="00912D06" w:rsidRDefault="00827D7F" w:rsidP="00374BB6">
      <w:pPr>
        <w:rPr>
          <w:sz w:val="28"/>
          <w:szCs w:val="28"/>
        </w:rPr>
      </w:pPr>
    </w:p>
    <w:p w14:paraId="4E4D3E05" w14:textId="77777777" w:rsidR="00827D7F" w:rsidRPr="00912D06" w:rsidRDefault="00827D7F" w:rsidP="00EE050D">
      <w:pPr>
        <w:spacing w:line="480" w:lineRule="auto"/>
        <w:jc w:val="center"/>
        <w:rPr>
          <w:sz w:val="28"/>
          <w:szCs w:val="28"/>
        </w:rPr>
      </w:pPr>
      <w:r w:rsidRPr="00912D06">
        <w:rPr>
          <w:sz w:val="28"/>
          <w:szCs w:val="28"/>
        </w:rPr>
        <w:t>IN THE SUPREME COURT</w:t>
      </w:r>
    </w:p>
    <w:p w14:paraId="04512A4D" w14:textId="77777777" w:rsidR="00827D7F" w:rsidRPr="00912D06" w:rsidRDefault="00827D7F" w:rsidP="00EE050D">
      <w:pPr>
        <w:spacing w:line="480" w:lineRule="auto"/>
        <w:jc w:val="center"/>
        <w:rPr>
          <w:sz w:val="28"/>
          <w:szCs w:val="28"/>
        </w:rPr>
      </w:pPr>
      <w:r w:rsidRPr="00912D06">
        <w:rPr>
          <w:sz w:val="28"/>
          <w:szCs w:val="28"/>
        </w:rPr>
        <w:t>STATE OF ARIZONA</w:t>
      </w:r>
    </w:p>
    <w:p w14:paraId="38D06F57" w14:textId="77777777" w:rsidR="00827D7F" w:rsidRDefault="00827D7F" w:rsidP="00827D7F">
      <w:pPr>
        <w:tabs>
          <w:tab w:val="left" w:pos="4320"/>
          <w:tab w:val="left" w:pos="5040"/>
        </w:tabs>
        <w:rPr>
          <w:sz w:val="28"/>
          <w:szCs w:val="28"/>
        </w:rPr>
      </w:pPr>
    </w:p>
    <w:p w14:paraId="2F4C2C41" w14:textId="55686509" w:rsidR="00827D7F" w:rsidRPr="00912D06" w:rsidRDefault="002F1D9A" w:rsidP="00827D7F">
      <w:pPr>
        <w:tabs>
          <w:tab w:val="left" w:pos="4320"/>
          <w:tab w:val="left" w:pos="5040"/>
        </w:tabs>
        <w:rPr>
          <w:sz w:val="28"/>
          <w:szCs w:val="28"/>
        </w:rPr>
      </w:pPr>
      <w:r w:rsidRPr="00912D06">
        <w:rPr>
          <w:sz w:val="28"/>
          <w:szCs w:val="28"/>
        </w:rPr>
        <w:t xml:space="preserve">PETITION TO </w:t>
      </w:r>
      <w:r>
        <w:rPr>
          <w:sz w:val="28"/>
          <w:szCs w:val="28"/>
        </w:rPr>
        <w:t xml:space="preserve">AMEND </w:t>
      </w:r>
      <w:r w:rsidRPr="00912D06">
        <w:rPr>
          <w:sz w:val="28"/>
          <w:szCs w:val="28"/>
        </w:rPr>
        <w:t xml:space="preserve">RULE </w:t>
      </w:r>
      <w:r w:rsidR="00827D7F" w:rsidRPr="00912D06">
        <w:rPr>
          <w:sz w:val="28"/>
          <w:szCs w:val="28"/>
        </w:rPr>
        <w:t>17.1(f)(1</w:t>
      </w:r>
      <w:r w:rsidRPr="00912D06">
        <w:rPr>
          <w:sz w:val="28"/>
          <w:szCs w:val="28"/>
        </w:rPr>
        <w:t>)</w:t>
      </w:r>
      <w:r>
        <w:rPr>
          <w:sz w:val="28"/>
          <w:szCs w:val="28"/>
        </w:rPr>
        <w:t xml:space="preserve"> </w:t>
      </w:r>
      <w:proofErr w:type="gramStart"/>
      <w:r w:rsidR="007E35C8">
        <w:rPr>
          <w:sz w:val="28"/>
          <w:szCs w:val="28"/>
        </w:rPr>
        <w:tab/>
        <w:t xml:space="preserve">)  </w:t>
      </w:r>
      <w:r w:rsidR="00827D7F">
        <w:rPr>
          <w:sz w:val="28"/>
          <w:szCs w:val="28"/>
        </w:rPr>
        <w:t xml:space="preserve"> </w:t>
      </w:r>
      <w:proofErr w:type="gramEnd"/>
      <w:r w:rsidR="00827D7F">
        <w:rPr>
          <w:sz w:val="28"/>
          <w:szCs w:val="28"/>
        </w:rPr>
        <w:t xml:space="preserve">     No. R-</w:t>
      </w:r>
      <w:r w:rsidR="00872DE8">
        <w:rPr>
          <w:sz w:val="28"/>
          <w:szCs w:val="28"/>
        </w:rPr>
        <w:t>20-</w:t>
      </w:r>
      <w:r w:rsidR="000C05C9">
        <w:rPr>
          <w:sz w:val="28"/>
          <w:szCs w:val="28"/>
        </w:rPr>
        <w:t>0005</w:t>
      </w:r>
    </w:p>
    <w:p w14:paraId="184A96AD" w14:textId="3C981893" w:rsidR="00827D7F" w:rsidRDefault="002F1D9A" w:rsidP="00827D7F">
      <w:pPr>
        <w:tabs>
          <w:tab w:val="left" w:pos="4320"/>
          <w:tab w:val="left" w:pos="5040"/>
        </w:tabs>
        <w:rPr>
          <w:sz w:val="28"/>
          <w:szCs w:val="28"/>
        </w:rPr>
      </w:pPr>
      <w:r>
        <w:rPr>
          <w:sz w:val="28"/>
          <w:szCs w:val="28"/>
        </w:rPr>
        <w:t>A</w:t>
      </w:r>
      <w:r w:rsidRPr="00912D06">
        <w:rPr>
          <w:sz w:val="28"/>
          <w:szCs w:val="28"/>
        </w:rPr>
        <w:t>ND</w:t>
      </w:r>
      <w:r>
        <w:rPr>
          <w:sz w:val="28"/>
          <w:szCs w:val="28"/>
        </w:rPr>
        <w:t xml:space="preserve"> </w:t>
      </w:r>
      <w:r w:rsidRPr="00912D06">
        <w:rPr>
          <w:sz w:val="28"/>
          <w:szCs w:val="28"/>
        </w:rPr>
        <w:t>RULE 41, FORM 28,</w:t>
      </w:r>
      <w:r>
        <w:rPr>
          <w:sz w:val="28"/>
          <w:szCs w:val="28"/>
        </w:rPr>
        <w:t xml:space="preserve"> </w:t>
      </w:r>
      <w:r w:rsidRPr="00912D06">
        <w:rPr>
          <w:sz w:val="28"/>
          <w:szCs w:val="28"/>
        </w:rPr>
        <w:t xml:space="preserve">ARIZONA </w:t>
      </w:r>
      <w:r>
        <w:rPr>
          <w:sz w:val="28"/>
          <w:szCs w:val="28"/>
        </w:rPr>
        <w:tab/>
        <w:t>)</w:t>
      </w:r>
    </w:p>
    <w:p w14:paraId="00833541" w14:textId="70040EFA" w:rsidR="00827D7F" w:rsidRDefault="002F1D9A" w:rsidP="00827D7F">
      <w:pPr>
        <w:tabs>
          <w:tab w:val="left" w:pos="4320"/>
          <w:tab w:val="left" w:pos="5040"/>
        </w:tabs>
        <w:rPr>
          <w:sz w:val="28"/>
          <w:szCs w:val="28"/>
        </w:rPr>
      </w:pPr>
      <w:r w:rsidRPr="00912D06">
        <w:rPr>
          <w:sz w:val="28"/>
          <w:szCs w:val="28"/>
        </w:rPr>
        <w:t>RULES OF</w:t>
      </w:r>
      <w:r>
        <w:rPr>
          <w:sz w:val="28"/>
          <w:szCs w:val="28"/>
        </w:rPr>
        <w:t xml:space="preserve"> </w:t>
      </w:r>
      <w:r w:rsidRPr="00912D06">
        <w:rPr>
          <w:sz w:val="28"/>
          <w:szCs w:val="28"/>
        </w:rPr>
        <w:t>CRIMINAL PROCEDURE</w:t>
      </w:r>
      <w:r w:rsidR="00827D7F">
        <w:rPr>
          <w:sz w:val="28"/>
          <w:szCs w:val="28"/>
        </w:rPr>
        <w:tab/>
        <w:t>)</w:t>
      </w:r>
      <w:r w:rsidR="000C05C9">
        <w:rPr>
          <w:sz w:val="28"/>
          <w:szCs w:val="28"/>
        </w:rPr>
        <w:tab/>
      </w:r>
      <w:r w:rsidR="000C05C9">
        <w:rPr>
          <w:sz w:val="28"/>
          <w:szCs w:val="28"/>
        </w:rPr>
        <w:tab/>
        <w:t>REPLY</w:t>
      </w:r>
    </w:p>
    <w:p w14:paraId="449EC040" w14:textId="77777777" w:rsidR="00827D7F" w:rsidRDefault="00827D7F" w:rsidP="00827D7F">
      <w:pPr>
        <w:tabs>
          <w:tab w:val="left" w:pos="4320"/>
          <w:tab w:val="left" w:pos="5040"/>
        </w:tabs>
        <w:rPr>
          <w:sz w:val="28"/>
          <w:szCs w:val="28"/>
        </w:rPr>
      </w:pPr>
      <w:r>
        <w:rPr>
          <w:sz w:val="28"/>
          <w:szCs w:val="28"/>
        </w:rPr>
        <w:tab/>
      </w:r>
      <w:r>
        <w:rPr>
          <w:sz w:val="28"/>
          <w:szCs w:val="28"/>
        </w:rPr>
        <w:tab/>
        <w:t>)</w:t>
      </w:r>
    </w:p>
    <w:p w14:paraId="19423597" w14:textId="77777777" w:rsidR="00827D7F" w:rsidRDefault="00827D7F" w:rsidP="00827D7F">
      <w:pPr>
        <w:tabs>
          <w:tab w:val="left" w:pos="4320"/>
          <w:tab w:val="left" w:pos="5040"/>
        </w:tabs>
        <w:rPr>
          <w:sz w:val="28"/>
          <w:szCs w:val="28"/>
        </w:rPr>
      </w:pPr>
      <w:r>
        <w:rPr>
          <w:sz w:val="28"/>
          <w:szCs w:val="28"/>
        </w:rPr>
        <w:t>___________________________________</w:t>
      </w:r>
      <w:r>
        <w:rPr>
          <w:sz w:val="28"/>
          <w:szCs w:val="28"/>
        </w:rPr>
        <w:tab/>
        <w:t>)</w:t>
      </w:r>
    </w:p>
    <w:p w14:paraId="1C0E94BC" w14:textId="77777777" w:rsidR="00827D7F" w:rsidRDefault="00827D7F" w:rsidP="004F684A">
      <w:pPr>
        <w:rPr>
          <w:rFonts w:ascii="Book Antiqua" w:hAnsi="Book Antiqua"/>
          <w:sz w:val="24"/>
          <w:szCs w:val="24"/>
        </w:rPr>
      </w:pPr>
    </w:p>
    <w:p w14:paraId="766CB095" w14:textId="4C61349F" w:rsidR="00827D7F" w:rsidRPr="00912D06" w:rsidRDefault="000C05C9" w:rsidP="00827D7F">
      <w:pPr>
        <w:spacing w:line="480" w:lineRule="auto"/>
        <w:ind w:firstLine="720"/>
        <w:jc w:val="both"/>
        <w:rPr>
          <w:sz w:val="28"/>
          <w:szCs w:val="28"/>
        </w:rPr>
      </w:pPr>
      <w:r>
        <w:rPr>
          <w:sz w:val="28"/>
          <w:szCs w:val="28"/>
        </w:rPr>
        <w:t>This petition</w:t>
      </w:r>
      <w:r w:rsidR="00827D7F" w:rsidRPr="00912D06">
        <w:rPr>
          <w:sz w:val="28"/>
          <w:szCs w:val="28"/>
        </w:rPr>
        <w:t xml:space="preserve"> request</w:t>
      </w:r>
      <w:r>
        <w:rPr>
          <w:sz w:val="28"/>
          <w:szCs w:val="28"/>
        </w:rPr>
        <w:t>ed</w:t>
      </w:r>
      <w:r w:rsidR="00827D7F" w:rsidRPr="00912D06">
        <w:rPr>
          <w:sz w:val="28"/>
          <w:szCs w:val="28"/>
        </w:rPr>
        <w:t xml:space="preserve"> the Court to amend Rule 17.1(f)</w:t>
      </w:r>
      <w:r w:rsidR="00B92739">
        <w:rPr>
          <w:sz w:val="28"/>
          <w:szCs w:val="28"/>
        </w:rPr>
        <w:t>(1)</w:t>
      </w:r>
      <w:r w:rsidR="00827D7F" w:rsidRPr="00912D06">
        <w:rPr>
          <w:sz w:val="28"/>
          <w:szCs w:val="28"/>
        </w:rPr>
        <w:t xml:space="preserve"> of the Arizona Rules of Criminal Procedure, a rule that allows telephonic pleas in limited jurisdiction courts, and </w:t>
      </w:r>
      <w:r w:rsidR="00CF3B71">
        <w:rPr>
          <w:sz w:val="28"/>
          <w:szCs w:val="28"/>
        </w:rPr>
        <w:t xml:space="preserve">to </w:t>
      </w:r>
      <w:r w:rsidR="004140FB">
        <w:rPr>
          <w:sz w:val="28"/>
          <w:szCs w:val="28"/>
        </w:rPr>
        <w:t xml:space="preserve">adopt a modified form, </w:t>
      </w:r>
      <w:r w:rsidR="00CF3B71" w:rsidRPr="00912D06">
        <w:rPr>
          <w:sz w:val="28"/>
          <w:szCs w:val="28"/>
        </w:rPr>
        <w:t>Rule 41</w:t>
      </w:r>
      <w:r w:rsidR="00CF3B71">
        <w:rPr>
          <w:sz w:val="28"/>
          <w:szCs w:val="28"/>
        </w:rPr>
        <w:t>, Form 28</w:t>
      </w:r>
      <w:r w:rsidR="00827D7F" w:rsidRPr="00912D06">
        <w:rPr>
          <w:sz w:val="28"/>
          <w:szCs w:val="28"/>
        </w:rPr>
        <w:t xml:space="preserve">, </w:t>
      </w:r>
      <w:r w:rsidR="00CF3B71">
        <w:rPr>
          <w:sz w:val="28"/>
          <w:szCs w:val="28"/>
        </w:rPr>
        <w:t>which is</w:t>
      </w:r>
      <w:r w:rsidR="00827D7F" w:rsidRPr="00912D06">
        <w:rPr>
          <w:sz w:val="28"/>
          <w:szCs w:val="28"/>
        </w:rPr>
        <w:t xml:space="preserve"> used for the entry of telephonic pleas. </w:t>
      </w:r>
      <w:r w:rsidR="00712381">
        <w:rPr>
          <w:sz w:val="28"/>
          <w:szCs w:val="28"/>
        </w:rPr>
        <w:t xml:space="preserve"> </w:t>
      </w:r>
      <w:r w:rsidR="00483661">
        <w:rPr>
          <w:sz w:val="28"/>
          <w:szCs w:val="28"/>
        </w:rPr>
        <w:t>For the reasons stated</w:t>
      </w:r>
      <w:r w:rsidR="00712381">
        <w:rPr>
          <w:sz w:val="28"/>
          <w:szCs w:val="28"/>
        </w:rPr>
        <w:t xml:space="preserve"> in this </w:t>
      </w:r>
      <w:r w:rsidR="00483661">
        <w:rPr>
          <w:sz w:val="28"/>
          <w:szCs w:val="28"/>
        </w:rPr>
        <w:t xml:space="preserve">Section (1) of this </w:t>
      </w:r>
      <w:r w:rsidR="00712381">
        <w:rPr>
          <w:sz w:val="28"/>
          <w:szCs w:val="28"/>
        </w:rPr>
        <w:t xml:space="preserve">Reply, Petitioner </w:t>
      </w:r>
      <w:r w:rsidR="00CF3B71">
        <w:rPr>
          <w:sz w:val="28"/>
          <w:szCs w:val="28"/>
        </w:rPr>
        <w:t xml:space="preserve">now </w:t>
      </w:r>
      <w:r w:rsidR="00483661">
        <w:rPr>
          <w:sz w:val="28"/>
          <w:szCs w:val="28"/>
        </w:rPr>
        <w:t>requests further and</w:t>
      </w:r>
      <w:r w:rsidR="00CF3B71">
        <w:rPr>
          <w:sz w:val="28"/>
          <w:szCs w:val="28"/>
        </w:rPr>
        <w:t xml:space="preserve"> </w:t>
      </w:r>
      <w:r w:rsidR="00712381">
        <w:rPr>
          <w:sz w:val="28"/>
          <w:szCs w:val="28"/>
        </w:rPr>
        <w:t>s</w:t>
      </w:r>
      <w:r>
        <w:rPr>
          <w:sz w:val="28"/>
          <w:szCs w:val="28"/>
        </w:rPr>
        <w:t>ubstantial modif</w:t>
      </w:r>
      <w:r w:rsidR="00712381">
        <w:rPr>
          <w:sz w:val="28"/>
          <w:szCs w:val="28"/>
        </w:rPr>
        <w:t>i</w:t>
      </w:r>
      <w:r w:rsidR="00CF3B71">
        <w:rPr>
          <w:sz w:val="28"/>
          <w:szCs w:val="28"/>
        </w:rPr>
        <w:t>cations</w:t>
      </w:r>
      <w:r>
        <w:rPr>
          <w:sz w:val="28"/>
          <w:szCs w:val="28"/>
        </w:rPr>
        <w:t xml:space="preserve"> to </w:t>
      </w:r>
      <w:r w:rsidR="00712381">
        <w:rPr>
          <w:sz w:val="28"/>
          <w:szCs w:val="28"/>
        </w:rPr>
        <w:t xml:space="preserve">the </w:t>
      </w:r>
      <w:r w:rsidR="00483661">
        <w:rPr>
          <w:sz w:val="28"/>
          <w:szCs w:val="28"/>
        </w:rPr>
        <w:t xml:space="preserve">proposed </w:t>
      </w:r>
      <w:r w:rsidR="00712381">
        <w:rPr>
          <w:sz w:val="28"/>
          <w:szCs w:val="28"/>
        </w:rPr>
        <w:t>rule and form.</w:t>
      </w:r>
    </w:p>
    <w:p w14:paraId="0C4F5DF0" w14:textId="6F3125C1" w:rsidR="00827D7F" w:rsidRPr="001B3E61" w:rsidRDefault="00827D7F" w:rsidP="000C05C9">
      <w:pPr>
        <w:pStyle w:val="ListParagraph"/>
        <w:numPr>
          <w:ilvl w:val="0"/>
          <w:numId w:val="6"/>
        </w:numPr>
        <w:spacing w:line="480" w:lineRule="auto"/>
        <w:ind w:left="0" w:firstLine="720"/>
        <w:contextualSpacing/>
        <w:jc w:val="both"/>
        <w:rPr>
          <w:sz w:val="28"/>
          <w:szCs w:val="28"/>
        </w:rPr>
      </w:pPr>
      <w:r w:rsidRPr="00912D06">
        <w:rPr>
          <w:sz w:val="28"/>
          <w:szCs w:val="28"/>
        </w:rPr>
        <w:t xml:space="preserve">  </w:t>
      </w:r>
      <w:r w:rsidR="002D4C38" w:rsidRPr="00121D12">
        <w:rPr>
          <w:b/>
          <w:sz w:val="28"/>
          <w:szCs w:val="28"/>
          <w:u w:val="single"/>
        </w:rPr>
        <w:t>Summary of the Comments</w:t>
      </w:r>
      <w:r w:rsidR="002D4C38" w:rsidRPr="006049DC">
        <w:rPr>
          <w:b/>
          <w:sz w:val="28"/>
          <w:szCs w:val="28"/>
          <w:u w:val="single"/>
        </w:rPr>
        <w:t>.</w:t>
      </w:r>
      <w:r w:rsidR="002D4C38">
        <w:rPr>
          <w:sz w:val="28"/>
          <w:szCs w:val="28"/>
        </w:rPr>
        <w:t xml:space="preserve">  </w:t>
      </w:r>
      <w:r w:rsidR="00336F10">
        <w:rPr>
          <w:sz w:val="28"/>
          <w:szCs w:val="28"/>
        </w:rPr>
        <w:t xml:space="preserve">Two comments to the petition were filed on the Rules Forum.  </w:t>
      </w:r>
      <w:r w:rsidR="002D4C38">
        <w:rPr>
          <w:sz w:val="28"/>
          <w:szCs w:val="28"/>
        </w:rPr>
        <w:t>One comment was filed by the Arizona Attorneys for Criminal Justice (“AACJ”)</w:t>
      </w:r>
      <w:r w:rsidR="007D1A54">
        <w:rPr>
          <w:sz w:val="28"/>
          <w:szCs w:val="28"/>
        </w:rPr>
        <w:t>,</w:t>
      </w:r>
      <w:r w:rsidR="002D4C38">
        <w:rPr>
          <w:sz w:val="28"/>
          <w:szCs w:val="28"/>
        </w:rPr>
        <w:t xml:space="preserve"> and your Petitioner undersigned filed the other.  Both comments were filed on May 1, 2020, </w:t>
      </w:r>
      <w:r w:rsidR="00483661">
        <w:rPr>
          <w:sz w:val="28"/>
          <w:szCs w:val="28"/>
        </w:rPr>
        <w:t xml:space="preserve">several </w:t>
      </w:r>
      <w:r w:rsidR="002D4C38">
        <w:rPr>
          <w:sz w:val="28"/>
          <w:szCs w:val="28"/>
        </w:rPr>
        <w:t xml:space="preserve">weeks into the COVID-19 pandemic.  AACJ’s </w:t>
      </w:r>
      <w:r w:rsidR="002D4C38">
        <w:rPr>
          <w:sz w:val="28"/>
          <w:szCs w:val="28"/>
        </w:rPr>
        <w:lastRenderedPageBreak/>
        <w:t>comment observed, “The current circumstances and future uncertainty caused by the COVID-19 pandemic make such expanded availability [of telephonic pleas] even more prudent.”  Petitioner’s own comment noted that “</w:t>
      </w:r>
      <w:r w:rsidR="002D4C38">
        <w:rPr>
          <w:sz w:val="29"/>
          <w:szCs w:val="29"/>
        </w:rPr>
        <w:t>due to the concern for the spread of COVID-19 in the general population, courts must conduct court business in a manner that reduces the risk associated with this public emergency, which includes expanding the use of technology to eliminate or limit in-person contact.”</w:t>
      </w:r>
      <w:r w:rsidR="00712381">
        <w:rPr>
          <w:sz w:val="29"/>
          <w:szCs w:val="29"/>
        </w:rPr>
        <w:t xml:space="preserve">  </w:t>
      </w:r>
      <w:r w:rsidR="00FA0CFF">
        <w:rPr>
          <w:sz w:val="29"/>
          <w:szCs w:val="29"/>
        </w:rPr>
        <w:t xml:space="preserve">Thus, </w:t>
      </w:r>
      <w:r w:rsidR="00712381">
        <w:rPr>
          <w:sz w:val="29"/>
          <w:szCs w:val="29"/>
        </w:rPr>
        <w:t>COVID</w:t>
      </w:r>
      <w:r w:rsidR="007D1A54">
        <w:rPr>
          <w:sz w:val="29"/>
          <w:szCs w:val="29"/>
        </w:rPr>
        <w:t>-19 underscored</w:t>
      </w:r>
      <w:r w:rsidR="00712381">
        <w:rPr>
          <w:sz w:val="29"/>
          <w:szCs w:val="29"/>
        </w:rPr>
        <w:t xml:space="preserve"> the need for </w:t>
      </w:r>
      <w:r w:rsidR="007D1A54">
        <w:rPr>
          <w:sz w:val="29"/>
          <w:szCs w:val="29"/>
        </w:rPr>
        <w:t>expanded use of telephonic pleas in limited jurisdiction courts.</w:t>
      </w:r>
    </w:p>
    <w:p w14:paraId="6395B85A" w14:textId="19FE1406" w:rsidR="001B3E61" w:rsidRDefault="001B3E61" w:rsidP="001B3E61">
      <w:pPr>
        <w:pStyle w:val="ListParagraph"/>
        <w:spacing w:line="480" w:lineRule="auto"/>
        <w:ind w:left="0" w:firstLine="720"/>
        <w:contextualSpacing/>
        <w:jc w:val="both"/>
        <w:rPr>
          <w:sz w:val="28"/>
          <w:szCs w:val="28"/>
        </w:rPr>
      </w:pPr>
      <w:r>
        <w:rPr>
          <w:sz w:val="28"/>
          <w:szCs w:val="28"/>
        </w:rPr>
        <w:t xml:space="preserve">AACJ’s comment further noted that </w:t>
      </w:r>
      <w:r w:rsidR="00DF1F2B">
        <w:rPr>
          <w:sz w:val="28"/>
          <w:szCs w:val="28"/>
        </w:rPr>
        <w:t>c</w:t>
      </w:r>
      <w:r>
        <w:rPr>
          <w:sz w:val="28"/>
          <w:szCs w:val="28"/>
        </w:rPr>
        <w:t>urrent Rule 17.1(f)(1)(A) limits the eligibility for telephonic pleas in limited-jurisdiction courts to defendants who reside out-of-state or more than 100 miles from the court</w:t>
      </w:r>
      <w:r w:rsidR="007D1A54">
        <w:rPr>
          <w:sz w:val="28"/>
          <w:szCs w:val="28"/>
        </w:rPr>
        <w:t>,</w:t>
      </w:r>
      <w:r>
        <w:rPr>
          <w:sz w:val="28"/>
          <w:szCs w:val="28"/>
        </w:rPr>
        <w:t xml:space="preserve"> or who have a serious medical conduction that makes appearing in court an undue hardship. </w:t>
      </w:r>
      <w:r w:rsidR="00DF1F2B">
        <w:rPr>
          <w:sz w:val="28"/>
          <w:szCs w:val="28"/>
        </w:rPr>
        <w:t xml:space="preserve"> The amendments to this rule </w:t>
      </w:r>
      <w:r w:rsidR="00FA0CFF">
        <w:rPr>
          <w:sz w:val="28"/>
          <w:szCs w:val="28"/>
        </w:rPr>
        <w:t xml:space="preserve">initially </w:t>
      </w:r>
      <w:r w:rsidR="00DF1F2B">
        <w:rPr>
          <w:sz w:val="28"/>
          <w:szCs w:val="28"/>
        </w:rPr>
        <w:t>proposed by the Petitioner contained t</w:t>
      </w:r>
      <w:r w:rsidR="007D1A54">
        <w:rPr>
          <w:sz w:val="28"/>
          <w:szCs w:val="28"/>
        </w:rPr>
        <w:t xml:space="preserve">hese </w:t>
      </w:r>
      <w:r w:rsidR="00DF1F2B">
        <w:rPr>
          <w:sz w:val="28"/>
          <w:szCs w:val="28"/>
        </w:rPr>
        <w:t>same limitation</w:t>
      </w:r>
      <w:r w:rsidR="007D1A54">
        <w:rPr>
          <w:sz w:val="28"/>
          <w:szCs w:val="28"/>
        </w:rPr>
        <w:t>s</w:t>
      </w:r>
      <w:r w:rsidR="00DF1F2B">
        <w:rPr>
          <w:sz w:val="28"/>
          <w:szCs w:val="28"/>
        </w:rPr>
        <w:t>.  AACJ recommended that “t</w:t>
      </w:r>
      <w:r>
        <w:rPr>
          <w:sz w:val="28"/>
          <w:szCs w:val="28"/>
        </w:rPr>
        <w:t>he Court should take this opportunity to expand the eligibility of telephonic pleas in limited-jurisdiction courts beyond these two categories of defendants.</w:t>
      </w:r>
      <w:r w:rsidR="00DF1F2B">
        <w:rPr>
          <w:sz w:val="28"/>
          <w:szCs w:val="28"/>
        </w:rPr>
        <w:t>”  Because the COVID-19 pandemic will likely continue for the foreseeable future, Petitioner agrees with th</w:t>
      </w:r>
      <w:r w:rsidR="006049DC">
        <w:rPr>
          <w:sz w:val="28"/>
          <w:szCs w:val="28"/>
        </w:rPr>
        <w:t>e AACJ’s</w:t>
      </w:r>
      <w:r w:rsidR="00DF1F2B">
        <w:rPr>
          <w:sz w:val="28"/>
          <w:szCs w:val="28"/>
        </w:rPr>
        <w:t xml:space="preserve"> recommendation.</w:t>
      </w:r>
    </w:p>
    <w:p w14:paraId="11738C4D" w14:textId="2D09570D" w:rsidR="00DF1F2B" w:rsidRPr="00C24CD2" w:rsidRDefault="00DC4AF4" w:rsidP="00C24CD2">
      <w:pPr>
        <w:pStyle w:val="ListParagraph"/>
        <w:numPr>
          <w:ilvl w:val="0"/>
          <w:numId w:val="6"/>
        </w:numPr>
        <w:spacing w:line="480" w:lineRule="auto"/>
        <w:ind w:left="90" w:firstLine="630"/>
        <w:jc w:val="both"/>
        <w:rPr>
          <w:sz w:val="28"/>
          <w:szCs w:val="28"/>
        </w:rPr>
      </w:pPr>
      <w:r w:rsidRPr="00DC4AF4">
        <w:rPr>
          <w:sz w:val="28"/>
          <w:szCs w:val="28"/>
          <w:u w:val="single"/>
        </w:rPr>
        <w:t xml:space="preserve"> </w:t>
      </w:r>
      <w:r w:rsidR="00DF1F2B" w:rsidRPr="00121D12">
        <w:rPr>
          <w:b/>
          <w:sz w:val="28"/>
          <w:szCs w:val="28"/>
          <w:u w:val="single"/>
        </w:rPr>
        <w:t>Proposed Changes</w:t>
      </w:r>
      <w:r w:rsidR="00DF1F2B" w:rsidRPr="006049DC">
        <w:rPr>
          <w:b/>
          <w:sz w:val="28"/>
          <w:szCs w:val="28"/>
          <w:u w:val="single"/>
        </w:rPr>
        <w:t>.</w:t>
      </w:r>
      <w:r w:rsidR="00DF1F2B" w:rsidRPr="00C24CD2">
        <w:rPr>
          <w:sz w:val="28"/>
          <w:szCs w:val="28"/>
        </w:rPr>
        <w:t xml:space="preserve">  </w:t>
      </w:r>
      <w:r w:rsidR="00C24CD2" w:rsidRPr="00C24CD2">
        <w:rPr>
          <w:sz w:val="28"/>
          <w:szCs w:val="28"/>
        </w:rPr>
        <w:t xml:space="preserve">Here is an explanation of the most </w:t>
      </w:r>
      <w:r w:rsidR="00DF1F2B" w:rsidRPr="00C24CD2">
        <w:rPr>
          <w:sz w:val="28"/>
          <w:szCs w:val="28"/>
        </w:rPr>
        <w:t>significant</w:t>
      </w:r>
      <w:r w:rsidR="00FA0CFF">
        <w:rPr>
          <w:sz w:val="28"/>
          <w:szCs w:val="28"/>
        </w:rPr>
        <w:t>, recent</w:t>
      </w:r>
      <w:r w:rsidR="00DF1F2B" w:rsidRPr="00C24CD2">
        <w:rPr>
          <w:sz w:val="28"/>
          <w:szCs w:val="28"/>
        </w:rPr>
        <w:t xml:space="preserve"> revisions to </w:t>
      </w:r>
      <w:r w:rsidR="00C24CD2" w:rsidRPr="00C24CD2">
        <w:rPr>
          <w:sz w:val="28"/>
          <w:szCs w:val="28"/>
        </w:rPr>
        <w:t>Rule 17.1(f).</w:t>
      </w:r>
    </w:p>
    <w:p w14:paraId="018528A9" w14:textId="6E8D42FC" w:rsidR="00DF1F2B" w:rsidRPr="00C24CD2" w:rsidRDefault="00DF1F2B" w:rsidP="00C24CD2">
      <w:pPr>
        <w:spacing w:line="480" w:lineRule="auto"/>
        <w:ind w:firstLine="720"/>
        <w:jc w:val="both"/>
        <w:rPr>
          <w:sz w:val="28"/>
          <w:szCs w:val="28"/>
        </w:rPr>
      </w:pPr>
      <w:r w:rsidRPr="00FA0CFF">
        <w:rPr>
          <w:sz w:val="28"/>
          <w:szCs w:val="28"/>
        </w:rPr>
        <w:lastRenderedPageBreak/>
        <w:t xml:space="preserve">First, a definition of “telephonic” was added in the introductory language </w:t>
      </w:r>
      <w:r w:rsidR="00C24CD2" w:rsidRPr="00FA0CFF">
        <w:rPr>
          <w:sz w:val="28"/>
          <w:szCs w:val="28"/>
        </w:rPr>
        <w:t>of section (f)</w:t>
      </w:r>
      <w:r w:rsidR="00FA0CFF">
        <w:rPr>
          <w:sz w:val="28"/>
          <w:szCs w:val="28"/>
        </w:rPr>
        <w:t xml:space="preserve">.  “Telephonic” </w:t>
      </w:r>
      <w:r w:rsidR="00C24CD2" w:rsidRPr="00FA0CFF">
        <w:rPr>
          <w:sz w:val="28"/>
          <w:szCs w:val="28"/>
        </w:rPr>
        <w:t>includes</w:t>
      </w:r>
      <w:r w:rsidRPr="00FA0CFF">
        <w:rPr>
          <w:sz w:val="28"/>
          <w:szCs w:val="28"/>
        </w:rPr>
        <w:t xml:space="preserve"> “</w:t>
      </w:r>
      <w:r w:rsidR="00FA0CFF" w:rsidRPr="00FA0CFF">
        <w:rPr>
          <w:iCs/>
          <w:sz w:val="28"/>
          <w:szCs w:val="28"/>
        </w:rPr>
        <w:t xml:space="preserve">voice only communications between the court and the parties, </w:t>
      </w:r>
      <w:r w:rsidR="001C1780">
        <w:rPr>
          <w:iCs/>
          <w:sz w:val="28"/>
          <w:szCs w:val="28"/>
        </w:rPr>
        <w:t>and</w:t>
      </w:r>
      <w:r w:rsidR="00FA0CFF" w:rsidRPr="00FA0CFF">
        <w:rPr>
          <w:iCs/>
          <w:sz w:val="28"/>
          <w:szCs w:val="28"/>
        </w:rPr>
        <w:t xml:space="preserve"> an application that permits video in addition to voice communications.</w:t>
      </w:r>
      <w:r w:rsidRPr="00FA0CFF">
        <w:rPr>
          <w:sz w:val="28"/>
          <w:szCs w:val="28"/>
        </w:rPr>
        <w:t>”</w:t>
      </w:r>
      <w:r w:rsidR="00DC4AF4">
        <w:rPr>
          <w:sz w:val="28"/>
          <w:szCs w:val="28"/>
        </w:rPr>
        <w:t xml:space="preserve"> </w:t>
      </w:r>
      <w:r w:rsidRPr="00C24CD2">
        <w:rPr>
          <w:sz w:val="28"/>
          <w:szCs w:val="28"/>
        </w:rPr>
        <w:t xml:space="preserve"> </w:t>
      </w:r>
      <w:r w:rsidR="006049DC">
        <w:rPr>
          <w:sz w:val="28"/>
          <w:szCs w:val="28"/>
        </w:rPr>
        <w:t>Along with</w:t>
      </w:r>
      <w:r w:rsidR="004140FB">
        <w:rPr>
          <w:sz w:val="28"/>
          <w:szCs w:val="28"/>
        </w:rPr>
        <w:t xml:space="preserve"> traditional telephonic communications, t</w:t>
      </w:r>
      <w:r w:rsidRPr="00C24CD2">
        <w:rPr>
          <w:sz w:val="28"/>
          <w:szCs w:val="28"/>
        </w:rPr>
        <w:t xml:space="preserve">his </w:t>
      </w:r>
      <w:r w:rsidR="00C24CD2">
        <w:rPr>
          <w:sz w:val="28"/>
          <w:szCs w:val="28"/>
        </w:rPr>
        <w:t xml:space="preserve">definition </w:t>
      </w:r>
      <w:r w:rsidRPr="00C24CD2">
        <w:rPr>
          <w:sz w:val="28"/>
          <w:szCs w:val="28"/>
        </w:rPr>
        <w:t>would permit, for example, the use of Zoom</w:t>
      </w:r>
      <w:r w:rsidR="00DD3165">
        <w:rPr>
          <w:sz w:val="28"/>
          <w:szCs w:val="28"/>
        </w:rPr>
        <w:t>, Skype, FaceTime,</w:t>
      </w:r>
      <w:r w:rsidRPr="00C24CD2">
        <w:rPr>
          <w:sz w:val="28"/>
          <w:szCs w:val="28"/>
        </w:rPr>
        <w:t xml:space="preserve"> or similar </w:t>
      </w:r>
      <w:r w:rsidR="00C24CD2">
        <w:rPr>
          <w:sz w:val="28"/>
          <w:szCs w:val="28"/>
        </w:rPr>
        <w:t>internet-based applications</w:t>
      </w:r>
      <w:r w:rsidR="007D1A54">
        <w:rPr>
          <w:sz w:val="28"/>
          <w:szCs w:val="28"/>
        </w:rPr>
        <w:t xml:space="preserve">, which are now widely </w:t>
      </w:r>
      <w:r w:rsidR="00FA0CFF">
        <w:rPr>
          <w:sz w:val="28"/>
          <w:szCs w:val="28"/>
        </w:rPr>
        <w:t xml:space="preserve">utilized </w:t>
      </w:r>
      <w:r w:rsidR="007D1A54">
        <w:rPr>
          <w:sz w:val="28"/>
          <w:szCs w:val="28"/>
        </w:rPr>
        <w:t>by courts and others.</w:t>
      </w:r>
      <w:r w:rsidR="00DC4AF4">
        <w:rPr>
          <w:sz w:val="28"/>
          <w:szCs w:val="28"/>
        </w:rPr>
        <w:t xml:space="preserve"> </w:t>
      </w:r>
      <w:r w:rsidRPr="00C24CD2">
        <w:rPr>
          <w:sz w:val="28"/>
          <w:szCs w:val="28"/>
        </w:rPr>
        <w:t xml:space="preserve"> The introductory language </w:t>
      </w:r>
      <w:r w:rsidR="00C24CD2">
        <w:rPr>
          <w:sz w:val="28"/>
          <w:szCs w:val="28"/>
        </w:rPr>
        <w:t xml:space="preserve">to section (f) </w:t>
      </w:r>
      <w:r w:rsidRPr="00C24CD2">
        <w:rPr>
          <w:sz w:val="28"/>
          <w:szCs w:val="28"/>
        </w:rPr>
        <w:t xml:space="preserve">also provides that these provisions apply to pleas submitted through </w:t>
      </w:r>
      <w:r w:rsidR="00C24CD2">
        <w:rPr>
          <w:sz w:val="28"/>
          <w:szCs w:val="28"/>
        </w:rPr>
        <w:t>an online dispute resolution system (“</w:t>
      </w:r>
      <w:r w:rsidRPr="00C24CD2">
        <w:rPr>
          <w:sz w:val="28"/>
          <w:szCs w:val="28"/>
        </w:rPr>
        <w:t>ODR</w:t>
      </w:r>
      <w:r w:rsidR="00C24CD2">
        <w:rPr>
          <w:sz w:val="28"/>
          <w:szCs w:val="28"/>
        </w:rPr>
        <w:t xml:space="preserve">”), which the Court </w:t>
      </w:r>
      <w:r w:rsidR="00FA0CFF">
        <w:rPr>
          <w:sz w:val="28"/>
          <w:szCs w:val="28"/>
        </w:rPr>
        <w:t>authorized</w:t>
      </w:r>
      <w:r w:rsidR="00C24CD2">
        <w:rPr>
          <w:sz w:val="28"/>
          <w:szCs w:val="28"/>
        </w:rPr>
        <w:t xml:space="preserve"> </w:t>
      </w:r>
      <w:r w:rsidR="007D1A54">
        <w:rPr>
          <w:sz w:val="28"/>
          <w:szCs w:val="28"/>
        </w:rPr>
        <w:t xml:space="preserve">in 2019 </w:t>
      </w:r>
      <w:r w:rsidR="00C24CD2">
        <w:rPr>
          <w:sz w:val="28"/>
          <w:szCs w:val="28"/>
        </w:rPr>
        <w:t>through a pilot program in an Arizona municipal court.</w:t>
      </w:r>
      <w:r w:rsidR="00FA0CFF">
        <w:rPr>
          <w:sz w:val="28"/>
          <w:szCs w:val="28"/>
        </w:rPr>
        <w:t xml:space="preserve"> </w:t>
      </w:r>
      <w:r w:rsidR="00DC4AF4">
        <w:rPr>
          <w:sz w:val="28"/>
          <w:szCs w:val="28"/>
        </w:rPr>
        <w:t xml:space="preserve"> </w:t>
      </w:r>
      <w:r w:rsidR="00FA0CFF">
        <w:rPr>
          <w:sz w:val="28"/>
          <w:szCs w:val="28"/>
        </w:rPr>
        <w:t>(See Administrative Order No. 2019-04.)</w:t>
      </w:r>
    </w:p>
    <w:p w14:paraId="75CB891D" w14:textId="3C4FADB7" w:rsidR="00DF1F2B" w:rsidRPr="00C24CD2" w:rsidRDefault="00DF1F2B" w:rsidP="00C24CD2">
      <w:pPr>
        <w:spacing w:line="480" w:lineRule="auto"/>
        <w:ind w:firstLine="720"/>
        <w:jc w:val="both"/>
        <w:rPr>
          <w:sz w:val="28"/>
          <w:szCs w:val="28"/>
        </w:rPr>
      </w:pPr>
      <w:r w:rsidRPr="00C24CD2">
        <w:rPr>
          <w:sz w:val="28"/>
          <w:szCs w:val="28"/>
        </w:rPr>
        <w:t xml:space="preserve">Second, </w:t>
      </w:r>
      <w:r w:rsidR="00C24CD2">
        <w:rPr>
          <w:sz w:val="28"/>
          <w:szCs w:val="28"/>
        </w:rPr>
        <w:t>Rule 17.1(f)(1)</w:t>
      </w:r>
      <w:r w:rsidRPr="00C24CD2">
        <w:rPr>
          <w:sz w:val="28"/>
          <w:szCs w:val="28"/>
        </w:rPr>
        <w:t>(A) (</w:t>
      </w:r>
      <w:r w:rsidR="00C24CD2">
        <w:rPr>
          <w:sz w:val="28"/>
          <w:szCs w:val="28"/>
        </w:rPr>
        <w:t xml:space="preserve">titled </w:t>
      </w:r>
      <w:r w:rsidRPr="00C24CD2">
        <w:rPr>
          <w:sz w:val="28"/>
          <w:szCs w:val="28"/>
        </w:rPr>
        <w:t>“discretionary”) clarifies that a</w:t>
      </w:r>
      <w:r w:rsidR="007D1A54">
        <w:rPr>
          <w:sz w:val="28"/>
          <w:szCs w:val="28"/>
        </w:rPr>
        <w:t xml:space="preserve"> limited jurisdiction </w:t>
      </w:r>
      <w:r w:rsidRPr="00C24CD2">
        <w:rPr>
          <w:sz w:val="28"/>
          <w:szCs w:val="28"/>
        </w:rPr>
        <w:t>court has discretion to accept a telephonic plea in any misdemeanor case.</w:t>
      </w:r>
      <w:r w:rsidR="00DC4AF4">
        <w:rPr>
          <w:sz w:val="28"/>
          <w:szCs w:val="28"/>
        </w:rPr>
        <w:t xml:space="preserve"> </w:t>
      </w:r>
      <w:r w:rsidRPr="00C24CD2">
        <w:rPr>
          <w:sz w:val="28"/>
          <w:szCs w:val="28"/>
        </w:rPr>
        <w:t xml:space="preserve"> There are multiple factors that could influence th</w:t>
      </w:r>
      <w:r w:rsidR="007D1A54">
        <w:rPr>
          <w:sz w:val="28"/>
          <w:szCs w:val="28"/>
        </w:rPr>
        <w:t xml:space="preserve">e court’s </w:t>
      </w:r>
      <w:r w:rsidRPr="00C24CD2">
        <w:rPr>
          <w:sz w:val="28"/>
          <w:szCs w:val="28"/>
        </w:rPr>
        <w:t xml:space="preserve">discretion, including the nature of the charge, </w:t>
      </w:r>
      <w:r w:rsidR="007D1A54">
        <w:rPr>
          <w:sz w:val="28"/>
          <w:szCs w:val="28"/>
        </w:rPr>
        <w:t xml:space="preserve">the defendant’s criminal history, </w:t>
      </w:r>
      <w:r w:rsidRPr="00C24CD2">
        <w:rPr>
          <w:sz w:val="28"/>
          <w:szCs w:val="28"/>
        </w:rPr>
        <w:t xml:space="preserve">the volume of cases on the court’s calendar, and the court’s logistical capabilities. </w:t>
      </w:r>
      <w:r w:rsidR="00DC4AF4">
        <w:rPr>
          <w:sz w:val="28"/>
          <w:szCs w:val="28"/>
        </w:rPr>
        <w:t xml:space="preserve"> </w:t>
      </w:r>
      <w:r w:rsidRPr="00C24CD2">
        <w:rPr>
          <w:sz w:val="28"/>
          <w:szCs w:val="28"/>
        </w:rPr>
        <w:t>Additionally</w:t>
      </w:r>
      <w:r w:rsidR="00C24CD2">
        <w:rPr>
          <w:sz w:val="28"/>
          <w:szCs w:val="28"/>
        </w:rPr>
        <w:t>, and driven large</w:t>
      </w:r>
      <w:r w:rsidR="00483661">
        <w:rPr>
          <w:sz w:val="28"/>
          <w:szCs w:val="28"/>
        </w:rPr>
        <w:t>ly</w:t>
      </w:r>
      <w:r w:rsidR="00C24CD2">
        <w:rPr>
          <w:sz w:val="28"/>
          <w:szCs w:val="28"/>
        </w:rPr>
        <w:t xml:space="preserve"> by the COVID-19 pandemic, </w:t>
      </w:r>
      <w:r w:rsidRPr="00C24CD2">
        <w:rPr>
          <w:sz w:val="28"/>
          <w:szCs w:val="28"/>
        </w:rPr>
        <w:t xml:space="preserve">the provision no longer requires that the defendant reside in another state, at least 100 miles from the courthouse, or have a serious medical condition </w:t>
      </w:r>
      <w:r w:rsidR="00483661">
        <w:rPr>
          <w:sz w:val="28"/>
          <w:szCs w:val="28"/>
        </w:rPr>
        <w:t xml:space="preserve">to be eligible </w:t>
      </w:r>
      <w:r w:rsidRPr="00C24CD2">
        <w:rPr>
          <w:sz w:val="28"/>
          <w:szCs w:val="28"/>
        </w:rPr>
        <w:t>to enter a telephonic plea.</w:t>
      </w:r>
      <w:r w:rsidR="00DC4AF4">
        <w:rPr>
          <w:sz w:val="28"/>
          <w:szCs w:val="28"/>
        </w:rPr>
        <w:t xml:space="preserve"> </w:t>
      </w:r>
      <w:r w:rsidR="005C23D0">
        <w:rPr>
          <w:sz w:val="28"/>
          <w:szCs w:val="28"/>
        </w:rPr>
        <w:t xml:space="preserve"> </w:t>
      </w:r>
      <w:r w:rsidR="00FA0CFF">
        <w:rPr>
          <w:sz w:val="28"/>
          <w:szCs w:val="28"/>
        </w:rPr>
        <w:t xml:space="preserve">Under the proposed amendments, a defendant </w:t>
      </w:r>
      <w:r w:rsidR="00483661">
        <w:rPr>
          <w:sz w:val="28"/>
          <w:szCs w:val="28"/>
        </w:rPr>
        <w:t xml:space="preserve">in perfect health </w:t>
      </w:r>
      <w:r w:rsidR="00FA0CFF">
        <w:rPr>
          <w:sz w:val="28"/>
          <w:szCs w:val="28"/>
        </w:rPr>
        <w:t>who live</w:t>
      </w:r>
      <w:r w:rsidR="001C1780">
        <w:rPr>
          <w:sz w:val="28"/>
          <w:szCs w:val="28"/>
        </w:rPr>
        <w:t xml:space="preserve">s </w:t>
      </w:r>
      <w:r w:rsidR="00FA0CFF">
        <w:rPr>
          <w:sz w:val="28"/>
          <w:szCs w:val="28"/>
        </w:rPr>
        <w:t>across the street from the courthouse could</w:t>
      </w:r>
      <w:r w:rsidR="00483661">
        <w:rPr>
          <w:sz w:val="28"/>
          <w:szCs w:val="28"/>
        </w:rPr>
        <w:t>, if the court allow</w:t>
      </w:r>
      <w:r w:rsidR="001C1780">
        <w:rPr>
          <w:sz w:val="28"/>
          <w:szCs w:val="28"/>
        </w:rPr>
        <w:t>s</w:t>
      </w:r>
      <w:r w:rsidR="00483661">
        <w:rPr>
          <w:sz w:val="28"/>
          <w:szCs w:val="28"/>
        </w:rPr>
        <w:t>,</w:t>
      </w:r>
      <w:r w:rsidR="00FA0CFF">
        <w:rPr>
          <w:sz w:val="28"/>
          <w:szCs w:val="28"/>
        </w:rPr>
        <w:t xml:space="preserve"> enter a telephonic plea. </w:t>
      </w:r>
      <w:r w:rsidR="00DC4AF4">
        <w:rPr>
          <w:sz w:val="28"/>
          <w:szCs w:val="28"/>
        </w:rPr>
        <w:t xml:space="preserve"> </w:t>
      </w:r>
      <w:r w:rsidRPr="00C24CD2">
        <w:rPr>
          <w:sz w:val="28"/>
          <w:szCs w:val="28"/>
        </w:rPr>
        <w:t xml:space="preserve">This change </w:t>
      </w:r>
      <w:r w:rsidR="003C23FA">
        <w:rPr>
          <w:sz w:val="28"/>
          <w:szCs w:val="28"/>
        </w:rPr>
        <w:t xml:space="preserve">also </w:t>
      </w:r>
      <w:r w:rsidRPr="00C24CD2">
        <w:rPr>
          <w:sz w:val="28"/>
          <w:szCs w:val="28"/>
        </w:rPr>
        <w:lastRenderedPageBreak/>
        <w:t>align</w:t>
      </w:r>
      <w:r w:rsidR="003C23FA">
        <w:rPr>
          <w:sz w:val="28"/>
          <w:szCs w:val="28"/>
        </w:rPr>
        <w:t>s the rule with the</w:t>
      </w:r>
      <w:r w:rsidRPr="00C24CD2">
        <w:rPr>
          <w:sz w:val="28"/>
          <w:szCs w:val="28"/>
        </w:rPr>
        <w:t xml:space="preserve"> </w:t>
      </w:r>
      <w:r w:rsidR="003C23FA">
        <w:rPr>
          <w:sz w:val="28"/>
          <w:szCs w:val="28"/>
        </w:rPr>
        <w:t>structure of the</w:t>
      </w:r>
      <w:r w:rsidRPr="00C24CD2">
        <w:rPr>
          <w:sz w:val="28"/>
          <w:szCs w:val="28"/>
        </w:rPr>
        <w:t xml:space="preserve"> ODR</w:t>
      </w:r>
      <w:r w:rsidR="003C23FA">
        <w:rPr>
          <w:sz w:val="28"/>
          <w:szCs w:val="28"/>
        </w:rPr>
        <w:t xml:space="preserve"> pilot</w:t>
      </w:r>
      <w:r w:rsidRPr="00C24CD2">
        <w:rPr>
          <w:sz w:val="28"/>
          <w:szCs w:val="28"/>
        </w:rPr>
        <w:t>, which has no geographic or medical pre-conditions.</w:t>
      </w:r>
      <w:r w:rsidR="004F1448">
        <w:rPr>
          <w:rStyle w:val="FootnoteReference"/>
          <w:sz w:val="28"/>
          <w:szCs w:val="28"/>
        </w:rPr>
        <w:footnoteReference w:id="1"/>
      </w:r>
    </w:p>
    <w:p w14:paraId="77AE191E" w14:textId="1A75EDA0" w:rsidR="00DF1F2B" w:rsidRPr="00C24CD2" w:rsidRDefault="00DF1F2B" w:rsidP="00C24CD2">
      <w:pPr>
        <w:spacing w:line="480" w:lineRule="auto"/>
        <w:ind w:firstLine="720"/>
        <w:jc w:val="both"/>
        <w:rPr>
          <w:sz w:val="28"/>
          <w:szCs w:val="28"/>
        </w:rPr>
      </w:pPr>
      <w:r w:rsidRPr="00C24CD2">
        <w:rPr>
          <w:sz w:val="28"/>
          <w:szCs w:val="28"/>
        </w:rPr>
        <w:t xml:space="preserve">Third, the </w:t>
      </w:r>
      <w:r w:rsidR="004140FB">
        <w:rPr>
          <w:sz w:val="28"/>
          <w:szCs w:val="28"/>
        </w:rPr>
        <w:t xml:space="preserve">proposed </w:t>
      </w:r>
      <w:r w:rsidRPr="00C24CD2">
        <w:rPr>
          <w:sz w:val="28"/>
          <w:szCs w:val="28"/>
        </w:rPr>
        <w:t xml:space="preserve">procedure in </w:t>
      </w:r>
      <w:r w:rsidR="00974E69">
        <w:rPr>
          <w:sz w:val="28"/>
          <w:szCs w:val="28"/>
        </w:rPr>
        <w:t xml:space="preserve">revised </w:t>
      </w:r>
      <w:r w:rsidR="003C23FA">
        <w:rPr>
          <w:sz w:val="28"/>
          <w:szCs w:val="28"/>
        </w:rPr>
        <w:t>Rule 17.1(f)(1)</w:t>
      </w:r>
      <w:r w:rsidRPr="00C24CD2">
        <w:rPr>
          <w:sz w:val="28"/>
          <w:szCs w:val="28"/>
        </w:rPr>
        <w:t xml:space="preserve">(B) </w:t>
      </w:r>
      <w:r w:rsidR="004140FB">
        <w:rPr>
          <w:sz w:val="28"/>
          <w:szCs w:val="28"/>
        </w:rPr>
        <w:t xml:space="preserve">would </w:t>
      </w:r>
      <w:r w:rsidRPr="00C24CD2">
        <w:rPr>
          <w:sz w:val="28"/>
          <w:szCs w:val="28"/>
        </w:rPr>
        <w:t>require</w:t>
      </w:r>
      <w:r w:rsidR="004140FB">
        <w:rPr>
          <w:sz w:val="28"/>
          <w:szCs w:val="28"/>
        </w:rPr>
        <w:t xml:space="preserve"> </w:t>
      </w:r>
      <w:r w:rsidRPr="00C24CD2">
        <w:rPr>
          <w:sz w:val="28"/>
          <w:szCs w:val="28"/>
        </w:rPr>
        <w:t>that the defendant include with Form 28 a legible photocopy of the defendant’s driver’s license or another, government-issued photo identification.</w:t>
      </w:r>
      <w:r w:rsidR="00DC4AF4">
        <w:rPr>
          <w:sz w:val="28"/>
          <w:szCs w:val="28"/>
        </w:rPr>
        <w:t xml:space="preserve">  </w:t>
      </w:r>
      <w:r w:rsidR="003C23FA">
        <w:rPr>
          <w:sz w:val="28"/>
          <w:szCs w:val="28"/>
        </w:rPr>
        <w:t>T</w:t>
      </w:r>
      <w:r w:rsidR="003C23FA" w:rsidRPr="00C24CD2">
        <w:rPr>
          <w:sz w:val="28"/>
          <w:szCs w:val="28"/>
        </w:rPr>
        <w:t xml:space="preserve">he current rule requires </w:t>
      </w:r>
      <w:r w:rsidR="007D1A54">
        <w:rPr>
          <w:sz w:val="28"/>
          <w:szCs w:val="28"/>
        </w:rPr>
        <w:t xml:space="preserve">a law enforcement officer to add the defendant’s </w:t>
      </w:r>
      <w:r w:rsidR="003C23FA">
        <w:rPr>
          <w:sz w:val="28"/>
          <w:szCs w:val="28"/>
        </w:rPr>
        <w:t>fingerprint</w:t>
      </w:r>
      <w:r w:rsidR="007D1A54">
        <w:rPr>
          <w:sz w:val="28"/>
          <w:szCs w:val="28"/>
        </w:rPr>
        <w:t xml:space="preserve"> to Form 28 </w:t>
      </w:r>
      <w:r w:rsidR="003C23FA">
        <w:rPr>
          <w:sz w:val="28"/>
          <w:szCs w:val="28"/>
        </w:rPr>
        <w:t xml:space="preserve">in every case in which the defendant enters a telephonic plea.  However, the </w:t>
      </w:r>
      <w:r w:rsidR="00683826">
        <w:rPr>
          <w:sz w:val="28"/>
          <w:szCs w:val="28"/>
        </w:rPr>
        <w:t xml:space="preserve">list of offenses in A.R.S. § 13-607(A), which contains the fingerprint requirement, does not include every misdemeanor, so </w:t>
      </w:r>
      <w:r w:rsidR="003C23FA">
        <w:rPr>
          <w:sz w:val="28"/>
          <w:szCs w:val="28"/>
        </w:rPr>
        <w:t>i</w:t>
      </w:r>
      <w:r w:rsidRPr="00C24CD2">
        <w:rPr>
          <w:sz w:val="28"/>
          <w:szCs w:val="28"/>
        </w:rPr>
        <w:t>n a significant number of cases, a fingerprint</w:t>
      </w:r>
      <w:r w:rsidR="00683826">
        <w:rPr>
          <w:sz w:val="28"/>
          <w:szCs w:val="28"/>
        </w:rPr>
        <w:t xml:space="preserve"> </w:t>
      </w:r>
      <w:r w:rsidRPr="00C24CD2">
        <w:rPr>
          <w:sz w:val="28"/>
          <w:szCs w:val="28"/>
        </w:rPr>
        <w:t xml:space="preserve">won’t be </w:t>
      </w:r>
      <w:r w:rsidR="007D1A54" w:rsidRPr="00C24CD2">
        <w:rPr>
          <w:sz w:val="28"/>
          <w:szCs w:val="28"/>
        </w:rPr>
        <w:t>necessary,</w:t>
      </w:r>
      <w:r w:rsidR="007D1A54">
        <w:rPr>
          <w:sz w:val="28"/>
          <w:szCs w:val="28"/>
        </w:rPr>
        <w:t xml:space="preserve"> and Form 28 should not require a fingerprint in those cases</w:t>
      </w:r>
      <w:r w:rsidR="00683826">
        <w:rPr>
          <w:sz w:val="28"/>
          <w:szCs w:val="28"/>
        </w:rPr>
        <w:t xml:space="preserve">. </w:t>
      </w:r>
      <w:r w:rsidR="00DC4AF4">
        <w:rPr>
          <w:sz w:val="28"/>
          <w:szCs w:val="28"/>
        </w:rPr>
        <w:t xml:space="preserve"> </w:t>
      </w:r>
      <w:r w:rsidR="00683826">
        <w:rPr>
          <w:sz w:val="28"/>
          <w:szCs w:val="28"/>
        </w:rPr>
        <w:t>Petitioner considered substituting a requirement for</w:t>
      </w:r>
      <w:r w:rsidRPr="00C24CD2">
        <w:rPr>
          <w:sz w:val="28"/>
          <w:szCs w:val="28"/>
        </w:rPr>
        <w:t xml:space="preserve"> a notary seal</w:t>
      </w:r>
      <w:r w:rsidR="00683826">
        <w:rPr>
          <w:sz w:val="28"/>
          <w:szCs w:val="28"/>
        </w:rPr>
        <w:t xml:space="preserve"> in lieu of a fingerprint in those other cases</w:t>
      </w:r>
      <w:r w:rsidRPr="00C24CD2">
        <w:rPr>
          <w:sz w:val="28"/>
          <w:szCs w:val="28"/>
        </w:rPr>
        <w:t xml:space="preserve">, but a </w:t>
      </w:r>
      <w:r w:rsidR="00683826">
        <w:rPr>
          <w:sz w:val="28"/>
          <w:szCs w:val="28"/>
        </w:rPr>
        <w:t xml:space="preserve">photocopy of </w:t>
      </w:r>
      <w:r w:rsidR="007D1A54">
        <w:rPr>
          <w:sz w:val="28"/>
          <w:szCs w:val="28"/>
        </w:rPr>
        <w:t xml:space="preserve">a </w:t>
      </w:r>
      <w:r w:rsidRPr="00C24CD2">
        <w:rPr>
          <w:sz w:val="28"/>
          <w:szCs w:val="28"/>
        </w:rPr>
        <w:t xml:space="preserve">picture </w:t>
      </w:r>
      <w:r w:rsidR="00683826">
        <w:rPr>
          <w:sz w:val="28"/>
          <w:szCs w:val="28"/>
        </w:rPr>
        <w:t>identification</w:t>
      </w:r>
      <w:r w:rsidRPr="00C24CD2">
        <w:rPr>
          <w:sz w:val="28"/>
          <w:szCs w:val="28"/>
        </w:rPr>
        <w:t xml:space="preserve"> </w:t>
      </w:r>
      <w:r w:rsidR="00683826">
        <w:rPr>
          <w:sz w:val="28"/>
          <w:szCs w:val="28"/>
        </w:rPr>
        <w:t xml:space="preserve">is self-authenticating and </w:t>
      </w:r>
      <w:r w:rsidR="007D1A54">
        <w:rPr>
          <w:sz w:val="28"/>
          <w:szCs w:val="28"/>
        </w:rPr>
        <w:t>co</w:t>
      </w:r>
      <w:r w:rsidR="00683826">
        <w:rPr>
          <w:sz w:val="28"/>
          <w:szCs w:val="28"/>
        </w:rPr>
        <w:t>uld</w:t>
      </w:r>
      <w:r w:rsidRPr="00C24CD2">
        <w:rPr>
          <w:sz w:val="28"/>
          <w:szCs w:val="28"/>
        </w:rPr>
        <w:t xml:space="preserve"> be even more useful </w:t>
      </w:r>
      <w:r w:rsidR="007D1A54">
        <w:rPr>
          <w:sz w:val="28"/>
          <w:szCs w:val="28"/>
        </w:rPr>
        <w:t xml:space="preserve">than a fingerprint </w:t>
      </w:r>
      <w:r w:rsidRPr="00C24CD2">
        <w:rPr>
          <w:sz w:val="28"/>
          <w:szCs w:val="28"/>
        </w:rPr>
        <w:t>for establishing the defendant’s identity.</w:t>
      </w:r>
    </w:p>
    <w:p w14:paraId="23ADB15D" w14:textId="4972AE5D" w:rsidR="001C1780" w:rsidRDefault="00DF1F2B" w:rsidP="00C24CD2">
      <w:pPr>
        <w:spacing w:line="480" w:lineRule="auto"/>
        <w:ind w:firstLine="720"/>
        <w:jc w:val="both"/>
        <w:rPr>
          <w:sz w:val="28"/>
          <w:szCs w:val="28"/>
        </w:rPr>
      </w:pPr>
      <w:r w:rsidRPr="00C24CD2">
        <w:rPr>
          <w:sz w:val="28"/>
          <w:szCs w:val="28"/>
        </w:rPr>
        <w:t xml:space="preserve">Fourth, section (C) (“fingerprint”) </w:t>
      </w:r>
      <w:r w:rsidR="004140FB">
        <w:rPr>
          <w:sz w:val="28"/>
          <w:szCs w:val="28"/>
        </w:rPr>
        <w:t xml:space="preserve">continues to </w:t>
      </w:r>
      <w:r w:rsidRPr="00C24CD2">
        <w:rPr>
          <w:sz w:val="28"/>
          <w:szCs w:val="28"/>
        </w:rPr>
        <w:t xml:space="preserve">acknowledge the </w:t>
      </w:r>
      <w:r w:rsidR="004140FB">
        <w:rPr>
          <w:sz w:val="28"/>
          <w:szCs w:val="28"/>
        </w:rPr>
        <w:t xml:space="preserve">fingerprint </w:t>
      </w:r>
      <w:r w:rsidRPr="00C24CD2">
        <w:rPr>
          <w:sz w:val="28"/>
          <w:szCs w:val="28"/>
        </w:rPr>
        <w:t>requirement of A</w:t>
      </w:r>
      <w:r w:rsidR="00483661">
        <w:rPr>
          <w:sz w:val="28"/>
          <w:szCs w:val="28"/>
        </w:rPr>
        <w:t>.</w:t>
      </w:r>
      <w:r w:rsidRPr="00C24CD2">
        <w:rPr>
          <w:sz w:val="28"/>
          <w:szCs w:val="28"/>
        </w:rPr>
        <w:t>R</w:t>
      </w:r>
      <w:r w:rsidR="00483661">
        <w:rPr>
          <w:sz w:val="28"/>
          <w:szCs w:val="28"/>
        </w:rPr>
        <w:t>.</w:t>
      </w:r>
      <w:r w:rsidRPr="00C24CD2">
        <w:rPr>
          <w:sz w:val="28"/>
          <w:szCs w:val="28"/>
        </w:rPr>
        <w:t>S</w:t>
      </w:r>
      <w:r w:rsidR="00483661">
        <w:rPr>
          <w:sz w:val="28"/>
          <w:szCs w:val="28"/>
        </w:rPr>
        <w:t>.</w:t>
      </w:r>
      <w:r w:rsidRPr="00C24CD2">
        <w:rPr>
          <w:sz w:val="28"/>
          <w:szCs w:val="28"/>
        </w:rPr>
        <w:t xml:space="preserve"> </w:t>
      </w:r>
      <w:r w:rsidR="007D1A54">
        <w:rPr>
          <w:sz w:val="28"/>
          <w:szCs w:val="28"/>
        </w:rPr>
        <w:t xml:space="preserve">§ </w:t>
      </w:r>
      <w:r w:rsidRPr="00C24CD2">
        <w:rPr>
          <w:sz w:val="28"/>
          <w:szCs w:val="28"/>
        </w:rPr>
        <w:t>13-607</w:t>
      </w:r>
      <w:r w:rsidR="00765F19">
        <w:rPr>
          <w:sz w:val="28"/>
          <w:szCs w:val="28"/>
        </w:rPr>
        <w:t xml:space="preserve"> in </w:t>
      </w:r>
      <w:r w:rsidR="00AC5482">
        <w:rPr>
          <w:sz w:val="28"/>
          <w:szCs w:val="28"/>
        </w:rPr>
        <w:t xml:space="preserve">certain </w:t>
      </w:r>
      <w:r w:rsidR="00765F19">
        <w:rPr>
          <w:sz w:val="28"/>
          <w:szCs w:val="28"/>
        </w:rPr>
        <w:t>cases</w:t>
      </w:r>
      <w:r w:rsidR="00AC5482">
        <w:rPr>
          <w:sz w:val="28"/>
          <w:szCs w:val="28"/>
        </w:rPr>
        <w:t xml:space="preserve">. </w:t>
      </w:r>
      <w:r w:rsidR="00DC4AF4">
        <w:rPr>
          <w:sz w:val="28"/>
          <w:szCs w:val="28"/>
        </w:rPr>
        <w:t xml:space="preserve"> </w:t>
      </w:r>
      <w:r w:rsidR="00AC5482">
        <w:rPr>
          <w:sz w:val="28"/>
          <w:szCs w:val="28"/>
        </w:rPr>
        <w:t>T</w:t>
      </w:r>
      <w:r w:rsidR="00683826">
        <w:rPr>
          <w:sz w:val="28"/>
          <w:szCs w:val="28"/>
        </w:rPr>
        <w:t xml:space="preserve">he </w:t>
      </w:r>
      <w:r w:rsidR="00765F19">
        <w:rPr>
          <w:sz w:val="28"/>
          <w:szCs w:val="28"/>
        </w:rPr>
        <w:t xml:space="preserve">revised </w:t>
      </w:r>
      <w:r w:rsidR="00683826">
        <w:rPr>
          <w:sz w:val="28"/>
          <w:szCs w:val="28"/>
        </w:rPr>
        <w:t xml:space="preserve">rule and form </w:t>
      </w:r>
      <w:r w:rsidR="004140FB">
        <w:rPr>
          <w:sz w:val="28"/>
          <w:szCs w:val="28"/>
        </w:rPr>
        <w:t xml:space="preserve">therefore </w:t>
      </w:r>
      <w:r w:rsidR="00683826">
        <w:rPr>
          <w:sz w:val="28"/>
          <w:szCs w:val="28"/>
        </w:rPr>
        <w:lastRenderedPageBreak/>
        <w:t>retain the statutory requirement</w:t>
      </w:r>
      <w:r w:rsidR="00336F10">
        <w:rPr>
          <w:sz w:val="28"/>
          <w:szCs w:val="28"/>
        </w:rPr>
        <w:t xml:space="preserve"> of a fingerprint</w:t>
      </w:r>
      <w:r w:rsidR="00683826">
        <w:rPr>
          <w:sz w:val="28"/>
          <w:szCs w:val="28"/>
        </w:rPr>
        <w:t xml:space="preserve"> </w:t>
      </w:r>
      <w:r w:rsidR="001C1780">
        <w:rPr>
          <w:sz w:val="28"/>
          <w:szCs w:val="28"/>
        </w:rPr>
        <w:t xml:space="preserve">for </w:t>
      </w:r>
      <w:r w:rsidR="00683826">
        <w:rPr>
          <w:sz w:val="28"/>
          <w:szCs w:val="28"/>
        </w:rPr>
        <w:t xml:space="preserve">telephonic pleas to offenses </w:t>
      </w:r>
      <w:r w:rsidR="001C1780">
        <w:rPr>
          <w:sz w:val="28"/>
          <w:szCs w:val="28"/>
        </w:rPr>
        <w:t xml:space="preserve">referenced </w:t>
      </w:r>
      <w:r w:rsidR="004140FB">
        <w:rPr>
          <w:sz w:val="28"/>
          <w:szCs w:val="28"/>
        </w:rPr>
        <w:t>in</w:t>
      </w:r>
      <w:r w:rsidR="00683826">
        <w:rPr>
          <w:sz w:val="28"/>
          <w:szCs w:val="28"/>
        </w:rPr>
        <w:t xml:space="preserve"> th</w:t>
      </w:r>
      <w:r w:rsidR="003868A7">
        <w:rPr>
          <w:sz w:val="28"/>
          <w:szCs w:val="28"/>
        </w:rPr>
        <w:t>is</w:t>
      </w:r>
      <w:r w:rsidR="00683826">
        <w:rPr>
          <w:sz w:val="28"/>
          <w:szCs w:val="28"/>
        </w:rPr>
        <w:t xml:space="preserve"> statute</w:t>
      </w:r>
      <w:r w:rsidRPr="00C24CD2">
        <w:rPr>
          <w:sz w:val="28"/>
          <w:szCs w:val="28"/>
        </w:rPr>
        <w:t>.</w:t>
      </w:r>
      <w:r w:rsidR="00DC4AF4">
        <w:rPr>
          <w:sz w:val="28"/>
          <w:szCs w:val="28"/>
        </w:rPr>
        <w:t xml:space="preserve"> </w:t>
      </w:r>
      <w:r w:rsidRPr="00C24CD2">
        <w:rPr>
          <w:sz w:val="28"/>
          <w:szCs w:val="28"/>
        </w:rPr>
        <w:t xml:space="preserve"> </w:t>
      </w:r>
      <w:r w:rsidR="004140FB">
        <w:rPr>
          <w:sz w:val="28"/>
          <w:szCs w:val="28"/>
        </w:rPr>
        <w:t>However, t</w:t>
      </w:r>
      <w:r w:rsidR="003868A7">
        <w:rPr>
          <w:sz w:val="28"/>
          <w:szCs w:val="28"/>
        </w:rPr>
        <w:t xml:space="preserve">he amended language </w:t>
      </w:r>
      <w:r w:rsidR="00483661">
        <w:rPr>
          <w:sz w:val="28"/>
          <w:szCs w:val="28"/>
        </w:rPr>
        <w:t>eliminates</w:t>
      </w:r>
      <w:r w:rsidR="003868A7">
        <w:rPr>
          <w:sz w:val="28"/>
          <w:szCs w:val="28"/>
        </w:rPr>
        <w:t xml:space="preserve"> a current requirement that the Arizona law enforcement officer who obtains the print must be in the county where the defendant resides</w:t>
      </w:r>
      <w:r w:rsidR="00483661">
        <w:rPr>
          <w:sz w:val="28"/>
          <w:szCs w:val="28"/>
        </w:rPr>
        <w:t xml:space="preserve">, </w:t>
      </w:r>
      <w:r w:rsidR="004140FB">
        <w:rPr>
          <w:sz w:val="28"/>
          <w:szCs w:val="28"/>
        </w:rPr>
        <w:t xml:space="preserve">thereby </w:t>
      </w:r>
      <w:r w:rsidR="001C1780">
        <w:rPr>
          <w:sz w:val="28"/>
          <w:szCs w:val="28"/>
        </w:rPr>
        <w:t>enabling</w:t>
      </w:r>
      <w:r w:rsidR="003868A7">
        <w:rPr>
          <w:sz w:val="28"/>
          <w:szCs w:val="28"/>
        </w:rPr>
        <w:t xml:space="preserve"> any </w:t>
      </w:r>
      <w:r w:rsidR="00AC5482">
        <w:rPr>
          <w:sz w:val="28"/>
          <w:szCs w:val="28"/>
        </w:rPr>
        <w:t xml:space="preserve">Arizona </w:t>
      </w:r>
      <w:r w:rsidR="003868A7">
        <w:rPr>
          <w:sz w:val="28"/>
          <w:szCs w:val="28"/>
        </w:rPr>
        <w:t>law e</w:t>
      </w:r>
      <w:r w:rsidR="00336F10">
        <w:rPr>
          <w:sz w:val="28"/>
          <w:szCs w:val="28"/>
        </w:rPr>
        <w:t xml:space="preserve">nforcement </w:t>
      </w:r>
      <w:r w:rsidR="006049DC">
        <w:rPr>
          <w:sz w:val="28"/>
          <w:szCs w:val="28"/>
        </w:rPr>
        <w:t xml:space="preserve">officer </w:t>
      </w:r>
      <w:r w:rsidR="001C1780">
        <w:rPr>
          <w:sz w:val="28"/>
          <w:szCs w:val="28"/>
        </w:rPr>
        <w:t>to</w:t>
      </w:r>
      <w:r w:rsidR="00336F10">
        <w:rPr>
          <w:sz w:val="28"/>
          <w:szCs w:val="28"/>
        </w:rPr>
        <w:t xml:space="preserve"> </w:t>
      </w:r>
      <w:r w:rsidR="001C1780">
        <w:rPr>
          <w:sz w:val="28"/>
          <w:szCs w:val="28"/>
        </w:rPr>
        <w:t>affix</w:t>
      </w:r>
      <w:r w:rsidR="00336F10">
        <w:rPr>
          <w:sz w:val="28"/>
          <w:szCs w:val="28"/>
        </w:rPr>
        <w:t xml:space="preserve"> </w:t>
      </w:r>
      <w:r w:rsidR="001C1780">
        <w:rPr>
          <w:sz w:val="28"/>
          <w:szCs w:val="28"/>
        </w:rPr>
        <w:t xml:space="preserve">an Arizona defendant’s </w:t>
      </w:r>
      <w:r w:rsidR="00336F10">
        <w:rPr>
          <w:sz w:val="28"/>
          <w:szCs w:val="28"/>
        </w:rPr>
        <w:t>fingerprint</w:t>
      </w:r>
      <w:r w:rsidR="001C1780">
        <w:rPr>
          <w:sz w:val="28"/>
          <w:szCs w:val="28"/>
        </w:rPr>
        <w:t xml:space="preserve"> to the form</w:t>
      </w:r>
      <w:r w:rsidR="00336F10">
        <w:rPr>
          <w:sz w:val="28"/>
          <w:szCs w:val="28"/>
        </w:rPr>
        <w:t>.</w:t>
      </w:r>
    </w:p>
    <w:p w14:paraId="2D6CFDA6" w14:textId="09926B20" w:rsidR="00DF1F2B" w:rsidRPr="00C24CD2" w:rsidRDefault="00DF1F2B" w:rsidP="00C24CD2">
      <w:pPr>
        <w:spacing w:line="480" w:lineRule="auto"/>
        <w:ind w:firstLine="720"/>
        <w:jc w:val="both"/>
        <w:rPr>
          <w:sz w:val="28"/>
          <w:szCs w:val="28"/>
        </w:rPr>
      </w:pPr>
      <w:r w:rsidRPr="00C24CD2">
        <w:rPr>
          <w:sz w:val="28"/>
          <w:szCs w:val="28"/>
        </w:rPr>
        <w:t xml:space="preserve">If the plea form omits a required fingerprint, </w:t>
      </w:r>
      <w:r w:rsidR="004140FB">
        <w:rPr>
          <w:sz w:val="28"/>
          <w:szCs w:val="28"/>
        </w:rPr>
        <w:t xml:space="preserve">the proposed amendments provide that </w:t>
      </w:r>
      <w:r w:rsidRPr="00C24CD2">
        <w:rPr>
          <w:sz w:val="28"/>
          <w:szCs w:val="28"/>
        </w:rPr>
        <w:t xml:space="preserve">the court may defer acceptance of the plea until the print is submitted, or the defendant </w:t>
      </w:r>
      <w:r w:rsidR="003868A7">
        <w:rPr>
          <w:sz w:val="28"/>
          <w:szCs w:val="28"/>
        </w:rPr>
        <w:t>may</w:t>
      </w:r>
      <w:r w:rsidRPr="00C24CD2">
        <w:rPr>
          <w:sz w:val="28"/>
          <w:szCs w:val="28"/>
        </w:rPr>
        <w:t xml:space="preserve"> appear in </w:t>
      </w:r>
      <w:r w:rsidR="003868A7">
        <w:rPr>
          <w:sz w:val="28"/>
          <w:szCs w:val="28"/>
        </w:rPr>
        <w:t xml:space="preserve">open </w:t>
      </w:r>
      <w:r w:rsidRPr="00C24CD2">
        <w:rPr>
          <w:sz w:val="28"/>
          <w:szCs w:val="28"/>
        </w:rPr>
        <w:t>court</w:t>
      </w:r>
      <w:r w:rsidR="003868A7">
        <w:rPr>
          <w:sz w:val="28"/>
          <w:szCs w:val="28"/>
        </w:rPr>
        <w:t xml:space="preserve"> for sentencing and </w:t>
      </w:r>
      <w:r w:rsidRPr="00C24CD2">
        <w:rPr>
          <w:sz w:val="28"/>
          <w:szCs w:val="28"/>
        </w:rPr>
        <w:t>provide the print</w:t>
      </w:r>
      <w:r w:rsidR="00AC5482">
        <w:rPr>
          <w:sz w:val="28"/>
          <w:szCs w:val="28"/>
        </w:rPr>
        <w:t xml:space="preserve"> at that time.</w:t>
      </w:r>
      <w:r w:rsidR="005F0D45">
        <w:rPr>
          <w:sz w:val="28"/>
          <w:szCs w:val="28"/>
        </w:rPr>
        <w:t xml:space="preserve">  The proposed amendment goes a step further by recognizing that </w:t>
      </w:r>
      <w:r w:rsidR="0011568D">
        <w:rPr>
          <w:sz w:val="28"/>
          <w:szCs w:val="28"/>
        </w:rPr>
        <w:t>obtaining</w:t>
      </w:r>
      <w:r w:rsidR="005F0D45">
        <w:rPr>
          <w:sz w:val="28"/>
          <w:szCs w:val="28"/>
        </w:rPr>
        <w:t xml:space="preserve"> a fingerprint might not always be practical</w:t>
      </w:r>
      <w:r w:rsidR="0011568D">
        <w:rPr>
          <w:sz w:val="28"/>
          <w:szCs w:val="28"/>
        </w:rPr>
        <w:t>,</w:t>
      </w:r>
      <w:r w:rsidR="005F0D45">
        <w:rPr>
          <w:sz w:val="28"/>
          <w:szCs w:val="28"/>
        </w:rPr>
        <w:t xml:space="preserve"> or </w:t>
      </w:r>
      <w:r w:rsidR="0011568D">
        <w:rPr>
          <w:sz w:val="28"/>
          <w:szCs w:val="28"/>
        </w:rPr>
        <w:t xml:space="preserve">that a fingerprint might not </w:t>
      </w:r>
      <w:r w:rsidR="005F0D45">
        <w:rPr>
          <w:sz w:val="28"/>
          <w:szCs w:val="28"/>
        </w:rPr>
        <w:t xml:space="preserve">be the best method of proving </w:t>
      </w:r>
      <w:r w:rsidR="005F0D45" w:rsidRPr="005F0D45">
        <w:rPr>
          <w:sz w:val="28"/>
          <w:szCs w:val="28"/>
        </w:rPr>
        <w:t>a prior conviction.</w:t>
      </w:r>
      <w:r w:rsidR="001B6D50">
        <w:rPr>
          <w:rStyle w:val="FootnoteReference"/>
          <w:sz w:val="28"/>
          <w:szCs w:val="28"/>
        </w:rPr>
        <w:footnoteReference w:id="2"/>
      </w:r>
      <w:r w:rsidR="005F0D45" w:rsidRPr="005F0D45">
        <w:rPr>
          <w:sz w:val="28"/>
          <w:szCs w:val="28"/>
        </w:rPr>
        <w:t xml:space="preserve">  Accordingly, the proposed rule also provides, </w:t>
      </w:r>
      <w:r w:rsidR="005F0D45" w:rsidRPr="00A06E0B">
        <w:rPr>
          <w:sz w:val="28"/>
          <w:szCs w:val="28"/>
        </w:rPr>
        <w:t>“</w:t>
      </w:r>
      <w:r w:rsidR="00D822A3">
        <w:rPr>
          <w:sz w:val="28"/>
          <w:szCs w:val="28"/>
        </w:rPr>
        <w:t>Instead of requiring a certification and fingerprint</w:t>
      </w:r>
      <w:r w:rsidR="00A06E0B" w:rsidRPr="00A06E0B">
        <w:rPr>
          <w:sz w:val="28"/>
          <w:szCs w:val="28"/>
        </w:rPr>
        <w:t xml:space="preserve">, the court may permit another method of proving the defendant’s identification on Form 28, including but not limited </w:t>
      </w:r>
      <w:r w:rsidR="005C23D0">
        <w:rPr>
          <w:sz w:val="28"/>
          <w:szCs w:val="28"/>
        </w:rPr>
        <w:t xml:space="preserve">to </w:t>
      </w:r>
      <w:r w:rsidR="00B76A5C">
        <w:rPr>
          <w:sz w:val="28"/>
          <w:szCs w:val="28"/>
        </w:rPr>
        <w:t>allowing</w:t>
      </w:r>
      <w:r w:rsidR="00A06E0B" w:rsidRPr="00A06E0B">
        <w:rPr>
          <w:sz w:val="28"/>
          <w:szCs w:val="28"/>
        </w:rPr>
        <w:t xml:space="preserve"> the defendant</w:t>
      </w:r>
      <w:r w:rsidR="00B76A5C">
        <w:rPr>
          <w:sz w:val="28"/>
          <w:szCs w:val="28"/>
        </w:rPr>
        <w:t xml:space="preserve"> to use </w:t>
      </w:r>
      <w:r w:rsidR="00A06E0B" w:rsidRPr="00A06E0B">
        <w:rPr>
          <w:sz w:val="28"/>
          <w:szCs w:val="28"/>
        </w:rPr>
        <w:t>a notary public to witness the defendant’s signature on the form.”</w:t>
      </w:r>
    </w:p>
    <w:p w14:paraId="4B539255" w14:textId="06600124" w:rsidR="00C0678F" w:rsidRDefault="00DF1F2B" w:rsidP="00C0678F">
      <w:pPr>
        <w:spacing w:line="480" w:lineRule="auto"/>
        <w:ind w:firstLine="720"/>
        <w:jc w:val="both"/>
        <w:rPr>
          <w:sz w:val="28"/>
          <w:szCs w:val="28"/>
        </w:rPr>
      </w:pPr>
      <w:r w:rsidRPr="00C24CD2">
        <w:rPr>
          <w:sz w:val="28"/>
          <w:szCs w:val="28"/>
        </w:rPr>
        <w:t>Fifth, under section (D), the court must hold an in-person or telephonic hearing before accepting the plea.</w:t>
      </w:r>
      <w:r w:rsidR="00DC4AF4">
        <w:rPr>
          <w:sz w:val="28"/>
          <w:szCs w:val="28"/>
        </w:rPr>
        <w:t xml:space="preserve"> </w:t>
      </w:r>
      <w:r w:rsidRPr="00C24CD2">
        <w:rPr>
          <w:sz w:val="28"/>
          <w:szCs w:val="28"/>
        </w:rPr>
        <w:t xml:space="preserve"> Thus, </w:t>
      </w:r>
      <w:r w:rsidR="00765F19">
        <w:rPr>
          <w:sz w:val="28"/>
          <w:szCs w:val="28"/>
        </w:rPr>
        <w:t>the court will still have</w:t>
      </w:r>
      <w:r w:rsidRPr="00C24CD2">
        <w:rPr>
          <w:sz w:val="28"/>
          <w:szCs w:val="28"/>
        </w:rPr>
        <w:t xml:space="preserve"> personal interaction </w:t>
      </w:r>
      <w:r w:rsidR="00765F19">
        <w:rPr>
          <w:sz w:val="28"/>
          <w:szCs w:val="28"/>
        </w:rPr>
        <w:lastRenderedPageBreak/>
        <w:t>with</w:t>
      </w:r>
      <w:r w:rsidRPr="00C24CD2">
        <w:rPr>
          <w:sz w:val="28"/>
          <w:szCs w:val="28"/>
        </w:rPr>
        <w:t xml:space="preserve"> the defendant, even if </w:t>
      </w:r>
      <w:r w:rsidR="00AC5482">
        <w:rPr>
          <w:sz w:val="28"/>
          <w:szCs w:val="28"/>
        </w:rPr>
        <w:t>the dialogue is</w:t>
      </w:r>
      <w:r w:rsidRPr="00C24CD2">
        <w:rPr>
          <w:sz w:val="28"/>
          <w:szCs w:val="28"/>
        </w:rPr>
        <w:t xml:space="preserve"> by telephone</w:t>
      </w:r>
      <w:r w:rsidR="00AC5482">
        <w:rPr>
          <w:sz w:val="28"/>
          <w:szCs w:val="28"/>
        </w:rPr>
        <w:t xml:space="preserve"> only</w:t>
      </w:r>
      <w:r w:rsidRPr="00C24CD2">
        <w:rPr>
          <w:sz w:val="28"/>
          <w:szCs w:val="28"/>
        </w:rPr>
        <w:t>.</w:t>
      </w:r>
      <w:r w:rsidR="00DC4AF4">
        <w:rPr>
          <w:sz w:val="28"/>
          <w:szCs w:val="28"/>
        </w:rPr>
        <w:t xml:space="preserve"> </w:t>
      </w:r>
      <w:r w:rsidRPr="00C24CD2">
        <w:rPr>
          <w:sz w:val="28"/>
          <w:szCs w:val="28"/>
        </w:rPr>
        <w:t xml:space="preserve"> Sentencing can follow</w:t>
      </w:r>
      <w:r w:rsidR="00765F19">
        <w:rPr>
          <w:sz w:val="28"/>
          <w:szCs w:val="28"/>
        </w:rPr>
        <w:t xml:space="preserve"> the court’s </w:t>
      </w:r>
      <w:r w:rsidR="00765F19" w:rsidRPr="00C0678F">
        <w:rPr>
          <w:sz w:val="28"/>
          <w:szCs w:val="28"/>
        </w:rPr>
        <w:t>acceptance of the plea</w:t>
      </w:r>
      <w:r w:rsidR="00AC5482">
        <w:rPr>
          <w:sz w:val="28"/>
          <w:szCs w:val="28"/>
        </w:rPr>
        <w:t>,</w:t>
      </w:r>
      <w:r w:rsidRPr="00C0678F">
        <w:rPr>
          <w:sz w:val="28"/>
          <w:szCs w:val="28"/>
        </w:rPr>
        <w:t xml:space="preserve"> or </w:t>
      </w:r>
      <w:r w:rsidR="00AC5482">
        <w:rPr>
          <w:sz w:val="28"/>
          <w:szCs w:val="28"/>
        </w:rPr>
        <w:t>sentencing</w:t>
      </w:r>
      <w:r w:rsidR="00765F19" w:rsidRPr="00C0678F">
        <w:rPr>
          <w:sz w:val="28"/>
          <w:szCs w:val="28"/>
        </w:rPr>
        <w:t xml:space="preserve"> can be set for </w:t>
      </w:r>
      <w:r w:rsidR="00AC5482">
        <w:rPr>
          <w:sz w:val="28"/>
          <w:szCs w:val="28"/>
        </w:rPr>
        <w:t>a future</w:t>
      </w:r>
      <w:r w:rsidRPr="00C0678F">
        <w:rPr>
          <w:sz w:val="28"/>
          <w:szCs w:val="28"/>
        </w:rPr>
        <w:t xml:space="preserve"> hearing.</w:t>
      </w:r>
    </w:p>
    <w:p w14:paraId="73333F6E" w14:textId="38AF0990" w:rsidR="00DB111C" w:rsidRDefault="00DB111C" w:rsidP="00C0678F">
      <w:pPr>
        <w:spacing w:line="480" w:lineRule="auto"/>
        <w:ind w:firstLine="720"/>
        <w:jc w:val="both"/>
        <w:rPr>
          <w:sz w:val="28"/>
          <w:szCs w:val="28"/>
        </w:rPr>
      </w:pPr>
      <w:r>
        <w:rPr>
          <w:sz w:val="28"/>
          <w:szCs w:val="28"/>
        </w:rPr>
        <w:t>Two versions of Rule 17.1(f)(1) are included in the Appendix.  The first version shows the changes proposed by this Reply without any markup (a “clean” version).  The other version compares the clean version with what had been initially proposed by this rule petition.</w:t>
      </w:r>
    </w:p>
    <w:p w14:paraId="128FCD8E" w14:textId="2C2F7820" w:rsidR="00D93E31" w:rsidRDefault="00DB111C" w:rsidP="00DB111C">
      <w:pPr>
        <w:spacing w:line="480" w:lineRule="auto"/>
        <w:ind w:firstLine="720"/>
        <w:jc w:val="both"/>
        <w:rPr>
          <w:sz w:val="28"/>
          <w:szCs w:val="28"/>
        </w:rPr>
      </w:pPr>
      <w:r>
        <w:rPr>
          <w:sz w:val="28"/>
          <w:szCs w:val="28"/>
        </w:rPr>
        <w:t>Revised</w:t>
      </w:r>
      <w:r w:rsidRPr="00C0678F">
        <w:rPr>
          <w:sz w:val="28"/>
          <w:szCs w:val="28"/>
        </w:rPr>
        <w:t xml:space="preserve"> </w:t>
      </w:r>
      <w:r>
        <w:rPr>
          <w:sz w:val="28"/>
          <w:szCs w:val="28"/>
        </w:rPr>
        <w:t>Form 28</w:t>
      </w:r>
      <w:r w:rsidRPr="00C0678F">
        <w:rPr>
          <w:sz w:val="28"/>
          <w:szCs w:val="28"/>
        </w:rPr>
        <w:t xml:space="preserve"> conforms to the </w:t>
      </w:r>
      <w:r w:rsidR="001C1780">
        <w:rPr>
          <w:sz w:val="28"/>
          <w:szCs w:val="28"/>
        </w:rPr>
        <w:t>proposed revisions to Rule 17.1(f) described above</w:t>
      </w:r>
      <w:r>
        <w:rPr>
          <w:sz w:val="28"/>
          <w:szCs w:val="28"/>
        </w:rPr>
        <w:t xml:space="preserve">.  Because </w:t>
      </w:r>
      <w:r w:rsidR="001C1780">
        <w:rPr>
          <w:sz w:val="28"/>
          <w:szCs w:val="28"/>
        </w:rPr>
        <w:t xml:space="preserve">the </w:t>
      </w:r>
      <w:r>
        <w:rPr>
          <w:sz w:val="28"/>
          <w:szCs w:val="28"/>
        </w:rPr>
        <w:t>modifications to current Form 28 proposed by this Reply</w:t>
      </w:r>
      <w:r w:rsidR="001C1780">
        <w:rPr>
          <w:sz w:val="28"/>
          <w:szCs w:val="28"/>
        </w:rPr>
        <w:t xml:space="preserve"> are extensive</w:t>
      </w:r>
      <w:r>
        <w:rPr>
          <w:sz w:val="28"/>
          <w:szCs w:val="28"/>
        </w:rPr>
        <w:t xml:space="preserve">, Petitioner is not submitting a redline version that shows the proposed changes.  </w:t>
      </w:r>
      <w:r w:rsidR="001C1780">
        <w:rPr>
          <w:sz w:val="28"/>
          <w:szCs w:val="28"/>
        </w:rPr>
        <w:t xml:space="preserve">Rather, </w:t>
      </w:r>
      <w:r>
        <w:rPr>
          <w:sz w:val="28"/>
          <w:szCs w:val="28"/>
        </w:rPr>
        <w:t>Petitioner asks the Court to abrogate current Form 28 and to adopt the version shown in the Appendix.</w:t>
      </w:r>
    </w:p>
    <w:p w14:paraId="37F78733" w14:textId="1BD89C06" w:rsidR="00DF1F2B" w:rsidRDefault="00DB111C" w:rsidP="00DC4AF4">
      <w:pPr>
        <w:spacing w:line="480" w:lineRule="auto"/>
        <w:ind w:firstLine="720"/>
        <w:jc w:val="both"/>
        <w:rPr>
          <w:sz w:val="28"/>
          <w:szCs w:val="28"/>
        </w:rPr>
      </w:pPr>
      <w:r>
        <w:rPr>
          <w:sz w:val="28"/>
          <w:szCs w:val="28"/>
        </w:rPr>
        <w:t xml:space="preserve">The </w:t>
      </w:r>
      <w:r w:rsidR="00D93E31">
        <w:rPr>
          <w:sz w:val="28"/>
          <w:szCs w:val="28"/>
        </w:rPr>
        <w:t xml:space="preserve">revised </w:t>
      </w:r>
      <w:r>
        <w:rPr>
          <w:sz w:val="28"/>
          <w:szCs w:val="28"/>
        </w:rPr>
        <w:t>form</w:t>
      </w:r>
      <w:r w:rsidR="00C0678F">
        <w:rPr>
          <w:sz w:val="28"/>
          <w:szCs w:val="28"/>
        </w:rPr>
        <w:t xml:space="preserve"> </w:t>
      </w:r>
      <w:r w:rsidR="00DF1F2B" w:rsidRPr="00C0678F">
        <w:rPr>
          <w:sz w:val="28"/>
          <w:szCs w:val="28"/>
        </w:rPr>
        <w:t xml:space="preserve">includes other </w:t>
      </w:r>
      <w:r w:rsidR="00D93E31">
        <w:rPr>
          <w:sz w:val="28"/>
          <w:szCs w:val="28"/>
        </w:rPr>
        <w:t xml:space="preserve">proposed </w:t>
      </w:r>
      <w:r w:rsidR="00DF1F2B" w:rsidRPr="00C0678F">
        <w:rPr>
          <w:sz w:val="28"/>
          <w:szCs w:val="28"/>
        </w:rPr>
        <w:t>revisions</w:t>
      </w:r>
      <w:r w:rsidR="00C0678F">
        <w:rPr>
          <w:sz w:val="28"/>
          <w:szCs w:val="28"/>
        </w:rPr>
        <w:t xml:space="preserve"> such as the following.  Item 6 of the current form recites, “I understand the range of penalties to be…”  However, the </w:t>
      </w:r>
      <w:r w:rsidR="001C1780">
        <w:rPr>
          <w:sz w:val="28"/>
          <w:szCs w:val="28"/>
        </w:rPr>
        <w:t xml:space="preserve">current </w:t>
      </w:r>
      <w:r w:rsidR="00C0678F">
        <w:rPr>
          <w:sz w:val="28"/>
          <w:szCs w:val="28"/>
        </w:rPr>
        <w:t>form recites the maximum penalties rather than the range</w:t>
      </w:r>
      <w:r w:rsidR="00483661">
        <w:rPr>
          <w:sz w:val="28"/>
          <w:szCs w:val="28"/>
        </w:rPr>
        <w:t>.  T</w:t>
      </w:r>
      <w:r w:rsidR="00C0678F">
        <w:rPr>
          <w:sz w:val="28"/>
          <w:szCs w:val="28"/>
        </w:rPr>
        <w:t xml:space="preserve">he words “range of” were accordingly changed to “maximum.” </w:t>
      </w:r>
      <w:r w:rsidR="00DF1F2B" w:rsidRPr="00C0678F">
        <w:rPr>
          <w:sz w:val="28"/>
          <w:szCs w:val="28"/>
        </w:rPr>
        <w:t xml:space="preserve"> </w:t>
      </w:r>
      <w:r w:rsidR="00483661">
        <w:rPr>
          <w:sz w:val="28"/>
          <w:szCs w:val="28"/>
        </w:rPr>
        <w:t>S</w:t>
      </w:r>
      <w:r w:rsidR="00C0678F">
        <w:rPr>
          <w:sz w:val="28"/>
          <w:szCs w:val="28"/>
        </w:rPr>
        <w:t xml:space="preserve">ome offenses have mandatory minimum penalties or other special conditions that are imposed at sentencing.  Therefore, </w:t>
      </w:r>
      <w:proofErr w:type="gramStart"/>
      <w:r w:rsidR="00C0678F">
        <w:rPr>
          <w:sz w:val="28"/>
          <w:szCs w:val="28"/>
        </w:rPr>
        <w:t>Form</w:t>
      </w:r>
      <w:proofErr w:type="gramEnd"/>
      <w:r w:rsidR="00C0678F">
        <w:rPr>
          <w:sz w:val="28"/>
          <w:szCs w:val="28"/>
        </w:rPr>
        <w:t xml:space="preserve"> 28 would include a new item 7 that says, “I understand there are special conditions, including required minimum penalties, for the charge or charges to which I am pleading guilty or no contest, as follows….</w:t>
      </w:r>
      <w:r w:rsidR="006049DC">
        <w:rPr>
          <w:sz w:val="28"/>
          <w:szCs w:val="28"/>
        </w:rPr>
        <w:t xml:space="preserve">”  The officer’s certification on the form includes references to the titles of specified offenses, and </w:t>
      </w:r>
      <w:r w:rsidR="006049DC">
        <w:rPr>
          <w:sz w:val="28"/>
          <w:szCs w:val="28"/>
        </w:rPr>
        <w:lastRenderedPageBreak/>
        <w:t xml:space="preserve">not merely the statute numbers.  The revised form includes space for a notary if a notary is utilized in lieu of an officer’s certification.  </w:t>
      </w:r>
      <w:r w:rsidR="00C0678F">
        <w:rPr>
          <w:sz w:val="28"/>
          <w:szCs w:val="28"/>
        </w:rPr>
        <w:t xml:space="preserve"> Also, the last page of Form 28 was revised to accommodate sentencing on multiple charges</w:t>
      </w:r>
      <w:r w:rsidR="00163B68">
        <w:rPr>
          <w:sz w:val="28"/>
          <w:szCs w:val="28"/>
        </w:rPr>
        <w:t xml:space="preserve">, </w:t>
      </w:r>
      <w:r w:rsidR="00DB40C4">
        <w:rPr>
          <w:sz w:val="28"/>
          <w:szCs w:val="28"/>
        </w:rPr>
        <w:t xml:space="preserve">thereby </w:t>
      </w:r>
      <w:r w:rsidR="00C0678F">
        <w:rPr>
          <w:sz w:val="28"/>
          <w:szCs w:val="28"/>
        </w:rPr>
        <w:t>align</w:t>
      </w:r>
      <w:r w:rsidR="00DB40C4">
        <w:rPr>
          <w:sz w:val="28"/>
          <w:szCs w:val="28"/>
        </w:rPr>
        <w:t>ing</w:t>
      </w:r>
      <w:r w:rsidR="00C0678F">
        <w:rPr>
          <w:sz w:val="28"/>
          <w:szCs w:val="28"/>
        </w:rPr>
        <w:t xml:space="preserve"> the sentencing section of Form 28 with </w:t>
      </w:r>
      <w:r w:rsidR="00DB40C4">
        <w:rPr>
          <w:sz w:val="28"/>
          <w:szCs w:val="28"/>
        </w:rPr>
        <w:t xml:space="preserve">the </w:t>
      </w:r>
      <w:r w:rsidR="00AC5482">
        <w:rPr>
          <w:sz w:val="28"/>
          <w:szCs w:val="28"/>
        </w:rPr>
        <w:t xml:space="preserve">corresponding </w:t>
      </w:r>
      <w:r w:rsidR="00DB40C4">
        <w:rPr>
          <w:sz w:val="28"/>
          <w:szCs w:val="28"/>
        </w:rPr>
        <w:t xml:space="preserve">portion of </w:t>
      </w:r>
      <w:r w:rsidR="00C0678F">
        <w:rPr>
          <w:sz w:val="28"/>
          <w:szCs w:val="28"/>
        </w:rPr>
        <w:t>Form 28(a), which is used for pleas by mail.</w:t>
      </w:r>
    </w:p>
    <w:p w14:paraId="4AC08C8E" w14:textId="0B2CB5CA" w:rsidR="0011568D" w:rsidRPr="0011568D" w:rsidRDefault="00C90F22" w:rsidP="00C90F22">
      <w:pPr>
        <w:pStyle w:val="ListParagraph"/>
        <w:numPr>
          <w:ilvl w:val="0"/>
          <w:numId w:val="6"/>
        </w:numPr>
        <w:spacing w:line="480" w:lineRule="auto"/>
        <w:ind w:left="0" w:firstLine="720"/>
        <w:jc w:val="both"/>
        <w:rPr>
          <w:b/>
          <w:sz w:val="28"/>
          <w:szCs w:val="28"/>
          <w:u w:val="single"/>
        </w:rPr>
      </w:pPr>
      <w:r w:rsidRPr="00C90F22">
        <w:rPr>
          <w:b/>
          <w:sz w:val="28"/>
          <w:szCs w:val="28"/>
          <w:u w:val="single"/>
        </w:rPr>
        <w:t>Committee on Limited Jurisdiction Courts (“LJC”).</w:t>
      </w:r>
      <w:r w:rsidRPr="000A4BA7">
        <w:rPr>
          <w:sz w:val="28"/>
          <w:szCs w:val="28"/>
        </w:rPr>
        <w:t xml:space="preserve">  </w:t>
      </w:r>
      <w:r>
        <w:rPr>
          <w:sz w:val="28"/>
          <w:szCs w:val="28"/>
        </w:rPr>
        <w:t xml:space="preserve">The significant changes proposed by this Reply were verbally presented to the LJC on May 20, 2020.  One </w:t>
      </w:r>
      <w:r w:rsidR="00F348E7">
        <w:rPr>
          <w:sz w:val="28"/>
          <w:szCs w:val="28"/>
        </w:rPr>
        <w:t xml:space="preserve">LJC </w:t>
      </w:r>
      <w:r>
        <w:rPr>
          <w:sz w:val="28"/>
          <w:szCs w:val="28"/>
        </w:rPr>
        <w:t xml:space="preserve">member asked whether the photo identification attached to Form 28 should also include the defendant’s signature, but other members thought that the photograph </w:t>
      </w:r>
      <w:r w:rsidR="00F348E7">
        <w:rPr>
          <w:sz w:val="28"/>
          <w:szCs w:val="28"/>
        </w:rPr>
        <w:t xml:space="preserve">itself </w:t>
      </w:r>
      <w:r>
        <w:rPr>
          <w:sz w:val="28"/>
          <w:szCs w:val="28"/>
        </w:rPr>
        <w:t>was the best authentication of the defendant’s identity and that</w:t>
      </w:r>
      <w:r w:rsidR="0011568D">
        <w:rPr>
          <w:sz w:val="28"/>
          <w:szCs w:val="28"/>
        </w:rPr>
        <w:t xml:space="preserve"> the </w:t>
      </w:r>
      <w:r>
        <w:rPr>
          <w:sz w:val="28"/>
          <w:szCs w:val="28"/>
        </w:rPr>
        <w:t xml:space="preserve">identification </w:t>
      </w:r>
      <w:r w:rsidR="0011568D">
        <w:rPr>
          <w:sz w:val="28"/>
          <w:szCs w:val="28"/>
        </w:rPr>
        <w:t xml:space="preserve">card </w:t>
      </w:r>
      <w:r>
        <w:rPr>
          <w:sz w:val="28"/>
          <w:szCs w:val="28"/>
        </w:rPr>
        <w:t>need not include a signature</w:t>
      </w:r>
      <w:r w:rsidR="00F348E7">
        <w:rPr>
          <w:sz w:val="28"/>
          <w:szCs w:val="28"/>
        </w:rPr>
        <w:t>, so the draft rule was not changed to require one</w:t>
      </w:r>
      <w:r>
        <w:rPr>
          <w:sz w:val="28"/>
          <w:szCs w:val="28"/>
        </w:rPr>
        <w:t xml:space="preserve">.  </w:t>
      </w:r>
      <w:r w:rsidR="0011568D">
        <w:rPr>
          <w:sz w:val="28"/>
          <w:szCs w:val="28"/>
        </w:rPr>
        <w:t>Another member observed that some law enforcement agencies are declining to provide fingerprints on Form 28 because of COVID-19.  This makes alternative</w:t>
      </w:r>
      <w:r w:rsidR="00163B68">
        <w:rPr>
          <w:sz w:val="28"/>
          <w:szCs w:val="28"/>
        </w:rPr>
        <w:t>s</w:t>
      </w:r>
      <w:r w:rsidR="00F348E7">
        <w:rPr>
          <w:sz w:val="28"/>
          <w:szCs w:val="28"/>
        </w:rPr>
        <w:t>—</w:t>
      </w:r>
      <w:r w:rsidR="00163B68">
        <w:rPr>
          <w:sz w:val="28"/>
          <w:szCs w:val="28"/>
        </w:rPr>
        <w:t xml:space="preserve">one of which is </w:t>
      </w:r>
      <w:r w:rsidR="0011568D">
        <w:rPr>
          <w:sz w:val="28"/>
          <w:szCs w:val="28"/>
        </w:rPr>
        <w:t xml:space="preserve">proving a defendant’s identity </w:t>
      </w:r>
      <w:r w:rsidR="00F348E7">
        <w:rPr>
          <w:sz w:val="28"/>
          <w:szCs w:val="28"/>
        </w:rPr>
        <w:t>by having</w:t>
      </w:r>
      <w:r w:rsidR="0011568D">
        <w:rPr>
          <w:sz w:val="28"/>
          <w:szCs w:val="28"/>
        </w:rPr>
        <w:t xml:space="preserve"> a notary public witness the defendant’s signature on Form 28</w:t>
      </w:r>
      <w:r w:rsidR="00F348E7">
        <w:rPr>
          <w:sz w:val="28"/>
          <w:szCs w:val="28"/>
        </w:rPr>
        <w:t>—</w:t>
      </w:r>
      <w:r w:rsidR="0011568D">
        <w:rPr>
          <w:sz w:val="28"/>
          <w:szCs w:val="28"/>
        </w:rPr>
        <w:t xml:space="preserve">even more </w:t>
      </w:r>
      <w:r w:rsidR="00F348E7">
        <w:rPr>
          <w:sz w:val="28"/>
          <w:szCs w:val="28"/>
        </w:rPr>
        <w:t>compelling</w:t>
      </w:r>
      <w:r w:rsidR="0011568D">
        <w:rPr>
          <w:sz w:val="28"/>
          <w:szCs w:val="28"/>
        </w:rPr>
        <w:t>.</w:t>
      </w:r>
    </w:p>
    <w:p w14:paraId="649361CE" w14:textId="42AFB968" w:rsidR="004D2717" w:rsidRPr="00C90F22" w:rsidRDefault="0011568D" w:rsidP="0011568D">
      <w:pPr>
        <w:pStyle w:val="ListParagraph"/>
        <w:spacing w:line="480" w:lineRule="auto"/>
        <w:ind w:left="0" w:firstLine="720"/>
        <w:jc w:val="both"/>
        <w:rPr>
          <w:b/>
          <w:sz w:val="28"/>
          <w:szCs w:val="28"/>
          <w:u w:val="single"/>
        </w:rPr>
      </w:pPr>
      <w:r>
        <w:rPr>
          <w:sz w:val="28"/>
          <w:szCs w:val="28"/>
        </w:rPr>
        <w:t xml:space="preserve">LJC </w:t>
      </w:r>
      <w:r w:rsidR="00C90F22">
        <w:rPr>
          <w:sz w:val="28"/>
          <w:szCs w:val="28"/>
        </w:rPr>
        <w:t>members seemed receptive to the elimination of the distance requirement in the current rule</w:t>
      </w:r>
      <w:r>
        <w:rPr>
          <w:sz w:val="28"/>
          <w:szCs w:val="28"/>
        </w:rPr>
        <w:t xml:space="preserve"> and other proposed amendments</w:t>
      </w:r>
      <w:r w:rsidR="00C90F22">
        <w:rPr>
          <w:sz w:val="28"/>
          <w:szCs w:val="28"/>
        </w:rPr>
        <w:t xml:space="preserve">.  </w:t>
      </w:r>
      <w:r>
        <w:rPr>
          <w:sz w:val="28"/>
          <w:szCs w:val="28"/>
        </w:rPr>
        <w:t>However, b</w:t>
      </w:r>
      <w:r w:rsidR="00C90F22">
        <w:rPr>
          <w:sz w:val="28"/>
          <w:szCs w:val="28"/>
        </w:rPr>
        <w:t xml:space="preserve">ecause the proposed amendments, which were still undergoing revision at the time of the LJC </w:t>
      </w:r>
      <w:r w:rsidR="007C340A">
        <w:rPr>
          <w:sz w:val="28"/>
          <w:szCs w:val="28"/>
        </w:rPr>
        <w:t>meeting, were</w:t>
      </w:r>
      <w:r w:rsidR="00C90F22">
        <w:rPr>
          <w:sz w:val="28"/>
          <w:szCs w:val="28"/>
        </w:rPr>
        <w:t xml:space="preserve"> not provided </w:t>
      </w:r>
      <w:r w:rsidR="003A34F2">
        <w:rPr>
          <w:sz w:val="28"/>
          <w:szCs w:val="28"/>
        </w:rPr>
        <w:t xml:space="preserve">in document form </w:t>
      </w:r>
      <w:r w:rsidR="00C90F22">
        <w:rPr>
          <w:sz w:val="28"/>
          <w:szCs w:val="28"/>
        </w:rPr>
        <w:t xml:space="preserve">to the Committee, </w:t>
      </w:r>
      <w:r>
        <w:rPr>
          <w:sz w:val="28"/>
          <w:szCs w:val="28"/>
        </w:rPr>
        <w:t xml:space="preserve">the LJC </w:t>
      </w:r>
      <w:r w:rsidR="00163B68">
        <w:rPr>
          <w:sz w:val="28"/>
          <w:szCs w:val="28"/>
        </w:rPr>
        <w:t>took no</w:t>
      </w:r>
      <w:r w:rsidR="00C90F22">
        <w:rPr>
          <w:sz w:val="28"/>
          <w:szCs w:val="28"/>
        </w:rPr>
        <w:t xml:space="preserve"> formal </w:t>
      </w:r>
      <w:r w:rsidR="003A34F2">
        <w:rPr>
          <w:sz w:val="28"/>
          <w:szCs w:val="28"/>
        </w:rPr>
        <w:t>action</w:t>
      </w:r>
      <w:r w:rsidR="00C90F22">
        <w:rPr>
          <w:sz w:val="28"/>
          <w:szCs w:val="28"/>
        </w:rPr>
        <w:t>.</w:t>
      </w:r>
    </w:p>
    <w:p w14:paraId="5BD38A38" w14:textId="6C20A577" w:rsidR="00827D7F" w:rsidRPr="0014358B" w:rsidRDefault="00827D7F" w:rsidP="00EE050D">
      <w:pPr>
        <w:pStyle w:val="ListParagraph"/>
        <w:numPr>
          <w:ilvl w:val="0"/>
          <w:numId w:val="6"/>
        </w:numPr>
        <w:spacing w:line="480" w:lineRule="auto"/>
        <w:ind w:left="0" w:firstLine="720"/>
        <w:contextualSpacing/>
        <w:jc w:val="both"/>
        <w:rPr>
          <w:sz w:val="28"/>
          <w:szCs w:val="28"/>
        </w:rPr>
      </w:pPr>
      <w:r w:rsidRPr="0014358B">
        <w:rPr>
          <w:b/>
          <w:sz w:val="28"/>
          <w:szCs w:val="28"/>
          <w:u w:val="single"/>
        </w:rPr>
        <w:lastRenderedPageBreak/>
        <w:t>Conclusion</w:t>
      </w:r>
      <w:r w:rsidRPr="0014358B">
        <w:rPr>
          <w:sz w:val="28"/>
          <w:szCs w:val="28"/>
        </w:rPr>
        <w:t>.  For the reasons above, Petitioner requests the Court to amend Rule 17.1(f)(1) as shown in the Appendi</w:t>
      </w:r>
      <w:r w:rsidR="00F459EF">
        <w:rPr>
          <w:sz w:val="28"/>
          <w:szCs w:val="28"/>
        </w:rPr>
        <w:t>x</w:t>
      </w:r>
      <w:r w:rsidR="00DD3165">
        <w:rPr>
          <w:sz w:val="28"/>
          <w:szCs w:val="28"/>
        </w:rPr>
        <w:t xml:space="preserve"> to th</w:t>
      </w:r>
      <w:r w:rsidR="00163B68">
        <w:rPr>
          <w:sz w:val="28"/>
          <w:szCs w:val="28"/>
        </w:rPr>
        <w:t>is</w:t>
      </w:r>
      <w:r w:rsidR="00DD3165">
        <w:rPr>
          <w:sz w:val="28"/>
          <w:szCs w:val="28"/>
        </w:rPr>
        <w:t xml:space="preserve"> Reply</w:t>
      </w:r>
      <w:r w:rsidR="00D474A7">
        <w:rPr>
          <w:sz w:val="28"/>
          <w:szCs w:val="28"/>
        </w:rPr>
        <w:t>, to abrogate current Form 28, and to adopt the new Form 28 in the Appendix</w:t>
      </w:r>
      <w:r w:rsidRPr="0014358B">
        <w:rPr>
          <w:sz w:val="28"/>
          <w:szCs w:val="28"/>
        </w:rPr>
        <w:t>.</w:t>
      </w:r>
    </w:p>
    <w:p w14:paraId="55517CB9" w14:textId="08F610D2" w:rsidR="00827D7F" w:rsidRDefault="00EE050D" w:rsidP="00464675">
      <w:pPr>
        <w:shd w:val="clear" w:color="auto" w:fill="FFFFFF"/>
        <w:spacing w:line="432" w:lineRule="atLeast"/>
        <w:ind w:left="360"/>
        <w:rPr>
          <w:color w:val="252525"/>
          <w:sz w:val="28"/>
          <w:szCs w:val="28"/>
        </w:rPr>
      </w:pPr>
      <w:r w:rsidRPr="0014358B">
        <w:rPr>
          <w:color w:val="252525"/>
          <w:sz w:val="28"/>
          <w:szCs w:val="28"/>
        </w:rPr>
        <w:t xml:space="preserve">       RESPECTFULLY SUBMITTED this </w:t>
      </w:r>
      <w:r w:rsidR="007F5058">
        <w:rPr>
          <w:color w:val="252525"/>
          <w:sz w:val="28"/>
          <w:szCs w:val="28"/>
        </w:rPr>
        <w:t>27</w:t>
      </w:r>
      <w:r w:rsidR="00070B82">
        <w:rPr>
          <w:color w:val="252525"/>
          <w:sz w:val="28"/>
          <w:szCs w:val="28"/>
        </w:rPr>
        <w:t>th</w:t>
      </w:r>
      <w:r w:rsidRPr="0014358B">
        <w:rPr>
          <w:color w:val="252525"/>
          <w:sz w:val="28"/>
          <w:szCs w:val="28"/>
        </w:rPr>
        <w:t xml:space="preserve"> day of </w:t>
      </w:r>
      <w:r w:rsidR="00C0678F">
        <w:rPr>
          <w:color w:val="252525"/>
          <w:sz w:val="28"/>
          <w:szCs w:val="28"/>
        </w:rPr>
        <w:t>May</w:t>
      </w:r>
      <w:r w:rsidR="00872DE8">
        <w:rPr>
          <w:color w:val="252525"/>
          <w:sz w:val="28"/>
          <w:szCs w:val="28"/>
        </w:rPr>
        <w:t xml:space="preserve"> </w:t>
      </w:r>
      <w:r w:rsidRPr="0014358B">
        <w:rPr>
          <w:color w:val="252525"/>
          <w:sz w:val="28"/>
          <w:szCs w:val="28"/>
        </w:rPr>
        <w:t>20</w:t>
      </w:r>
      <w:r w:rsidR="00872DE8">
        <w:rPr>
          <w:color w:val="252525"/>
          <w:sz w:val="28"/>
          <w:szCs w:val="28"/>
        </w:rPr>
        <w:t>20</w:t>
      </w:r>
      <w:r w:rsidRPr="0014358B">
        <w:rPr>
          <w:color w:val="252525"/>
          <w:sz w:val="28"/>
          <w:szCs w:val="28"/>
        </w:rPr>
        <w:t>.</w:t>
      </w:r>
    </w:p>
    <w:p w14:paraId="1E765AB8" w14:textId="77777777" w:rsidR="00052955" w:rsidRPr="0014358B" w:rsidRDefault="00052955" w:rsidP="00464675">
      <w:pPr>
        <w:shd w:val="clear" w:color="auto" w:fill="FFFFFF"/>
        <w:spacing w:line="432" w:lineRule="atLeast"/>
        <w:ind w:left="360"/>
        <w:rPr>
          <w:color w:val="252525"/>
          <w:sz w:val="24"/>
          <w:szCs w:val="24"/>
        </w:rPr>
      </w:pPr>
    </w:p>
    <w:p w14:paraId="322AB633" w14:textId="639EE2EE" w:rsidR="00EE050D" w:rsidRPr="0014358B" w:rsidRDefault="00EE050D" w:rsidP="007F5058">
      <w:pPr>
        <w:ind w:left="3600"/>
        <w:contextualSpacing/>
        <w:jc w:val="both"/>
        <w:rPr>
          <w:rFonts w:eastAsia="Calibri"/>
          <w:sz w:val="28"/>
          <w:szCs w:val="28"/>
          <w:u w:val="single"/>
        </w:rPr>
      </w:pP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bookmarkStart w:id="2" w:name="_GoBack"/>
      <w:bookmarkEnd w:id="2"/>
      <w:r w:rsidRPr="0014358B">
        <w:rPr>
          <w:rFonts w:eastAsia="Calibri"/>
          <w:sz w:val="28"/>
          <w:szCs w:val="28"/>
          <w:u w:val="single"/>
        </w:rPr>
        <w:t>_________________________________</w:t>
      </w:r>
    </w:p>
    <w:p w14:paraId="2B9C9912" w14:textId="77777777" w:rsidR="00EE050D" w:rsidRPr="0014358B" w:rsidRDefault="00EE050D" w:rsidP="00EE050D">
      <w:pPr>
        <w:ind w:left="3946"/>
        <w:jc w:val="both"/>
        <w:rPr>
          <w:rFonts w:eastAsia="Calibri"/>
          <w:sz w:val="28"/>
          <w:szCs w:val="28"/>
        </w:rPr>
      </w:pPr>
      <w:r w:rsidRPr="0014358B">
        <w:rPr>
          <w:rFonts w:eastAsia="Calibri"/>
          <w:sz w:val="28"/>
          <w:szCs w:val="28"/>
        </w:rPr>
        <w:t>David K. Byers, Administrative Director</w:t>
      </w:r>
    </w:p>
    <w:p w14:paraId="31A91983" w14:textId="77777777" w:rsidR="00EE050D" w:rsidRPr="0014358B" w:rsidRDefault="00EE050D" w:rsidP="00EE050D">
      <w:pPr>
        <w:ind w:left="3946"/>
        <w:contextualSpacing/>
        <w:jc w:val="both"/>
        <w:rPr>
          <w:rFonts w:eastAsia="Calibri"/>
          <w:sz w:val="28"/>
          <w:szCs w:val="28"/>
        </w:rPr>
      </w:pPr>
      <w:r w:rsidRPr="0014358B">
        <w:rPr>
          <w:rFonts w:eastAsia="Calibri"/>
          <w:sz w:val="28"/>
          <w:szCs w:val="28"/>
        </w:rPr>
        <w:t>Administrative Office of the Courts</w:t>
      </w:r>
    </w:p>
    <w:p w14:paraId="3083B817" w14:textId="246D4094" w:rsidR="00CF3813" w:rsidRDefault="00CF3813" w:rsidP="002D4C38">
      <w:pPr>
        <w:shd w:val="clear" w:color="auto" w:fill="FFFFFF"/>
        <w:spacing w:line="432" w:lineRule="atLeast"/>
        <w:rPr>
          <w:rFonts w:ascii="Book Antiqua" w:hAnsi="Book Antiqua" w:cs="Arial"/>
          <w:color w:val="252525"/>
          <w:sz w:val="24"/>
          <w:szCs w:val="24"/>
        </w:rPr>
        <w:sectPr w:rsidR="00CF3813">
          <w:headerReference w:type="even" r:id="rId8"/>
          <w:footerReference w:type="default" r:id="rId9"/>
          <w:headerReference w:type="first" r:id="rId10"/>
          <w:pgSz w:w="12240" w:h="15840"/>
          <w:pgMar w:top="1440" w:right="1440" w:bottom="1440" w:left="1440" w:header="720" w:footer="720" w:gutter="0"/>
          <w:cols w:space="720"/>
          <w:docGrid w:linePitch="360"/>
        </w:sectPr>
      </w:pPr>
    </w:p>
    <w:p w14:paraId="63E0BDF8" w14:textId="38F2D3B5" w:rsidR="00827D7F" w:rsidRDefault="00827D7F" w:rsidP="00827D7F">
      <w:pPr>
        <w:shd w:val="clear" w:color="auto" w:fill="FFFFFF"/>
        <w:spacing w:line="432" w:lineRule="atLeast"/>
        <w:jc w:val="center"/>
        <w:rPr>
          <w:b/>
          <w:color w:val="252525"/>
          <w:sz w:val="28"/>
          <w:szCs w:val="28"/>
          <w:u w:val="single"/>
        </w:rPr>
      </w:pPr>
      <w:r w:rsidRPr="002F1D9A">
        <w:rPr>
          <w:b/>
          <w:color w:val="252525"/>
          <w:sz w:val="28"/>
          <w:szCs w:val="28"/>
          <w:u w:val="single"/>
        </w:rPr>
        <w:lastRenderedPageBreak/>
        <w:t>Appendix</w:t>
      </w:r>
    </w:p>
    <w:p w14:paraId="56B0A430" w14:textId="77777777" w:rsidR="00075EC8" w:rsidRDefault="00075EC8" w:rsidP="00827D7F">
      <w:pPr>
        <w:shd w:val="clear" w:color="auto" w:fill="FFFFFF"/>
        <w:spacing w:line="432" w:lineRule="atLeast"/>
        <w:jc w:val="center"/>
        <w:rPr>
          <w:b/>
          <w:color w:val="252525"/>
          <w:sz w:val="28"/>
          <w:szCs w:val="28"/>
          <w:u w:val="single"/>
        </w:rPr>
      </w:pPr>
    </w:p>
    <w:p w14:paraId="7419AF82" w14:textId="3C806479" w:rsidR="00075EC8" w:rsidRDefault="00075EC8" w:rsidP="00075EC8">
      <w:pPr>
        <w:shd w:val="clear" w:color="auto" w:fill="FFFFFF"/>
        <w:spacing w:line="432" w:lineRule="atLeast"/>
        <w:rPr>
          <w:color w:val="252525"/>
          <w:sz w:val="28"/>
          <w:szCs w:val="28"/>
        </w:rPr>
      </w:pPr>
      <w:r>
        <w:rPr>
          <w:color w:val="252525"/>
          <w:sz w:val="28"/>
          <w:szCs w:val="28"/>
        </w:rPr>
        <w:t>The Appendix to this Reply consists of the following three documents, which are separately filed on the Rules Forum:</w:t>
      </w:r>
    </w:p>
    <w:p w14:paraId="6A8CCD11" w14:textId="47CCF0A2" w:rsidR="00075EC8" w:rsidRDefault="00075EC8" w:rsidP="00075EC8">
      <w:pPr>
        <w:shd w:val="clear" w:color="auto" w:fill="FFFFFF"/>
        <w:spacing w:line="432" w:lineRule="atLeast"/>
        <w:rPr>
          <w:color w:val="252525"/>
          <w:sz w:val="28"/>
          <w:szCs w:val="28"/>
        </w:rPr>
      </w:pPr>
    </w:p>
    <w:p w14:paraId="1C384A06" w14:textId="565FFC8F" w:rsidR="00075EC8" w:rsidRDefault="00075EC8" w:rsidP="00075EC8">
      <w:pPr>
        <w:pStyle w:val="ListParagraph"/>
        <w:numPr>
          <w:ilvl w:val="0"/>
          <w:numId w:val="11"/>
        </w:numPr>
        <w:shd w:val="clear" w:color="auto" w:fill="FFFFFF"/>
        <w:spacing w:line="432" w:lineRule="atLeast"/>
        <w:rPr>
          <w:color w:val="252525"/>
          <w:sz w:val="28"/>
          <w:szCs w:val="28"/>
        </w:rPr>
      </w:pPr>
      <w:r>
        <w:rPr>
          <w:color w:val="252525"/>
          <w:sz w:val="28"/>
          <w:szCs w:val="28"/>
        </w:rPr>
        <w:t>Revised Rule 17.1 (the clean version)</w:t>
      </w:r>
    </w:p>
    <w:p w14:paraId="69C13D9D" w14:textId="2F070B11" w:rsidR="00075EC8" w:rsidRDefault="00075EC8" w:rsidP="00075EC8">
      <w:pPr>
        <w:pStyle w:val="ListParagraph"/>
        <w:numPr>
          <w:ilvl w:val="0"/>
          <w:numId w:val="11"/>
        </w:numPr>
        <w:shd w:val="clear" w:color="auto" w:fill="FFFFFF"/>
        <w:spacing w:line="432" w:lineRule="atLeast"/>
        <w:rPr>
          <w:color w:val="252525"/>
          <w:sz w:val="28"/>
          <w:szCs w:val="28"/>
        </w:rPr>
      </w:pPr>
      <w:r>
        <w:rPr>
          <w:color w:val="252525"/>
          <w:sz w:val="28"/>
          <w:szCs w:val="28"/>
        </w:rPr>
        <w:t>A comparison of the above revised Rule 17.1 with the draft of Rule 17.1 that was appended to the January 2020 filing of this rule petition</w:t>
      </w:r>
    </w:p>
    <w:p w14:paraId="72D83E54" w14:textId="13386453" w:rsidR="00075EC8" w:rsidRPr="00075EC8" w:rsidRDefault="00075EC8" w:rsidP="00075EC8">
      <w:pPr>
        <w:pStyle w:val="ListParagraph"/>
        <w:numPr>
          <w:ilvl w:val="0"/>
          <w:numId w:val="11"/>
        </w:numPr>
        <w:shd w:val="clear" w:color="auto" w:fill="FFFFFF"/>
        <w:spacing w:line="432" w:lineRule="atLeast"/>
        <w:rPr>
          <w:color w:val="252525"/>
          <w:sz w:val="28"/>
          <w:szCs w:val="28"/>
        </w:rPr>
      </w:pPr>
      <w:r>
        <w:rPr>
          <w:color w:val="252525"/>
          <w:sz w:val="28"/>
          <w:szCs w:val="28"/>
        </w:rPr>
        <w:t>Revised Form 28</w:t>
      </w:r>
    </w:p>
    <w:bookmarkEnd w:id="0"/>
    <w:bookmarkEnd w:id="1"/>
    <w:sectPr w:rsidR="00075EC8" w:rsidRPr="00075EC8" w:rsidSect="004A481B">
      <w:footerReference w:type="default" r:id="rId11"/>
      <w:pgSz w:w="12240" w:h="15840" w:code="1"/>
      <w:pgMar w:top="720" w:right="720" w:bottom="720" w:left="720" w:header="72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A717B" w14:textId="77777777" w:rsidR="004A0C68" w:rsidRDefault="004A0C68">
      <w:r>
        <w:separator/>
      </w:r>
    </w:p>
  </w:endnote>
  <w:endnote w:type="continuationSeparator" w:id="0">
    <w:p w14:paraId="287C98AF" w14:textId="77777777" w:rsidR="004A0C68" w:rsidRDefault="004A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2031486050"/>
      <w:docPartObj>
        <w:docPartGallery w:val="Page Numbers (Bottom of Page)"/>
        <w:docPartUnique/>
      </w:docPartObj>
    </w:sdtPr>
    <w:sdtEndPr>
      <w:rPr>
        <w:noProof/>
      </w:rPr>
    </w:sdtEndPr>
    <w:sdtContent>
      <w:p w14:paraId="275ACB28" w14:textId="1F3A740D" w:rsidR="0014358B" w:rsidRPr="0014358B" w:rsidRDefault="0014358B">
        <w:pPr>
          <w:pStyle w:val="Footer"/>
          <w:jc w:val="center"/>
          <w:rPr>
            <w:sz w:val="24"/>
            <w:szCs w:val="24"/>
          </w:rPr>
        </w:pPr>
        <w:r w:rsidRPr="0014358B">
          <w:rPr>
            <w:sz w:val="24"/>
            <w:szCs w:val="24"/>
          </w:rPr>
          <w:fldChar w:fldCharType="begin"/>
        </w:r>
        <w:r w:rsidRPr="0014358B">
          <w:rPr>
            <w:sz w:val="24"/>
            <w:szCs w:val="24"/>
          </w:rPr>
          <w:instrText xml:space="preserve"> PAGE   \* MERGEFORMAT </w:instrText>
        </w:r>
        <w:r w:rsidRPr="0014358B">
          <w:rPr>
            <w:sz w:val="24"/>
            <w:szCs w:val="24"/>
          </w:rPr>
          <w:fldChar w:fldCharType="separate"/>
        </w:r>
        <w:r w:rsidRPr="0014358B">
          <w:rPr>
            <w:noProof/>
            <w:sz w:val="24"/>
            <w:szCs w:val="24"/>
          </w:rPr>
          <w:t>2</w:t>
        </w:r>
        <w:r w:rsidRPr="0014358B">
          <w:rPr>
            <w:noProof/>
            <w:sz w:val="24"/>
            <w:szCs w:val="24"/>
          </w:rPr>
          <w:fldChar w:fldCharType="end"/>
        </w:r>
      </w:p>
    </w:sdtContent>
  </w:sdt>
  <w:p w14:paraId="073008B0" w14:textId="77777777" w:rsidR="0014358B" w:rsidRDefault="00143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A3CF6" w14:textId="180713D9" w:rsidR="004A481B" w:rsidRPr="00626A24" w:rsidRDefault="004A481B" w:rsidP="00626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FC4DF" w14:textId="77777777" w:rsidR="004A0C68" w:rsidRDefault="004A0C68">
      <w:r>
        <w:separator/>
      </w:r>
    </w:p>
  </w:footnote>
  <w:footnote w:type="continuationSeparator" w:id="0">
    <w:p w14:paraId="23508BF6" w14:textId="77777777" w:rsidR="004A0C68" w:rsidRDefault="004A0C68">
      <w:r>
        <w:continuationSeparator/>
      </w:r>
    </w:p>
  </w:footnote>
  <w:footnote w:id="1">
    <w:p w14:paraId="6CD20259" w14:textId="735CB15C" w:rsidR="004F1448" w:rsidRPr="006203F0" w:rsidRDefault="004F1448" w:rsidP="004F1448">
      <w:pPr>
        <w:pStyle w:val="FootnoteText"/>
        <w:jc w:val="both"/>
        <w:rPr>
          <w:sz w:val="28"/>
          <w:szCs w:val="28"/>
        </w:rPr>
      </w:pPr>
      <w:r w:rsidRPr="006203F0">
        <w:rPr>
          <w:rStyle w:val="FootnoteReference"/>
          <w:sz w:val="28"/>
          <w:szCs w:val="28"/>
        </w:rPr>
        <w:footnoteRef/>
      </w:r>
      <w:r w:rsidRPr="006203F0">
        <w:rPr>
          <w:sz w:val="28"/>
          <w:szCs w:val="28"/>
        </w:rPr>
        <w:t xml:space="preserve"> Supreme Court Administrative Order No. 2020-75, entered on May 8, 2020, at page 4 provides, “The 100-mile distance requirement for a limited jurisdiction court to accept a telephonic plea under Rule 17.1 (f) of the Rules of Criminal Procedure is suspended through December 31, 2020.”</w:t>
      </w:r>
      <w:r w:rsidR="000361BE">
        <w:rPr>
          <w:sz w:val="28"/>
          <w:szCs w:val="28"/>
        </w:rPr>
        <w:t xml:space="preserve">  On May 20, 2020, the Court replaced A.O. No. 2020-75 with A.O. No. 2020-79, but the foregoing provision was retained in the new </w:t>
      </w:r>
      <w:r w:rsidR="00DC4AF4">
        <w:rPr>
          <w:sz w:val="28"/>
          <w:szCs w:val="28"/>
        </w:rPr>
        <w:t>o</w:t>
      </w:r>
      <w:r w:rsidR="000361BE">
        <w:rPr>
          <w:sz w:val="28"/>
          <w:szCs w:val="28"/>
        </w:rPr>
        <w:t>rder.</w:t>
      </w:r>
    </w:p>
  </w:footnote>
  <w:footnote w:id="2">
    <w:p w14:paraId="6962F3EA" w14:textId="56B9AD05" w:rsidR="001B6D50" w:rsidRPr="001B6D50" w:rsidRDefault="001B6D50" w:rsidP="001B6D50">
      <w:pPr>
        <w:pStyle w:val="FootnoteText"/>
        <w:jc w:val="both"/>
        <w:rPr>
          <w:sz w:val="28"/>
          <w:szCs w:val="28"/>
        </w:rPr>
      </w:pPr>
      <w:r w:rsidRPr="001B6D50">
        <w:rPr>
          <w:rStyle w:val="FootnoteReference"/>
          <w:sz w:val="28"/>
          <w:szCs w:val="28"/>
        </w:rPr>
        <w:footnoteRef/>
      </w:r>
      <w:r w:rsidRPr="001B6D50">
        <w:rPr>
          <w:sz w:val="28"/>
          <w:szCs w:val="28"/>
        </w:rPr>
        <w:t xml:space="preserve"> Administrative Order No. 2020-79, </w:t>
      </w:r>
      <w:r>
        <w:rPr>
          <w:sz w:val="28"/>
          <w:szCs w:val="28"/>
        </w:rPr>
        <w:t>referenced in footnote 1,</w:t>
      </w:r>
      <w:r w:rsidRPr="001B6D50">
        <w:rPr>
          <w:sz w:val="28"/>
          <w:szCs w:val="28"/>
        </w:rPr>
        <w:t xml:space="preserve"> further provides at page 5, “When conducting virtual hearings, courts may establish procedures to collect the defendant’s fingerprint, or to otherwise establish the defendants [sic] identity as an alternative means of complying with the procedures required by A.R.S. § 13-607 and Rule 26.10 of the Rules of Criminal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9C0B" w14:textId="77777777" w:rsidR="004A481B" w:rsidRDefault="007F5058">
    <w:pPr>
      <w:pStyle w:val="Header"/>
    </w:pPr>
    <w:r>
      <w:rPr>
        <w:noProof/>
      </w:rPr>
      <w:pict w14:anchorId="7E67C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091969" o:spid="_x0000_s2050" type="#_x0000_t136" style="position:absolute;margin-left:0;margin-top:0;width:494.9pt;height:164.95pt;rotation:315;z-index:-251656192;mso-position-horizontal:center;mso-position-horizontal-relative:margin;mso-position-vertical:center;mso-position-vertical-relative:margin" o:allowincell="f" fillcolor="#a5a5a5" stroked="f">
          <v:fill opacity=".5"/>
          <v:textpath style="font-family:&quot;Bookman Old Style&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84AB" w14:textId="77777777" w:rsidR="004A481B" w:rsidRDefault="007F5058">
    <w:pPr>
      <w:pStyle w:val="Header"/>
    </w:pPr>
    <w:r>
      <w:rPr>
        <w:noProof/>
      </w:rPr>
      <w:pict w14:anchorId="6F431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091968" o:spid="_x0000_s2049" type="#_x0000_t136" style="position:absolute;margin-left:0;margin-top:0;width:494.9pt;height:164.95pt;rotation:315;z-index:-251658240;mso-position-horizontal:center;mso-position-horizontal-relative:margin;mso-position-vertical:center;mso-position-vertical-relative:margin" o:allowincell="f" fillcolor="#a5a5a5" stroked="f">
          <v:fill opacity=".5"/>
          <v:textpath style="font-family:&quot;Bookman Old Style&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05D7"/>
    <w:multiLevelType w:val="hybridMultilevel"/>
    <w:tmpl w:val="9DAA2A42"/>
    <w:lvl w:ilvl="0" w:tplc="788055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C4957"/>
    <w:multiLevelType w:val="hybridMultilevel"/>
    <w:tmpl w:val="5428D6CA"/>
    <w:lvl w:ilvl="0" w:tplc="BF08405C">
      <w:start w:val="1"/>
      <w:numFmt w:val="decimal"/>
      <w:lvlText w:val="(%1)"/>
      <w:lvlJc w:val="left"/>
      <w:pPr>
        <w:ind w:left="153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E6A01"/>
    <w:multiLevelType w:val="hybridMultilevel"/>
    <w:tmpl w:val="3C3AF91C"/>
    <w:lvl w:ilvl="0" w:tplc="551A60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1"/>
  </w:num>
  <w:num w:numId="4">
    <w:abstractNumId w:val="8"/>
  </w:num>
  <w:num w:numId="5">
    <w:abstractNumId w:val="5"/>
  </w:num>
  <w:num w:numId="6">
    <w:abstractNumId w:val="2"/>
  </w:num>
  <w:num w:numId="7">
    <w:abstractNumId w:val="7"/>
  </w:num>
  <w:num w:numId="8">
    <w:abstractNumId w:val="10"/>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01016"/>
    <w:rsid w:val="000155F9"/>
    <w:rsid w:val="000361BE"/>
    <w:rsid w:val="00052955"/>
    <w:rsid w:val="00070B82"/>
    <w:rsid w:val="00075EC8"/>
    <w:rsid w:val="00077067"/>
    <w:rsid w:val="00083670"/>
    <w:rsid w:val="000A4BA7"/>
    <w:rsid w:val="000C05C9"/>
    <w:rsid w:val="0011568D"/>
    <w:rsid w:val="00115A68"/>
    <w:rsid w:val="00121D12"/>
    <w:rsid w:val="0014358B"/>
    <w:rsid w:val="00163B68"/>
    <w:rsid w:val="001B055B"/>
    <w:rsid w:val="001B3E61"/>
    <w:rsid w:val="001B6D50"/>
    <w:rsid w:val="001C1780"/>
    <w:rsid w:val="0023498F"/>
    <w:rsid w:val="002539F8"/>
    <w:rsid w:val="00256F88"/>
    <w:rsid w:val="002714E7"/>
    <w:rsid w:val="002C30AC"/>
    <w:rsid w:val="002D4C38"/>
    <w:rsid w:val="002F1D9A"/>
    <w:rsid w:val="00316384"/>
    <w:rsid w:val="003340F2"/>
    <w:rsid w:val="00336F10"/>
    <w:rsid w:val="00337A9B"/>
    <w:rsid w:val="003701FF"/>
    <w:rsid w:val="00374BB6"/>
    <w:rsid w:val="003868A7"/>
    <w:rsid w:val="003A34F2"/>
    <w:rsid w:val="003C23FA"/>
    <w:rsid w:val="003E0D66"/>
    <w:rsid w:val="004133AA"/>
    <w:rsid w:val="004140FB"/>
    <w:rsid w:val="00425FB4"/>
    <w:rsid w:val="00464675"/>
    <w:rsid w:val="00483661"/>
    <w:rsid w:val="004858A9"/>
    <w:rsid w:val="00493104"/>
    <w:rsid w:val="004A0C68"/>
    <w:rsid w:val="004A1A1C"/>
    <w:rsid w:val="004A481B"/>
    <w:rsid w:val="004D2717"/>
    <w:rsid w:val="004D4ABE"/>
    <w:rsid w:val="004F13F5"/>
    <w:rsid w:val="004F1448"/>
    <w:rsid w:val="004F684A"/>
    <w:rsid w:val="00521A7D"/>
    <w:rsid w:val="00571E0C"/>
    <w:rsid w:val="005C23D0"/>
    <w:rsid w:val="005F0D45"/>
    <w:rsid w:val="006049DC"/>
    <w:rsid w:val="00605508"/>
    <w:rsid w:val="006203F0"/>
    <w:rsid w:val="00626A24"/>
    <w:rsid w:val="00627400"/>
    <w:rsid w:val="00651DD4"/>
    <w:rsid w:val="00683826"/>
    <w:rsid w:val="00691FA9"/>
    <w:rsid w:val="00712381"/>
    <w:rsid w:val="00765F19"/>
    <w:rsid w:val="00781957"/>
    <w:rsid w:val="007849FD"/>
    <w:rsid w:val="0079715D"/>
    <w:rsid w:val="007C340A"/>
    <w:rsid w:val="007D1A54"/>
    <w:rsid w:val="007E35C8"/>
    <w:rsid w:val="007F5058"/>
    <w:rsid w:val="00800594"/>
    <w:rsid w:val="00807BEB"/>
    <w:rsid w:val="00827D7F"/>
    <w:rsid w:val="00850D49"/>
    <w:rsid w:val="00855CDF"/>
    <w:rsid w:val="00872DE8"/>
    <w:rsid w:val="008E2163"/>
    <w:rsid w:val="00902D4E"/>
    <w:rsid w:val="009379BC"/>
    <w:rsid w:val="00942A64"/>
    <w:rsid w:val="00974D70"/>
    <w:rsid w:val="00974E69"/>
    <w:rsid w:val="009A44ED"/>
    <w:rsid w:val="009F7E91"/>
    <w:rsid w:val="00A0622D"/>
    <w:rsid w:val="00A06E0B"/>
    <w:rsid w:val="00AA21E9"/>
    <w:rsid w:val="00AC5482"/>
    <w:rsid w:val="00B23062"/>
    <w:rsid w:val="00B6360C"/>
    <w:rsid w:val="00B76A5C"/>
    <w:rsid w:val="00B92739"/>
    <w:rsid w:val="00BA307A"/>
    <w:rsid w:val="00C0678F"/>
    <w:rsid w:val="00C21B91"/>
    <w:rsid w:val="00C24CD2"/>
    <w:rsid w:val="00C47B04"/>
    <w:rsid w:val="00C559C2"/>
    <w:rsid w:val="00C7118C"/>
    <w:rsid w:val="00C90F22"/>
    <w:rsid w:val="00CF3813"/>
    <w:rsid w:val="00CF3B71"/>
    <w:rsid w:val="00D01F0A"/>
    <w:rsid w:val="00D075A3"/>
    <w:rsid w:val="00D12058"/>
    <w:rsid w:val="00D474A7"/>
    <w:rsid w:val="00D75FAC"/>
    <w:rsid w:val="00D822A3"/>
    <w:rsid w:val="00D830CE"/>
    <w:rsid w:val="00D93E31"/>
    <w:rsid w:val="00DB0B89"/>
    <w:rsid w:val="00DB111C"/>
    <w:rsid w:val="00DB40C4"/>
    <w:rsid w:val="00DC1B0D"/>
    <w:rsid w:val="00DC4AF4"/>
    <w:rsid w:val="00DC6736"/>
    <w:rsid w:val="00DD3165"/>
    <w:rsid w:val="00DF1F2B"/>
    <w:rsid w:val="00E269D1"/>
    <w:rsid w:val="00E72049"/>
    <w:rsid w:val="00EE050D"/>
    <w:rsid w:val="00EE61B9"/>
    <w:rsid w:val="00F13EE3"/>
    <w:rsid w:val="00F348E7"/>
    <w:rsid w:val="00F459EF"/>
    <w:rsid w:val="00F63C70"/>
    <w:rsid w:val="00FA0CFF"/>
    <w:rsid w:val="00FB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35DA6DE"/>
  <w15:chartTrackingRefBased/>
  <w15:docId w15:val="{AC6A3409-431C-4711-B74D-12C17EDF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semiHidden/>
    <w:unhideWhenUsed/>
    <w:rsid w:val="00827D7F"/>
  </w:style>
  <w:style w:type="character" w:customStyle="1" w:styleId="CommentTextChar">
    <w:name w:val="Comment Text Char"/>
    <w:basedOn w:val="DefaultParagraphFont"/>
    <w:link w:val="CommentText"/>
    <w:uiPriority w:val="99"/>
    <w:semiHidden/>
    <w:rsid w:val="00827D7F"/>
  </w:style>
  <w:style w:type="character" w:customStyle="1" w:styleId="HeaderChar">
    <w:name w:val="Header Char"/>
    <w:basedOn w:val="DefaultParagraphFont"/>
    <w:link w:val="Header"/>
    <w:uiPriority w:val="99"/>
    <w:rsid w:val="0014358B"/>
  </w:style>
  <w:style w:type="character" w:customStyle="1" w:styleId="FooterChar">
    <w:name w:val="Footer Char"/>
    <w:basedOn w:val="DefaultParagraphFont"/>
    <w:link w:val="Footer"/>
    <w:uiPriority w:val="99"/>
    <w:rsid w:val="0014358B"/>
  </w:style>
  <w:style w:type="paragraph" w:customStyle="1" w:styleId="Default">
    <w:name w:val="Default"/>
    <w:rsid w:val="002D4C38"/>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4F1448"/>
  </w:style>
  <w:style w:type="character" w:customStyle="1" w:styleId="FootnoteTextChar">
    <w:name w:val="Footnote Text Char"/>
    <w:basedOn w:val="DefaultParagraphFont"/>
    <w:link w:val="FootnoteText"/>
    <w:uiPriority w:val="99"/>
    <w:semiHidden/>
    <w:rsid w:val="004F1448"/>
  </w:style>
  <w:style w:type="character" w:styleId="FootnoteReference">
    <w:name w:val="footnote reference"/>
    <w:basedOn w:val="DefaultParagraphFont"/>
    <w:uiPriority w:val="99"/>
    <w:semiHidden/>
    <w:unhideWhenUsed/>
    <w:rsid w:val="004F1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4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DB2F-E89A-494E-8906-6536A60A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Pages>
  <Words>1583</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Meltzer, Mark</cp:lastModifiedBy>
  <cp:revision>30</cp:revision>
  <cp:lastPrinted>2020-01-08T21:20:00Z</cp:lastPrinted>
  <dcterms:created xsi:type="dcterms:W3CDTF">2020-05-15T20:30:00Z</dcterms:created>
  <dcterms:modified xsi:type="dcterms:W3CDTF">2020-05-27T20:23:00Z</dcterms:modified>
</cp:coreProperties>
</file>