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43C83788" w14:textId="77777777" w:rsidR="00E26EF8" w:rsidRDefault="00E26EF8" w:rsidP="00000C35">
            <w:pPr>
              <w:pStyle w:val="FirmInformation"/>
              <w:spacing w:line="240" w:lineRule="auto"/>
              <w:rPr>
                <w:sz w:val="28"/>
                <w:szCs w:val="28"/>
              </w:rPr>
            </w:pPr>
            <w:bookmarkStart w:id="0" w:name="_zzmpFIXED_CounselTable"/>
            <w:r>
              <w:rPr>
                <w:sz w:val="28"/>
                <w:szCs w:val="28"/>
              </w:rPr>
              <w:t>Christine Davis, Bar No. 021046</w:t>
            </w:r>
          </w:p>
          <w:p w14:paraId="263CEB90" w14:textId="77777777" w:rsidR="00E26EF8" w:rsidRDefault="00E26EF8" w:rsidP="00000C35">
            <w:pPr>
              <w:pStyle w:val="FirmInformation"/>
              <w:spacing w:line="240" w:lineRule="auto"/>
              <w:rPr>
                <w:sz w:val="28"/>
                <w:szCs w:val="28"/>
              </w:rPr>
            </w:pPr>
            <w:r>
              <w:rPr>
                <w:sz w:val="28"/>
                <w:szCs w:val="28"/>
              </w:rPr>
              <w:t>Ethics Counsel</w:t>
            </w:r>
          </w:p>
          <w:p w14:paraId="3B92AF78" w14:textId="1D1E15F4" w:rsidR="00000C35" w:rsidRDefault="00F850BE" w:rsidP="00000C35">
            <w:pPr>
              <w:pStyle w:val="FirmInformation"/>
              <w:spacing w:line="240" w:lineRule="auto"/>
              <w:rPr>
                <w:sz w:val="28"/>
                <w:szCs w:val="28"/>
              </w:rPr>
            </w:pPr>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147FBD84" w14:textId="6B6BC431"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5833BC">
              <w:rPr>
                <w:b/>
                <w:sz w:val="28"/>
                <w:szCs w:val="28"/>
              </w:rPr>
              <w:t xml:space="preserve">RESTYLE AND AMEND SUPREME COURT RULE 31; ADOPT NEW RULE 33.1; AND AMEND RULES 32, 41, 42 (VARIOUS ERs FROM 1.0 TO 5.7), 46-51, 54-58, 60, AND 75-76 </w:t>
            </w:r>
          </w:p>
          <w:p w14:paraId="03963DD5"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35CED5CB" w14:textId="63DBF632"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632061">
              <w:rPr>
                <w:sz w:val="28"/>
                <w:szCs w:val="28"/>
              </w:rPr>
              <w:t>0034</w:t>
            </w:r>
          </w:p>
          <w:p w14:paraId="2CE641FE" w14:textId="77777777" w:rsidR="00632061" w:rsidRPr="00632061" w:rsidRDefault="00632061" w:rsidP="000F7A7F">
            <w:pPr>
              <w:pStyle w:val="Caption"/>
              <w:tabs>
                <w:tab w:val="left" w:pos="1238"/>
              </w:tabs>
              <w:spacing w:line="260" w:lineRule="exact"/>
              <w:ind w:right="115"/>
              <w:jc w:val="center"/>
              <w:rPr>
                <w:b/>
                <w:color w:val="000000" w:themeColor="text1"/>
                <w:sz w:val="28"/>
                <w:szCs w:val="28"/>
              </w:rPr>
            </w:pPr>
            <w:r w:rsidRPr="00632061">
              <w:rPr>
                <w:b/>
                <w:color w:val="000000" w:themeColor="text1"/>
                <w:sz w:val="28"/>
                <w:szCs w:val="28"/>
              </w:rPr>
              <w:t xml:space="preserve">COMMENT OF THE </w:t>
            </w:r>
          </w:p>
          <w:p w14:paraId="5AEC962D" w14:textId="31FFB0BB" w:rsidR="00357F4D" w:rsidRPr="00632061" w:rsidRDefault="00632061" w:rsidP="000F7A7F">
            <w:pPr>
              <w:pStyle w:val="Caption"/>
              <w:tabs>
                <w:tab w:val="left" w:pos="1238"/>
              </w:tabs>
              <w:spacing w:line="260" w:lineRule="exact"/>
              <w:ind w:right="115"/>
              <w:jc w:val="center"/>
              <w:rPr>
                <w:b/>
                <w:color w:val="000000" w:themeColor="text1"/>
                <w:sz w:val="28"/>
                <w:szCs w:val="28"/>
              </w:rPr>
            </w:pPr>
            <w:r w:rsidRPr="00632061">
              <w:rPr>
                <w:b/>
                <w:color w:val="000000" w:themeColor="text1"/>
                <w:sz w:val="28"/>
                <w:szCs w:val="28"/>
              </w:rPr>
              <w:t>STATE BAR OF ARIZONA</w:t>
            </w:r>
            <w:r w:rsidR="00E03A23">
              <w:rPr>
                <w:rStyle w:val="FootnoteReference"/>
                <w:b/>
                <w:color w:val="000000" w:themeColor="text1"/>
                <w:sz w:val="28"/>
                <w:szCs w:val="28"/>
              </w:rPr>
              <w:footnoteReference w:id="1"/>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D431278" w14:textId="77777777" w:rsidR="00322F0D" w:rsidRDefault="00322F0D" w:rsidP="00322F0D">
      <w:pPr>
        <w:pStyle w:val="Body"/>
        <w:widowControl w:val="0"/>
        <w:ind w:firstLine="0"/>
        <w:jc w:val="both"/>
        <w:rPr>
          <w:sz w:val="28"/>
          <w:szCs w:val="28"/>
        </w:rPr>
      </w:pPr>
    </w:p>
    <w:p w14:paraId="73C356E4" w14:textId="45F7B592" w:rsidR="0088233E" w:rsidRDefault="0008003D" w:rsidP="00E03A23">
      <w:pPr>
        <w:pStyle w:val="Body"/>
        <w:widowControl w:val="0"/>
        <w:spacing w:line="480" w:lineRule="auto"/>
        <w:ind w:firstLine="720"/>
        <w:jc w:val="both"/>
        <w:rPr>
          <w:sz w:val="28"/>
          <w:szCs w:val="28"/>
        </w:rPr>
      </w:pPr>
      <w:r w:rsidRPr="007B7449">
        <w:rPr>
          <w:sz w:val="28"/>
          <w:szCs w:val="28"/>
        </w:rPr>
        <w:t>Pursuant to Rule 28</w:t>
      </w:r>
      <w:r w:rsidR="00040AF8">
        <w:rPr>
          <w:sz w:val="28"/>
          <w:szCs w:val="28"/>
        </w:rPr>
        <w:t xml:space="preserve">(e) </w:t>
      </w:r>
      <w:r w:rsidRPr="007B7449">
        <w:rPr>
          <w:sz w:val="28"/>
          <w:szCs w:val="28"/>
        </w:rPr>
        <w:t xml:space="preserve">of the Arizona Rules of Supreme Court, the State Bar of Arizona (the “State Bar”) hereby </w:t>
      </w:r>
      <w:r w:rsidR="00A4249C">
        <w:rPr>
          <w:sz w:val="28"/>
          <w:szCs w:val="28"/>
        </w:rPr>
        <w:t xml:space="preserve">submits the following as its </w:t>
      </w:r>
      <w:r w:rsidR="00632061">
        <w:rPr>
          <w:sz w:val="28"/>
          <w:szCs w:val="28"/>
        </w:rPr>
        <w:t>C</w:t>
      </w:r>
      <w:r w:rsidR="00A4249C">
        <w:rPr>
          <w:sz w:val="28"/>
          <w:szCs w:val="28"/>
        </w:rPr>
        <w:t>omment to the above-captioned Petition.</w:t>
      </w:r>
      <w:r w:rsidR="00632061">
        <w:rPr>
          <w:sz w:val="28"/>
          <w:szCs w:val="28"/>
        </w:rPr>
        <w:t xml:space="preserve"> The State Bar </w:t>
      </w:r>
      <w:r w:rsidR="00165F6D">
        <w:rPr>
          <w:sz w:val="28"/>
          <w:szCs w:val="28"/>
        </w:rPr>
        <w:t>does not oppose</w:t>
      </w:r>
      <w:r w:rsidR="00A35EC4">
        <w:rPr>
          <w:sz w:val="28"/>
          <w:szCs w:val="28"/>
        </w:rPr>
        <w:t xml:space="preserve"> nonlawyer ownership/investment in law firms (alternate business structure</w:t>
      </w:r>
      <w:r w:rsidR="00E11491">
        <w:rPr>
          <w:sz w:val="28"/>
          <w:szCs w:val="28"/>
        </w:rPr>
        <w:t>s</w:t>
      </w:r>
      <w:r w:rsidR="00A35EC4">
        <w:rPr>
          <w:sz w:val="28"/>
          <w:szCs w:val="28"/>
        </w:rPr>
        <w:t xml:space="preserve"> or ABS) and nonlawyer provision of legal services by limited license legal practitioners (LLLPs).</w:t>
      </w:r>
      <w:r w:rsidR="0013406B">
        <w:rPr>
          <w:sz w:val="28"/>
          <w:szCs w:val="28"/>
        </w:rPr>
        <w:t xml:space="preserve"> </w:t>
      </w:r>
      <w:r w:rsidR="00165F6D">
        <w:rPr>
          <w:sz w:val="28"/>
          <w:szCs w:val="28"/>
        </w:rPr>
        <w:lastRenderedPageBreak/>
        <w:t>The</w:t>
      </w:r>
      <w:r w:rsidR="00A35EC4">
        <w:rPr>
          <w:sz w:val="28"/>
          <w:szCs w:val="28"/>
        </w:rPr>
        <w:t xml:space="preserve"> State Bar</w:t>
      </w:r>
      <w:r w:rsidR="00165F6D">
        <w:rPr>
          <w:sz w:val="28"/>
          <w:szCs w:val="28"/>
        </w:rPr>
        <w:t xml:space="preserve"> does however suggest </w:t>
      </w:r>
      <w:r w:rsidR="00A35EC4">
        <w:rPr>
          <w:sz w:val="28"/>
          <w:szCs w:val="28"/>
        </w:rPr>
        <w:t>additional analysis and clarification of certain issues</w:t>
      </w:r>
      <w:r w:rsidR="0013406B">
        <w:rPr>
          <w:sz w:val="28"/>
          <w:szCs w:val="28"/>
        </w:rPr>
        <w:t xml:space="preserve"> raised by the Petition, as set forth herein</w:t>
      </w:r>
      <w:r w:rsidR="00E03A23">
        <w:rPr>
          <w:sz w:val="28"/>
          <w:szCs w:val="28"/>
        </w:rPr>
        <w:t>, as well as a piloted implementation.</w:t>
      </w:r>
    </w:p>
    <w:p w14:paraId="3FF73077" w14:textId="1EABE159" w:rsidR="0004572E" w:rsidRPr="006F63FD" w:rsidRDefault="0004572E" w:rsidP="0004572E">
      <w:pPr>
        <w:pStyle w:val="Body"/>
        <w:widowControl w:val="0"/>
        <w:spacing w:line="480" w:lineRule="auto"/>
        <w:ind w:firstLine="0"/>
        <w:jc w:val="center"/>
        <w:rPr>
          <w:rStyle w:val="BodyTextChar"/>
          <w:b/>
          <w:sz w:val="28"/>
          <w:szCs w:val="28"/>
        </w:rPr>
      </w:pPr>
      <w:r>
        <w:rPr>
          <w:rStyle w:val="BodyTextChar"/>
          <w:b/>
          <w:sz w:val="28"/>
          <w:szCs w:val="28"/>
        </w:rPr>
        <w:t>DISCUSSION</w:t>
      </w:r>
    </w:p>
    <w:p w14:paraId="69F7E90A" w14:textId="27FAC980" w:rsidR="0004572E" w:rsidRPr="00BE61D5" w:rsidRDefault="0004572E" w:rsidP="00BE61D5">
      <w:pPr>
        <w:pStyle w:val="Body"/>
        <w:widowControl w:val="0"/>
        <w:numPr>
          <w:ilvl w:val="0"/>
          <w:numId w:val="16"/>
        </w:numPr>
        <w:spacing w:line="480" w:lineRule="auto"/>
        <w:jc w:val="both"/>
        <w:rPr>
          <w:rStyle w:val="BodyTextChar"/>
          <w:b/>
          <w:bCs/>
          <w:sz w:val="28"/>
          <w:szCs w:val="28"/>
        </w:rPr>
      </w:pPr>
      <w:r w:rsidRPr="009B41C0">
        <w:rPr>
          <w:rStyle w:val="BodyTextChar"/>
          <w:b/>
          <w:bCs/>
          <w:sz w:val="28"/>
          <w:szCs w:val="28"/>
        </w:rPr>
        <w:t>Summary of the Petition</w:t>
      </w:r>
    </w:p>
    <w:p w14:paraId="7DBD80C6" w14:textId="677F8355" w:rsidR="00BE61D5" w:rsidRDefault="00BE61D5" w:rsidP="00E21E30">
      <w:pPr>
        <w:pStyle w:val="Body"/>
        <w:widowControl w:val="0"/>
        <w:spacing w:line="480" w:lineRule="auto"/>
        <w:ind w:firstLine="720"/>
        <w:jc w:val="both"/>
        <w:rPr>
          <w:rStyle w:val="BodyTextChar"/>
          <w:sz w:val="28"/>
          <w:szCs w:val="28"/>
        </w:rPr>
      </w:pPr>
      <w:r>
        <w:rPr>
          <w:rStyle w:val="BodyTextChar"/>
          <w:sz w:val="28"/>
          <w:szCs w:val="28"/>
        </w:rPr>
        <w:t>The Petition arises from the October 2019 Report of the Court’s Task Force on Delivery of Legal Services.</w:t>
      </w:r>
      <w:r w:rsidR="00202158">
        <w:rPr>
          <w:rStyle w:val="FootnoteReference"/>
          <w:sz w:val="28"/>
          <w:szCs w:val="28"/>
        </w:rPr>
        <w:footnoteReference w:id="2"/>
      </w:r>
      <w:r>
        <w:rPr>
          <w:rStyle w:val="BodyTextChar"/>
          <w:sz w:val="28"/>
          <w:szCs w:val="28"/>
        </w:rPr>
        <w:t xml:space="preserve"> The stated aim of the Petition is to significantly alter or delete existing rules, most notably Ethical Rule 5.4 of the Arizona Rules of Professional Conduct, Rule 42, Ariz. R. Sup. Ct., to allow and regulate 1) nonlawyer ownership/investment in law firms – “alternate business structures” (ABS) and 2) nonlawyer provision of some legal services</w:t>
      </w:r>
      <w:r>
        <w:rPr>
          <w:rStyle w:val="FootnoteReference"/>
          <w:sz w:val="28"/>
          <w:szCs w:val="28"/>
        </w:rPr>
        <w:footnoteReference w:id="3"/>
      </w:r>
      <w:r>
        <w:rPr>
          <w:rStyle w:val="BodyTextChar"/>
          <w:sz w:val="28"/>
          <w:szCs w:val="28"/>
        </w:rPr>
        <w:t xml:space="preserve"> – limited license legal practitioners (LLLP). The Petition also restyles Rule 31. In total, the Petition impacts existing Rules 31, 32, 41, 42 (ERs 1.0, 1.5-1.8, 1.10, 1.17, 5.1, 5.3, 5.4, and 5.7), 46-51, 54-58, 60, 75, and 76 and sets out new Rule 33.1, Ariz. R. Sup. Ct. Related, the Court has also published associated proposed administrative code (ACJA) sections governing ABS and LLLP. </w:t>
      </w:r>
    </w:p>
    <w:p w14:paraId="47B2083F" w14:textId="4D757BC3" w:rsidR="00BE61D5" w:rsidRDefault="00BE61D5" w:rsidP="00E21E30">
      <w:pPr>
        <w:pStyle w:val="Body"/>
        <w:widowControl w:val="0"/>
        <w:spacing w:line="480" w:lineRule="auto"/>
        <w:ind w:firstLine="720"/>
        <w:jc w:val="both"/>
        <w:rPr>
          <w:rStyle w:val="BodyTextChar"/>
          <w:sz w:val="28"/>
          <w:szCs w:val="28"/>
        </w:rPr>
      </w:pPr>
      <w:r>
        <w:rPr>
          <w:rStyle w:val="BodyTextChar"/>
          <w:sz w:val="28"/>
          <w:szCs w:val="28"/>
        </w:rPr>
        <w:t>Following the first of two consecutive comment periods, Petitioner filed a combined Amended Petition and Response to online forum comments. The Amended Petition includes additional proposed changes to the above-enumerated rules, as well as revisions to the proposed ACJA sections.</w:t>
      </w:r>
      <w:r w:rsidR="00FA1038">
        <w:rPr>
          <w:rStyle w:val="BodyTextChar"/>
          <w:sz w:val="28"/>
          <w:szCs w:val="28"/>
        </w:rPr>
        <w:t xml:space="preserve"> </w:t>
      </w:r>
      <w:proofErr w:type="gramStart"/>
      <w:r w:rsidR="00FA1038">
        <w:rPr>
          <w:rStyle w:val="BodyTextChar"/>
          <w:sz w:val="28"/>
          <w:szCs w:val="28"/>
        </w:rPr>
        <w:t>The majority of</w:t>
      </w:r>
      <w:proofErr w:type="gramEnd"/>
      <w:r w:rsidR="00FA1038">
        <w:rPr>
          <w:rStyle w:val="BodyTextChar"/>
          <w:sz w:val="28"/>
          <w:szCs w:val="28"/>
        </w:rPr>
        <w:t xml:space="preserve"> the combined pleading, however, outlines Petitioner’s consideration of forum comments on the Petition.</w:t>
      </w:r>
    </w:p>
    <w:p w14:paraId="62C5C7C9" w14:textId="14BB0557" w:rsidR="00487731" w:rsidRDefault="0002272A" w:rsidP="00487731">
      <w:pPr>
        <w:pStyle w:val="Body"/>
        <w:widowControl w:val="0"/>
        <w:numPr>
          <w:ilvl w:val="0"/>
          <w:numId w:val="16"/>
        </w:numPr>
        <w:spacing w:line="480" w:lineRule="auto"/>
        <w:jc w:val="both"/>
        <w:rPr>
          <w:rStyle w:val="BodyTextChar"/>
          <w:b/>
          <w:bCs/>
          <w:sz w:val="28"/>
          <w:szCs w:val="28"/>
        </w:rPr>
      </w:pPr>
      <w:r>
        <w:rPr>
          <w:rStyle w:val="BodyTextChar"/>
          <w:b/>
          <w:bCs/>
          <w:sz w:val="28"/>
          <w:szCs w:val="28"/>
        </w:rPr>
        <w:t xml:space="preserve">The Significant Unmet Legal Needs of Arizonans Warrants </w:t>
      </w:r>
      <w:r w:rsidR="00A24BB1">
        <w:rPr>
          <w:rStyle w:val="BodyTextChar"/>
          <w:b/>
          <w:bCs/>
          <w:sz w:val="28"/>
          <w:szCs w:val="28"/>
        </w:rPr>
        <w:t>Reform</w:t>
      </w:r>
      <w:r>
        <w:rPr>
          <w:rStyle w:val="BodyTextChar"/>
          <w:b/>
          <w:bCs/>
          <w:sz w:val="28"/>
          <w:szCs w:val="28"/>
        </w:rPr>
        <w:t xml:space="preserve">. </w:t>
      </w:r>
    </w:p>
    <w:p w14:paraId="2A4BEBDF" w14:textId="3A44CBDB" w:rsidR="003E51FC" w:rsidRDefault="003E51FC" w:rsidP="003E51FC">
      <w:pPr>
        <w:pStyle w:val="Body"/>
        <w:widowControl w:val="0"/>
        <w:spacing w:line="480" w:lineRule="auto"/>
        <w:ind w:firstLine="720"/>
        <w:jc w:val="both"/>
        <w:rPr>
          <w:rStyle w:val="BodyTextChar"/>
          <w:sz w:val="28"/>
          <w:szCs w:val="28"/>
        </w:rPr>
      </w:pPr>
      <w:r>
        <w:rPr>
          <w:rStyle w:val="BodyTextChar"/>
          <w:sz w:val="28"/>
          <w:szCs w:val="28"/>
        </w:rPr>
        <w:t>It is largely undisputed that civil practice legal services are unaffordable for many would-be consumers and that the resulting gap in services has not been, and is not likely to be, adequately answered by legal aid or pro bono or self-service.</w:t>
      </w:r>
    </w:p>
    <w:p w14:paraId="4DA477D0" w14:textId="292F09DA" w:rsidR="00487731" w:rsidRDefault="003E51FC" w:rsidP="003E51FC">
      <w:pPr>
        <w:pStyle w:val="Body"/>
        <w:widowControl w:val="0"/>
        <w:spacing w:line="480" w:lineRule="auto"/>
        <w:ind w:firstLine="720"/>
        <w:jc w:val="both"/>
        <w:rPr>
          <w:rStyle w:val="BodyTextChar"/>
          <w:sz w:val="28"/>
          <w:szCs w:val="28"/>
        </w:rPr>
      </w:pPr>
      <w:r>
        <w:rPr>
          <w:rStyle w:val="BodyTextChar"/>
          <w:sz w:val="28"/>
          <w:szCs w:val="28"/>
        </w:rPr>
        <w:t>In its thoughtful scrutiny of what can be done, and how quickly, to update and expand the delivery of legal services, the Task Force arrived at, among other proposals, nonlawyer ownership of law firms (ABS) and nonlawyer practice of law (LLLP). Clearly, these two proposals</w:t>
      </w:r>
      <w:r w:rsidR="008D3E60">
        <w:rPr>
          <w:rStyle w:val="BodyTextChar"/>
          <w:sz w:val="28"/>
          <w:szCs w:val="28"/>
        </w:rPr>
        <w:t xml:space="preserve">, in their nonlawyer expansion of the profession, </w:t>
      </w:r>
      <w:r>
        <w:rPr>
          <w:rStyle w:val="BodyTextChar"/>
          <w:sz w:val="28"/>
          <w:szCs w:val="28"/>
        </w:rPr>
        <w:t xml:space="preserve">represent significant change, a complete overhaul even, in law practice as we know it. </w:t>
      </w:r>
    </w:p>
    <w:p w14:paraId="635198EF" w14:textId="21456680" w:rsidR="003E51FC" w:rsidRDefault="003E51FC" w:rsidP="003E51FC">
      <w:pPr>
        <w:pStyle w:val="Body"/>
        <w:widowControl w:val="0"/>
        <w:spacing w:line="480" w:lineRule="auto"/>
        <w:ind w:firstLine="720"/>
        <w:jc w:val="both"/>
        <w:rPr>
          <w:rStyle w:val="BodyTextChar"/>
          <w:sz w:val="28"/>
          <w:szCs w:val="28"/>
        </w:rPr>
      </w:pPr>
      <w:r>
        <w:rPr>
          <w:rStyle w:val="BodyTextChar"/>
          <w:sz w:val="28"/>
          <w:szCs w:val="28"/>
        </w:rPr>
        <w:t>The legal community commentary on this Petition has been vigorous, particularly with respect to whether the proposed reforms</w:t>
      </w:r>
      <w:r w:rsidRPr="00FA1038">
        <w:rPr>
          <w:rStyle w:val="BodyTextChar"/>
          <w:sz w:val="28"/>
          <w:szCs w:val="28"/>
        </w:rPr>
        <w:t xml:space="preserve"> </w:t>
      </w:r>
      <w:r>
        <w:rPr>
          <w:rStyle w:val="BodyTextChar"/>
          <w:sz w:val="28"/>
          <w:szCs w:val="28"/>
        </w:rPr>
        <w:t xml:space="preserve">will modernize legal services delivery or increase innovation, </w:t>
      </w:r>
      <w:r w:rsidR="00090709">
        <w:rPr>
          <w:rStyle w:val="BodyTextChar"/>
          <w:sz w:val="28"/>
          <w:szCs w:val="28"/>
        </w:rPr>
        <w:t>thereby</w:t>
      </w:r>
      <w:r>
        <w:rPr>
          <w:rStyle w:val="BodyTextChar"/>
          <w:sz w:val="28"/>
          <w:szCs w:val="28"/>
        </w:rPr>
        <w:t xml:space="preserve"> increasing access to justice. It is a robust debate that is ongoing in other states, and at the national level, with Arizona poised to be the first to enact the kind of seismic </w:t>
      </w:r>
      <w:r w:rsidR="00090709">
        <w:rPr>
          <w:rStyle w:val="BodyTextChar"/>
          <w:sz w:val="28"/>
          <w:szCs w:val="28"/>
        </w:rPr>
        <w:t>reform</w:t>
      </w:r>
      <w:r>
        <w:rPr>
          <w:rStyle w:val="BodyTextChar"/>
          <w:sz w:val="28"/>
          <w:szCs w:val="28"/>
        </w:rPr>
        <w:t xml:space="preserve"> projected by the Petition.</w:t>
      </w:r>
    </w:p>
    <w:p w14:paraId="1EB47079" w14:textId="23D239EC" w:rsidR="003E51FC" w:rsidRPr="003E51FC" w:rsidRDefault="003E51FC" w:rsidP="003E51FC">
      <w:pPr>
        <w:pStyle w:val="Body"/>
        <w:widowControl w:val="0"/>
        <w:spacing w:line="480" w:lineRule="auto"/>
        <w:ind w:firstLine="720"/>
        <w:jc w:val="both"/>
        <w:rPr>
          <w:rStyle w:val="BodyTextChar"/>
          <w:sz w:val="28"/>
          <w:szCs w:val="28"/>
        </w:rPr>
      </w:pPr>
      <w:r>
        <w:rPr>
          <w:rStyle w:val="BodyTextChar"/>
          <w:sz w:val="28"/>
          <w:szCs w:val="28"/>
        </w:rPr>
        <w:t>Without rehashing the well-developed body of points and counterpoints,</w:t>
      </w:r>
      <w:r>
        <w:rPr>
          <w:rStyle w:val="FootnoteReference"/>
          <w:sz w:val="28"/>
          <w:szCs w:val="28"/>
        </w:rPr>
        <w:footnoteReference w:id="4"/>
      </w:r>
      <w:r>
        <w:rPr>
          <w:rStyle w:val="BodyTextChar"/>
          <w:sz w:val="28"/>
          <w:szCs w:val="28"/>
        </w:rPr>
        <w:t xml:space="preserve"> the State Bar conclude</w:t>
      </w:r>
      <w:r w:rsidR="00285886">
        <w:rPr>
          <w:rStyle w:val="BodyTextChar"/>
          <w:sz w:val="28"/>
          <w:szCs w:val="28"/>
        </w:rPr>
        <w:t xml:space="preserve">s that, where </w:t>
      </w:r>
      <w:r w:rsidR="0030344A">
        <w:rPr>
          <w:rStyle w:val="BodyTextChar"/>
          <w:sz w:val="28"/>
          <w:szCs w:val="28"/>
        </w:rPr>
        <w:t xml:space="preserve">incremental </w:t>
      </w:r>
      <w:r w:rsidR="00285886">
        <w:rPr>
          <w:rStyle w:val="BodyTextChar"/>
          <w:sz w:val="28"/>
          <w:szCs w:val="28"/>
        </w:rPr>
        <w:t xml:space="preserve">efforts at addressing </w:t>
      </w:r>
      <w:r w:rsidR="000C6BC8">
        <w:rPr>
          <w:rStyle w:val="BodyTextChar"/>
          <w:sz w:val="28"/>
          <w:szCs w:val="28"/>
        </w:rPr>
        <w:t>the substantial unmet legal needs</w:t>
      </w:r>
      <w:r w:rsidR="00285886">
        <w:rPr>
          <w:rStyle w:val="BodyTextChar"/>
          <w:sz w:val="28"/>
          <w:szCs w:val="28"/>
        </w:rPr>
        <w:t xml:space="preserve"> </w:t>
      </w:r>
      <w:r w:rsidR="000C6BC8">
        <w:rPr>
          <w:rStyle w:val="BodyTextChar"/>
          <w:sz w:val="28"/>
          <w:szCs w:val="28"/>
        </w:rPr>
        <w:t xml:space="preserve">of Arizonans </w:t>
      </w:r>
      <w:r w:rsidR="00285886">
        <w:rPr>
          <w:rStyle w:val="BodyTextChar"/>
          <w:sz w:val="28"/>
          <w:szCs w:val="28"/>
        </w:rPr>
        <w:t xml:space="preserve">have failed, the Task Force’s </w:t>
      </w:r>
      <w:proofErr w:type="gramStart"/>
      <w:r w:rsidR="00285886">
        <w:rPr>
          <w:rStyle w:val="BodyTextChar"/>
          <w:sz w:val="28"/>
          <w:szCs w:val="28"/>
        </w:rPr>
        <w:t>studied</w:t>
      </w:r>
      <w:proofErr w:type="gramEnd"/>
      <w:r w:rsidR="00285886">
        <w:rPr>
          <w:rStyle w:val="BodyTextChar"/>
          <w:sz w:val="28"/>
          <w:szCs w:val="28"/>
        </w:rPr>
        <w:t xml:space="preserve"> and more substantial proposals are </w:t>
      </w:r>
      <w:r w:rsidR="001C05D2">
        <w:rPr>
          <w:rStyle w:val="BodyTextChar"/>
          <w:sz w:val="28"/>
          <w:szCs w:val="28"/>
        </w:rPr>
        <w:t xml:space="preserve">reasonable and </w:t>
      </w:r>
      <w:r w:rsidR="00285886">
        <w:rPr>
          <w:rStyle w:val="BodyTextChar"/>
          <w:sz w:val="28"/>
          <w:szCs w:val="28"/>
        </w:rPr>
        <w:t>warrante</w:t>
      </w:r>
      <w:r w:rsidR="009D4CA7">
        <w:rPr>
          <w:rStyle w:val="BodyTextChar"/>
          <w:sz w:val="28"/>
          <w:szCs w:val="28"/>
        </w:rPr>
        <w:t>d</w:t>
      </w:r>
      <w:r w:rsidR="000C6BC8">
        <w:rPr>
          <w:rStyle w:val="BodyTextChar"/>
          <w:sz w:val="28"/>
          <w:szCs w:val="28"/>
        </w:rPr>
        <w:t>. F</w:t>
      </w:r>
      <w:r w:rsidR="00285886">
        <w:rPr>
          <w:rStyle w:val="BodyTextChar"/>
          <w:sz w:val="28"/>
          <w:szCs w:val="28"/>
        </w:rPr>
        <w:t xml:space="preserve">urther, the State Bar is prepared to assist in meaningful implementation aimed at modernizing the delivery of legal services, </w:t>
      </w:r>
      <w:r w:rsidR="001B4853">
        <w:rPr>
          <w:rStyle w:val="BodyTextChar"/>
          <w:sz w:val="28"/>
          <w:szCs w:val="28"/>
        </w:rPr>
        <w:t xml:space="preserve">in line with </w:t>
      </w:r>
      <w:r w:rsidR="00157FED">
        <w:rPr>
          <w:rStyle w:val="BodyTextChar"/>
          <w:sz w:val="28"/>
          <w:szCs w:val="28"/>
        </w:rPr>
        <w:t xml:space="preserve">its </w:t>
      </w:r>
      <w:r w:rsidR="004E4F34">
        <w:rPr>
          <w:rStyle w:val="BodyTextChar"/>
          <w:sz w:val="28"/>
          <w:szCs w:val="28"/>
        </w:rPr>
        <w:t>core mission to serve and protect the public with respect to the provision of legal services and access to justice</w:t>
      </w:r>
      <w:r w:rsidR="00285886">
        <w:rPr>
          <w:rStyle w:val="BodyTextChar"/>
          <w:sz w:val="28"/>
          <w:szCs w:val="28"/>
        </w:rPr>
        <w:t>.</w:t>
      </w:r>
      <w:r w:rsidR="009D4CA7">
        <w:rPr>
          <w:rStyle w:val="BodyTextChar"/>
          <w:sz w:val="28"/>
          <w:szCs w:val="28"/>
        </w:rPr>
        <w:t xml:space="preserve"> The State Bar is informed in this commitment by the ABA Commission on the Future of Legal Services</w:t>
      </w:r>
      <w:r w:rsidR="0002272A">
        <w:rPr>
          <w:rStyle w:val="BodyTextChar"/>
          <w:sz w:val="28"/>
          <w:szCs w:val="28"/>
        </w:rPr>
        <w:t>’</w:t>
      </w:r>
      <w:r w:rsidR="009D4CA7">
        <w:rPr>
          <w:rStyle w:val="BodyTextChar"/>
          <w:sz w:val="28"/>
          <w:szCs w:val="28"/>
        </w:rPr>
        <w:t xml:space="preserve"> </w:t>
      </w:r>
      <w:r w:rsidR="0002272A">
        <w:rPr>
          <w:rStyle w:val="BodyTextChar"/>
          <w:sz w:val="28"/>
          <w:szCs w:val="28"/>
        </w:rPr>
        <w:t>call for</w:t>
      </w:r>
      <w:r w:rsidR="009D4CA7">
        <w:rPr>
          <w:rStyle w:val="BodyTextChar"/>
          <w:sz w:val="28"/>
          <w:szCs w:val="28"/>
        </w:rPr>
        <w:t xml:space="preserve"> </w:t>
      </w:r>
      <w:r w:rsidR="0002272A">
        <w:rPr>
          <w:rStyle w:val="BodyTextChar"/>
          <w:sz w:val="28"/>
          <w:szCs w:val="28"/>
        </w:rPr>
        <w:t xml:space="preserve">collaboration between </w:t>
      </w:r>
      <w:r w:rsidR="009D4CA7">
        <w:rPr>
          <w:rStyle w:val="BodyTextChar"/>
          <w:sz w:val="28"/>
          <w:szCs w:val="28"/>
        </w:rPr>
        <w:t>state judiciaries and bar</w:t>
      </w:r>
      <w:r w:rsidR="0002272A">
        <w:rPr>
          <w:rStyle w:val="BodyTextChar"/>
          <w:sz w:val="28"/>
          <w:szCs w:val="28"/>
        </w:rPr>
        <w:t xml:space="preserve"> associations </w:t>
      </w:r>
      <w:r w:rsidR="009D4CA7">
        <w:rPr>
          <w:rStyle w:val="BodyTextChar"/>
          <w:sz w:val="28"/>
          <w:szCs w:val="28"/>
        </w:rPr>
        <w:t>to explore ways of closing the access to justice gap through innovative solutions.</w:t>
      </w:r>
      <w:r w:rsidR="009D4CA7" w:rsidRPr="009D4CA7">
        <w:rPr>
          <w:rStyle w:val="FootnoteReference"/>
          <w:sz w:val="28"/>
          <w:szCs w:val="28"/>
        </w:rPr>
        <w:t xml:space="preserve"> </w:t>
      </w:r>
      <w:r w:rsidR="009D4CA7">
        <w:rPr>
          <w:rStyle w:val="FootnoteReference"/>
          <w:sz w:val="28"/>
          <w:szCs w:val="28"/>
        </w:rPr>
        <w:footnoteReference w:id="5"/>
      </w:r>
    </w:p>
    <w:p w14:paraId="7029EBB6" w14:textId="288AF8FF" w:rsidR="0004572E" w:rsidRPr="009B41C0" w:rsidRDefault="000F145C" w:rsidP="0004572E">
      <w:pPr>
        <w:pStyle w:val="Body"/>
        <w:widowControl w:val="0"/>
        <w:numPr>
          <w:ilvl w:val="0"/>
          <w:numId w:val="16"/>
        </w:numPr>
        <w:spacing w:line="480" w:lineRule="auto"/>
        <w:jc w:val="both"/>
        <w:rPr>
          <w:rStyle w:val="BodyTextChar"/>
          <w:b/>
          <w:bCs/>
          <w:sz w:val="28"/>
          <w:szCs w:val="28"/>
        </w:rPr>
      </w:pPr>
      <w:r w:rsidRPr="009B41C0">
        <w:rPr>
          <w:rStyle w:val="BodyTextChar"/>
          <w:b/>
          <w:bCs/>
          <w:sz w:val="28"/>
          <w:szCs w:val="28"/>
        </w:rPr>
        <w:t>Identified Issues Warranting Further Analysis/Clarification</w:t>
      </w:r>
    </w:p>
    <w:p w14:paraId="664AC4BE" w14:textId="12D39F7B" w:rsidR="000F145C" w:rsidRDefault="003E51FC" w:rsidP="003E51FC">
      <w:pPr>
        <w:pStyle w:val="Body"/>
        <w:widowControl w:val="0"/>
        <w:spacing w:line="480" w:lineRule="auto"/>
        <w:ind w:firstLine="720"/>
        <w:jc w:val="both"/>
        <w:rPr>
          <w:rStyle w:val="BodyTextChar"/>
          <w:sz w:val="28"/>
          <w:szCs w:val="28"/>
        </w:rPr>
      </w:pPr>
      <w:r>
        <w:rPr>
          <w:rStyle w:val="BodyTextChar"/>
          <w:sz w:val="28"/>
          <w:szCs w:val="28"/>
        </w:rPr>
        <w:t xml:space="preserve">The </w:t>
      </w:r>
      <w:r w:rsidR="00A07C1C">
        <w:rPr>
          <w:rStyle w:val="BodyTextChar"/>
          <w:sz w:val="28"/>
          <w:szCs w:val="28"/>
        </w:rPr>
        <w:t xml:space="preserve">State Bar has identified several categories of issues it believes the </w:t>
      </w:r>
      <w:r w:rsidR="009B41C0">
        <w:rPr>
          <w:rStyle w:val="BodyTextChar"/>
          <w:sz w:val="28"/>
          <w:szCs w:val="28"/>
        </w:rPr>
        <w:t>revised</w:t>
      </w:r>
      <w:r w:rsidR="00A07C1C">
        <w:rPr>
          <w:rStyle w:val="BodyTextChar"/>
          <w:sz w:val="28"/>
          <w:szCs w:val="28"/>
        </w:rPr>
        <w:t xml:space="preserve"> rules create, warrant</w:t>
      </w:r>
      <w:r w:rsidR="00832351">
        <w:rPr>
          <w:rStyle w:val="BodyTextChar"/>
          <w:sz w:val="28"/>
          <w:szCs w:val="28"/>
        </w:rPr>
        <w:t>ing</w:t>
      </w:r>
      <w:r w:rsidR="00A07C1C">
        <w:rPr>
          <w:rStyle w:val="BodyTextChar"/>
          <w:sz w:val="28"/>
          <w:szCs w:val="28"/>
        </w:rPr>
        <w:t xml:space="preserve"> additional analysis and clarification if </w:t>
      </w:r>
      <w:r w:rsidR="00832351">
        <w:rPr>
          <w:rStyle w:val="BodyTextChar"/>
          <w:sz w:val="28"/>
          <w:szCs w:val="28"/>
        </w:rPr>
        <w:t xml:space="preserve">the ABS and LLLP expansions </w:t>
      </w:r>
      <w:r w:rsidR="00A07C1C">
        <w:rPr>
          <w:rStyle w:val="BodyTextChar"/>
          <w:sz w:val="28"/>
          <w:szCs w:val="28"/>
        </w:rPr>
        <w:t>are to be meaningfully implemented.</w:t>
      </w:r>
    </w:p>
    <w:p w14:paraId="3A5DD01B" w14:textId="7BB370B9" w:rsidR="000F145C" w:rsidRDefault="000F145C" w:rsidP="000F145C">
      <w:pPr>
        <w:pStyle w:val="Body"/>
        <w:widowControl w:val="0"/>
        <w:numPr>
          <w:ilvl w:val="0"/>
          <w:numId w:val="17"/>
        </w:numPr>
        <w:spacing w:line="480" w:lineRule="auto"/>
        <w:jc w:val="both"/>
        <w:rPr>
          <w:rStyle w:val="BodyTextChar"/>
          <w:b/>
          <w:bCs/>
          <w:sz w:val="28"/>
          <w:szCs w:val="28"/>
        </w:rPr>
      </w:pPr>
      <w:r w:rsidRPr="00884964">
        <w:rPr>
          <w:rStyle w:val="BodyTextChar"/>
          <w:b/>
          <w:bCs/>
          <w:sz w:val="28"/>
          <w:szCs w:val="28"/>
        </w:rPr>
        <w:t>Protection of Public</w:t>
      </w:r>
    </w:p>
    <w:p w14:paraId="58D8DA9A" w14:textId="77777777" w:rsidR="00130F85" w:rsidRDefault="00130F85" w:rsidP="00130F85">
      <w:pPr>
        <w:pStyle w:val="Body"/>
        <w:widowControl w:val="0"/>
        <w:spacing w:line="480" w:lineRule="auto"/>
        <w:ind w:firstLine="720"/>
        <w:jc w:val="both"/>
        <w:rPr>
          <w:rStyle w:val="BodyTextChar"/>
          <w:sz w:val="28"/>
          <w:szCs w:val="28"/>
        </w:rPr>
      </w:pPr>
      <w:r>
        <w:rPr>
          <w:rStyle w:val="BodyTextChar"/>
          <w:sz w:val="28"/>
          <w:szCs w:val="28"/>
        </w:rPr>
        <w:t>In the interest of preserving minimum standards in the quality and independence of client representation, the State Bar notes the following public protection concerns with the creation and regulation of ABS and LLLP, not meant to be exhaustive:</w:t>
      </w:r>
    </w:p>
    <w:p w14:paraId="12471932"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Suspended lawyers should not be able to engage in LLLP practice.</w:t>
      </w:r>
    </w:p>
    <w:p w14:paraId="4C9E3F12" w14:textId="77777777" w:rsidR="00130F85" w:rsidRPr="004B7B7B"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 lawyer working as an LLLP should be required to report any lawyer discipline or suspension to the LLLP Board.</w:t>
      </w:r>
    </w:p>
    <w:p w14:paraId="6DE6804F"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Any ethical rule or regulation related to LLLP competence should contemplate the lower level of education and the fact that the body of case law on lawyer competence largely arises in malpractice actions, versus regulation/discipline.</w:t>
      </w:r>
    </w:p>
    <w:p w14:paraId="3ED550AF" w14:textId="77777777" w:rsidR="00130F85" w:rsidRPr="003C4840"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Beyond mere disclosure, due to much lower educational and licensing requirements, LLLP should be required to carry malpractice insurance as do similarly situated LLLT in Washington.</w:t>
      </w:r>
      <w:r>
        <w:rPr>
          <w:rStyle w:val="FootnoteReference"/>
          <w:sz w:val="28"/>
          <w:szCs w:val="28"/>
        </w:rPr>
        <w:footnoteReference w:id="6"/>
      </w:r>
    </w:p>
    <w:p w14:paraId="18851854"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 xml:space="preserve">Regarding LLLP practice areas, ACJA 7-210(F)(2) should include a reference to statute or rule definition of limited jurisdiction court. </w:t>
      </w:r>
    </w:p>
    <w:p w14:paraId="4502FE52" w14:textId="77777777" w:rsidR="00130F85" w:rsidRDefault="00130F85" w:rsidP="00130F85">
      <w:pPr>
        <w:pStyle w:val="Body"/>
        <w:widowControl w:val="0"/>
        <w:numPr>
          <w:ilvl w:val="0"/>
          <w:numId w:val="18"/>
        </w:numPr>
        <w:spacing w:line="480" w:lineRule="auto"/>
        <w:jc w:val="both"/>
        <w:rPr>
          <w:rStyle w:val="BodyTextChar"/>
          <w:sz w:val="28"/>
          <w:szCs w:val="28"/>
        </w:rPr>
      </w:pPr>
      <w:r w:rsidRPr="00E50B8C">
        <w:rPr>
          <w:rStyle w:val="BodyTextChar"/>
          <w:sz w:val="28"/>
          <w:szCs w:val="28"/>
        </w:rPr>
        <w:t>LLLP should not be permitted to represent Respondents in attorney disciplinary proceedings.</w:t>
      </w:r>
    </w:p>
    <w:p w14:paraId="1EE36549"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If LLLP will have client files and trust accounts, conservatorship rules should apply.</w:t>
      </w:r>
    </w:p>
    <w:p w14:paraId="14B15EAA" w14:textId="62D3275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Disability rules should apply to LLLP.</w:t>
      </w:r>
    </w:p>
    <w:p w14:paraId="59991CD4" w14:textId="09AD6D9F" w:rsidR="00A16840" w:rsidRPr="00A16840" w:rsidRDefault="00A16840" w:rsidP="00A16840">
      <w:pPr>
        <w:pStyle w:val="Body"/>
        <w:widowControl w:val="0"/>
        <w:numPr>
          <w:ilvl w:val="0"/>
          <w:numId w:val="18"/>
        </w:numPr>
        <w:spacing w:line="480" w:lineRule="auto"/>
        <w:jc w:val="both"/>
        <w:rPr>
          <w:rStyle w:val="BodyTextChar"/>
          <w:sz w:val="28"/>
          <w:szCs w:val="28"/>
        </w:rPr>
      </w:pPr>
      <w:r>
        <w:rPr>
          <w:rStyle w:val="BodyTextChar"/>
          <w:sz w:val="28"/>
          <w:szCs w:val="28"/>
        </w:rPr>
        <w:t>The LLLP Client Protection Fund (CPF) should be a separate trust from the existing lawyer CPF.</w:t>
      </w:r>
    </w:p>
    <w:p w14:paraId="73895B9F"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Suspended lawyers should not be ABS owners/investors or “authorized persons.”</w:t>
      </w:r>
    </w:p>
    <w:p w14:paraId="778CE7FB"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7-209(G)(3)(a)(2) should require that ABS Compliance Attorneys be at the level of “authorized person.”</w:t>
      </w:r>
    </w:p>
    <w:p w14:paraId="73AC86E2"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All ABS authorized persons should be fingerprinted for records checks.</w:t>
      </w:r>
    </w:p>
    <w:p w14:paraId="3CBF924C"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7-209(I) regarding ABS reinstatement following suspension or revocation should also apply to surrendered ABS licenses.</w:t>
      </w:r>
    </w:p>
    <w:p w14:paraId="1C5C53BD"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7-209(G)(2)(a) should require an ABS to adhere to Arizona Supreme Court rules, in addition to the ACJA code of conduct.</w:t>
      </w:r>
    </w:p>
    <w:p w14:paraId="4473F185" w14:textId="77777777" w:rsidR="00130F85" w:rsidRPr="00403182"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7-209(H)(2)(b) does not adequately limit the activities of a suspended ABS.</w:t>
      </w:r>
    </w:p>
    <w:p w14:paraId="2F0549FE" w14:textId="77777777" w:rsidR="00130F85" w:rsidRDefault="00130F85" w:rsidP="00130F85">
      <w:pPr>
        <w:pStyle w:val="Body"/>
        <w:widowControl w:val="0"/>
        <w:numPr>
          <w:ilvl w:val="0"/>
          <w:numId w:val="17"/>
        </w:numPr>
        <w:spacing w:line="480" w:lineRule="auto"/>
        <w:jc w:val="both"/>
        <w:rPr>
          <w:rStyle w:val="BodyTextChar"/>
          <w:b/>
          <w:bCs/>
          <w:sz w:val="28"/>
          <w:szCs w:val="28"/>
        </w:rPr>
      </w:pPr>
      <w:r w:rsidRPr="00884964">
        <w:rPr>
          <w:rStyle w:val="BodyTextChar"/>
          <w:b/>
          <w:bCs/>
          <w:sz w:val="28"/>
          <w:szCs w:val="28"/>
        </w:rPr>
        <w:t>Scrivener Issues Impacting Clarity and Enforceability</w:t>
      </w:r>
      <w:r>
        <w:rPr>
          <w:rStyle w:val="FootnoteReference"/>
          <w:b/>
          <w:bCs/>
          <w:sz w:val="28"/>
          <w:szCs w:val="28"/>
        </w:rPr>
        <w:footnoteReference w:id="7"/>
      </w:r>
    </w:p>
    <w:p w14:paraId="52BF4F92" w14:textId="60CDAD88" w:rsidR="00130F85" w:rsidRDefault="00130F85" w:rsidP="00DE58AC">
      <w:pPr>
        <w:pStyle w:val="Body"/>
        <w:widowControl w:val="0"/>
        <w:spacing w:line="480" w:lineRule="auto"/>
        <w:ind w:firstLine="720"/>
        <w:jc w:val="both"/>
        <w:rPr>
          <w:rStyle w:val="BodyTextChar"/>
          <w:sz w:val="28"/>
          <w:szCs w:val="28"/>
        </w:rPr>
      </w:pPr>
      <w:r>
        <w:rPr>
          <w:rStyle w:val="BodyTextChar"/>
          <w:sz w:val="28"/>
          <w:szCs w:val="28"/>
        </w:rPr>
        <w:t>A critical concern with the Petition is that it makes sweeping change</w:t>
      </w:r>
      <w:r w:rsidR="00DE58AC">
        <w:rPr>
          <w:rStyle w:val="BodyTextChar"/>
          <w:sz w:val="28"/>
          <w:szCs w:val="28"/>
        </w:rPr>
        <w:t xml:space="preserve">s </w:t>
      </w:r>
      <w:r>
        <w:rPr>
          <w:rStyle w:val="BodyTextChar"/>
          <w:sz w:val="28"/>
          <w:szCs w:val="28"/>
        </w:rPr>
        <w:t>to many of the Rules of Professional Responsibility (“the ERs”) and key corresponding ER comments, seemingly in service to the creation and regulation of ABS and LLLP, but without consideration of other, existing lawyer regulation. Some of these concerns are listed below, along with other seeming scrivener issues, not meant to be exhaustive:</w:t>
      </w:r>
    </w:p>
    <w:p w14:paraId="105C772C"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The proposed ER 1.5 eliminates the requirement of joint responsibility for lawyers who share a fee.</w:t>
      </w:r>
    </w:p>
    <w:p w14:paraId="46549260"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Does the duty of confidentiality apply to ABS nonlawyers providing exclusively nonlegal services? Should it?</w:t>
      </w:r>
    </w:p>
    <w:p w14:paraId="358039FA" w14:textId="0DC0800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Are conflicts imputed related to ABS nonlawyer provision of nonlegal services? Should they be</w:t>
      </w:r>
      <w:r w:rsidR="0005269D">
        <w:rPr>
          <w:rStyle w:val="BodyTextChar"/>
          <w:sz w:val="28"/>
          <w:szCs w:val="28"/>
        </w:rPr>
        <w:t>? Proposed ER 1.10 is unclear as to how nonlawyer conflicts are evaluated within an ABS.</w:t>
      </w:r>
    </w:p>
    <w:p w14:paraId="133D0224"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ABS and Entity are used interchangeably throughout the proposed rules/code.</w:t>
      </w:r>
    </w:p>
    <w:p w14:paraId="2687DC26"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Member is used ambiguously and inconsistently throughout the proposed rules/code.</w:t>
      </w:r>
    </w:p>
    <w:p w14:paraId="451552B4"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Professionalism is not defined.</w:t>
      </w:r>
    </w:p>
    <w:p w14:paraId="5E12A65F"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Out of state (foreign) lawyers are confusingly defined as nonlawyers.</w:t>
      </w:r>
    </w:p>
    <w:p w14:paraId="0C856255"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Rule 48(d) provides no standard of proof for LLLP.</w:t>
      </w:r>
    </w:p>
    <w:p w14:paraId="741A05DB"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ER 5.7 has been eliminated although its contents are not covered elsewhere. This leaves current business structures without any regulation – lawyers could provide law related services that are not distinct from their provision of legal services without being subject to the Rules of Professional Conduct in the course of providing those services. This scenario does not require the formation of an ABS.</w:t>
      </w:r>
    </w:p>
    <w:p w14:paraId="255F9E7E" w14:textId="5304D066"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Important instructional comments to numerous ERs, including ERs 1.7, 1.8, 1.17, 5.1, and 5.3, among others, have been deleted. Some content, moved to the rule, is not reflective of the meaning of the comment, or is inadequate to replace existing comments. Due to limited caselaw on ERs, comments to the ERs are often extremely helpful, to lawyers and in lawyer discipline, in interpreting and analyzing the rule.</w:t>
      </w:r>
    </w:p>
    <w:p w14:paraId="60500C08" w14:textId="77777777" w:rsidR="00130F85" w:rsidRPr="00851B5A"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 xml:space="preserve">ACJA 7-209(H) regarding ABS discipline omits ADPCC, in conflict with Rules 50 and 55. ABS is incorporated in the discipline process, but not sanctions.  </w:t>
      </w:r>
    </w:p>
    <w:p w14:paraId="79EA7AF3"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7-210(G) regarding discipline of LLLP should cross-reference Rule 54.</w:t>
      </w:r>
    </w:p>
    <w:p w14:paraId="337BB9A2" w14:textId="77777777" w:rsidR="00130F85" w:rsidRPr="00306C28"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Rule 75(a) should include LLLP members.</w:t>
      </w:r>
    </w:p>
    <w:p w14:paraId="2C8D5159"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7-209(A)’s reference to Rule 31.1(c) should be to Rule 31.1(b).</w:t>
      </w:r>
    </w:p>
    <w:p w14:paraId="44768079"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7-209(D)(3)(b)(3)(b)(</w:t>
      </w:r>
      <w:proofErr w:type="spellStart"/>
      <w:r>
        <w:rPr>
          <w:rStyle w:val="BodyTextChar"/>
          <w:sz w:val="28"/>
          <w:szCs w:val="28"/>
        </w:rPr>
        <w:t>i</w:t>
      </w:r>
      <w:proofErr w:type="spellEnd"/>
      <w:r>
        <w:rPr>
          <w:rStyle w:val="BodyTextChar"/>
          <w:sz w:val="28"/>
          <w:szCs w:val="28"/>
        </w:rPr>
        <w:t>) should include disclosure of ABS working papers to the State Bar.</w:t>
      </w:r>
    </w:p>
    <w:p w14:paraId="112B8431"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 xml:space="preserve">ACJA 7-209(D)(6) should indicate the State Bar will carry out its responsibility according to both the Supreme Court Rules </w:t>
      </w:r>
      <w:r w:rsidRPr="00491D5B">
        <w:rPr>
          <w:rStyle w:val="BodyTextChar"/>
          <w:sz w:val="28"/>
          <w:szCs w:val="28"/>
          <w:u w:val="single"/>
        </w:rPr>
        <w:t>and</w:t>
      </w:r>
      <w:r>
        <w:rPr>
          <w:rStyle w:val="BodyTextChar"/>
          <w:sz w:val="28"/>
          <w:szCs w:val="28"/>
        </w:rPr>
        <w:t xml:space="preserve"> the ACJA code.</w:t>
      </w:r>
    </w:p>
    <w:p w14:paraId="4D7B044C" w14:textId="77777777" w:rsidR="00130F85"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There is no indication as to the disposition of any collected ABS civil fines related to discipline.</w:t>
      </w:r>
    </w:p>
    <w:p w14:paraId="0360AFCE" w14:textId="77777777" w:rsidR="00130F85" w:rsidRPr="007A52F6" w:rsidRDefault="00130F85" w:rsidP="00130F85">
      <w:pPr>
        <w:pStyle w:val="Body"/>
        <w:widowControl w:val="0"/>
        <w:numPr>
          <w:ilvl w:val="0"/>
          <w:numId w:val="18"/>
        </w:numPr>
        <w:spacing w:line="480" w:lineRule="auto"/>
        <w:jc w:val="both"/>
        <w:rPr>
          <w:rStyle w:val="BodyTextChar"/>
          <w:sz w:val="28"/>
          <w:szCs w:val="28"/>
        </w:rPr>
      </w:pPr>
      <w:r>
        <w:rPr>
          <w:rStyle w:val="BodyTextChar"/>
          <w:sz w:val="28"/>
          <w:szCs w:val="28"/>
        </w:rPr>
        <w:t>ACJA 7-209(K)(1)(a) is missing conflicts rules, specifically ERs 1.11, and 1.18.</w:t>
      </w:r>
    </w:p>
    <w:p w14:paraId="2F451D4C" w14:textId="77777777" w:rsidR="00130F85" w:rsidRDefault="00130F85" w:rsidP="00130F85">
      <w:pPr>
        <w:pStyle w:val="Body"/>
        <w:widowControl w:val="0"/>
        <w:numPr>
          <w:ilvl w:val="0"/>
          <w:numId w:val="17"/>
        </w:numPr>
        <w:spacing w:line="480" w:lineRule="auto"/>
        <w:jc w:val="both"/>
        <w:rPr>
          <w:rStyle w:val="BodyTextChar"/>
          <w:b/>
          <w:bCs/>
          <w:sz w:val="28"/>
          <w:szCs w:val="28"/>
        </w:rPr>
      </w:pPr>
      <w:r w:rsidRPr="00884964">
        <w:rPr>
          <w:rStyle w:val="BodyTextChar"/>
          <w:b/>
          <w:bCs/>
          <w:sz w:val="28"/>
          <w:szCs w:val="28"/>
        </w:rPr>
        <w:t>Other Impacts</w:t>
      </w:r>
      <w:r>
        <w:rPr>
          <w:rStyle w:val="BodyTextChar"/>
          <w:b/>
          <w:bCs/>
          <w:sz w:val="28"/>
          <w:szCs w:val="28"/>
        </w:rPr>
        <w:t xml:space="preserve"> and Considerations</w:t>
      </w:r>
    </w:p>
    <w:p w14:paraId="0981AD93" w14:textId="77777777" w:rsidR="00130F85" w:rsidRPr="00AC0187" w:rsidRDefault="00130F85" w:rsidP="00130F85">
      <w:pPr>
        <w:pStyle w:val="Body"/>
        <w:widowControl w:val="0"/>
        <w:numPr>
          <w:ilvl w:val="0"/>
          <w:numId w:val="19"/>
        </w:numPr>
        <w:spacing w:line="480" w:lineRule="auto"/>
        <w:jc w:val="both"/>
        <w:rPr>
          <w:rStyle w:val="BodyTextChar"/>
          <w:sz w:val="28"/>
          <w:szCs w:val="28"/>
        </w:rPr>
      </w:pPr>
      <w:r>
        <w:rPr>
          <w:rStyle w:val="BodyTextChar"/>
          <w:sz w:val="28"/>
          <w:szCs w:val="28"/>
        </w:rPr>
        <w:t>The Petition if adopted will be a s</w:t>
      </w:r>
      <w:r w:rsidRPr="00AC0187">
        <w:rPr>
          <w:rStyle w:val="BodyTextChar"/>
          <w:sz w:val="28"/>
          <w:szCs w:val="28"/>
        </w:rPr>
        <w:t xml:space="preserve">ignificant departure from Model Rules, impacting </w:t>
      </w:r>
      <w:r>
        <w:rPr>
          <w:rStyle w:val="BodyTextChar"/>
          <w:sz w:val="28"/>
          <w:szCs w:val="28"/>
        </w:rPr>
        <w:t xml:space="preserve">the </w:t>
      </w:r>
      <w:r w:rsidRPr="00AC0187">
        <w:rPr>
          <w:rStyle w:val="BodyTextChar"/>
          <w:sz w:val="28"/>
          <w:szCs w:val="28"/>
        </w:rPr>
        <w:t>use of ethics opinions and possibly reciprocal admission</w:t>
      </w:r>
      <w:r>
        <w:rPr>
          <w:rStyle w:val="BodyTextChar"/>
          <w:sz w:val="28"/>
          <w:szCs w:val="28"/>
        </w:rPr>
        <w:t>.</w:t>
      </w:r>
    </w:p>
    <w:p w14:paraId="4EECA663" w14:textId="77777777" w:rsidR="00130F85" w:rsidRDefault="00130F85" w:rsidP="00130F85">
      <w:pPr>
        <w:pStyle w:val="Body"/>
        <w:widowControl w:val="0"/>
        <w:numPr>
          <w:ilvl w:val="0"/>
          <w:numId w:val="19"/>
        </w:numPr>
        <w:spacing w:line="480" w:lineRule="auto"/>
        <w:jc w:val="both"/>
        <w:rPr>
          <w:rStyle w:val="BodyTextChar"/>
          <w:sz w:val="28"/>
          <w:szCs w:val="28"/>
        </w:rPr>
      </w:pPr>
      <w:r>
        <w:rPr>
          <w:rStyle w:val="BodyTextChar"/>
          <w:sz w:val="28"/>
          <w:szCs w:val="28"/>
        </w:rPr>
        <w:t>Existing civil and criminal p</w:t>
      </w:r>
      <w:r w:rsidRPr="00AC0187">
        <w:rPr>
          <w:rStyle w:val="BodyTextChar"/>
          <w:sz w:val="28"/>
          <w:szCs w:val="28"/>
        </w:rPr>
        <w:t>rivilege statu</w:t>
      </w:r>
      <w:r>
        <w:rPr>
          <w:rStyle w:val="BodyTextChar"/>
          <w:sz w:val="28"/>
          <w:szCs w:val="28"/>
        </w:rPr>
        <w:t>tes do not cover LLLP.</w:t>
      </w:r>
    </w:p>
    <w:p w14:paraId="67B7F077" w14:textId="77777777" w:rsidR="00130F85" w:rsidRPr="00C32A0A" w:rsidRDefault="00130F85" w:rsidP="00130F85">
      <w:pPr>
        <w:pStyle w:val="Body"/>
        <w:widowControl w:val="0"/>
        <w:numPr>
          <w:ilvl w:val="0"/>
          <w:numId w:val="19"/>
        </w:numPr>
        <w:spacing w:line="480" w:lineRule="auto"/>
        <w:jc w:val="both"/>
        <w:rPr>
          <w:rStyle w:val="BodyTextChar"/>
          <w:sz w:val="28"/>
          <w:szCs w:val="28"/>
        </w:rPr>
      </w:pPr>
      <w:r>
        <w:rPr>
          <w:rStyle w:val="BodyTextChar"/>
          <w:sz w:val="28"/>
          <w:szCs w:val="28"/>
        </w:rPr>
        <w:t>It is unclear whether malpractice carries will insure LLLP under their limited education requirement.</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72BC61E5" w:rsidR="000F7C13" w:rsidRDefault="000F7C13" w:rsidP="00C02C97">
      <w:pPr>
        <w:pStyle w:val="Body"/>
        <w:widowControl w:val="0"/>
        <w:spacing w:line="480" w:lineRule="auto"/>
        <w:ind w:firstLine="720"/>
        <w:jc w:val="both"/>
        <w:rPr>
          <w:rStyle w:val="BodyTextChar"/>
          <w:sz w:val="28"/>
          <w:szCs w:val="28"/>
        </w:rPr>
      </w:pPr>
      <w:r w:rsidRPr="006F63FD">
        <w:rPr>
          <w:sz w:val="28"/>
          <w:szCs w:val="28"/>
        </w:rPr>
        <w:t>The State Bar</w:t>
      </w:r>
      <w:r w:rsidR="00735659">
        <w:rPr>
          <w:sz w:val="28"/>
          <w:szCs w:val="28"/>
        </w:rPr>
        <w:t xml:space="preserve"> of Arizona</w:t>
      </w:r>
      <w:r w:rsidRPr="006F63FD">
        <w:rPr>
          <w:sz w:val="28"/>
          <w:szCs w:val="28"/>
        </w:rPr>
        <w:t xml:space="preserve"> </w:t>
      </w:r>
      <w:r w:rsidR="008D3E60">
        <w:rPr>
          <w:sz w:val="28"/>
          <w:szCs w:val="28"/>
        </w:rPr>
        <w:t>supports</w:t>
      </w:r>
      <w:r w:rsidR="00130F85">
        <w:rPr>
          <w:sz w:val="28"/>
          <w:szCs w:val="28"/>
        </w:rPr>
        <w:t xml:space="preserve"> the Petition but recommends additional Task Force review of the issues raised herein and is willing to work with the Court on resolution of these issues to facilitate meaningful implementation of the ABS and LLLP proposals.</w:t>
      </w:r>
      <w:r w:rsidR="003E3FC7">
        <w:rPr>
          <w:sz w:val="28"/>
          <w:szCs w:val="28"/>
        </w:rPr>
        <w:t xml:space="preserve"> </w:t>
      </w:r>
      <w:r w:rsidR="003E3FC7">
        <w:rPr>
          <w:rStyle w:val="BodyTextChar"/>
          <w:sz w:val="28"/>
          <w:szCs w:val="28"/>
        </w:rPr>
        <w:t>Specifically, the State Bar seeks the opportunity to provide additional feedback, beyond the Comment periods, given the Court’s ongoing work on these rules and code provisions. The State Bar is uniquely situated to offer such input.</w:t>
      </w:r>
    </w:p>
    <w:p w14:paraId="56C95219" w14:textId="6F01D93B" w:rsidR="008E2D7F" w:rsidRDefault="008E2D7F" w:rsidP="008E2D7F">
      <w:pPr>
        <w:pStyle w:val="Body"/>
        <w:widowControl w:val="0"/>
        <w:spacing w:line="480" w:lineRule="auto"/>
        <w:ind w:firstLine="720"/>
        <w:jc w:val="both"/>
        <w:rPr>
          <w:sz w:val="28"/>
          <w:szCs w:val="28"/>
        </w:rPr>
      </w:pPr>
      <w:r>
        <w:rPr>
          <w:rStyle w:val="BodyTextChar"/>
          <w:sz w:val="28"/>
          <w:szCs w:val="28"/>
        </w:rPr>
        <w:t xml:space="preserve">Further, the State Bar recommends the risk-managed approach of a regulatory sandbox. </w:t>
      </w:r>
      <w:r w:rsidRPr="00037AF9">
        <w:rPr>
          <w:sz w:val="28"/>
          <w:szCs w:val="28"/>
        </w:rPr>
        <w:t>The America</w:t>
      </w:r>
      <w:r>
        <w:rPr>
          <w:sz w:val="28"/>
          <w:szCs w:val="28"/>
        </w:rPr>
        <w:t>n</w:t>
      </w:r>
      <w:r w:rsidRPr="00037AF9">
        <w:rPr>
          <w:sz w:val="28"/>
          <w:szCs w:val="28"/>
        </w:rPr>
        <w:t xml:space="preserve"> Bar Association House of Delegates recently endorsed regulatory reforms to increase access to justice. However, ABA Resolution 115 encouraged states to collect and assess data regarding regulatory innovations both before and after adoption, to ensure proposals are effective in increasing access to justice and protect clients and the public interest</w:t>
      </w:r>
      <w:r>
        <w:rPr>
          <w:sz w:val="28"/>
          <w:szCs w:val="28"/>
        </w:rPr>
        <w:t>.</w:t>
      </w:r>
      <w:r>
        <w:rPr>
          <w:rStyle w:val="BodyTextChar"/>
          <w:sz w:val="28"/>
          <w:szCs w:val="28"/>
        </w:rPr>
        <w:t xml:space="preserve"> This recommendation for a pilot</w:t>
      </w:r>
      <w:r w:rsidR="007F111C">
        <w:rPr>
          <w:rStyle w:val="BodyTextChar"/>
          <w:sz w:val="28"/>
          <w:szCs w:val="28"/>
        </w:rPr>
        <w:t>ed</w:t>
      </w:r>
      <w:r>
        <w:rPr>
          <w:rStyle w:val="BodyTextChar"/>
          <w:sz w:val="28"/>
          <w:szCs w:val="28"/>
        </w:rPr>
        <w:t xml:space="preserve"> </w:t>
      </w:r>
      <w:r w:rsidR="007F111C">
        <w:rPr>
          <w:rStyle w:val="BodyTextChar"/>
          <w:sz w:val="28"/>
          <w:szCs w:val="28"/>
        </w:rPr>
        <w:t>implementation</w:t>
      </w:r>
      <w:r>
        <w:rPr>
          <w:rStyle w:val="BodyTextChar"/>
          <w:sz w:val="28"/>
          <w:szCs w:val="28"/>
        </w:rPr>
        <w:t xml:space="preserve"> is further informed by the thoughtful “test and evaluate” approach to legal services reform currently underway in Utah</w:t>
      </w:r>
      <w:r>
        <w:rPr>
          <w:rStyle w:val="FootnoteReference"/>
          <w:sz w:val="28"/>
          <w:szCs w:val="28"/>
        </w:rPr>
        <w:footnoteReference w:id="8"/>
      </w:r>
      <w:r>
        <w:rPr>
          <w:rStyle w:val="BodyTextChar"/>
          <w:sz w:val="28"/>
          <w:szCs w:val="28"/>
        </w:rPr>
        <w:t xml:space="preserve"> and under review in California.</w:t>
      </w:r>
      <w:r>
        <w:rPr>
          <w:rStyle w:val="FootnoteReference"/>
          <w:sz w:val="28"/>
          <w:szCs w:val="28"/>
        </w:rPr>
        <w:footnoteReference w:id="9"/>
      </w:r>
      <w:r>
        <w:rPr>
          <w:rStyle w:val="BodyTextChar"/>
          <w:sz w:val="28"/>
          <w:szCs w:val="28"/>
        </w:rPr>
        <w:t xml:space="preserve"> The State Bar supports a similarly measured approach</w:t>
      </w:r>
      <w:r>
        <w:rPr>
          <w:sz w:val="28"/>
          <w:szCs w:val="28"/>
        </w:rPr>
        <w:t xml:space="preserve"> </w:t>
      </w:r>
      <w:r>
        <w:rPr>
          <w:rStyle w:val="BodyTextChar"/>
          <w:sz w:val="28"/>
          <w:szCs w:val="28"/>
        </w:rPr>
        <w:t>to the need to update law practice and increase access to services.</w:t>
      </w:r>
    </w:p>
    <w:p w14:paraId="5D02FE20" w14:textId="77777777" w:rsidR="000F7A7F" w:rsidRPr="000F7A7F" w:rsidRDefault="000F7A7F" w:rsidP="000F7C13">
      <w:pPr>
        <w:pStyle w:val="Body"/>
        <w:widowControl w:val="0"/>
        <w:tabs>
          <w:tab w:val="left" w:pos="720"/>
        </w:tabs>
        <w:ind w:firstLine="0"/>
        <w:rPr>
          <w:szCs w:val="26"/>
        </w:rPr>
      </w:pPr>
    </w:p>
    <w:p w14:paraId="42FCE512" w14:textId="1AB270C1" w:rsidR="006E5388" w:rsidRDefault="006E5388" w:rsidP="006E5388">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 xml:space="preserve">RESPECTFULLY SUBMITTED this </w:t>
      </w:r>
      <w:r>
        <w:rPr>
          <w:sz w:val="28"/>
          <w:szCs w:val="28"/>
        </w:rPr>
        <w:t>26</w:t>
      </w:r>
      <w:r w:rsidRPr="006E5388">
        <w:rPr>
          <w:sz w:val="28"/>
          <w:szCs w:val="28"/>
          <w:vertAlign w:val="superscript"/>
        </w:rPr>
        <w:t>th</w:t>
      </w:r>
      <w:r>
        <w:rPr>
          <w:sz w:val="28"/>
          <w:szCs w:val="28"/>
        </w:rPr>
        <w:t xml:space="preserve"> day</w:t>
      </w:r>
      <w:r>
        <w:rPr>
          <w:sz w:val="28"/>
          <w:szCs w:val="28"/>
        </w:rPr>
        <w:t xml:space="preserve"> of May, 2020.</w:t>
      </w:r>
    </w:p>
    <w:p w14:paraId="7AECBE93" w14:textId="77777777" w:rsidR="006E5388" w:rsidRDefault="006E5388" w:rsidP="006E5388">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675801D7" w14:textId="77777777" w:rsidR="006E5388" w:rsidRDefault="006E5388" w:rsidP="006E5388">
      <w:pPr>
        <w:widowControl w:val="0"/>
        <w:spacing w:line="240" w:lineRule="auto"/>
        <w:ind w:right="4140"/>
        <w:rPr>
          <w:sz w:val="28"/>
          <w:szCs w:val="28"/>
        </w:rPr>
      </w:pPr>
    </w:p>
    <w:p w14:paraId="364B796F" w14:textId="77777777" w:rsidR="006E5388" w:rsidRDefault="006E5388" w:rsidP="006E5388">
      <w:pPr>
        <w:widowControl w:val="0"/>
        <w:spacing w:line="240" w:lineRule="auto"/>
        <w:ind w:right="4140"/>
        <w:rPr>
          <w:sz w:val="28"/>
          <w:szCs w:val="28"/>
        </w:rPr>
      </w:pPr>
    </w:p>
    <w:p w14:paraId="087E797C" w14:textId="77777777" w:rsidR="006E5388" w:rsidRDefault="006E5388" w:rsidP="006E5388">
      <w:pPr>
        <w:widowControl w:val="0"/>
        <w:spacing w:line="240" w:lineRule="auto"/>
        <w:ind w:right="4140"/>
        <w:rPr>
          <w:sz w:val="28"/>
          <w:szCs w:val="28"/>
        </w:rPr>
      </w:pPr>
      <w:r>
        <w:rPr>
          <w:sz w:val="28"/>
          <w:szCs w:val="28"/>
        </w:rPr>
        <w:t>Electronic copy filed with the</w:t>
      </w:r>
    </w:p>
    <w:p w14:paraId="77073B92" w14:textId="77777777" w:rsidR="006E5388" w:rsidRDefault="006E5388" w:rsidP="006E5388">
      <w:pPr>
        <w:spacing w:line="240" w:lineRule="auto"/>
        <w:ind w:right="4140"/>
        <w:rPr>
          <w:sz w:val="28"/>
          <w:szCs w:val="28"/>
        </w:rPr>
      </w:pPr>
      <w:r>
        <w:rPr>
          <w:sz w:val="28"/>
          <w:szCs w:val="28"/>
        </w:rPr>
        <w:t>Clerk of the Supreme Court of Arizona</w:t>
      </w:r>
    </w:p>
    <w:p w14:paraId="6B8552B6" w14:textId="43734352" w:rsidR="006E5388" w:rsidRDefault="006E5388" w:rsidP="006E5388">
      <w:pPr>
        <w:tabs>
          <w:tab w:val="left" w:pos="4836"/>
        </w:tabs>
        <w:spacing w:line="240" w:lineRule="auto"/>
        <w:ind w:right="3870"/>
        <w:rPr>
          <w:sz w:val="28"/>
          <w:szCs w:val="28"/>
        </w:rPr>
      </w:pPr>
      <w:r>
        <w:rPr>
          <w:sz w:val="28"/>
          <w:szCs w:val="28"/>
        </w:rPr>
        <w:t xml:space="preserve">this </w:t>
      </w:r>
      <w:r>
        <w:rPr>
          <w:sz w:val="28"/>
          <w:szCs w:val="28"/>
        </w:rPr>
        <w:t>26</w:t>
      </w:r>
      <w:r w:rsidRPr="006E5388">
        <w:rPr>
          <w:sz w:val="28"/>
          <w:szCs w:val="28"/>
          <w:vertAlign w:val="superscript"/>
        </w:rPr>
        <w:t>th</w:t>
      </w:r>
      <w:r>
        <w:rPr>
          <w:sz w:val="28"/>
          <w:szCs w:val="28"/>
        </w:rPr>
        <w:t xml:space="preserve"> day</w:t>
      </w:r>
      <w:r>
        <w:rPr>
          <w:sz w:val="28"/>
          <w:szCs w:val="28"/>
        </w:rPr>
        <w:t xml:space="preserve"> of </w:t>
      </w:r>
      <w:proofErr w:type="gramStart"/>
      <w:r>
        <w:rPr>
          <w:sz w:val="28"/>
          <w:szCs w:val="28"/>
        </w:rPr>
        <w:t>May,</w:t>
      </w:r>
      <w:proofErr w:type="gramEnd"/>
      <w:r>
        <w:rPr>
          <w:sz w:val="28"/>
          <w:szCs w:val="28"/>
        </w:rPr>
        <w:t xml:space="preserve"> 2020.</w:t>
      </w:r>
    </w:p>
    <w:p w14:paraId="74C307ED" w14:textId="77777777" w:rsidR="006E5388" w:rsidRDefault="006E5388" w:rsidP="006E5388">
      <w:pPr>
        <w:spacing w:line="240" w:lineRule="auto"/>
        <w:ind w:right="4572"/>
        <w:rPr>
          <w:sz w:val="28"/>
          <w:szCs w:val="28"/>
        </w:rPr>
      </w:pPr>
    </w:p>
    <w:p w14:paraId="7913FA04" w14:textId="77777777" w:rsidR="006E5388" w:rsidRDefault="006E5388" w:rsidP="006E5388">
      <w:pPr>
        <w:spacing w:line="240" w:lineRule="auto"/>
        <w:ind w:right="4572"/>
        <w:rPr>
          <w:sz w:val="28"/>
          <w:szCs w:val="28"/>
        </w:rPr>
      </w:pPr>
      <w:proofErr w:type="gramStart"/>
      <w:r>
        <w:rPr>
          <w:sz w:val="28"/>
          <w:szCs w:val="28"/>
        </w:rPr>
        <w:t>by:</w:t>
      </w:r>
      <w:proofErr w:type="gramEnd"/>
      <w:r>
        <w:rPr>
          <w:sz w:val="28"/>
          <w:szCs w:val="28"/>
        </w:rPr>
        <w:t xml:space="preserve"> </w:t>
      </w:r>
      <w:r>
        <w:rPr>
          <w:sz w:val="28"/>
          <w:szCs w:val="28"/>
          <w:u w:val="single"/>
        </w:rPr>
        <w:t xml:space="preserve">Patricia Seguin </w:t>
      </w: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3EB9" w14:textId="77777777" w:rsidR="001A7ADC" w:rsidRDefault="001A7ADC">
      <w:r>
        <w:separator/>
      </w:r>
    </w:p>
  </w:endnote>
  <w:endnote w:type="continuationSeparator" w:id="0">
    <w:p w14:paraId="457DACD3" w14:textId="77777777" w:rsidR="001A7ADC" w:rsidRDefault="001A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D999" w14:textId="77777777" w:rsidR="001A7ADC" w:rsidRDefault="001A7ADC">
      <w:r>
        <w:separator/>
      </w:r>
    </w:p>
  </w:footnote>
  <w:footnote w:type="continuationSeparator" w:id="0">
    <w:p w14:paraId="63C54852" w14:textId="77777777" w:rsidR="001A7ADC" w:rsidRDefault="001A7ADC">
      <w:r>
        <w:continuationSeparator/>
      </w:r>
    </w:p>
  </w:footnote>
  <w:footnote w:id="1">
    <w:p w14:paraId="392BC56F" w14:textId="087635BF" w:rsidR="00E03A23" w:rsidRPr="00E03A23" w:rsidRDefault="00E03A23">
      <w:pPr>
        <w:pStyle w:val="FootnoteText"/>
        <w:rPr>
          <w:sz w:val="28"/>
          <w:szCs w:val="28"/>
        </w:rPr>
      </w:pPr>
      <w:r w:rsidRPr="00E03A23">
        <w:rPr>
          <w:rStyle w:val="FootnoteReference"/>
          <w:sz w:val="28"/>
          <w:szCs w:val="28"/>
        </w:rPr>
        <w:footnoteRef/>
      </w:r>
      <w:r w:rsidRPr="00E03A23">
        <w:rPr>
          <w:sz w:val="28"/>
          <w:szCs w:val="28"/>
        </w:rPr>
        <w:t xml:space="preserve"> This Comment was approved by the State Bar Board of Governors by a vote of thirteen (13) in favor, eight (8) opposed)</w:t>
      </w:r>
      <w:r w:rsidR="003E7A1C">
        <w:rPr>
          <w:sz w:val="28"/>
          <w:szCs w:val="28"/>
        </w:rPr>
        <w:t xml:space="preserve">, </w:t>
      </w:r>
      <w:r w:rsidRPr="00E03A23">
        <w:rPr>
          <w:sz w:val="28"/>
          <w:szCs w:val="28"/>
        </w:rPr>
        <w:t>and two (2) abstain.</w:t>
      </w:r>
    </w:p>
  </w:footnote>
  <w:footnote w:id="2">
    <w:p w14:paraId="226E7BC6" w14:textId="73CE8F11" w:rsidR="00202158" w:rsidRPr="00D6760C" w:rsidRDefault="00202158" w:rsidP="00202158">
      <w:pPr>
        <w:pStyle w:val="FootnoteText"/>
        <w:jc w:val="both"/>
        <w:rPr>
          <w:sz w:val="28"/>
          <w:szCs w:val="28"/>
        </w:rPr>
      </w:pPr>
      <w:r w:rsidRPr="00202158">
        <w:rPr>
          <w:rStyle w:val="FootnoteReference"/>
          <w:sz w:val="28"/>
          <w:szCs w:val="28"/>
        </w:rPr>
        <w:footnoteRef/>
      </w:r>
      <w:r w:rsidRPr="00202158">
        <w:rPr>
          <w:sz w:val="28"/>
          <w:szCs w:val="28"/>
        </w:rPr>
        <w:t xml:space="preserve"> The</w:t>
      </w:r>
      <w:r w:rsidRPr="008B28B4">
        <w:rPr>
          <w:sz w:val="28"/>
          <w:szCs w:val="28"/>
        </w:rPr>
        <w:t xml:space="preserve"> Task Force made ten significant recommendations. This Comment addresses only </w:t>
      </w:r>
      <w:r>
        <w:rPr>
          <w:sz w:val="28"/>
          <w:szCs w:val="28"/>
        </w:rPr>
        <w:t>the first</w:t>
      </w:r>
      <w:r w:rsidRPr="008B28B4">
        <w:rPr>
          <w:sz w:val="28"/>
          <w:szCs w:val="28"/>
        </w:rPr>
        <w:t xml:space="preserve"> (concerning ABS) and </w:t>
      </w:r>
      <w:r>
        <w:rPr>
          <w:sz w:val="28"/>
          <w:szCs w:val="28"/>
        </w:rPr>
        <w:t>s</w:t>
      </w:r>
      <w:r w:rsidRPr="008B28B4">
        <w:rPr>
          <w:sz w:val="28"/>
          <w:szCs w:val="28"/>
        </w:rPr>
        <w:t>ix</w:t>
      </w:r>
      <w:r>
        <w:rPr>
          <w:sz w:val="28"/>
          <w:szCs w:val="28"/>
        </w:rPr>
        <w:t>th</w:t>
      </w:r>
      <w:r w:rsidRPr="008B28B4">
        <w:rPr>
          <w:sz w:val="28"/>
          <w:szCs w:val="28"/>
        </w:rPr>
        <w:t xml:space="preserve"> (concerning LLLP).</w:t>
      </w:r>
      <w:r>
        <w:rPr>
          <w:sz w:val="28"/>
          <w:szCs w:val="28"/>
        </w:rPr>
        <w:t xml:space="preserve"> The Petition also includes a proposed restyle of Rule 31, which was the fifth Task Force recommendation. This Comment does not discuss that portion of the Petition, but the State Bar does not oppose the proposed restyle of Rule 31.</w:t>
      </w:r>
    </w:p>
    <w:p w14:paraId="21DE37E9" w14:textId="3EB78B79" w:rsidR="00202158" w:rsidRDefault="00202158">
      <w:pPr>
        <w:pStyle w:val="FootnoteText"/>
      </w:pPr>
    </w:p>
  </w:footnote>
  <w:footnote w:id="3">
    <w:p w14:paraId="6D560946" w14:textId="11F37CFB" w:rsidR="00BE61D5" w:rsidRDefault="00BE61D5" w:rsidP="00BE61D5">
      <w:pPr>
        <w:pStyle w:val="FootnoteText"/>
        <w:jc w:val="both"/>
        <w:rPr>
          <w:sz w:val="28"/>
        </w:rPr>
      </w:pPr>
      <w:r w:rsidRPr="009A5455">
        <w:rPr>
          <w:rStyle w:val="FootnoteReference"/>
          <w:sz w:val="28"/>
        </w:rPr>
        <w:footnoteRef/>
      </w:r>
      <w:r w:rsidRPr="009A5455">
        <w:rPr>
          <w:sz w:val="28"/>
        </w:rPr>
        <w:t xml:space="preserve"> LLL</w:t>
      </w:r>
      <w:r>
        <w:rPr>
          <w:sz w:val="28"/>
        </w:rPr>
        <w:t>P practice areas include family law, civil and criminal practice before limited jurisdiction courts, and practice in administrative agencies. ACJA 7-210(F)(2).</w:t>
      </w:r>
    </w:p>
    <w:p w14:paraId="18AEAB2F" w14:textId="77777777" w:rsidR="00BE61D5" w:rsidRPr="009A5455" w:rsidRDefault="00BE61D5" w:rsidP="00BE61D5">
      <w:pPr>
        <w:pStyle w:val="FootnoteText"/>
        <w:jc w:val="both"/>
        <w:rPr>
          <w:sz w:val="28"/>
        </w:rPr>
      </w:pPr>
    </w:p>
  </w:footnote>
  <w:footnote w:id="4">
    <w:p w14:paraId="2DF0C27B" w14:textId="77777777" w:rsidR="003E51FC" w:rsidRDefault="003E51FC" w:rsidP="003E51FC">
      <w:pPr>
        <w:pStyle w:val="FootnoteText"/>
        <w:jc w:val="both"/>
        <w:rPr>
          <w:sz w:val="28"/>
          <w:szCs w:val="28"/>
        </w:rPr>
      </w:pPr>
      <w:r w:rsidRPr="00A70AEC">
        <w:rPr>
          <w:rStyle w:val="FootnoteReference"/>
          <w:sz w:val="28"/>
          <w:szCs w:val="28"/>
        </w:rPr>
        <w:footnoteRef/>
      </w:r>
      <w:r w:rsidRPr="00A70AEC">
        <w:rPr>
          <w:sz w:val="28"/>
          <w:szCs w:val="28"/>
        </w:rPr>
        <w:t xml:space="preserve"> The debate </w:t>
      </w:r>
      <w:r>
        <w:rPr>
          <w:sz w:val="28"/>
          <w:szCs w:val="28"/>
        </w:rPr>
        <w:t xml:space="preserve">on nonlawyer ownership and nonlawyer practice </w:t>
      </w:r>
      <w:r w:rsidRPr="00A70AEC">
        <w:rPr>
          <w:sz w:val="28"/>
          <w:szCs w:val="28"/>
        </w:rPr>
        <w:t xml:space="preserve">has been captured, among other places, in the </w:t>
      </w:r>
      <w:r>
        <w:rPr>
          <w:sz w:val="28"/>
          <w:szCs w:val="28"/>
        </w:rPr>
        <w:t xml:space="preserve">Opposition Statement </w:t>
      </w:r>
      <w:r w:rsidRPr="00A70AEC">
        <w:rPr>
          <w:sz w:val="28"/>
          <w:szCs w:val="28"/>
        </w:rPr>
        <w:t>to the Task Force Report, in CLEs, on the Court’s online Rules Forum, at the State Bar’s recent Board of Governor</w:t>
      </w:r>
      <w:r>
        <w:rPr>
          <w:sz w:val="28"/>
          <w:szCs w:val="28"/>
        </w:rPr>
        <w:t>s</w:t>
      </w:r>
      <w:r w:rsidRPr="00A70AEC">
        <w:rPr>
          <w:sz w:val="28"/>
          <w:szCs w:val="28"/>
        </w:rPr>
        <w:t xml:space="preserve"> public meetings</w:t>
      </w:r>
      <w:r>
        <w:rPr>
          <w:sz w:val="28"/>
          <w:szCs w:val="28"/>
        </w:rPr>
        <w:t xml:space="preserve"> (February, April, and May)</w:t>
      </w:r>
      <w:r w:rsidRPr="00A70AEC">
        <w:rPr>
          <w:sz w:val="28"/>
          <w:szCs w:val="28"/>
        </w:rPr>
        <w:t>,</w:t>
      </w:r>
      <w:r>
        <w:rPr>
          <w:sz w:val="28"/>
          <w:szCs w:val="28"/>
        </w:rPr>
        <w:t xml:space="preserve"> </w:t>
      </w:r>
      <w:r w:rsidRPr="00A70AEC">
        <w:rPr>
          <w:sz w:val="28"/>
          <w:szCs w:val="28"/>
        </w:rPr>
        <w:t>in the April 2020 Arizona Attorney magazine</w:t>
      </w:r>
      <w:r>
        <w:rPr>
          <w:sz w:val="28"/>
          <w:szCs w:val="28"/>
        </w:rPr>
        <w:t>, and nationally for several years within the ABA and in academia.</w:t>
      </w:r>
    </w:p>
    <w:p w14:paraId="0861A6E1" w14:textId="77777777" w:rsidR="003E51FC" w:rsidRPr="00A70AEC" w:rsidRDefault="003E51FC" w:rsidP="003E51FC">
      <w:pPr>
        <w:pStyle w:val="FootnoteText"/>
        <w:jc w:val="both"/>
        <w:rPr>
          <w:sz w:val="28"/>
          <w:szCs w:val="28"/>
        </w:rPr>
      </w:pPr>
    </w:p>
  </w:footnote>
  <w:footnote w:id="5">
    <w:p w14:paraId="30003BBB" w14:textId="64771649" w:rsidR="009D4CA7" w:rsidRDefault="009D4CA7" w:rsidP="009D4CA7">
      <w:pPr>
        <w:pStyle w:val="FootnoteText"/>
        <w:rPr>
          <w:sz w:val="28"/>
          <w:szCs w:val="28"/>
        </w:rPr>
      </w:pPr>
      <w:r w:rsidRPr="001C05D2">
        <w:rPr>
          <w:rStyle w:val="FootnoteReference"/>
          <w:sz w:val="28"/>
          <w:szCs w:val="28"/>
        </w:rPr>
        <w:footnoteRef/>
      </w:r>
      <w:r w:rsidRPr="001C05D2">
        <w:rPr>
          <w:sz w:val="28"/>
          <w:szCs w:val="28"/>
        </w:rPr>
        <w:t xml:space="preserve"> </w:t>
      </w:r>
      <w:r>
        <w:rPr>
          <w:sz w:val="28"/>
          <w:szCs w:val="28"/>
        </w:rPr>
        <w:t>ABA Commission on the Future of Legal Services</w:t>
      </w:r>
      <w:r w:rsidRPr="001C05D2">
        <w:rPr>
          <w:sz w:val="28"/>
          <w:szCs w:val="28"/>
        </w:rPr>
        <w:t xml:space="preserve">, </w:t>
      </w:r>
      <w:r w:rsidRPr="001C05D2">
        <w:rPr>
          <w:i/>
          <w:iCs/>
          <w:sz w:val="28"/>
          <w:szCs w:val="28"/>
        </w:rPr>
        <w:t>Report on the Future of Legal Services in the United State</w:t>
      </w:r>
      <w:r>
        <w:rPr>
          <w:i/>
          <w:iCs/>
          <w:sz w:val="28"/>
          <w:szCs w:val="28"/>
        </w:rPr>
        <w:t xml:space="preserve">s </w:t>
      </w:r>
      <w:r w:rsidR="0098285A">
        <w:rPr>
          <w:sz w:val="28"/>
          <w:szCs w:val="28"/>
        </w:rPr>
        <w:t xml:space="preserve">38 </w:t>
      </w:r>
      <w:r>
        <w:rPr>
          <w:sz w:val="28"/>
          <w:szCs w:val="28"/>
        </w:rPr>
        <w:t>(</w:t>
      </w:r>
      <w:r w:rsidRPr="001C05D2">
        <w:rPr>
          <w:sz w:val="28"/>
          <w:szCs w:val="28"/>
        </w:rPr>
        <w:t>2016</w:t>
      </w:r>
      <w:r>
        <w:rPr>
          <w:sz w:val="28"/>
          <w:szCs w:val="28"/>
        </w:rPr>
        <w:t xml:space="preserve">) </w:t>
      </w:r>
      <w:r w:rsidRPr="001C05D2">
        <w:rPr>
          <w:sz w:val="28"/>
          <w:szCs w:val="28"/>
        </w:rPr>
        <w:t xml:space="preserve">available at </w:t>
      </w:r>
      <w:hyperlink r:id="rId1" w:history="1">
        <w:r w:rsidRPr="008B5611">
          <w:rPr>
            <w:rStyle w:val="Hyperlink"/>
            <w:sz w:val="28"/>
            <w:szCs w:val="28"/>
          </w:rPr>
          <w:t>https://bit.ly/2Ttx1YJ</w:t>
        </w:r>
      </w:hyperlink>
      <w:r w:rsidRPr="001C05D2">
        <w:rPr>
          <w:sz w:val="28"/>
          <w:szCs w:val="28"/>
        </w:rPr>
        <w:t>.</w:t>
      </w:r>
    </w:p>
    <w:p w14:paraId="140035AD" w14:textId="77777777" w:rsidR="009D4CA7" w:rsidRPr="001C05D2" w:rsidRDefault="009D4CA7" w:rsidP="009D4CA7">
      <w:pPr>
        <w:pStyle w:val="FootnoteText"/>
        <w:rPr>
          <w:sz w:val="28"/>
          <w:szCs w:val="28"/>
        </w:rPr>
      </w:pPr>
    </w:p>
  </w:footnote>
  <w:footnote w:id="6">
    <w:p w14:paraId="6DF1633C" w14:textId="77777777" w:rsidR="00130F85" w:rsidRDefault="00130F85" w:rsidP="00130F85">
      <w:pPr>
        <w:pStyle w:val="FootnoteText"/>
        <w:rPr>
          <w:sz w:val="28"/>
          <w:szCs w:val="28"/>
        </w:rPr>
      </w:pPr>
      <w:r w:rsidRPr="004A70ED">
        <w:rPr>
          <w:rStyle w:val="FootnoteReference"/>
          <w:sz w:val="28"/>
          <w:szCs w:val="28"/>
        </w:rPr>
        <w:footnoteRef/>
      </w:r>
      <w:r w:rsidRPr="004A70ED">
        <w:rPr>
          <w:sz w:val="28"/>
          <w:szCs w:val="28"/>
        </w:rPr>
        <w:t xml:space="preserve"> </w:t>
      </w:r>
      <w:hyperlink r:id="rId2" w:history="1">
        <w:r w:rsidRPr="00E8321B">
          <w:rPr>
            <w:rStyle w:val="Hyperlink"/>
            <w:sz w:val="28"/>
            <w:szCs w:val="28"/>
          </w:rPr>
          <w:t>https://www.wsba.org/for-legal-professionals/license-renewal/license-renewal-faqs/professional-liability-insurance</w:t>
        </w:r>
      </w:hyperlink>
    </w:p>
    <w:p w14:paraId="6078DA19" w14:textId="77777777" w:rsidR="00130F85" w:rsidRPr="004A70ED" w:rsidRDefault="00130F85" w:rsidP="00130F85">
      <w:pPr>
        <w:pStyle w:val="FootnoteText"/>
        <w:rPr>
          <w:sz w:val="28"/>
          <w:szCs w:val="28"/>
        </w:rPr>
      </w:pPr>
    </w:p>
  </w:footnote>
  <w:footnote w:id="7">
    <w:p w14:paraId="51684914" w14:textId="77777777" w:rsidR="00130F85" w:rsidRPr="00081354" w:rsidRDefault="00130F85" w:rsidP="00130F85">
      <w:pPr>
        <w:pStyle w:val="FootnoteText"/>
        <w:jc w:val="both"/>
        <w:rPr>
          <w:sz w:val="28"/>
          <w:szCs w:val="28"/>
        </w:rPr>
      </w:pPr>
      <w:r w:rsidRPr="00081354">
        <w:rPr>
          <w:rStyle w:val="FootnoteReference"/>
          <w:sz w:val="28"/>
          <w:szCs w:val="28"/>
        </w:rPr>
        <w:footnoteRef/>
      </w:r>
      <w:r w:rsidRPr="00081354">
        <w:rPr>
          <w:sz w:val="28"/>
          <w:szCs w:val="28"/>
        </w:rPr>
        <w:t xml:space="preserve"> </w:t>
      </w:r>
      <w:r>
        <w:rPr>
          <w:sz w:val="28"/>
          <w:szCs w:val="28"/>
        </w:rPr>
        <w:t>If the Petition is granted, t</w:t>
      </w:r>
      <w:r w:rsidRPr="00081354">
        <w:rPr>
          <w:sz w:val="28"/>
          <w:szCs w:val="28"/>
        </w:rPr>
        <w:t xml:space="preserve">he </w:t>
      </w:r>
      <w:r>
        <w:rPr>
          <w:sz w:val="28"/>
          <w:szCs w:val="28"/>
        </w:rPr>
        <w:t xml:space="preserve">Lawyer Regulation arm of the </w:t>
      </w:r>
      <w:r w:rsidRPr="00081354">
        <w:rPr>
          <w:sz w:val="28"/>
          <w:szCs w:val="28"/>
        </w:rPr>
        <w:t xml:space="preserve">State Bar specifically seeks the opportunity to assist </w:t>
      </w:r>
      <w:r>
        <w:rPr>
          <w:sz w:val="28"/>
          <w:szCs w:val="28"/>
        </w:rPr>
        <w:t xml:space="preserve">the Court </w:t>
      </w:r>
      <w:r w:rsidRPr="00081354">
        <w:rPr>
          <w:sz w:val="28"/>
          <w:szCs w:val="28"/>
        </w:rPr>
        <w:t>in redrafting ACJA 7-209(H) and (K) regarding ABS discipline and code of conduct.</w:t>
      </w:r>
    </w:p>
  </w:footnote>
  <w:footnote w:id="8">
    <w:p w14:paraId="1CFA9273" w14:textId="392E162F" w:rsidR="008E2D7F" w:rsidRPr="006E5388" w:rsidRDefault="008E2D7F" w:rsidP="006E5388">
      <w:pPr>
        <w:pStyle w:val="FootnoteText"/>
        <w:rPr>
          <w:sz w:val="28"/>
          <w:szCs w:val="28"/>
        </w:rPr>
      </w:pPr>
      <w:r w:rsidRPr="006E5388">
        <w:rPr>
          <w:rStyle w:val="FootnoteReference"/>
          <w:sz w:val="28"/>
          <w:szCs w:val="28"/>
        </w:rPr>
        <w:footnoteRef/>
      </w:r>
      <w:r w:rsidR="006E5388">
        <w:rPr>
          <w:sz w:val="28"/>
          <w:szCs w:val="28"/>
        </w:rPr>
        <w:t xml:space="preserve">   </w:t>
      </w:r>
      <w:hyperlink r:id="rId3" w:history="1">
        <w:r w:rsidR="006E5388" w:rsidRPr="002D68F5">
          <w:rPr>
            <w:rStyle w:val="Hyperlink"/>
            <w:sz w:val="28"/>
            <w:szCs w:val="28"/>
          </w:rPr>
          <w:t>http://www.utcourts.gov/utc/rules-comment/2020/04/24/supreme-court-regulatory-reform-proposal-comment-period-closes-july-23-2020/</w:t>
        </w:r>
      </w:hyperlink>
    </w:p>
    <w:p w14:paraId="53D11726" w14:textId="77777777" w:rsidR="008E2D7F" w:rsidRPr="006E5388" w:rsidRDefault="008E2D7F" w:rsidP="006E5388">
      <w:pPr>
        <w:pStyle w:val="FootnoteText"/>
        <w:jc w:val="both"/>
        <w:rPr>
          <w:sz w:val="28"/>
          <w:szCs w:val="28"/>
        </w:rPr>
      </w:pPr>
    </w:p>
  </w:footnote>
  <w:footnote w:id="9">
    <w:p w14:paraId="1771F0B0" w14:textId="77777777" w:rsidR="008E2D7F" w:rsidRPr="006E5388" w:rsidRDefault="008E2D7F" w:rsidP="006E5388">
      <w:pPr>
        <w:pStyle w:val="FootnoteText"/>
        <w:jc w:val="both"/>
        <w:rPr>
          <w:sz w:val="28"/>
          <w:szCs w:val="28"/>
        </w:rPr>
      </w:pPr>
      <w:r w:rsidRPr="006E5388">
        <w:rPr>
          <w:rStyle w:val="FootnoteReference"/>
          <w:sz w:val="28"/>
          <w:szCs w:val="28"/>
        </w:rPr>
        <w:footnoteRef/>
      </w:r>
      <w:r w:rsidRPr="006E5388">
        <w:rPr>
          <w:sz w:val="28"/>
          <w:szCs w:val="28"/>
        </w:rPr>
        <w:t xml:space="preserve"> Bloomberg Law, “California Bar Trustees Move Toward New Regulatory ‘Sandbox,’” available at </w:t>
      </w:r>
      <w:hyperlink r:id="rId4" w:history="1">
        <w:r w:rsidRPr="006E5388">
          <w:rPr>
            <w:rStyle w:val="Hyperlink"/>
            <w:sz w:val="28"/>
            <w:szCs w:val="28"/>
          </w:rPr>
          <w:t>https://news.bloomberglaw.com/us-law-week/california-bar-trustees-move-toward-new-regulatory-sandbox</w:t>
        </w:r>
      </w:hyperlink>
      <w:r w:rsidRPr="006E5388">
        <w:rPr>
          <w:sz w:val="28"/>
          <w:szCs w:val="28"/>
        </w:rPr>
        <w:t xml:space="preserve"> (May 14, 2020) (State Bar Board voted 9-2 for pilot of nonlawyer ownership).</w:t>
      </w:r>
      <w:bookmarkStart w:id="2" w:name="_GoBack"/>
      <w:bookmarkEnd w:id="2"/>
    </w:p>
    <w:p w14:paraId="092B484A" w14:textId="77777777" w:rsidR="008E2D7F" w:rsidRPr="009276AE" w:rsidRDefault="008E2D7F" w:rsidP="008E2D7F">
      <w:pPr>
        <w:pStyle w:val="FootnoteText"/>
        <w:rPr>
          <w:sz w:val="28"/>
          <w:szCs w:val="2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D0EF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6C24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67686"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41DB"/>
    <w:multiLevelType w:val="hybridMultilevel"/>
    <w:tmpl w:val="0BB221CC"/>
    <w:lvl w:ilvl="0" w:tplc="51EC3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D7DB9"/>
    <w:multiLevelType w:val="hybridMultilevel"/>
    <w:tmpl w:val="746E0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7500C"/>
    <w:multiLevelType w:val="hybridMultilevel"/>
    <w:tmpl w:val="8F88D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06646EF"/>
    <w:multiLevelType w:val="hybridMultilevel"/>
    <w:tmpl w:val="7DEAD84E"/>
    <w:lvl w:ilvl="0" w:tplc="17D81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D4A29"/>
    <w:multiLevelType w:val="hybridMultilevel"/>
    <w:tmpl w:val="479EC894"/>
    <w:lvl w:ilvl="0" w:tplc="D93ED5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1"/>
  </w:num>
  <w:num w:numId="4">
    <w:abstractNumId w:val="6"/>
  </w:num>
  <w:num w:numId="5">
    <w:abstractNumId w:val="8"/>
  </w:num>
  <w:num w:numId="6">
    <w:abstractNumId w:val="9"/>
  </w:num>
  <w:num w:numId="7">
    <w:abstractNumId w:val="2"/>
  </w:num>
  <w:num w:numId="8">
    <w:abstractNumId w:val="18"/>
  </w:num>
  <w:num w:numId="9">
    <w:abstractNumId w:val="11"/>
  </w:num>
  <w:num w:numId="10">
    <w:abstractNumId w:val="13"/>
  </w:num>
  <w:num w:numId="11">
    <w:abstractNumId w:val="12"/>
  </w:num>
  <w:num w:numId="12">
    <w:abstractNumId w:val="7"/>
  </w:num>
  <w:num w:numId="13">
    <w:abstractNumId w:val="4"/>
  </w:num>
  <w:num w:numId="14">
    <w:abstractNumId w:val="5"/>
  </w:num>
  <w:num w:numId="15">
    <w:abstractNumId w:val="0"/>
  </w:num>
  <w:num w:numId="16">
    <w:abstractNumId w:val="16"/>
  </w:num>
  <w:num w:numId="17">
    <w:abstractNumId w:val="17"/>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272A"/>
    <w:rsid w:val="00040AF8"/>
    <w:rsid w:val="000410B3"/>
    <w:rsid w:val="00043D4D"/>
    <w:rsid w:val="000440DE"/>
    <w:rsid w:val="0004572E"/>
    <w:rsid w:val="00052372"/>
    <w:rsid w:val="0005269D"/>
    <w:rsid w:val="0005280C"/>
    <w:rsid w:val="000666D1"/>
    <w:rsid w:val="0008003D"/>
    <w:rsid w:val="00090709"/>
    <w:rsid w:val="000917C0"/>
    <w:rsid w:val="000A1D6B"/>
    <w:rsid w:val="000B7138"/>
    <w:rsid w:val="000C48A9"/>
    <w:rsid w:val="000C6BC8"/>
    <w:rsid w:val="000F145C"/>
    <w:rsid w:val="000F7A7F"/>
    <w:rsid w:val="000F7C13"/>
    <w:rsid w:val="00130F85"/>
    <w:rsid w:val="0013406B"/>
    <w:rsid w:val="00135326"/>
    <w:rsid w:val="001454BC"/>
    <w:rsid w:val="00157FED"/>
    <w:rsid w:val="00165F6D"/>
    <w:rsid w:val="001A2520"/>
    <w:rsid w:val="001A7ADC"/>
    <w:rsid w:val="001B4853"/>
    <w:rsid w:val="001C05D2"/>
    <w:rsid w:val="001F40E0"/>
    <w:rsid w:val="001F591C"/>
    <w:rsid w:val="00202158"/>
    <w:rsid w:val="00206278"/>
    <w:rsid w:val="00207336"/>
    <w:rsid w:val="0022405F"/>
    <w:rsid w:val="00274D6A"/>
    <w:rsid w:val="00285886"/>
    <w:rsid w:val="002D12F2"/>
    <w:rsid w:val="0030344A"/>
    <w:rsid w:val="00322F0D"/>
    <w:rsid w:val="00352347"/>
    <w:rsid w:val="003566D6"/>
    <w:rsid w:val="00357F4D"/>
    <w:rsid w:val="003617D1"/>
    <w:rsid w:val="00377199"/>
    <w:rsid w:val="003A28AC"/>
    <w:rsid w:val="003C560F"/>
    <w:rsid w:val="003E3FC7"/>
    <w:rsid w:val="003E51FC"/>
    <w:rsid w:val="003E7A1C"/>
    <w:rsid w:val="00403182"/>
    <w:rsid w:val="00407E2D"/>
    <w:rsid w:val="004331B2"/>
    <w:rsid w:val="004402D6"/>
    <w:rsid w:val="00440E4C"/>
    <w:rsid w:val="00463734"/>
    <w:rsid w:val="00487731"/>
    <w:rsid w:val="00494BDF"/>
    <w:rsid w:val="004B67EE"/>
    <w:rsid w:val="004C3AE3"/>
    <w:rsid w:val="004E4F34"/>
    <w:rsid w:val="00504E1E"/>
    <w:rsid w:val="00506859"/>
    <w:rsid w:val="00520F93"/>
    <w:rsid w:val="00566856"/>
    <w:rsid w:val="005833BC"/>
    <w:rsid w:val="005845AE"/>
    <w:rsid w:val="005A21B0"/>
    <w:rsid w:val="005B5161"/>
    <w:rsid w:val="005D2584"/>
    <w:rsid w:val="005D6AD4"/>
    <w:rsid w:val="00632061"/>
    <w:rsid w:val="006338C1"/>
    <w:rsid w:val="00636F5E"/>
    <w:rsid w:val="00665CCF"/>
    <w:rsid w:val="006666D1"/>
    <w:rsid w:val="006721EC"/>
    <w:rsid w:val="006766BF"/>
    <w:rsid w:val="00692391"/>
    <w:rsid w:val="006932BA"/>
    <w:rsid w:val="006B4F9A"/>
    <w:rsid w:val="006C7093"/>
    <w:rsid w:val="006E46D5"/>
    <w:rsid w:val="006E5388"/>
    <w:rsid w:val="006F63FD"/>
    <w:rsid w:val="00732169"/>
    <w:rsid w:val="00735659"/>
    <w:rsid w:val="007427C6"/>
    <w:rsid w:val="0077110E"/>
    <w:rsid w:val="007870CB"/>
    <w:rsid w:val="007A3F0F"/>
    <w:rsid w:val="007D2B8E"/>
    <w:rsid w:val="007D5C49"/>
    <w:rsid w:val="007D73FF"/>
    <w:rsid w:val="007E3CCB"/>
    <w:rsid w:val="007F111C"/>
    <w:rsid w:val="008006ED"/>
    <w:rsid w:val="0081322A"/>
    <w:rsid w:val="008167A0"/>
    <w:rsid w:val="00822598"/>
    <w:rsid w:val="00832351"/>
    <w:rsid w:val="008360A1"/>
    <w:rsid w:val="00861563"/>
    <w:rsid w:val="00871AAA"/>
    <w:rsid w:val="00876F57"/>
    <w:rsid w:val="0088233E"/>
    <w:rsid w:val="00884964"/>
    <w:rsid w:val="00887E68"/>
    <w:rsid w:val="00891AAA"/>
    <w:rsid w:val="008A12F7"/>
    <w:rsid w:val="008A4EB3"/>
    <w:rsid w:val="008D3E60"/>
    <w:rsid w:val="008E2D7F"/>
    <w:rsid w:val="008E46C3"/>
    <w:rsid w:val="008F0655"/>
    <w:rsid w:val="00933EA1"/>
    <w:rsid w:val="00951416"/>
    <w:rsid w:val="00954A5E"/>
    <w:rsid w:val="00960D21"/>
    <w:rsid w:val="00981D29"/>
    <w:rsid w:val="00981E11"/>
    <w:rsid w:val="0098285A"/>
    <w:rsid w:val="009A5455"/>
    <w:rsid w:val="009B41C0"/>
    <w:rsid w:val="009C08B5"/>
    <w:rsid w:val="009D4CA7"/>
    <w:rsid w:val="009E4BFB"/>
    <w:rsid w:val="00A07C1C"/>
    <w:rsid w:val="00A1564B"/>
    <w:rsid w:val="00A16840"/>
    <w:rsid w:val="00A24BB1"/>
    <w:rsid w:val="00A34769"/>
    <w:rsid w:val="00A35EC4"/>
    <w:rsid w:val="00A410B6"/>
    <w:rsid w:val="00A4249C"/>
    <w:rsid w:val="00A5194F"/>
    <w:rsid w:val="00A5376E"/>
    <w:rsid w:val="00A65172"/>
    <w:rsid w:val="00A871D6"/>
    <w:rsid w:val="00A93A7C"/>
    <w:rsid w:val="00AC0187"/>
    <w:rsid w:val="00AF282C"/>
    <w:rsid w:val="00AF3FF7"/>
    <w:rsid w:val="00B1491D"/>
    <w:rsid w:val="00B47B7D"/>
    <w:rsid w:val="00BE0A4A"/>
    <w:rsid w:val="00BE61D5"/>
    <w:rsid w:val="00BF24AB"/>
    <w:rsid w:val="00C02C97"/>
    <w:rsid w:val="00C03E0F"/>
    <w:rsid w:val="00C52E56"/>
    <w:rsid w:val="00C53565"/>
    <w:rsid w:val="00C5407A"/>
    <w:rsid w:val="00C662B0"/>
    <w:rsid w:val="00C84FD4"/>
    <w:rsid w:val="00C958EE"/>
    <w:rsid w:val="00C97CAE"/>
    <w:rsid w:val="00CD21FB"/>
    <w:rsid w:val="00D423FE"/>
    <w:rsid w:val="00D442E4"/>
    <w:rsid w:val="00D60D9B"/>
    <w:rsid w:val="00D80EDC"/>
    <w:rsid w:val="00DA40B6"/>
    <w:rsid w:val="00DD2F9E"/>
    <w:rsid w:val="00DE58AC"/>
    <w:rsid w:val="00DF0600"/>
    <w:rsid w:val="00DF4F15"/>
    <w:rsid w:val="00E03A23"/>
    <w:rsid w:val="00E047D3"/>
    <w:rsid w:val="00E11491"/>
    <w:rsid w:val="00E21E30"/>
    <w:rsid w:val="00E2204F"/>
    <w:rsid w:val="00E266B7"/>
    <w:rsid w:val="00E26EF8"/>
    <w:rsid w:val="00E321C5"/>
    <w:rsid w:val="00E5772B"/>
    <w:rsid w:val="00E67511"/>
    <w:rsid w:val="00E81026"/>
    <w:rsid w:val="00E82D0F"/>
    <w:rsid w:val="00E950B5"/>
    <w:rsid w:val="00EE3367"/>
    <w:rsid w:val="00F0238C"/>
    <w:rsid w:val="00F05879"/>
    <w:rsid w:val="00F06F5B"/>
    <w:rsid w:val="00F2485D"/>
    <w:rsid w:val="00F33926"/>
    <w:rsid w:val="00F60C61"/>
    <w:rsid w:val="00F64B52"/>
    <w:rsid w:val="00F850BE"/>
    <w:rsid w:val="00FA1038"/>
    <w:rsid w:val="00FA68A1"/>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C53565"/>
    <w:pPr>
      <w:ind w:left="720"/>
      <w:contextualSpacing/>
    </w:pPr>
  </w:style>
  <w:style w:type="character" w:styleId="UnresolvedMention">
    <w:name w:val="Unresolved Mention"/>
    <w:basedOn w:val="DefaultParagraphFont"/>
    <w:uiPriority w:val="99"/>
    <w:semiHidden/>
    <w:unhideWhenUsed/>
    <w:rsid w:val="001B4853"/>
    <w:rPr>
      <w:color w:val="605E5C"/>
      <w:shd w:val="clear" w:color="auto" w:fill="E1DFDD"/>
    </w:rPr>
  </w:style>
  <w:style w:type="character" w:styleId="FollowedHyperlink">
    <w:name w:val="FollowedHyperlink"/>
    <w:basedOn w:val="DefaultParagraphFont"/>
    <w:rsid w:val="001B48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740865">
      <w:bodyDiv w:val="1"/>
      <w:marLeft w:val="0"/>
      <w:marRight w:val="0"/>
      <w:marTop w:val="0"/>
      <w:marBottom w:val="0"/>
      <w:divBdr>
        <w:top w:val="none" w:sz="0" w:space="0" w:color="auto"/>
        <w:left w:val="none" w:sz="0" w:space="0" w:color="auto"/>
        <w:bottom w:val="none" w:sz="0" w:space="0" w:color="auto"/>
        <w:right w:val="none" w:sz="0" w:space="0" w:color="auto"/>
      </w:divBdr>
      <w:divsChild>
        <w:div w:id="1295137918">
          <w:marLeft w:val="0"/>
          <w:marRight w:val="0"/>
          <w:marTop w:val="0"/>
          <w:marBottom w:val="0"/>
          <w:divBdr>
            <w:top w:val="none" w:sz="0" w:space="0" w:color="auto"/>
            <w:left w:val="none" w:sz="0" w:space="0" w:color="auto"/>
            <w:bottom w:val="none" w:sz="0" w:space="0" w:color="auto"/>
            <w:right w:val="none" w:sz="0" w:space="0" w:color="auto"/>
          </w:divBdr>
          <w:divsChild>
            <w:div w:id="807480949">
              <w:marLeft w:val="0"/>
              <w:marRight w:val="0"/>
              <w:marTop w:val="0"/>
              <w:marBottom w:val="0"/>
              <w:divBdr>
                <w:top w:val="none" w:sz="0" w:space="0" w:color="auto"/>
                <w:left w:val="none" w:sz="0" w:space="0" w:color="auto"/>
                <w:bottom w:val="none" w:sz="0" w:space="0" w:color="auto"/>
                <w:right w:val="none" w:sz="0" w:space="0" w:color="auto"/>
              </w:divBdr>
              <w:divsChild>
                <w:div w:id="3146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tcourts.gov/utc/rules-comment/2020/04/24/supreme-court-regulatory-reform-proposal-comment-period-closes-july-23-2020/" TargetMode="External"/><Relationship Id="rId2" Type="http://schemas.openxmlformats.org/officeDocument/2006/relationships/hyperlink" Target="https://www.wsba.org/for-legal-professionals/license-renewal/license-renewal-faqs/professional-liability-insurance" TargetMode="External"/><Relationship Id="rId1" Type="http://schemas.openxmlformats.org/officeDocument/2006/relationships/hyperlink" Target="https://bit.ly/2Ttx1YJ" TargetMode="External"/><Relationship Id="rId4" Type="http://schemas.openxmlformats.org/officeDocument/2006/relationships/hyperlink" Target="https://news.bloomberglaw.com/us-law-week/california-bar-trustees-move-toward-new-regulatory-sandb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5BAC-AF9A-4392-8F7A-3D7E22FE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11</Pages>
  <Words>1691</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2020-05-26T20:37:00Z</dcterms:created>
  <dcterms:modified xsi:type="dcterms:W3CDTF">2020-05-26T20:37:00Z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