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92A5D" w14:textId="77777777" w:rsidR="003404F7" w:rsidRDefault="003404F7" w:rsidP="00AE3E2F">
      <w:pPr>
        <w:jc w:val="both"/>
        <w:rPr>
          <w:rFonts w:eastAsia="Times New Roman"/>
          <w:b/>
          <w:sz w:val="28"/>
          <w:szCs w:val="28"/>
        </w:rPr>
      </w:pPr>
      <w:r w:rsidRPr="00A07D62">
        <w:rPr>
          <w:rFonts w:eastAsia="Times New Roman"/>
          <w:b/>
          <w:sz w:val="28"/>
          <w:szCs w:val="28"/>
        </w:rPr>
        <w:t xml:space="preserve">Scharf-Norton Center for Constitutional Litigation </w:t>
      </w:r>
    </w:p>
    <w:p w14:paraId="387AF84B" w14:textId="77777777" w:rsidR="003404F7" w:rsidRPr="00A07D62" w:rsidRDefault="003404F7" w:rsidP="00AE3E2F">
      <w:pPr>
        <w:jc w:val="both"/>
        <w:rPr>
          <w:rFonts w:eastAsia="Times New Roman"/>
          <w:b/>
          <w:sz w:val="28"/>
          <w:szCs w:val="28"/>
        </w:rPr>
      </w:pPr>
      <w:r w:rsidRPr="00A07D62">
        <w:rPr>
          <w:rFonts w:eastAsia="Times New Roman"/>
          <w:b/>
          <w:sz w:val="28"/>
          <w:szCs w:val="28"/>
        </w:rPr>
        <w:t>at the</w:t>
      </w:r>
      <w:r>
        <w:rPr>
          <w:rFonts w:eastAsia="Times New Roman"/>
          <w:b/>
          <w:sz w:val="28"/>
          <w:szCs w:val="28"/>
        </w:rPr>
        <w:t xml:space="preserve"> </w:t>
      </w:r>
      <w:r w:rsidRPr="00A07D62">
        <w:rPr>
          <w:rFonts w:eastAsia="Times New Roman"/>
          <w:b/>
          <w:sz w:val="28"/>
          <w:szCs w:val="28"/>
        </w:rPr>
        <w:t>GOLDWATER INSTITUTE</w:t>
      </w:r>
    </w:p>
    <w:p w14:paraId="7B562BE1" w14:textId="0835A698" w:rsidR="005D562B" w:rsidRDefault="005D562B" w:rsidP="00AE3E2F">
      <w:pPr>
        <w:jc w:val="both"/>
        <w:rPr>
          <w:rFonts w:eastAsia="Times New Roman"/>
          <w:sz w:val="28"/>
          <w:szCs w:val="28"/>
        </w:rPr>
      </w:pPr>
      <w:r>
        <w:rPr>
          <w:rFonts w:eastAsia="Times New Roman"/>
          <w:sz w:val="28"/>
          <w:szCs w:val="28"/>
        </w:rPr>
        <w:t>Timothy Sandefur (033670)</w:t>
      </w:r>
    </w:p>
    <w:p w14:paraId="2F6F15B6" w14:textId="77777777" w:rsidR="003404F7" w:rsidRDefault="003404F7" w:rsidP="00AE3E2F">
      <w:pPr>
        <w:jc w:val="both"/>
        <w:rPr>
          <w:rFonts w:eastAsia="Times New Roman"/>
          <w:sz w:val="28"/>
          <w:szCs w:val="28"/>
          <w:lang w:val="es-MX"/>
        </w:rPr>
      </w:pPr>
      <w:r w:rsidRPr="00A07D62">
        <w:rPr>
          <w:rFonts w:eastAsia="Times New Roman"/>
          <w:sz w:val="28"/>
          <w:szCs w:val="28"/>
          <w:lang w:val="es-MX"/>
        </w:rPr>
        <w:t xml:space="preserve">500 E. Coronado </w:t>
      </w:r>
      <w:proofErr w:type="spellStart"/>
      <w:r w:rsidRPr="00A07D62">
        <w:rPr>
          <w:rFonts w:eastAsia="Times New Roman"/>
          <w:sz w:val="28"/>
          <w:szCs w:val="28"/>
          <w:lang w:val="es-MX"/>
        </w:rPr>
        <w:t>Rd</w:t>
      </w:r>
      <w:proofErr w:type="spellEnd"/>
      <w:r w:rsidRPr="00A07D62">
        <w:rPr>
          <w:rFonts w:eastAsia="Times New Roman"/>
          <w:sz w:val="28"/>
          <w:szCs w:val="28"/>
          <w:lang w:val="es-MX"/>
        </w:rPr>
        <w:t xml:space="preserve">. </w:t>
      </w:r>
    </w:p>
    <w:p w14:paraId="53A0A169" w14:textId="77777777" w:rsidR="003404F7" w:rsidRPr="00A07D62" w:rsidRDefault="003404F7" w:rsidP="00AE3E2F">
      <w:pPr>
        <w:jc w:val="both"/>
        <w:rPr>
          <w:rFonts w:eastAsia="Times New Roman"/>
          <w:sz w:val="28"/>
          <w:szCs w:val="28"/>
          <w:lang w:val="es-MX"/>
        </w:rPr>
      </w:pPr>
      <w:r w:rsidRPr="00A07D62">
        <w:rPr>
          <w:rFonts w:eastAsia="Times New Roman"/>
          <w:sz w:val="28"/>
          <w:szCs w:val="28"/>
          <w:lang w:val="es-MX"/>
        </w:rPr>
        <w:t>Phoenix, AZ 85004</w:t>
      </w:r>
    </w:p>
    <w:p w14:paraId="545D1F1F" w14:textId="77777777" w:rsidR="003404F7" w:rsidRPr="00A07D62" w:rsidRDefault="003404F7" w:rsidP="00AE3E2F">
      <w:pPr>
        <w:jc w:val="both"/>
        <w:rPr>
          <w:rFonts w:eastAsia="Times New Roman"/>
          <w:sz w:val="28"/>
          <w:szCs w:val="28"/>
        </w:rPr>
      </w:pPr>
      <w:r w:rsidRPr="00A07D62">
        <w:rPr>
          <w:rFonts w:eastAsia="Times New Roman"/>
          <w:sz w:val="28"/>
          <w:szCs w:val="28"/>
        </w:rPr>
        <w:t xml:space="preserve">(602) 462-5000 </w:t>
      </w:r>
    </w:p>
    <w:p w14:paraId="137FCA45" w14:textId="77777777" w:rsidR="003404F7" w:rsidRPr="0045402A" w:rsidRDefault="003404F7" w:rsidP="00AE3E2F">
      <w:pPr>
        <w:jc w:val="both"/>
        <w:rPr>
          <w:rFonts w:eastAsia="Times New Roman"/>
          <w:sz w:val="28"/>
          <w:szCs w:val="28"/>
        </w:rPr>
      </w:pPr>
      <w:r w:rsidRPr="0045402A">
        <w:rPr>
          <w:rFonts w:eastAsia="Times New Roman"/>
          <w:sz w:val="28"/>
          <w:szCs w:val="28"/>
        </w:rPr>
        <w:t>Litigation@goldwaterinstitute.org</w:t>
      </w:r>
      <w:hyperlink r:id="rId8" w:history="1"/>
      <w:r w:rsidRPr="0045402A">
        <w:rPr>
          <w:rFonts w:eastAsia="Times New Roman"/>
          <w:sz w:val="28"/>
          <w:szCs w:val="28"/>
        </w:rPr>
        <w:t xml:space="preserve"> </w:t>
      </w:r>
    </w:p>
    <w:p w14:paraId="4F0F0015" w14:textId="0D8304DE" w:rsidR="003404F7" w:rsidRDefault="003404F7" w:rsidP="00AE3E2F">
      <w:pPr>
        <w:jc w:val="both"/>
        <w:rPr>
          <w:rFonts w:eastAsia="Times New Roman"/>
          <w:i/>
          <w:sz w:val="28"/>
          <w:szCs w:val="28"/>
        </w:rPr>
      </w:pPr>
    </w:p>
    <w:p w14:paraId="765E66F3" w14:textId="77777777" w:rsidR="003404F7" w:rsidRDefault="003404F7" w:rsidP="00AE3E2F">
      <w:pPr>
        <w:jc w:val="both"/>
        <w:rPr>
          <w:rFonts w:eastAsia="Times New Roman"/>
          <w:b/>
          <w:sz w:val="28"/>
          <w:szCs w:val="28"/>
        </w:rPr>
      </w:pPr>
    </w:p>
    <w:p w14:paraId="50FC5AD4" w14:textId="0D41C183" w:rsidR="00B33AE4" w:rsidRDefault="00951E3D" w:rsidP="00AE3E2F">
      <w:pPr>
        <w:jc w:val="center"/>
        <w:rPr>
          <w:rFonts w:eastAsia="Times New Roman"/>
          <w:b/>
          <w:sz w:val="28"/>
          <w:szCs w:val="28"/>
        </w:rPr>
      </w:pPr>
      <w:r>
        <w:rPr>
          <w:rFonts w:eastAsia="Times New Roman"/>
          <w:b/>
          <w:sz w:val="28"/>
          <w:szCs w:val="28"/>
        </w:rPr>
        <w:t>IN THE SUPREME COURT</w:t>
      </w:r>
    </w:p>
    <w:p w14:paraId="246BB33C" w14:textId="35D7C454" w:rsidR="00B33AE4" w:rsidRPr="00A07D62" w:rsidRDefault="00B33AE4" w:rsidP="00AE3E2F">
      <w:pPr>
        <w:jc w:val="center"/>
        <w:rPr>
          <w:rFonts w:eastAsia="Times New Roman"/>
          <w:b/>
          <w:sz w:val="28"/>
          <w:szCs w:val="28"/>
        </w:rPr>
      </w:pPr>
      <w:r w:rsidRPr="00A07D62">
        <w:rPr>
          <w:rFonts w:eastAsia="Times New Roman"/>
          <w:b/>
          <w:sz w:val="28"/>
          <w:szCs w:val="28"/>
        </w:rPr>
        <w:t>STATE OF ARIZONA</w:t>
      </w:r>
    </w:p>
    <w:p w14:paraId="52C7B7F9" w14:textId="77777777" w:rsidR="00B33AE4" w:rsidRPr="00A07D62" w:rsidRDefault="00B33AE4" w:rsidP="00AE3E2F">
      <w:pPr>
        <w:jc w:val="both"/>
        <w:rPr>
          <w:rFonts w:eastAsia="Times New Roman"/>
          <w:b/>
          <w:sz w:val="28"/>
          <w:szCs w:val="28"/>
        </w:rPr>
      </w:pPr>
    </w:p>
    <w:p w14:paraId="52E9A79E" w14:textId="77777777" w:rsidR="00B33AE4" w:rsidRPr="00A07D62" w:rsidRDefault="00B33AE4" w:rsidP="00AE3E2F">
      <w:pPr>
        <w:jc w:val="both"/>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AE3E2F">
            <w:pPr>
              <w:jc w:val="both"/>
              <w:rPr>
                <w:rFonts w:eastAsia="Times New Roman"/>
                <w:sz w:val="28"/>
                <w:szCs w:val="28"/>
              </w:rPr>
            </w:pPr>
            <w:r>
              <w:rPr>
                <w:rFonts w:eastAsia="Times New Roman"/>
                <w:sz w:val="28"/>
                <w:szCs w:val="28"/>
              </w:rPr>
              <w:t>In the Matter of:</w:t>
            </w:r>
          </w:p>
          <w:p w14:paraId="78A98F00" w14:textId="1BDFDDDA" w:rsidR="003404F7" w:rsidRDefault="003404F7" w:rsidP="00AE3E2F">
            <w:pPr>
              <w:jc w:val="both"/>
              <w:rPr>
                <w:rFonts w:eastAsia="Times New Roman"/>
                <w:sz w:val="28"/>
                <w:szCs w:val="28"/>
              </w:rPr>
            </w:pPr>
          </w:p>
          <w:p w14:paraId="4CFD6C17" w14:textId="3FEE0C90" w:rsidR="00B33AE4" w:rsidRPr="00A07D62" w:rsidRDefault="00A42E82" w:rsidP="00E60A53">
            <w:pPr>
              <w:rPr>
                <w:rFonts w:eastAsia="Times New Roman"/>
                <w:b/>
                <w:sz w:val="28"/>
                <w:szCs w:val="28"/>
              </w:rPr>
            </w:pPr>
            <w:r w:rsidRPr="00A42E82">
              <w:rPr>
                <w:rFonts w:eastAsia="Times New Roman"/>
                <w:b/>
                <w:sz w:val="28"/>
                <w:szCs w:val="28"/>
              </w:rPr>
              <w:t>PETITION TO RESTYLE AND AMEND SUPREME COURT RULE 31; ADOPT NEW RULE 33.1; AND AMEND RULES 32, 41, 42 (VARIOUS ERS FROM 1.0 TO 5.</w:t>
            </w:r>
            <w:r w:rsidR="00E60A53">
              <w:rPr>
                <w:rFonts w:eastAsia="Times New Roman"/>
                <w:b/>
                <w:sz w:val="28"/>
                <w:szCs w:val="28"/>
              </w:rPr>
              <w:t>7). 46-51, 54-58, 60 AND 75-76.</w:t>
            </w:r>
          </w:p>
        </w:tc>
        <w:tc>
          <w:tcPr>
            <w:tcW w:w="4310" w:type="dxa"/>
            <w:tcBorders>
              <w:top w:val="nil"/>
              <w:bottom w:val="nil"/>
              <w:right w:val="nil"/>
            </w:tcBorders>
          </w:tcPr>
          <w:p w14:paraId="7A6B1E6E" w14:textId="7337A585" w:rsidR="006C5BB2" w:rsidRPr="006C5BB2" w:rsidRDefault="006C5BB2" w:rsidP="00AE3E2F">
            <w:pPr>
              <w:autoSpaceDE w:val="0"/>
              <w:autoSpaceDN w:val="0"/>
              <w:adjustRightInd w:val="0"/>
              <w:jc w:val="both"/>
              <w:rPr>
                <w:rFonts w:eastAsia="Times New Roman"/>
                <w:sz w:val="28"/>
                <w:szCs w:val="28"/>
                <w:u w:val="single"/>
              </w:rPr>
            </w:pPr>
            <w:r>
              <w:rPr>
                <w:rFonts w:eastAsia="Times New Roman"/>
                <w:sz w:val="28"/>
                <w:szCs w:val="28"/>
              </w:rPr>
              <w:t>Supreme Court</w:t>
            </w:r>
            <w:r w:rsidR="00AE3E2F">
              <w:rPr>
                <w:rFonts w:eastAsia="Times New Roman"/>
                <w:sz w:val="28"/>
                <w:szCs w:val="28"/>
              </w:rPr>
              <w:t xml:space="preserve"> </w:t>
            </w:r>
            <w:r>
              <w:rPr>
                <w:rFonts w:eastAsia="Times New Roman"/>
                <w:sz w:val="28"/>
                <w:szCs w:val="28"/>
              </w:rPr>
              <w:t xml:space="preserve">No. </w:t>
            </w:r>
            <w:r w:rsidR="00AE3E2F">
              <w:rPr>
                <w:rFonts w:eastAsia="Times New Roman"/>
                <w:sz w:val="28"/>
                <w:szCs w:val="28"/>
              </w:rPr>
              <w:t>R-</w:t>
            </w:r>
            <w:r w:rsidR="008B49C0">
              <w:rPr>
                <w:rFonts w:eastAsia="Times New Roman"/>
                <w:sz w:val="28"/>
                <w:szCs w:val="28"/>
              </w:rPr>
              <w:t>20-00</w:t>
            </w:r>
            <w:r w:rsidR="00A42E82">
              <w:rPr>
                <w:rFonts w:eastAsia="Times New Roman"/>
                <w:sz w:val="28"/>
                <w:szCs w:val="28"/>
              </w:rPr>
              <w:t>34</w:t>
            </w:r>
          </w:p>
          <w:p w14:paraId="7A7B4DB4" w14:textId="77777777" w:rsidR="00951E3D" w:rsidRDefault="00951E3D" w:rsidP="00AE3E2F">
            <w:pPr>
              <w:autoSpaceDE w:val="0"/>
              <w:autoSpaceDN w:val="0"/>
              <w:adjustRightInd w:val="0"/>
              <w:jc w:val="both"/>
              <w:rPr>
                <w:rFonts w:eastAsia="Times New Roman"/>
                <w:sz w:val="28"/>
                <w:szCs w:val="28"/>
              </w:rPr>
            </w:pPr>
          </w:p>
          <w:p w14:paraId="7B328C0E" w14:textId="1849D68A" w:rsidR="00B33AE4" w:rsidRPr="008470E8" w:rsidRDefault="005D562B" w:rsidP="005D562B">
            <w:pPr>
              <w:autoSpaceDE w:val="0"/>
              <w:autoSpaceDN w:val="0"/>
              <w:adjustRightInd w:val="0"/>
              <w:rPr>
                <w:rFonts w:eastAsia="Times New Roman"/>
                <w:b/>
                <w:sz w:val="28"/>
                <w:szCs w:val="28"/>
              </w:rPr>
            </w:pPr>
            <w:r>
              <w:rPr>
                <w:rFonts w:eastAsia="Times New Roman"/>
                <w:b/>
                <w:sz w:val="28"/>
                <w:szCs w:val="28"/>
              </w:rPr>
              <w:t xml:space="preserve">GOLDWATER INSTITUTE’S </w:t>
            </w:r>
            <w:r w:rsidR="00292EC6">
              <w:rPr>
                <w:rFonts w:eastAsia="Times New Roman"/>
                <w:b/>
                <w:sz w:val="28"/>
                <w:szCs w:val="28"/>
              </w:rPr>
              <w:t xml:space="preserve">COMMENT IN SUPPORT OF THE PETITION </w:t>
            </w:r>
          </w:p>
          <w:p w14:paraId="5D33FC08" w14:textId="77777777" w:rsidR="00B33AE4" w:rsidRPr="00A07D62" w:rsidRDefault="00B33AE4" w:rsidP="00AE3E2F">
            <w:pPr>
              <w:autoSpaceDE w:val="0"/>
              <w:autoSpaceDN w:val="0"/>
              <w:adjustRightInd w:val="0"/>
              <w:jc w:val="both"/>
              <w:rPr>
                <w:rFonts w:eastAsia="Times New Roman"/>
                <w:b/>
                <w:sz w:val="28"/>
                <w:szCs w:val="28"/>
              </w:rPr>
            </w:pPr>
          </w:p>
        </w:tc>
      </w:tr>
    </w:tbl>
    <w:p w14:paraId="18B1E002" w14:textId="77777777" w:rsidR="00B33AE4" w:rsidRPr="00A07D62" w:rsidRDefault="00B33AE4" w:rsidP="00AE3E2F">
      <w:pPr>
        <w:jc w:val="both"/>
        <w:rPr>
          <w:rFonts w:eastAsia="Times New Roman"/>
          <w:b/>
          <w:sz w:val="28"/>
          <w:szCs w:val="28"/>
        </w:rPr>
      </w:pPr>
    </w:p>
    <w:p w14:paraId="1D08E052" w14:textId="77777777" w:rsidR="00292EC6" w:rsidRPr="00ED0F6C" w:rsidRDefault="00292EC6" w:rsidP="00292EC6">
      <w:pPr>
        <w:spacing w:after="3" w:line="486" w:lineRule="auto"/>
        <w:ind w:left="-5" w:firstLine="725"/>
        <w:rPr>
          <w:rFonts w:eastAsiaTheme="minorEastAsia"/>
          <w:color w:val="000000"/>
          <w:sz w:val="28"/>
        </w:rPr>
      </w:pPr>
      <w:bookmarkStart w:id="0" w:name="Parties"/>
      <w:bookmarkEnd w:id="0"/>
      <w:r w:rsidRPr="00ED0F6C">
        <w:rPr>
          <w:rFonts w:eastAsiaTheme="minorEastAsia"/>
          <w:color w:val="000000"/>
          <w:sz w:val="28"/>
        </w:rPr>
        <w:t xml:space="preserve">Pursuant to Rule 28, Ariz. R. Sup. Ct., the Goldwater Institute hereby submits this comment </w:t>
      </w:r>
      <w:r>
        <w:rPr>
          <w:rFonts w:eastAsiaTheme="minorEastAsia"/>
          <w:color w:val="000000"/>
          <w:sz w:val="28"/>
        </w:rPr>
        <w:t>in support of</w:t>
      </w:r>
      <w:r w:rsidRPr="00ED0F6C">
        <w:rPr>
          <w:rFonts w:eastAsiaTheme="minorEastAsia"/>
          <w:color w:val="000000"/>
          <w:sz w:val="28"/>
        </w:rPr>
        <w:t xml:space="preserve"> the</w:t>
      </w:r>
      <w:r>
        <w:rPr>
          <w:rFonts w:eastAsiaTheme="minorEastAsia"/>
          <w:color w:val="000000"/>
          <w:sz w:val="28"/>
        </w:rPr>
        <w:t xml:space="preserve"> Task Force on the Delivery of Legal Services’</w:t>
      </w:r>
      <w:r w:rsidRPr="00ED0F6C">
        <w:rPr>
          <w:rFonts w:eastAsiaTheme="minorEastAsia"/>
          <w:color w:val="000000"/>
          <w:sz w:val="28"/>
        </w:rPr>
        <w:t xml:space="preserve"> Petition to </w:t>
      </w:r>
      <w:r>
        <w:rPr>
          <w:rFonts w:eastAsiaTheme="minorEastAsia"/>
          <w:color w:val="000000"/>
          <w:sz w:val="28"/>
        </w:rPr>
        <w:t xml:space="preserve">abrogate and amend Rule 31; amend Arizona Supreme Court Rules 32, 41, 42 (ERs 1.0, 1.5-1.8, 1.10, 1.17, 5.1, 5.3, 5.4, 5.7), 46-51, 54-58, 60, 75 and 76, and adopt Arizona Supreme Court Rule 33.1. </w:t>
      </w:r>
      <w:r w:rsidRPr="00ED0F6C">
        <w:rPr>
          <w:rFonts w:eastAsiaTheme="minorEastAsia"/>
          <w:color w:val="000000"/>
          <w:sz w:val="28"/>
        </w:rPr>
        <w:t>(“</w:t>
      </w:r>
      <w:r>
        <w:rPr>
          <w:rFonts w:eastAsiaTheme="minorEastAsia"/>
          <w:color w:val="000000"/>
          <w:sz w:val="28"/>
        </w:rPr>
        <w:t>AZSCR</w:t>
      </w:r>
      <w:r w:rsidRPr="00ED0F6C">
        <w:rPr>
          <w:rFonts w:eastAsiaTheme="minorEastAsia"/>
          <w:color w:val="000000"/>
          <w:sz w:val="28"/>
        </w:rPr>
        <w:t xml:space="preserve"> Rule 3</w:t>
      </w:r>
      <w:r>
        <w:rPr>
          <w:rFonts w:eastAsiaTheme="minorEastAsia"/>
          <w:color w:val="000000"/>
          <w:sz w:val="28"/>
        </w:rPr>
        <w:t>3.1</w:t>
      </w:r>
      <w:r w:rsidRPr="00ED0F6C">
        <w:rPr>
          <w:rFonts w:eastAsiaTheme="minorEastAsia"/>
          <w:color w:val="000000"/>
          <w:sz w:val="28"/>
        </w:rPr>
        <w:t xml:space="preserve">”).   </w:t>
      </w:r>
    </w:p>
    <w:p w14:paraId="7892728B" w14:textId="14BA10E7" w:rsidR="00292EC6" w:rsidRDefault="00292EC6" w:rsidP="00292EC6">
      <w:pPr>
        <w:spacing w:after="3" w:line="476" w:lineRule="auto"/>
        <w:ind w:left="-5" w:hanging="10"/>
        <w:rPr>
          <w:rFonts w:eastAsiaTheme="minorEastAsia"/>
          <w:color w:val="000000"/>
          <w:sz w:val="28"/>
        </w:rPr>
      </w:pPr>
      <w:r w:rsidRPr="00ED0F6C">
        <w:rPr>
          <w:rFonts w:eastAsiaTheme="minorEastAsia"/>
          <w:color w:val="000000"/>
          <w:sz w:val="28"/>
        </w:rPr>
        <w:t xml:space="preserve"> </w:t>
      </w:r>
      <w:r w:rsidRPr="00ED0F6C">
        <w:rPr>
          <w:rFonts w:eastAsiaTheme="minorEastAsia"/>
          <w:color w:val="000000"/>
          <w:sz w:val="28"/>
        </w:rPr>
        <w:tab/>
        <w:t xml:space="preserve">The Goldwater Institute </w:t>
      </w:r>
      <w:r>
        <w:rPr>
          <w:rFonts w:eastAsiaTheme="minorEastAsia"/>
          <w:color w:val="000000"/>
          <w:sz w:val="28"/>
        </w:rPr>
        <w:t xml:space="preserve">(“Goldwater”) </w:t>
      </w:r>
      <w:r w:rsidRPr="00ED0F6C">
        <w:rPr>
          <w:rFonts w:eastAsiaTheme="minorEastAsia"/>
          <w:color w:val="000000"/>
          <w:sz w:val="28"/>
        </w:rPr>
        <w:t>was established in 1988 as a nonp</w:t>
      </w:r>
      <w:r>
        <w:rPr>
          <w:rFonts w:eastAsiaTheme="minorEastAsia"/>
          <w:color w:val="000000"/>
          <w:sz w:val="28"/>
        </w:rPr>
        <w:t>rofit</w:t>
      </w:r>
      <w:r w:rsidRPr="00ED0F6C">
        <w:rPr>
          <w:rFonts w:eastAsiaTheme="minorEastAsia"/>
          <w:color w:val="000000"/>
          <w:sz w:val="28"/>
        </w:rPr>
        <w:t xml:space="preserve"> public policy and research foundation dedicated to advancing the principles of limited government, economic freedom, and individual liberty through litigation, research papers, editorials, policy briefings, and forums.  </w:t>
      </w:r>
      <w:r w:rsidRPr="00ED0F6C">
        <w:rPr>
          <w:rFonts w:eastAsiaTheme="minorEastAsia"/>
          <w:color w:val="000000"/>
          <w:sz w:val="28"/>
        </w:rPr>
        <w:lastRenderedPageBreak/>
        <w:t xml:space="preserve">Through its Scharf-Norton Center for Constitutional Litigation, the Institute litigates and files </w:t>
      </w:r>
      <w:r w:rsidRPr="00ED0F6C">
        <w:rPr>
          <w:rFonts w:eastAsiaTheme="minorEastAsia"/>
          <w:i/>
          <w:color w:val="000000"/>
          <w:sz w:val="28"/>
        </w:rPr>
        <w:t xml:space="preserve">amicus </w:t>
      </w:r>
      <w:r w:rsidRPr="00ED0F6C">
        <w:rPr>
          <w:rFonts w:eastAsiaTheme="minorEastAsia"/>
          <w:color w:val="000000"/>
          <w:sz w:val="28"/>
        </w:rPr>
        <w:t>briefs</w:t>
      </w:r>
      <w:r>
        <w:rPr>
          <w:rFonts w:eastAsiaTheme="minorEastAsia"/>
          <w:color w:val="000000"/>
          <w:sz w:val="28"/>
        </w:rPr>
        <w:t xml:space="preserve"> and comments</w:t>
      </w:r>
      <w:r w:rsidRPr="00ED0F6C">
        <w:rPr>
          <w:rFonts w:eastAsiaTheme="minorEastAsia"/>
          <w:color w:val="000000"/>
          <w:sz w:val="28"/>
        </w:rPr>
        <w:t xml:space="preserve"> when its or its clients’ objectives are implicated.  </w:t>
      </w:r>
      <w:r>
        <w:rPr>
          <w:rFonts w:eastAsiaTheme="minorEastAsia"/>
          <w:color w:val="000000"/>
          <w:sz w:val="28"/>
        </w:rPr>
        <w:t xml:space="preserve">Among Goldwater’s principal goals is defending the vital principles of economic liberty and private property rights, and the independent protections for these and other rights in state constitutions across the country.  Promoting the enforcement of these independent guarantees is one of Goldwater’s top priorities, and Goldwater has litigated and appeared as </w:t>
      </w:r>
      <w:r>
        <w:rPr>
          <w:rFonts w:eastAsiaTheme="minorEastAsia"/>
          <w:i/>
          <w:iCs/>
          <w:color w:val="000000"/>
          <w:sz w:val="28"/>
        </w:rPr>
        <w:t xml:space="preserve">amicus curiae </w:t>
      </w:r>
      <w:r>
        <w:rPr>
          <w:rFonts w:eastAsiaTheme="minorEastAsia"/>
          <w:color w:val="000000"/>
          <w:sz w:val="28"/>
        </w:rPr>
        <w:t xml:space="preserve"> in the courts of Arizona, New Mexico, Texas, New Jersey, Illinois, Washington, Pennsylvania, and other states to promote the enforcement of state constitutional protections over and above those provided by the federal constitution.  Goldwater scholars have also written extensively about the right to earn a living.  </w:t>
      </w:r>
      <w:r>
        <w:rPr>
          <w:rFonts w:eastAsiaTheme="minorEastAsia"/>
          <w:i/>
          <w:iCs/>
          <w:color w:val="000000"/>
          <w:sz w:val="28"/>
        </w:rPr>
        <w:t>See, e.g.</w:t>
      </w:r>
      <w:r>
        <w:rPr>
          <w:rFonts w:eastAsiaTheme="minorEastAsia"/>
          <w:color w:val="000000"/>
          <w:sz w:val="28"/>
        </w:rPr>
        <w:t>, Timothy Sandefur,</w:t>
      </w:r>
      <w:r>
        <w:rPr>
          <w:rFonts w:eastAsiaTheme="minorEastAsia"/>
          <w:i/>
          <w:iCs/>
          <w:color w:val="000000"/>
          <w:sz w:val="28"/>
        </w:rPr>
        <w:t xml:space="preserve"> The Right to Earn a Living</w:t>
      </w:r>
      <w:r>
        <w:rPr>
          <w:rFonts w:eastAsiaTheme="minorEastAsia"/>
          <w:color w:val="000000"/>
          <w:sz w:val="28"/>
        </w:rPr>
        <w:t xml:space="preserve"> (2010).  </w:t>
      </w:r>
    </w:p>
    <w:p w14:paraId="254126A6" w14:textId="05911C71" w:rsidR="00292EC6" w:rsidRPr="00ED0F6C" w:rsidRDefault="00292EC6" w:rsidP="00292EC6">
      <w:pPr>
        <w:spacing w:after="3" w:line="476" w:lineRule="auto"/>
        <w:ind w:left="-5" w:firstLine="725"/>
        <w:rPr>
          <w:rFonts w:eastAsiaTheme="minorEastAsia"/>
          <w:color w:val="000000"/>
          <w:sz w:val="28"/>
        </w:rPr>
      </w:pPr>
      <w:r>
        <w:rPr>
          <w:rFonts w:eastAsiaTheme="minorEastAsia"/>
          <w:color w:val="000000"/>
          <w:sz w:val="28"/>
        </w:rPr>
        <w:t>The Goldwater Institute</w:t>
      </w:r>
      <w:r w:rsidRPr="00ED0F6C">
        <w:rPr>
          <w:rFonts w:eastAsiaTheme="minorEastAsia"/>
          <w:color w:val="000000"/>
          <w:sz w:val="28"/>
        </w:rPr>
        <w:t xml:space="preserve"> joins the </w:t>
      </w:r>
      <w:r>
        <w:rPr>
          <w:rFonts w:eastAsiaTheme="minorEastAsia"/>
          <w:color w:val="000000"/>
          <w:sz w:val="28"/>
        </w:rPr>
        <w:t>Task Force on the Delivery of Legal Service</w:t>
      </w:r>
      <w:r w:rsidRPr="00ED0F6C">
        <w:rPr>
          <w:rFonts w:eastAsiaTheme="minorEastAsia"/>
          <w:color w:val="000000"/>
          <w:sz w:val="28"/>
        </w:rPr>
        <w:t>s</w:t>
      </w:r>
      <w:r>
        <w:rPr>
          <w:rFonts w:eastAsiaTheme="minorEastAsia"/>
          <w:color w:val="000000"/>
          <w:sz w:val="28"/>
        </w:rPr>
        <w:t>’</w:t>
      </w:r>
      <w:r w:rsidRPr="00ED0F6C">
        <w:rPr>
          <w:rFonts w:eastAsiaTheme="minorEastAsia"/>
          <w:color w:val="000000"/>
          <w:sz w:val="28"/>
        </w:rPr>
        <w:t xml:space="preserve"> legal analysis as to why </w:t>
      </w:r>
      <w:r>
        <w:rPr>
          <w:rFonts w:eastAsiaTheme="minorEastAsia"/>
          <w:color w:val="000000"/>
          <w:sz w:val="28"/>
        </w:rPr>
        <w:t xml:space="preserve">the abrogation and </w:t>
      </w:r>
      <w:r w:rsidRPr="00ED0F6C">
        <w:rPr>
          <w:rFonts w:eastAsiaTheme="minorEastAsia"/>
          <w:color w:val="000000"/>
          <w:sz w:val="28"/>
        </w:rPr>
        <w:t>amendment</w:t>
      </w:r>
      <w:r>
        <w:rPr>
          <w:rFonts w:eastAsiaTheme="minorEastAsia"/>
          <w:color w:val="000000"/>
          <w:sz w:val="28"/>
        </w:rPr>
        <w:t>s</w:t>
      </w:r>
      <w:r w:rsidRPr="00ED0F6C">
        <w:rPr>
          <w:rFonts w:eastAsiaTheme="minorEastAsia"/>
          <w:color w:val="000000"/>
          <w:sz w:val="28"/>
        </w:rPr>
        <w:t xml:space="preserve"> </w:t>
      </w:r>
      <w:r>
        <w:rPr>
          <w:rFonts w:eastAsiaTheme="minorEastAsia"/>
          <w:color w:val="000000"/>
          <w:sz w:val="28"/>
        </w:rPr>
        <w:t>are</w:t>
      </w:r>
      <w:r w:rsidRPr="00ED0F6C">
        <w:rPr>
          <w:rFonts w:eastAsiaTheme="minorEastAsia"/>
          <w:color w:val="000000"/>
          <w:sz w:val="28"/>
        </w:rPr>
        <w:t xml:space="preserve"> necessary and appropriate.  </w:t>
      </w:r>
    </w:p>
    <w:p w14:paraId="4F74745D" w14:textId="3C2D8E5B" w:rsidR="00292EC6" w:rsidRDefault="00292EC6" w:rsidP="00292EC6">
      <w:pPr>
        <w:spacing w:after="52" w:line="477" w:lineRule="auto"/>
        <w:ind w:left="-5" w:firstLine="725"/>
        <w:rPr>
          <w:rFonts w:eastAsiaTheme="minorEastAsia"/>
          <w:color w:val="000000"/>
          <w:sz w:val="28"/>
        </w:rPr>
      </w:pPr>
      <w:r w:rsidRPr="00ED0F6C">
        <w:rPr>
          <w:rFonts w:eastAsiaTheme="minorEastAsia"/>
          <w:color w:val="000000"/>
          <w:sz w:val="28"/>
        </w:rPr>
        <w:t xml:space="preserve">In addition to the reasons articulated in the Petition, the proposed amendment would ensure that </w:t>
      </w:r>
      <w:r>
        <w:rPr>
          <w:rFonts w:eastAsiaTheme="minorEastAsia"/>
          <w:color w:val="000000"/>
          <w:sz w:val="28"/>
        </w:rPr>
        <w:t>AZSCR</w:t>
      </w:r>
      <w:r w:rsidRPr="00ED0F6C">
        <w:rPr>
          <w:rFonts w:eastAsiaTheme="minorEastAsia"/>
          <w:color w:val="000000"/>
          <w:sz w:val="28"/>
        </w:rPr>
        <w:t xml:space="preserve"> Rule 3</w:t>
      </w:r>
      <w:r>
        <w:rPr>
          <w:rFonts w:eastAsiaTheme="minorEastAsia"/>
          <w:color w:val="000000"/>
          <w:sz w:val="28"/>
        </w:rPr>
        <w:t xml:space="preserve">3.1 </w:t>
      </w:r>
      <w:r w:rsidRPr="00ED0F6C">
        <w:rPr>
          <w:rFonts w:eastAsiaTheme="minorEastAsia"/>
          <w:color w:val="000000"/>
          <w:sz w:val="28"/>
        </w:rPr>
        <w:t xml:space="preserve">complies with the Arizona Constitution’s </w:t>
      </w:r>
      <w:r>
        <w:rPr>
          <w:rFonts w:eastAsiaTheme="minorEastAsia"/>
          <w:color w:val="000000"/>
          <w:sz w:val="28"/>
        </w:rPr>
        <w:t>prohibition on monopolies</w:t>
      </w:r>
      <w:r w:rsidRPr="00ED0F6C">
        <w:rPr>
          <w:rFonts w:eastAsiaTheme="minorEastAsia"/>
          <w:color w:val="000000"/>
          <w:sz w:val="28"/>
        </w:rPr>
        <w:t>.</w:t>
      </w:r>
    </w:p>
    <w:p w14:paraId="41A0E741" w14:textId="00559A70" w:rsidR="00292EC6" w:rsidRPr="00C25BE2" w:rsidRDefault="00292EC6" w:rsidP="00292EC6">
      <w:pPr>
        <w:spacing w:after="52" w:line="477" w:lineRule="auto"/>
        <w:ind w:left="-5" w:firstLine="725"/>
        <w:rPr>
          <w:rFonts w:eastAsiaTheme="minorEastAsia"/>
          <w:color w:val="000000"/>
          <w:sz w:val="28"/>
        </w:rPr>
      </w:pPr>
      <w:r w:rsidRPr="00ED0F6C">
        <w:rPr>
          <w:rFonts w:eastAsiaTheme="minorEastAsia"/>
          <w:color w:val="000000"/>
          <w:sz w:val="28"/>
        </w:rPr>
        <w:t xml:space="preserve">Article </w:t>
      </w:r>
      <w:r>
        <w:rPr>
          <w:rFonts w:eastAsiaTheme="minorEastAsia"/>
          <w:color w:val="000000"/>
          <w:sz w:val="28"/>
        </w:rPr>
        <w:t>14, Section 15</w:t>
      </w:r>
      <w:r w:rsidRPr="00ED0F6C">
        <w:rPr>
          <w:rFonts w:eastAsiaTheme="minorEastAsia"/>
          <w:color w:val="000000"/>
          <w:sz w:val="28"/>
        </w:rPr>
        <w:t xml:space="preserve"> of the Arizona Constitution</w:t>
      </w:r>
      <w:r>
        <w:rPr>
          <w:rFonts w:eastAsiaTheme="minorEastAsia"/>
          <w:color w:val="000000"/>
          <w:sz w:val="28"/>
        </w:rPr>
        <w:t xml:space="preserve"> says that</w:t>
      </w:r>
      <w:r w:rsidRPr="00ED0F6C">
        <w:rPr>
          <w:rFonts w:eastAsiaTheme="minorEastAsia"/>
          <w:color w:val="000000"/>
          <w:sz w:val="28"/>
        </w:rPr>
        <w:t xml:space="preserve"> “</w:t>
      </w:r>
      <w:r>
        <w:rPr>
          <w:rFonts w:eastAsiaTheme="minorEastAsia"/>
          <w:color w:val="000000"/>
          <w:sz w:val="28"/>
        </w:rPr>
        <w:t>[m]</w:t>
      </w:r>
      <w:proofErr w:type="spellStart"/>
      <w:r>
        <w:rPr>
          <w:rFonts w:eastAsiaTheme="minorEastAsia"/>
          <w:color w:val="000000"/>
          <w:sz w:val="28"/>
        </w:rPr>
        <w:t>onopolies</w:t>
      </w:r>
      <w:proofErr w:type="spellEnd"/>
      <w:r>
        <w:rPr>
          <w:rFonts w:eastAsiaTheme="minorEastAsia"/>
          <w:color w:val="000000"/>
          <w:sz w:val="28"/>
        </w:rPr>
        <w:t xml:space="preserve"> and trusts shall never be allowed in this state and no incorporated company, co-</w:t>
      </w:r>
      <w:r>
        <w:rPr>
          <w:rFonts w:eastAsiaTheme="minorEastAsia"/>
          <w:color w:val="000000"/>
          <w:sz w:val="28"/>
        </w:rPr>
        <w:lastRenderedPageBreak/>
        <w:t>partnership or association of persons in this state shall directly or indirectly combine ..</w:t>
      </w:r>
      <w:r w:rsidRPr="00ED0F6C">
        <w:rPr>
          <w:rFonts w:eastAsiaTheme="minorEastAsia"/>
          <w:color w:val="000000"/>
          <w:sz w:val="28"/>
        </w:rPr>
        <w:t>.</w:t>
      </w:r>
      <w:r>
        <w:rPr>
          <w:rFonts w:eastAsiaTheme="minorEastAsia"/>
          <w:color w:val="000000"/>
          <w:sz w:val="28"/>
        </w:rPr>
        <w:t xml:space="preserve"> in any manner whatever, to fix the prices, limit the production, or regulate the transportation of any product or commodity.</w:t>
      </w:r>
      <w:r w:rsidRPr="00ED0F6C">
        <w:rPr>
          <w:rFonts w:eastAsiaTheme="minorEastAsia"/>
          <w:color w:val="000000"/>
          <w:sz w:val="28"/>
        </w:rPr>
        <w:t>”</w:t>
      </w:r>
      <w:r>
        <w:rPr>
          <w:rFonts w:eastAsiaTheme="minorEastAsia"/>
          <w:color w:val="000000"/>
          <w:sz w:val="28"/>
        </w:rPr>
        <w:t xml:space="preserve">  </w:t>
      </w:r>
      <w:r w:rsidRPr="00ED0F6C">
        <w:rPr>
          <w:rFonts w:eastAsiaTheme="minorEastAsia"/>
          <w:color w:val="000000"/>
          <w:sz w:val="28"/>
        </w:rPr>
        <w:t xml:space="preserve">The </w:t>
      </w:r>
      <w:r>
        <w:rPr>
          <w:rFonts w:eastAsiaTheme="minorEastAsia"/>
          <w:color w:val="000000"/>
          <w:sz w:val="28"/>
        </w:rPr>
        <w:t>prohibition of monopolies in A</w:t>
      </w:r>
      <w:r w:rsidRPr="00ED0F6C">
        <w:rPr>
          <w:rFonts w:eastAsiaTheme="minorEastAsia"/>
          <w:color w:val="000000"/>
          <w:sz w:val="28"/>
        </w:rPr>
        <w:t xml:space="preserve">rticle </w:t>
      </w:r>
      <w:r>
        <w:rPr>
          <w:rFonts w:eastAsiaTheme="minorEastAsia"/>
          <w:color w:val="000000"/>
          <w:sz w:val="28"/>
        </w:rPr>
        <w:t xml:space="preserve">14 was designed to protect consumers against </w:t>
      </w:r>
      <w:r w:rsidR="003F051E">
        <w:rPr>
          <w:rFonts w:eastAsiaTheme="minorEastAsia"/>
          <w:color w:val="000000"/>
          <w:sz w:val="28"/>
        </w:rPr>
        <w:t>“</w:t>
      </w:r>
      <w:r>
        <w:rPr>
          <w:rFonts w:eastAsiaTheme="minorEastAsia"/>
          <w:color w:val="000000"/>
          <w:sz w:val="28"/>
        </w:rPr>
        <w:t>anti-competitive conduct</w:t>
      </w:r>
      <w:r w:rsidR="003F051E">
        <w:rPr>
          <w:rFonts w:eastAsiaTheme="minorEastAsia"/>
          <w:color w:val="000000"/>
          <w:sz w:val="28"/>
        </w:rPr>
        <w:t>”</w:t>
      </w:r>
      <w:r>
        <w:rPr>
          <w:rFonts w:eastAsiaTheme="minorEastAsia"/>
          <w:color w:val="000000"/>
          <w:sz w:val="28"/>
        </w:rPr>
        <w:t xml:space="preserve"> with a principal purpose of preventing overcharges to consumers.</w:t>
      </w:r>
      <w:r>
        <w:rPr>
          <w:rFonts w:eastAsiaTheme="minorEastAsia"/>
          <w:i/>
          <w:iCs/>
          <w:color w:val="000000"/>
          <w:sz w:val="28"/>
        </w:rPr>
        <w:t xml:space="preserve"> Bunker’s Glass Co. v. Pilkington PLC</w:t>
      </w:r>
      <w:r>
        <w:rPr>
          <w:rFonts w:eastAsiaTheme="minorEastAsia"/>
          <w:color w:val="000000"/>
          <w:sz w:val="28"/>
        </w:rPr>
        <w:t>, 202 Ariz. 481, 486 ¶ 1</w:t>
      </w:r>
      <w:r w:rsidR="003F051E">
        <w:rPr>
          <w:rFonts w:eastAsiaTheme="minorEastAsia"/>
          <w:color w:val="000000"/>
          <w:sz w:val="28"/>
        </w:rPr>
        <w:t>4</w:t>
      </w:r>
      <w:r>
        <w:rPr>
          <w:rFonts w:eastAsiaTheme="minorEastAsia"/>
          <w:color w:val="000000"/>
          <w:sz w:val="28"/>
        </w:rPr>
        <w:t xml:space="preserve"> (Ariz. App. 2002).</w:t>
      </w:r>
    </w:p>
    <w:p w14:paraId="54D48FCA" w14:textId="201071B5" w:rsidR="00292EC6" w:rsidRDefault="00292EC6" w:rsidP="00292EC6">
      <w:pPr>
        <w:spacing w:after="52" w:line="477" w:lineRule="auto"/>
        <w:ind w:left="-5" w:firstLine="725"/>
        <w:rPr>
          <w:rFonts w:eastAsiaTheme="minorEastAsia"/>
          <w:color w:val="000000"/>
          <w:sz w:val="28"/>
        </w:rPr>
      </w:pPr>
      <w:r>
        <w:rPr>
          <w:rFonts w:eastAsiaTheme="minorEastAsia"/>
          <w:color w:val="000000"/>
          <w:sz w:val="28"/>
        </w:rPr>
        <w:t>In the state of Arizona, “[f]</w:t>
      </w:r>
      <w:proofErr w:type="spellStart"/>
      <w:r>
        <w:rPr>
          <w:rFonts w:eastAsiaTheme="minorEastAsia"/>
          <w:color w:val="000000"/>
          <w:sz w:val="28"/>
        </w:rPr>
        <w:t>ree</w:t>
      </w:r>
      <w:proofErr w:type="spellEnd"/>
      <w:r>
        <w:rPr>
          <w:rFonts w:eastAsiaTheme="minorEastAsia"/>
          <w:color w:val="000000"/>
          <w:sz w:val="28"/>
        </w:rPr>
        <w:t xml:space="preserve"> enterprise and competition is the general rule.  Governmental control and legalized monopolies are the exception and are authorized under our constitution only for that class of business that might be characterized as a public service enterprise.”  </w:t>
      </w:r>
      <w:r>
        <w:rPr>
          <w:rFonts w:eastAsiaTheme="minorEastAsia"/>
          <w:i/>
          <w:iCs/>
          <w:color w:val="000000"/>
          <w:sz w:val="28"/>
        </w:rPr>
        <w:t xml:space="preserve">General Alarm, Inc. v. </w:t>
      </w:r>
      <w:proofErr w:type="spellStart"/>
      <w:r>
        <w:rPr>
          <w:rFonts w:eastAsiaTheme="minorEastAsia"/>
          <w:i/>
          <w:iCs/>
          <w:color w:val="000000"/>
          <w:sz w:val="28"/>
        </w:rPr>
        <w:t>Underdown</w:t>
      </w:r>
      <w:proofErr w:type="spellEnd"/>
      <w:r>
        <w:rPr>
          <w:rFonts w:eastAsiaTheme="minorEastAsia"/>
          <w:color w:val="000000"/>
          <w:sz w:val="28"/>
        </w:rPr>
        <w:t xml:space="preserve">, 262 P.2d 671, 672 (1953).  </w:t>
      </w:r>
    </w:p>
    <w:p w14:paraId="799D16CA" w14:textId="1990DF63" w:rsidR="00292EC6" w:rsidRDefault="00292EC6" w:rsidP="00292EC6">
      <w:pPr>
        <w:spacing w:after="52" w:line="477" w:lineRule="auto"/>
        <w:ind w:left="-5" w:firstLine="725"/>
        <w:rPr>
          <w:rFonts w:eastAsiaTheme="minorEastAsia"/>
          <w:iCs/>
          <w:color w:val="000000"/>
          <w:sz w:val="28"/>
        </w:rPr>
      </w:pPr>
      <w:r>
        <w:rPr>
          <w:rFonts w:eastAsiaTheme="minorEastAsia"/>
          <w:color w:val="000000"/>
          <w:sz w:val="28"/>
        </w:rPr>
        <w:t xml:space="preserve">Neither the State Bar of Arizona, nor any other entity, may monopolize the practice of law.  The Arizona Supreme Court through Rule 31(d) provides restrictions on who may practice law in the state.  Through Administrative Order 2018-111 the Supreme Court requested a review and analysis of the provision of services in the state in response to perceived barriers to legal representation.  Providing access to legal representation to those trying to navigate the legal system but who cannot afford an attorney is essential to ensure access to justice, regardless of </w:t>
      </w:r>
      <w:r w:rsidR="003F051E">
        <w:rPr>
          <w:rFonts w:eastAsiaTheme="minorEastAsia"/>
          <w:color w:val="000000"/>
          <w:sz w:val="28"/>
        </w:rPr>
        <w:t xml:space="preserve">a </w:t>
      </w:r>
      <w:r>
        <w:rPr>
          <w:rFonts w:eastAsiaTheme="minorEastAsia"/>
          <w:color w:val="000000"/>
          <w:sz w:val="28"/>
        </w:rPr>
        <w:t xml:space="preserve">person’s socioeconomic status.  The Bar Examiner, </w:t>
      </w:r>
      <w:r w:rsidRPr="005F1B95">
        <w:rPr>
          <w:rFonts w:eastAsiaTheme="minorEastAsia"/>
          <w:i/>
          <w:iCs/>
          <w:color w:val="000000"/>
          <w:sz w:val="28"/>
        </w:rPr>
        <w:t xml:space="preserve">Limited Practice Legal </w:t>
      </w:r>
      <w:r w:rsidRPr="005F1B95">
        <w:rPr>
          <w:rFonts w:eastAsiaTheme="minorEastAsia"/>
          <w:i/>
          <w:iCs/>
          <w:color w:val="000000"/>
          <w:sz w:val="28"/>
        </w:rPr>
        <w:lastRenderedPageBreak/>
        <w:t>Professionals: A Look at Three Models</w:t>
      </w:r>
      <w:r>
        <w:rPr>
          <w:rFonts w:eastAsiaTheme="minorEastAsia"/>
          <w:color w:val="000000"/>
          <w:sz w:val="28"/>
        </w:rPr>
        <w:t xml:space="preserve"> (2018-19).</w:t>
      </w:r>
      <w:r>
        <w:rPr>
          <w:rStyle w:val="FootnoteReference"/>
          <w:rFonts w:eastAsiaTheme="minorEastAsia"/>
          <w:color w:val="000000"/>
          <w:sz w:val="28"/>
        </w:rPr>
        <w:footnoteReference w:id="1"/>
      </w:r>
      <w:r>
        <w:rPr>
          <w:rFonts w:eastAsiaTheme="minorEastAsia"/>
          <w:color w:val="000000"/>
          <w:sz w:val="28"/>
        </w:rPr>
        <w:t xml:space="preserve">  Unfortunately, legal services in the United States is so prohibitively expensive that our country ranks near the bottom of developed nations for access to counsel in civil cases.  Luz E. Herrera, </w:t>
      </w:r>
      <w:r>
        <w:rPr>
          <w:rFonts w:eastAsiaTheme="minorEastAsia"/>
          <w:i/>
          <w:color w:val="000000"/>
          <w:sz w:val="28"/>
        </w:rPr>
        <w:t>Educating Main Street Lawyers</w:t>
      </w:r>
      <w:r>
        <w:rPr>
          <w:rFonts w:eastAsiaTheme="minorEastAsia"/>
          <w:iCs/>
          <w:color w:val="000000"/>
          <w:sz w:val="28"/>
        </w:rPr>
        <w:t xml:space="preserve">, 63 J. </w:t>
      </w:r>
      <w:r w:rsidRPr="00890530">
        <w:rPr>
          <w:rFonts w:eastAsiaTheme="minorEastAsia"/>
          <w:iCs/>
          <w:color w:val="000000"/>
          <w:sz w:val="28"/>
        </w:rPr>
        <w:t>Legal Educ.</w:t>
      </w:r>
      <w:r>
        <w:rPr>
          <w:rFonts w:eastAsiaTheme="minorEastAsia"/>
          <w:i/>
          <w:smallCaps/>
          <w:color w:val="000000"/>
          <w:sz w:val="28"/>
        </w:rPr>
        <w:t xml:space="preserve"> </w:t>
      </w:r>
      <w:r>
        <w:rPr>
          <w:rFonts w:eastAsiaTheme="minorEastAsia"/>
          <w:iCs/>
          <w:color w:val="000000"/>
          <w:sz w:val="28"/>
        </w:rPr>
        <w:t>189, 193 (2013).</w:t>
      </w:r>
      <w:r>
        <w:rPr>
          <w:rStyle w:val="FootnoteReference"/>
          <w:rFonts w:eastAsiaTheme="minorEastAsia"/>
          <w:iCs/>
          <w:color w:val="000000"/>
          <w:sz w:val="28"/>
        </w:rPr>
        <w:footnoteReference w:id="2"/>
      </w:r>
      <w:r>
        <w:rPr>
          <w:rFonts w:eastAsiaTheme="minorEastAsia"/>
          <w:iCs/>
          <w:color w:val="000000"/>
          <w:sz w:val="28"/>
        </w:rPr>
        <w:t xml:space="preserve"> </w:t>
      </w:r>
    </w:p>
    <w:p w14:paraId="1A803E7E" w14:textId="77777777" w:rsidR="00292EC6" w:rsidRDefault="00292EC6" w:rsidP="00292EC6">
      <w:pPr>
        <w:spacing w:after="52" w:line="477" w:lineRule="auto"/>
        <w:ind w:left="-5" w:firstLine="725"/>
        <w:rPr>
          <w:rFonts w:eastAsiaTheme="minorEastAsia"/>
          <w:iCs/>
          <w:color w:val="000000"/>
          <w:sz w:val="28"/>
        </w:rPr>
      </w:pPr>
      <w:r>
        <w:rPr>
          <w:rFonts w:eastAsiaTheme="minorEastAsia"/>
          <w:iCs/>
          <w:color w:val="000000"/>
          <w:sz w:val="28"/>
        </w:rPr>
        <w:t>Allowing limited license legal practitioners (“LLLP”) to provide services would help address some of these concerns.  The LLLP model would break up the monopoly on the provision of legal services, which will in turn increase the number of providers who can supply these services.  In harmony with the law of supply and demand, this will drive efficiency, improve customer satisfaction, and most importantly, lower prices to allow greater access to justice.  Neil M. Gorsuch,</w:t>
      </w:r>
      <w:r>
        <w:rPr>
          <w:rFonts w:eastAsiaTheme="minorEastAsia"/>
          <w:i/>
          <w:color w:val="000000"/>
          <w:sz w:val="28"/>
        </w:rPr>
        <w:t xml:space="preserve"> Access to Affordable Justice</w:t>
      </w:r>
      <w:r>
        <w:rPr>
          <w:rFonts w:eastAsiaTheme="minorEastAsia"/>
          <w:iCs/>
          <w:color w:val="000000"/>
          <w:sz w:val="28"/>
        </w:rPr>
        <w:t xml:space="preserve">, </w:t>
      </w:r>
      <w:r>
        <w:rPr>
          <w:rFonts w:eastAsiaTheme="minorEastAsia"/>
          <w:iCs/>
          <w:smallCaps/>
          <w:color w:val="000000"/>
          <w:sz w:val="28"/>
        </w:rPr>
        <w:t>100 J</w:t>
      </w:r>
      <w:r w:rsidRPr="00890530">
        <w:rPr>
          <w:rFonts w:eastAsiaTheme="minorEastAsia"/>
          <w:iCs/>
          <w:color w:val="000000"/>
          <w:sz w:val="28"/>
        </w:rPr>
        <w:t>udicature</w:t>
      </w:r>
      <w:r>
        <w:rPr>
          <w:rFonts w:eastAsiaTheme="minorEastAsia"/>
          <w:i/>
          <w:smallCaps/>
          <w:color w:val="000000"/>
          <w:sz w:val="28"/>
        </w:rPr>
        <w:t xml:space="preserve"> </w:t>
      </w:r>
      <w:r>
        <w:rPr>
          <w:rFonts w:eastAsiaTheme="minorEastAsia"/>
          <w:iCs/>
          <w:smallCaps/>
          <w:color w:val="000000"/>
          <w:sz w:val="28"/>
        </w:rPr>
        <w:t xml:space="preserve">46, 49 (2016).  </w:t>
      </w:r>
    </w:p>
    <w:p w14:paraId="44EA2C08" w14:textId="3C3C6E96" w:rsidR="00292EC6" w:rsidRDefault="00292EC6" w:rsidP="00292EC6">
      <w:pPr>
        <w:spacing w:after="52" w:line="477" w:lineRule="auto"/>
        <w:ind w:left="-5" w:firstLine="725"/>
        <w:rPr>
          <w:rFonts w:eastAsiaTheme="minorEastAsia"/>
          <w:i/>
          <w:color w:val="000000"/>
          <w:sz w:val="28"/>
        </w:rPr>
      </w:pPr>
      <w:r>
        <w:rPr>
          <w:rFonts w:eastAsiaTheme="minorEastAsia"/>
          <w:iCs/>
          <w:color w:val="000000"/>
          <w:sz w:val="28"/>
        </w:rPr>
        <w:t>The provision of legal services by lay specialists has also been shown to be as effective</w:t>
      </w:r>
      <w:r w:rsidRPr="00FD7641">
        <w:rPr>
          <w:rFonts w:eastAsiaTheme="minorEastAsia"/>
          <w:iCs/>
          <w:color w:val="000000"/>
          <w:sz w:val="28"/>
        </w:rPr>
        <w:t xml:space="preserve"> </w:t>
      </w:r>
      <w:r>
        <w:rPr>
          <w:rFonts w:eastAsiaTheme="minorEastAsia"/>
          <w:iCs/>
          <w:color w:val="000000"/>
          <w:sz w:val="28"/>
        </w:rPr>
        <w:t xml:space="preserve">in specialized areas, if not more so, than lawyers providing similar services.  </w:t>
      </w:r>
      <w:r>
        <w:rPr>
          <w:rFonts w:eastAsiaTheme="minorEastAsia"/>
          <w:i/>
          <w:color w:val="000000"/>
          <w:sz w:val="28"/>
        </w:rPr>
        <w:t xml:space="preserve">Id.  </w:t>
      </w:r>
      <w:r>
        <w:rPr>
          <w:rFonts w:eastAsiaTheme="minorEastAsia"/>
          <w:iCs/>
          <w:color w:val="000000"/>
          <w:sz w:val="28"/>
        </w:rPr>
        <w:t xml:space="preserve">The American Law Institute has found that “experience in several states with extensive </w:t>
      </w:r>
      <w:proofErr w:type="spellStart"/>
      <w:r>
        <w:rPr>
          <w:rFonts w:eastAsiaTheme="minorEastAsia"/>
          <w:iCs/>
          <w:color w:val="000000"/>
          <w:sz w:val="28"/>
        </w:rPr>
        <w:t>nonlawyer</w:t>
      </w:r>
      <w:proofErr w:type="spellEnd"/>
      <w:r>
        <w:rPr>
          <w:rFonts w:eastAsiaTheme="minorEastAsia"/>
          <w:iCs/>
          <w:color w:val="000000"/>
          <w:sz w:val="28"/>
        </w:rPr>
        <w:t xml:space="preserve"> provision of traditional legal services indicates no significant risk of harm to consumers.”  </w:t>
      </w:r>
      <w:r>
        <w:rPr>
          <w:rFonts w:eastAsiaTheme="minorEastAsia"/>
          <w:i/>
          <w:color w:val="000000"/>
          <w:sz w:val="28"/>
        </w:rPr>
        <w:t xml:space="preserve">Id. </w:t>
      </w:r>
      <w:r>
        <w:rPr>
          <w:rFonts w:eastAsiaTheme="minorEastAsia"/>
          <w:iCs/>
          <w:color w:val="000000"/>
          <w:sz w:val="28"/>
        </w:rPr>
        <w:t xml:space="preserve">(internal citations omitted).  The Federal Trade Commission has not observed “any evidence of </w:t>
      </w:r>
      <w:r w:rsidR="001D6898">
        <w:rPr>
          <w:rFonts w:eastAsiaTheme="minorEastAsia"/>
          <w:iCs/>
          <w:color w:val="000000"/>
          <w:sz w:val="28"/>
        </w:rPr>
        <w:t xml:space="preserve">consumer </w:t>
      </w:r>
      <w:r>
        <w:rPr>
          <w:rFonts w:eastAsiaTheme="minorEastAsia"/>
          <w:iCs/>
          <w:color w:val="000000"/>
          <w:sz w:val="28"/>
        </w:rPr>
        <w:t xml:space="preserve">harm </w:t>
      </w:r>
      <w:r>
        <w:rPr>
          <w:rFonts w:eastAsiaTheme="minorEastAsia"/>
          <w:iCs/>
          <w:color w:val="000000"/>
          <w:sz w:val="28"/>
        </w:rPr>
        <w:lastRenderedPageBreak/>
        <w:t xml:space="preserve">arising from the provision of legal services by </w:t>
      </w:r>
      <w:proofErr w:type="spellStart"/>
      <w:r>
        <w:rPr>
          <w:rFonts w:eastAsiaTheme="minorEastAsia"/>
          <w:iCs/>
          <w:color w:val="000000"/>
          <w:sz w:val="28"/>
        </w:rPr>
        <w:t>nonlawyers</w:t>
      </w:r>
      <w:proofErr w:type="spellEnd"/>
      <w:r>
        <w:rPr>
          <w:rFonts w:eastAsiaTheme="minorEastAsia"/>
          <w:iCs/>
          <w:color w:val="000000"/>
          <w:sz w:val="28"/>
        </w:rPr>
        <w:t xml:space="preserve"> that would justify foreclosing competition.”  </w:t>
      </w:r>
      <w:r>
        <w:rPr>
          <w:rFonts w:eastAsiaTheme="minorEastAsia"/>
          <w:i/>
          <w:color w:val="000000"/>
          <w:sz w:val="28"/>
        </w:rPr>
        <w:t xml:space="preserve">Id. </w:t>
      </w:r>
      <w:r>
        <w:rPr>
          <w:rFonts w:eastAsiaTheme="minorEastAsia"/>
          <w:iCs/>
          <w:color w:val="000000"/>
          <w:sz w:val="28"/>
        </w:rPr>
        <w:t xml:space="preserve"> (internal citations </w:t>
      </w:r>
      <w:r w:rsidR="001D6898">
        <w:rPr>
          <w:rFonts w:eastAsiaTheme="minorEastAsia"/>
          <w:iCs/>
          <w:color w:val="000000"/>
          <w:sz w:val="28"/>
        </w:rPr>
        <w:t xml:space="preserve">and marks </w:t>
      </w:r>
      <w:r>
        <w:rPr>
          <w:rFonts w:eastAsiaTheme="minorEastAsia"/>
          <w:iCs/>
          <w:color w:val="000000"/>
          <w:sz w:val="28"/>
        </w:rPr>
        <w:t xml:space="preserve">omitted).  In fact, in some contexts, </w:t>
      </w:r>
      <w:proofErr w:type="spellStart"/>
      <w:r>
        <w:rPr>
          <w:rFonts w:eastAsiaTheme="minorEastAsia"/>
          <w:iCs/>
          <w:color w:val="000000"/>
          <w:sz w:val="28"/>
        </w:rPr>
        <w:t>nonlawyers</w:t>
      </w:r>
      <w:proofErr w:type="spellEnd"/>
      <w:r>
        <w:rPr>
          <w:rFonts w:eastAsiaTheme="minorEastAsia"/>
          <w:iCs/>
          <w:color w:val="000000"/>
          <w:sz w:val="28"/>
        </w:rPr>
        <w:t xml:space="preserve"> outperform lawyers in terms of the results and overall satisfaction by low-income clients.  </w:t>
      </w:r>
      <w:r>
        <w:rPr>
          <w:rFonts w:eastAsiaTheme="minorEastAsia"/>
          <w:i/>
          <w:color w:val="000000"/>
          <w:sz w:val="28"/>
        </w:rPr>
        <w:t xml:space="preserve">Id.  </w:t>
      </w:r>
      <w:r>
        <w:rPr>
          <w:rFonts w:eastAsiaTheme="minorEastAsia"/>
          <w:iCs/>
          <w:color w:val="000000"/>
          <w:sz w:val="28"/>
        </w:rPr>
        <w:t xml:space="preserve">The key predictor of quality is specialization rather than educational status.  </w:t>
      </w:r>
      <w:r>
        <w:rPr>
          <w:rFonts w:eastAsiaTheme="minorEastAsia"/>
          <w:i/>
          <w:color w:val="000000"/>
          <w:sz w:val="28"/>
        </w:rPr>
        <w:t xml:space="preserve">Id.  </w:t>
      </w:r>
    </w:p>
    <w:p w14:paraId="66A81AF3" w14:textId="77777777" w:rsidR="00292EC6" w:rsidRDefault="00292EC6" w:rsidP="00292EC6">
      <w:pPr>
        <w:spacing w:after="52" w:line="477" w:lineRule="auto"/>
        <w:ind w:left="-5" w:firstLine="725"/>
        <w:rPr>
          <w:rFonts w:eastAsiaTheme="minorEastAsia"/>
          <w:iCs/>
          <w:color w:val="000000"/>
          <w:sz w:val="28"/>
        </w:rPr>
      </w:pPr>
      <w:r>
        <w:rPr>
          <w:rFonts w:eastAsiaTheme="minorEastAsia"/>
          <w:iCs/>
          <w:color w:val="000000"/>
          <w:sz w:val="28"/>
        </w:rPr>
        <w:t xml:space="preserve">The Arizona Bar Association, through Ethics Rule 5.4, requires that no non-lawyer hold an ownership interest in a law firm.  The purpose of this rule was </w:t>
      </w:r>
      <w:r w:rsidRPr="00BD1976">
        <w:rPr>
          <w:rFonts w:eastAsiaTheme="minorEastAsia"/>
          <w:i/>
          <w:iCs/>
          <w:color w:val="000000"/>
          <w:sz w:val="28"/>
        </w:rPr>
        <w:t>not</w:t>
      </w:r>
      <w:r>
        <w:rPr>
          <w:rFonts w:eastAsiaTheme="minorEastAsia"/>
          <w:iCs/>
          <w:color w:val="000000"/>
          <w:sz w:val="28"/>
        </w:rPr>
        <w:t xml:space="preserve"> protection of the public, however, but protection of the lawyer’s monopoly on the provision of legal services.  </w:t>
      </w:r>
      <w:r>
        <w:rPr>
          <w:rFonts w:eastAsiaTheme="minorEastAsia"/>
          <w:i/>
          <w:color w:val="000000"/>
          <w:sz w:val="28"/>
        </w:rPr>
        <w:t xml:space="preserve"> See </w:t>
      </w:r>
      <w:r>
        <w:rPr>
          <w:rFonts w:eastAsiaTheme="minorEastAsia"/>
          <w:iCs/>
          <w:color w:val="000000"/>
          <w:sz w:val="28"/>
        </w:rPr>
        <w:t xml:space="preserve">Bruce A. Green, </w:t>
      </w:r>
      <w:r>
        <w:rPr>
          <w:rFonts w:eastAsiaTheme="minorEastAsia"/>
          <w:i/>
          <w:color w:val="000000"/>
          <w:sz w:val="28"/>
        </w:rPr>
        <w:t>The Disciplinary Restrictions on Multidisciplinary Practice: Their Derivation, Their Development, and Some Implications for the Core Values Debate</w:t>
      </w:r>
      <w:r>
        <w:rPr>
          <w:rFonts w:eastAsiaTheme="minorEastAsia"/>
          <w:iCs/>
          <w:color w:val="000000"/>
          <w:sz w:val="28"/>
        </w:rPr>
        <w:t xml:space="preserve">, 84 Minn. L. Rev. 1115 (2000).  It is mainly directed against entrepreneurial relationships with those who are not members of the bar.  ABA Formal Ethics Opinion 01-423 (2001).  </w:t>
      </w:r>
    </w:p>
    <w:p w14:paraId="5A1ED9A2" w14:textId="77777777" w:rsidR="00292EC6" w:rsidRPr="00254EF9" w:rsidRDefault="00292EC6" w:rsidP="00292EC6">
      <w:pPr>
        <w:spacing w:after="52" w:line="477" w:lineRule="auto"/>
        <w:ind w:left="-5" w:firstLine="725"/>
        <w:rPr>
          <w:rFonts w:eastAsiaTheme="minorEastAsia"/>
          <w:iCs/>
          <w:color w:val="000000"/>
          <w:sz w:val="28"/>
        </w:rPr>
      </w:pPr>
      <w:r>
        <w:rPr>
          <w:rFonts w:eastAsiaTheme="minorEastAsia"/>
          <w:iCs/>
          <w:color w:val="000000"/>
          <w:sz w:val="28"/>
        </w:rPr>
        <w:t xml:space="preserve">That is improper.  The Court should </w:t>
      </w:r>
      <w:r w:rsidRPr="00BD1976">
        <w:rPr>
          <w:rFonts w:eastAsiaTheme="minorEastAsia"/>
          <w:i/>
          <w:iCs/>
          <w:color w:val="000000"/>
          <w:sz w:val="28"/>
        </w:rPr>
        <w:t>not</w:t>
      </w:r>
      <w:r>
        <w:rPr>
          <w:rFonts w:eastAsiaTheme="minorEastAsia"/>
          <w:iCs/>
          <w:color w:val="000000"/>
          <w:sz w:val="28"/>
        </w:rPr>
        <w:t xml:space="preserve"> look to what is best for lawyers as an industry, but at what will best serve the public and the clients who rely on legal services.  To borrow an analogy from antitrust law, concerns about monopolistic activities—as specified in the Arizona Constitution—should be focused on </w:t>
      </w:r>
      <w:r w:rsidRPr="00BD1976">
        <w:rPr>
          <w:rFonts w:eastAsiaTheme="minorEastAsia"/>
          <w:i/>
          <w:iCs/>
          <w:color w:val="000000"/>
          <w:sz w:val="28"/>
        </w:rPr>
        <w:t>consumer welfare</w:t>
      </w:r>
      <w:r>
        <w:rPr>
          <w:rFonts w:eastAsiaTheme="minorEastAsia"/>
          <w:iCs/>
          <w:color w:val="000000"/>
          <w:sz w:val="28"/>
        </w:rPr>
        <w:t xml:space="preserve">, not on protecting existing firms against competition.  </w:t>
      </w:r>
      <w:r>
        <w:rPr>
          <w:rFonts w:eastAsiaTheme="minorEastAsia"/>
          <w:i/>
          <w:iCs/>
          <w:color w:val="000000"/>
          <w:sz w:val="28"/>
        </w:rPr>
        <w:t xml:space="preserve">See, e.g., </w:t>
      </w:r>
      <w:r>
        <w:rPr>
          <w:rFonts w:eastAsiaTheme="minorEastAsia"/>
          <w:iCs/>
          <w:color w:val="000000"/>
          <w:sz w:val="28"/>
        </w:rPr>
        <w:lastRenderedPageBreak/>
        <w:t xml:space="preserve">Elyse Dorsey, et al., </w:t>
      </w:r>
      <w:r>
        <w:rPr>
          <w:rFonts w:eastAsiaTheme="minorEastAsia"/>
          <w:i/>
          <w:iCs/>
          <w:color w:val="000000"/>
          <w:sz w:val="28"/>
        </w:rPr>
        <w:t xml:space="preserve">Consumer Welfare &amp; the Rule of Law: The Case against the New Populist Antitrust Movement, </w:t>
      </w:r>
      <w:r>
        <w:rPr>
          <w:rFonts w:eastAsiaTheme="minorEastAsia"/>
          <w:iCs/>
          <w:color w:val="000000"/>
          <w:sz w:val="28"/>
        </w:rPr>
        <w:t>47 Pepperdine L. Rev. __ (forthcoming, 2020).</w:t>
      </w:r>
      <w:r>
        <w:rPr>
          <w:rStyle w:val="FootnoteReference"/>
          <w:rFonts w:eastAsiaTheme="minorEastAsia"/>
          <w:iCs/>
          <w:color w:val="000000"/>
          <w:sz w:val="28"/>
        </w:rPr>
        <w:footnoteReference w:id="3"/>
      </w:r>
    </w:p>
    <w:p w14:paraId="6C8FF144" w14:textId="7CD760DE" w:rsidR="00292EC6" w:rsidRDefault="00292EC6" w:rsidP="00292EC6">
      <w:pPr>
        <w:spacing w:after="52" w:line="477" w:lineRule="auto"/>
        <w:ind w:left="-5" w:firstLine="725"/>
        <w:rPr>
          <w:rFonts w:eastAsiaTheme="minorEastAsia"/>
          <w:color w:val="000000"/>
          <w:sz w:val="28"/>
        </w:rPr>
      </w:pPr>
      <w:r>
        <w:rPr>
          <w:rFonts w:eastAsiaTheme="minorEastAsia"/>
          <w:iCs/>
          <w:color w:val="000000"/>
          <w:sz w:val="28"/>
        </w:rPr>
        <w:t xml:space="preserve">Abolishing ER 5.4 and allowing for multidisciplinary practice will further break up the monopoly on the provision of law.  It will give those who would not otherwise have access to justice that which they desire, </w:t>
      </w:r>
      <w:r w:rsidR="00EB3F70">
        <w:rPr>
          <w:rFonts w:eastAsiaTheme="minorEastAsia"/>
          <w:iCs/>
          <w:color w:val="000000"/>
          <w:sz w:val="28"/>
        </w:rPr>
        <w:t>“</w:t>
      </w:r>
      <w:r>
        <w:rPr>
          <w:rFonts w:eastAsiaTheme="minorEastAsia"/>
          <w:iCs/>
          <w:color w:val="000000"/>
          <w:sz w:val="28"/>
        </w:rPr>
        <w:t>competent answers, efficiency, and convenience.</w:t>
      </w:r>
      <w:r w:rsidR="00EB3F70">
        <w:rPr>
          <w:rFonts w:eastAsiaTheme="minorEastAsia"/>
          <w:iCs/>
          <w:color w:val="000000"/>
          <w:sz w:val="28"/>
        </w:rPr>
        <w:t>”</w:t>
      </w:r>
      <w:r>
        <w:rPr>
          <w:rFonts w:eastAsiaTheme="minorEastAsia"/>
          <w:iCs/>
          <w:color w:val="000000"/>
          <w:sz w:val="28"/>
        </w:rPr>
        <w:t xml:space="preserve">  Kathryn Lolita Yarbrough, </w:t>
      </w:r>
      <w:r>
        <w:rPr>
          <w:rFonts w:eastAsiaTheme="minorEastAsia"/>
          <w:i/>
          <w:color w:val="000000"/>
          <w:sz w:val="28"/>
        </w:rPr>
        <w:t>Multidisciplinary Practices: Are They Already Among Us</w:t>
      </w:r>
      <w:r w:rsidR="001D6898">
        <w:rPr>
          <w:rFonts w:eastAsiaTheme="minorEastAsia"/>
          <w:i/>
          <w:color w:val="000000"/>
          <w:sz w:val="28"/>
        </w:rPr>
        <w:t>?</w:t>
      </w:r>
      <w:r>
        <w:rPr>
          <w:rFonts w:eastAsiaTheme="minorEastAsia"/>
          <w:iCs/>
          <w:color w:val="000000"/>
          <w:sz w:val="28"/>
        </w:rPr>
        <w:t xml:space="preserve">, </w:t>
      </w:r>
      <w:r w:rsidRPr="00890530">
        <w:rPr>
          <w:rFonts w:eastAsiaTheme="minorEastAsia"/>
          <w:iCs/>
          <w:smallCaps/>
          <w:color w:val="000000"/>
          <w:sz w:val="28"/>
        </w:rPr>
        <w:t xml:space="preserve">53 </w:t>
      </w:r>
      <w:r w:rsidRPr="00890530">
        <w:rPr>
          <w:rFonts w:eastAsiaTheme="minorEastAsia"/>
          <w:iCs/>
          <w:color w:val="000000"/>
          <w:sz w:val="28"/>
        </w:rPr>
        <w:t>Ala. L. Rev</w:t>
      </w:r>
      <w:r>
        <w:rPr>
          <w:rFonts w:eastAsiaTheme="minorEastAsia"/>
          <w:iCs/>
          <w:smallCaps/>
          <w:color w:val="000000"/>
          <w:sz w:val="28"/>
        </w:rPr>
        <w:t xml:space="preserve">. 639, 646 (2002).  </w:t>
      </w:r>
      <w:r>
        <w:rPr>
          <w:rFonts w:eastAsiaTheme="minorEastAsia"/>
          <w:iCs/>
          <w:color w:val="000000"/>
          <w:sz w:val="28"/>
        </w:rPr>
        <w:t xml:space="preserve">In those jurisdictions were these firms have been allowed to form they work to serve the needs of those in the middle and lower classes.  Gorsuch, </w:t>
      </w:r>
      <w:r>
        <w:rPr>
          <w:rFonts w:eastAsiaTheme="minorEastAsia"/>
          <w:i/>
          <w:color w:val="000000"/>
          <w:sz w:val="28"/>
        </w:rPr>
        <w:t>supra</w:t>
      </w:r>
      <w:r>
        <w:rPr>
          <w:rFonts w:eastAsiaTheme="minorEastAsia"/>
          <w:iCs/>
          <w:color w:val="000000"/>
          <w:sz w:val="28"/>
        </w:rPr>
        <w:t xml:space="preserve">, at 50.  They provide cross-disciplinary, comprehensive approaches to legal problems.  Yarborough, </w:t>
      </w:r>
      <w:r>
        <w:rPr>
          <w:rFonts w:eastAsiaTheme="minorEastAsia"/>
          <w:i/>
          <w:color w:val="000000"/>
          <w:sz w:val="28"/>
        </w:rPr>
        <w:t>supra</w:t>
      </w:r>
      <w:r>
        <w:rPr>
          <w:rFonts w:eastAsiaTheme="minorEastAsia"/>
          <w:iCs/>
          <w:color w:val="000000"/>
          <w:sz w:val="28"/>
        </w:rPr>
        <w:t xml:space="preserve">, at 647.  They also do so, not by limiting the demand for lawyers, but by providing opportunities for lawyers to expand their services without compromising their ethical obligations.  </w:t>
      </w:r>
      <w:r>
        <w:rPr>
          <w:rFonts w:eastAsiaTheme="minorEastAsia"/>
          <w:i/>
          <w:color w:val="000000"/>
          <w:sz w:val="28"/>
        </w:rPr>
        <w:t>Id.</w:t>
      </w:r>
      <w:r>
        <w:rPr>
          <w:rFonts w:eastAsiaTheme="minorEastAsia"/>
          <w:iCs/>
          <w:color w:val="000000"/>
          <w:sz w:val="28"/>
        </w:rPr>
        <w:t xml:space="preserve"> at 645-46.</w:t>
      </w:r>
    </w:p>
    <w:p w14:paraId="6927C09A" w14:textId="77777777" w:rsidR="00292EC6" w:rsidRPr="00ED0F6C" w:rsidRDefault="00292EC6" w:rsidP="00292EC6">
      <w:pPr>
        <w:spacing w:after="3" w:line="474" w:lineRule="auto"/>
        <w:ind w:left="-5" w:firstLine="725"/>
        <w:rPr>
          <w:rFonts w:eastAsiaTheme="minorEastAsia"/>
          <w:color w:val="000000"/>
          <w:sz w:val="28"/>
        </w:rPr>
      </w:pPr>
      <w:r w:rsidRPr="00ED0F6C">
        <w:rPr>
          <w:rFonts w:eastAsiaTheme="minorEastAsia"/>
          <w:color w:val="000000"/>
          <w:sz w:val="28"/>
        </w:rPr>
        <w:t xml:space="preserve">For these reasons and those stated in </w:t>
      </w:r>
      <w:r>
        <w:rPr>
          <w:rFonts w:eastAsiaTheme="minorEastAsia"/>
          <w:color w:val="000000"/>
          <w:sz w:val="28"/>
        </w:rPr>
        <w:t>AZSCR</w:t>
      </w:r>
      <w:r w:rsidRPr="00ED0F6C">
        <w:rPr>
          <w:rFonts w:eastAsiaTheme="minorEastAsia"/>
          <w:color w:val="000000"/>
          <w:sz w:val="28"/>
        </w:rPr>
        <w:t xml:space="preserve"> Rule 3</w:t>
      </w:r>
      <w:r>
        <w:rPr>
          <w:rFonts w:eastAsiaTheme="minorEastAsia"/>
          <w:color w:val="000000"/>
          <w:sz w:val="28"/>
        </w:rPr>
        <w:t>3.1</w:t>
      </w:r>
      <w:r w:rsidRPr="00ED0F6C">
        <w:rPr>
          <w:rFonts w:eastAsiaTheme="minorEastAsia"/>
          <w:color w:val="000000"/>
          <w:sz w:val="28"/>
        </w:rPr>
        <w:t xml:space="preserve">’s Petition, the Petition should be granted.   </w:t>
      </w:r>
    </w:p>
    <w:p w14:paraId="3514BA60" w14:textId="6E6A8DCE" w:rsidR="00292EC6" w:rsidRPr="00ED0F6C" w:rsidRDefault="00292EC6" w:rsidP="00292EC6">
      <w:pPr>
        <w:tabs>
          <w:tab w:val="center" w:pos="3607"/>
        </w:tabs>
        <w:spacing w:after="312" w:line="249" w:lineRule="auto"/>
        <w:ind w:left="-15"/>
        <w:rPr>
          <w:rFonts w:eastAsiaTheme="minorEastAsia"/>
          <w:color w:val="000000"/>
          <w:sz w:val="28"/>
        </w:rPr>
      </w:pPr>
      <w:r w:rsidRPr="00ED0F6C">
        <w:rPr>
          <w:rFonts w:eastAsiaTheme="minorEastAsia"/>
          <w:color w:val="000000"/>
          <w:sz w:val="28"/>
        </w:rPr>
        <w:t xml:space="preserve"> </w:t>
      </w:r>
      <w:r w:rsidRPr="00ED0F6C">
        <w:rPr>
          <w:rFonts w:eastAsiaTheme="minorEastAsia"/>
          <w:color w:val="000000"/>
          <w:sz w:val="28"/>
        </w:rPr>
        <w:tab/>
        <w:t>Respectfully submitted this 2</w:t>
      </w:r>
      <w:r w:rsidR="00D67DD3">
        <w:rPr>
          <w:rFonts w:eastAsiaTheme="minorEastAsia"/>
          <w:color w:val="000000"/>
          <w:sz w:val="28"/>
        </w:rPr>
        <w:t>6</w:t>
      </w:r>
      <w:bookmarkStart w:id="1" w:name="_GoBack"/>
      <w:bookmarkEnd w:id="1"/>
      <w:r w:rsidRPr="00ED0F6C">
        <w:rPr>
          <w:rFonts w:eastAsiaTheme="minorEastAsia"/>
          <w:color w:val="000000"/>
          <w:sz w:val="28"/>
        </w:rPr>
        <w:t xml:space="preserve">th day of </w:t>
      </w:r>
      <w:r>
        <w:rPr>
          <w:rFonts w:eastAsiaTheme="minorEastAsia"/>
          <w:color w:val="000000"/>
          <w:sz w:val="28"/>
        </w:rPr>
        <w:t>May</w:t>
      </w:r>
      <w:r w:rsidRPr="00ED0F6C">
        <w:rPr>
          <w:rFonts w:eastAsiaTheme="minorEastAsia"/>
          <w:color w:val="000000"/>
          <w:sz w:val="28"/>
        </w:rPr>
        <w:t xml:space="preserve"> 2020, </w:t>
      </w:r>
    </w:p>
    <w:p w14:paraId="773EB3F6" w14:textId="6E0D8E61" w:rsidR="00292EC6" w:rsidRPr="00ED0F6C" w:rsidRDefault="00EB3F70" w:rsidP="00EB3F70">
      <w:pPr>
        <w:tabs>
          <w:tab w:val="center" w:pos="720"/>
          <w:tab w:val="center" w:pos="1440"/>
          <w:tab w:val="center" w:pos="2160"/>
          <w:tab w:val="center" w:pos="2881"/>
          <w:tab w:val="center" w:pos="4320"/>
          <w:tab w:val="center" w:pos="4500"/>
          <w:tab w:val="center" w:pos="7201"/>
        </w:tabs>
        <w:rPr>
          <w:rFonts w:eastAsiaTheme="minorEastAsia"/>
          <w:color w:val="000000"/>
          <w:sz w:val="28"/>
        </w:rPr>
      </w:pPr>
      <w:r>
        <w:rPr>
          <w:rFonts w:eastAsiaTheme="minorEastAsia"/>
          <w:color w:val="000000"/>
          <w:sz w:val="28"/>
        </w:rPr>
        <w:tab/>
      </w:r>
      <w:r>
        <w:rPr>
          <w:rFonts w:eastAsiaTheme="minorEastAsia"/>
          <w:color w:val="000000"/>
          <w:sz w:val="28"/>
        </w:rPr>
        <w:tab/>
      </w:r>
      <w:r>
        <w:rPr>
          <w:rFonts w:eastAsiaTheme="minorEastAsia"/>
          <w:color w:val="000000"/>
          <w:sz w:val="28"/>
        </w:rPr>
        <w:tab/>
      </w:r>
      <w:r>
        <w:rPr>
          <w:rFonts w:eastAsiaTheme="minorEastAsia"/>
          <w:color w:val="000000"/>
          <w:sz w:val="28"/>
        </w:rPr>
        <w:tab/>
      </w:r>
      <w:r>
        <w:rPr>
          <w:rFonts w:eastAsiaTheme="minorEastAsia"/>
          <w:color w:val="000000"/>
          <w:sz w:val="28"/>
        </w:rPr>
        <w:tab/>
      </w:r>
      <w:r>
        <w:rPr>
          <w:rFonts w:eastAsiaTheme="minorEastAsia"/>
          <w:color w:val="000000"/>
          <w:sz w:val="28"/>
        </w:rPr>
        <w:tab/>
      </w:r>
      <w:r w:rsidR="00292EC6" w:rsidRPr="00ED0F6C">
        <w:rPr>
          <w:rFonts w:eastAsiaTheme="minorEastAsia"/>
          <w:color w:val="000000"/>
          <w:sz w:val="28"/>
          <w:u w:val="single" w:color="000000"/>
        </w:rPr>
        <w:t>/s/</w:t>
      </w:r>
      <w:r>
        <w:rPr>
          <w:rFonts w:eastAsiaTheme="minorEastAsia"/>
          <w:color w:val="000000"/>
          <w:sz w:val="28"/>
          <w:u w:val="single" w:color="000000"/>
        </w:rPr>
        <w:t xml:space="preserve"> </w:t>
      </w:r>
      <w:r>
        <w:rPr>
          <w:rFonts w:eastAsiaTheme="minorEastAsia"/>
          <w:i/>
          <w:color w:val="000000"/>
          <w:sz w:val="28"/>
          <w:u w:val="single" w:color="000000"/>
        </w:rPr>
        <w:t>Timothy Sandefur</w:t>
      </w:r>
      <w:r>
        <w:rPr>
          <w:rFonts w:eastAsiaTheme="minorEastAsia"/>
          <w:i/>
          <w:color w:val="000000"/>
          <w:sz w:val="28"/>
          <w:u w:val="single" w:color="000000"/>
        </w:rPr>
        <w:tab/>
      </w:r>
      <w:r>
        <w:rPr>
          <w:rFonts w:eastAsiaTheme="minorEastAsia"/>
          <w:i/>
          <w:color w:val="000000"/>
          <w:sz w:val="28"/>
          <w:u w:val="single" w:color="000000"/>
        </w:rPr>
        <w:tab/>
      </w:r>
    </w:p>
    <w:p w14:paraId="5A194AAA" w14:textId="77777777" w:rsidR="00292EC6" w:rsidRPr="00ED0F6C" w:rsidRDefault="00292EC6" w:rsidP="00292EC6">
      <w:pPr>
        <w:tabs>
          <w:tab w:val="center" w:pos="5892"/>
          <w:tab w:val="center" w:pos="7921"/>
          <w:tab w:val="center" w:pos="8642"/>
          <w:tab w:val="center" w:pos="9362"/>
        </w:tabs>
        <w:spacing w:after="3" w:line="249" w:lineRule="auto"/>
        <w:rPr>
          <w:rFonts w:eastAsiaTheme="minorEastAsia"/>
          <w:color w:val="000000"/>
          <w:sz w:val="28"/>
        </w:rPr>
      </w:pPr>
      <w:r>
        <w:rPr>
          <w:rFonts w:ascii="Calibri" w:eastAsia="Times New Roman" w:hAnsi="Calibri" w:cs="Calibri"/>
          <w:color w:val="000000"/>
        </w:rPr>
        <w:tab/>
      </w:r>
      <w:r w:rsidRPr="00ED0F6C">
        <w:rPr>
          <w:rFonts w:eastAsiaTheme="minorEastAsia"/>
          <w:color w:val="000000"/>
          <w:sz w:val="28"/>
        </w:rPr>
        <w:t xml:space="preserve">Timothy Sandefur (033670) </w:t>
      </w:r>
      <w:r w:rsidRPr="00ED0F6C">
        <w:rPr>
          <w:rFonts w:eastAsiaTheme="minorEastAsia"/>
          <w:color w:val="000000"/>
          <w:sz w:val="28"/>
        </w:rPr>
        <w:tab/>
        <w:t xml:space="preserve">  </w:t>
      </w:r>
      <w:r w:rsidRPr="00ED0F6C">
        <w:rPr>
          <w:rFonts w:eastAsiaTheme="minorEastAsia"/>
          <w:color w:val="000000"/>
          <w:sz w:val="28"/>
        </w:rPr>
        <w:tab/>
        <w:t xml:space="preserve"> </w:t>
      </w:r>
      <w:r w:rsidRPr="00ED0F6C">
        <w:rPr>
          <w:rFonts w:eastAsiaTheme="minorEastAsia"/>
          <w:color w:val="000000"/>
          <w:sz w:val="28"/>
        </w:rPr>
        <w:tab/>
        <w:t xml:space="preserve"> </w:t>
      </w:r>
    </w:p>
    <w:p w14:paraId="175244A9" w14:textId="77777777" w:rsidR="00292EC6" w:rsidRPr="00ED0F6C" w:rsidRDefault="00292EC6" w:rsidP="00292EC6">
      <w:pPr>
        <w:spacing w:after="13" w:line="248" w:lineRule="auto"/>
        <w:ind w:left="4331" w:hanging="10"/>
        <w:rPr>
          <w:rFonts w:eastAsiaTheme="minorEastAsia"/>
          <w:color w:val="000000"/>
          <w:sz w:val="28"/>
        </w:rPr>
      </w:pPr>
      <w:r w:rsidRPr="00ED0F6C">
        <w:rPr>
          <w:rFonts w:eastAsiaTheme="minorEastAsia"/>
          <w:b/>
          <w:color w:val="000000"/>
          <w:sz w:val="28"/>
        </w:rPr>
        <w:t xml:space="preserve">Scharf-Norton Center for Constitutional </w:t>
      </w:r>
    </w:p>
    <w:p w14:paraId="4A20C642" w14:textId="77777777" w:rsidR="00292EC6" w:rsidRPr="00ED0F6C" w:rsidRDefault="00292EC6" w:rsidP="00292EC6">
      <w:pPr>
        <w:ind w:left="1230" w:hanging="10"/>
        <w:jc w:val="center"/>
        <w:rPr>
          <w:rFonts w:eastAsiaTheme="minorEastAsia"/>
          <w:color w:val="000000"/>
          <w:sz w:val="28"/>
        </w:rPr>
      </w:pPr>
      <w:r w:rsidRPr="00ED0F6C">
        <w:rPr>
          <w:rFonts w:eastAsiaTheme="minorEastAsia"/>
          <w:b/>
          <w:color w:val="000000"/>
          <w:sz w:val="28"/>
        </w:rPr>
        <w:t xml:space="preserve">Litigation at the  </w:t>
      </w:r>
    </w:p>
    <w:p w14:paraId="4D4855E0" w14:textId="708EA9CC" w:rsidR="000D1811" w:rsidRDefault="00292EC6" w:rsidP="00292EC6">
      <w:pPr>
        <w:keepNext/>
        <w:keepLines/>
        <w:spacing w:after="13" w:line="248" w:lineRule="auto"/>
        <w:ind w:left="4331" w:hanging="10"/>
        <w:outlineLvl w:val="0"/>
        <w:rPr>
          <w:b/>
          <w:sz w:val="28"/>
        </w:rPr>
      </w:pPr>
      <w:r w:rsidRPr="00ED0F6C">
        <w:rPr>
          <w:rFonts w:eastAsiaTheme="minorEastAsia"/>
          <w:b/>
          <w:color w:val="000000"/>
          <w:sz w:val="28"/>
        </w:rPr>
        <w:t xml:space="preserve">GOLDWATER INSTITUTE </w:t>
      </w:r>
      <w:r w:rsidR="00CA7CC5">
        <w:rPr>
          <w:sz w:val="28"/>
        </w:rPr>
        <w:tab/>
      </w:r>
    </w:p>
    <w:sectPr w:rsidR="000D1811" w:rsidSect="009E3CB4">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94AE1" w14:textId="77777777" w:rsidR="001D6898" w:rsidRDefault="001D6898">
      <w:r>
        <w:separator/>
      </w:r>
    </w:p>
  </w:endnote>
  <w:endnote w:type="continuationSeparator" w:id="0">
    <w:p w14:paraId="04972E12" w14:textId="77777777" w:rsidR="001D6898" w:rsidRDefault="001D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277072"/>
      <w:docPartObj>
        <w:docPartGallery w:val="Page Numbers (Bottom of Page)"/>
        <w:docPartUnique/>
      </w:docPartObj>
    </w:sdtPr>
    <w:sdtEndPr>
      <w:rPr>
        <w:noProof/>
        <w:sz w:val="28"/>
        <w:szCs w:val="28"/>
      </w:rPr>
    </w:sdtEndPr>
    <w:sdtContent>
      <w:p w14:paraId="11785A66" w14:textId="3D4AF1AF" w:rsidR="009E3CB4" w:rsidRPr="009E3CB4" w:rsidRDefault="009E3CB4">
        <w:pPr>
          <w:pStyle w:val="Footer"/>
          <w:jc w:val="center"/>
          <w:rPr>
            <w:sz w:val="28"/>
            <w:szCs w:val="28"/>
          </w:rPr>
        </w:pPr>
        <w:r w:rsidRPr="009E3CB4">
          <w:rPr>
            <w:sz w:val="28"/>
            <w:szCs w:val="28"/>
          </w:rPr>
          <w:fldChar w:fldCharType="begin"/>
        </w:r>
        <w:r w:rsidRPr="009E3CB4">
          <w:rPr>
            <w:sz w:val="28"/>
            <w:szCs w:val="28"/>
          </w:rPr>
          <w:instrText xml:space="preserve"> PAGE   \* MERGEFORMAT </w:instrText>
        </w:r>
        <w:r w:rsidRPr="009E3CB4">
          <w:rPr>
            <w:sz w:val="28"/>
            <w:szCs w:val="28"/>
          </w:rPr>
          <w:fldChar w:fldCharType="separate"/>
        </w:r>
        <w:r w:rsidR="00D67DD3">
          <w:rPr>
            <w:noProof/>
            <w:sz w:val="28"/>
            <w:szCs w:val="28"/>
          </w:rPr>
          <w:t>2</w:t>
        </w:r>
        <w:r w:rsidRPr="009E3CB4">
          <w:rPr>
            <w:noProof/>
            <w:sz w:val="28"/>
            <w:szCs w:val="28"/>
          </w:rPr>
          <w:fldChar w:fldCharType="end"/>
        </w:r>
      </w:p>
    </w:sdtContent>
  </w:sdt>
  <w:p w14:paraId="134F8C15" w14:textId="77777777" w:rsidR="001D6898" w:rsidRPr="009E3CB4" w:rsidRDefault="001D6898" w:rsidP="00585547">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8A3C8" w14:textId="77777777" w:rsidR="001D6898" w:rsidRDefault="001D6898">
      <w:r>
        <w:separator/>
      </w:r>
    </w:p>
  </w:footnote>
  <w:footnote w:type="continuationSeparator" w:id="0">
    <w:p w14:paraId="0645C6D0" w14:textId="77777777" w:rsidR="001D6898" w:rsidRDefault="001D6898">
      <w:r>
        <w:continuationSeparator/>
      </w:r>
    </w:p>
  </w:footnote>
  <w:footnote w:id="1">
    <w:p w14:paraId="74ADC857" w14:textId="77777777" w:rsidR="001D6898" w:rsidRPr="00292EC6" w:rsidRDefault="001D6898" w:rsidP="00292EC6">
      <w:pPr>
        <w:pStyle w:val="FootnoteText"/>
        <w:rPr>
          <w:rFonts w:ascii="Times New Roman" w:hAnsi="Times New Roman" w:cs="Times New Roman"/>
          <w:sz w:val="28"/>
          <w:szCs w:val="28"/>
        </w:rPr>
      </w:pPr>
      <w:r w:rsidRPr="00292EC6">
        <w:rPr>
          <w:rStyle w:val="FootnoteReference"/>
          <w:rFonts w:ascii="Times New Roman" w:hAnsi="Times New Roman" w:cs="Times New Roman"/>
          <w:sz w:val="28"/>
          <w:szCs w:val="28"/>
        </w:rPr>
        <w:footnoteRef/>
      </w:r>
      <w:r w:rsidRPr="00292EC6">
        <w:rPr>
          <w:rFonts w:ascii="Times New Roman" w:hAnsi="Times New Roman" w:cs="Times New Roman"/>
          <w:sz w:val="28"/>
          <w:szCs w:val="28"/>
        </w:rPr>
        <w:t xml:space="preserve"> </w:t>
      </w:r>
      <w:hyperlink r:id="rId1" w:history="1">
        <w:r w:rsidRPr="00292EC6">
          <w:rPr>
            <w:rStyle w:val="Hyperlink"/>
            <w:rFonts w:ascii="Times New Roman" w:hAnsi="Times New Roman" w:cs="Times New Roman"/>
            <w:color w:val="auto"/>
            <w:sz w:val="28"/>
            <w:szCs w:val="28"/>
            <w:u w:val="none"/>
          </w:rPr>
          <w:t>https://thebarexaminer.org/article/winter-2018-2019/limited-practice-legal-professionals-a-look-at-three-models/</w:t>
        </w:r>
      </w:hyperlink>
    </w:p>
  </w:footnote>
  <w:footnote w:id="2">
    <w:p w14:paraId="49EBB8C7" w14:textId="1AEA4384" w:rsidR="001D6898" w:rsidRPr="00D25C6A" w:rsidRDefault="001D6898" w:rsidP="00292EC6">
      <w:pPr>
        <w:pStyle w:val="FootnoteText"/>
        <w:rPr>
          <w:rFonts w:ascii="Times New Roman" w:hAnsi="Times New Roman" w:cs="Times New Roman"/>
          <w:i/>
          <w:sz w:val="28"/>
          <w:szCs w:val="28"/>
        </w:rPr>
      </w:pPr>
      <w:r w:rsidRPr="00292EC6">
        <w:rPr>
          <w:rStyle w:val="FootnoteReference"/>
          <w:rFonts w:ascii="Times New Roman" w:hAnsi="Times New Roman" w:cs="Times New Roman"/>
          <w:sz w:val="28"/>
          <w:szCs w:val="28"/>
        </w:rPr>
        <w:footnoteRef/>
      </w:r>
      <w:r w:rsidRPr="00292EC6">
        <w:rPr>
          <w:rFonts w:ascii="Times New Roman" w:hAnsi="Times New Roman" w:cs="Times New Roman"/>
          <w:sz w:val="28"/>
          <w:szCs w:val="28"/>
        </w:rPr>
        <w:t xml:space="preserve"> </w:t>
      </w:r>
      <w:r w:rsidRPr="00292EC6">
        <w:rPr>
          <w:rFonts w:ascii="Times New Roman" w:eastAsiaTheme="minorEastAsia" w:hAnsi="Times New Roman" w:cs="Times New Roman"/>
          <w:iCs/>
          <w:color w:val="000000"/>
          <w:sz w:val="28"/>
          <w:szCs w:val="28"/>
        </w:rPr>
        <w:t xml:space="preserve">The United States ranks </w:t>
      </w:r>
      <w:r>
        <w:rPr>
          <w:rFonts w:ascii="Times New Roman" w:eastAsiaTheme="minorEastAsia" w:hAnsi="Times New Roman" w:cs="Times New Roman"/>
          <w:iCs/>
          <w:color w:val="000000"/>
          <w:sz w:val="28"/>
          <w:szCs w:val="28"/>
        </w:rPr>
        <w:t xml:space="preserve">50th </w:t>
      </w:r>
      <w:r w:rsidRPr="00292EC6">
        <w:rPr>
          <w:rFonts w:ascii="Times New Roman" w:eastAsiaTheme="minorEastAsia" w:hAnsi="Times New Roman" w:cs="Times New Roman"/>
          <w:iCs/>
          <w:color w:val="000000"/>
          <w:sz w:val="28"/>
          <w:szCs w:val="28"/>
        </w:rPr>
        <w:t>out of 66 nations in an individual’s ability to obtain legal counsel.</w:t>
      </w:r>
      <w:r>
        <w:rPr>
          <w:rFonts w:ascii="Times New Roman" w:eastAsiaTheme="minorEastAsia" w:hAnsi="Times New Roman" w:cs="Times New Roman"/>
          <w:iCs/>
          <w:color w:val="000000"/>
          <w:sz w:val="28"/>
          <w:szCs w:val="28"/>
        </w:rPr>
        <w:t xml:space="preserve">  </w:t>
      </w:r>
      <w:r>
        <w:rPr>
          <w:rFonts w:ascii="Times New Roman" w:eastAsiaTheme="minorEastAsia" w:hAnsi="Times New Roman" w:cs="Times New Roman"/>
          <w:i/>
          <w:iCs/>
          <w:color w:val="000000"/>
          <w:sz w:val="28"/>
          <w:szCs w:val="28"/>
        </w:rPr>
        <w:t>Id.</w:t>
      </w:r>
    </w:p>
  </w:footnote>
  <w:footnote w:id="3">
    <w:p w14:paraId="731C77D7" w14:textId="5A609BE0" w:rsidR="001D6898" w:rsidRPr="00292EC6" w:rsidRDefault="001D6898" w:rsidP="00292EC6">
      <w:pPr>
        <w:pStyle w:val="FootnoteText"/>
        <w:rPr>
          <w:rFonts w:ascii="Times New Roman" w:hAnsi="Times New Roman" w:cs="Times New Roman"/>
          <w:sz w:val="28"/>
        </w:rPr>
      </w:pPr>
      <w:r w:rsidRPr="00292EC6">
        <w:rPr>
          <w:rStyle w:val="FootnoteReference"/>
          <w:rFonts w:ascii="Times New Roman" w:hAnsi="Times New Roman" w:cs="Times New Roman"/>
          <w:sz w:val="28"/>
        </w:rPr>
        <w:footnoteRef/>
      </w:r>
      <w:r w:rsidRPr="00292EC6">
        <w:rPr>
          <w:rFonts w:ascii="Times New Roman" w:hAnsi="Times New Roman" w:cs="Times New Roman"/>
          <w:sz w:val="28"/>
        </w:rPr>
        <w:t xml:space="preserve"> </w:t>
      </w:r>
      <w:hyperlink r:id="rId2" w:history="1">
        <w:r w:rsidR="00EB3F70" w:rsidRPr="00D13822">
          <w:rPr>
            <w:rStyle w:val="Hyperlink"/>
            <w:rFonts w:ascii="Times New Roman" w:hAnsi="Times New Roman" w:cs="Times New Roman"/>
            <w:color w:val="auto"/>
            <w:sz w:val="28"/>
            <w:szCs w:val="28"/>
            <w:u w:val="none"/>
          </w:rPr>
          <w:t>https://papers.ssrn.com/sol3/papers.cfm?abstract_id=3592974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9818E0"/>
    <w:multiLevelType w:val="hybridMultilevel"/>
    <w:tmpl w:val="D0E47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xsTQwtDAwszAyMTVV0lEKTi0uzszPAykwqQUAFp/0WCwAAAA="/>
  </w:docVars>
  <w:rsids>
    <w:rsidRoot w:val="00B33AE4"/>
    <w:rsid w:val="0001030D"/>
    <w:rsid w:val="000130DF"/>
    <w:rsid w:val="000222A6"/>
    <w:rsid w:val="000242AB"/>
    <w:rsid w:val="000401FE"/>
    <w:rsid w:val="000409D3"/>
    <w:rsid w:val="00050BB7"/>
    <w:rsid w:val="000730AD"/>
    <w:rsid w:val="000868CD"/>
    <w:rsid w:val="000B2DFC"/>
    <w:rsid w:val="000C2475"/>
    <w:rsid w:val="000C7684"/>
    <w:rsid w:val="000D1811"/>
    <w:rsid w:val="000D29E0"/>
    <w:rsid w:val="00110A47"/>
    <w:rsid w:val="00110AB3"/>
    <w:rsid w:val="00111609"/>
    <w:rsid w:val="00115AE3"/>
    <w:rsid w:val="0013237F"/>
    <w:rsid w:val="00141999"/>
    <w:rsid w:val="0016681A"/>
    <w:rsid w:val="00196305"/>
    <w:rsid w:val="001A4500"/>
    <w:rsid w:val="001A6EFA"/>
    <w:rsid w:val="001D6898"/>
    <w:rsid w:val="001D7136"/>
    <w:rsid w:val="001E665C"/>
    <w:rsid w:val="001F0FEF"/>
    <w:rsid w:val="00214B9B"/>
    <w:rsid w:val="002574EC"/>
    <w:rsid w:val="002679FD"/>
    <w:rsid w:val="00274E75"/>
    <w:rsid w:val="00292EC6"/>
    <w:rsid w:val="0029603E"/>
    <w:rsid w:val="00297C79"/>
    <w:rsid w:val="002B1A70"/>
    <w:rsid w:val="002C4C5D"/>
    <w:rsid w:val="002D766C"/>
    <w:rsid w:val="002F2366"/>
    <w:rsid w:val="0030574E"/>
    <w:rsid w:val="0033163E"/>
    <w:rsid w:val="003404F7"/>
    <w:rsid w:val="00341116"/>
    <w:rsid w:val="00373F48"/>
    <w:rsid w:val="00381930"/>
    <w:rsid w:val="003B4073"/>
    <w:rsid w:val="003B4A9F"/>
    <w:rsid w:val="003B4BD5"/>
    <w:rsid w:val="003D0ACC"/>
    <w:rsid w:val="003E1445"/>
    <w:rsid w:val="003F051E"/>
    <w:rsid w:val="00417949"/>
    <w:rsid w:val="004505A4"/>
    <w:rsid w:val="00452FCC"/>
    <w:rsid w:val="0045402A"/>
    <w:rsid w:val="004602ED"/>
    <w:rsid w:val="004855AB"/>
    <w:rsid w:val="0049000C"/>
    <w:rsid w:val="00491A82"/>
    <w:rsid w:val="00496E6F"/>
    <w:rsid w:val="004A2175"/>
    <w:rsid w:val="004E0322"/>
    <w:rsid w:val="004F7187"/>
    <w:rsid w:val="00517969"/>
    <w:rsid w:val="005740D3"/>
    <w:rsid w:val="005817F4"/>
    <w:rsid w:val="00585547"/>
    <w:rsid w:val="00597E6C"/>
    <w:rsid w:val="005A3B13"/>
    <w:rsid w:val="005A4970"/>
    <w:rsid w:val="005B6ECF"/>
    <w:rsid w:val="005D0224"/>
    <w:rsid w:val="005D0510"/>
    <w:rsid w:val="005D05F3"/>
    <w:rsid w:val="005D44BC"/>
    <w:rsid w:val="005D562B"/>
    <w:rsid w:val="005D6C2E"/>
    <w:rsid w:val="005E69C6"/>
    <w:rsid w:val="005E6D59"/>
    <w:rsid w:val="00603DD9"/>
    <w:rsid w:val="006133F0"/>
    <w:rsid w:val="00613582"/>
    <w:rsid w:val="00614DD1"/>
    <w:rsid w:val="00630373"/>
    <w:rsid w:val="006323E1"/>
    <w:rsid w:val="006328CA"/>
    <w:rsid w:val="00637C25"/>
    <w:rsid w:val="00643699"/>
    <w:rsid w:val="00655970"/>
    <w:rsid w:val="00661648"/>
    <w:rsid w:val="00662E7E"/>
    <w:rsid w:val="00674815"/>
    <w:rsid w:val="006750DD"/>
    <w:rsid w:val="00675C28"/>
    <w:rsid w:val="0069397D"/>
    <w:rsid w:val="006B0919"/>
    <w:rsid w:val="006B1524"/>
    <w:rsid w:val="006B6688"/>
    <w:rsid w:val="006C14E1"/>
    <w:rsid w:val="006C1678"/>
    <w:rsid w:val="006C5BB2"/>
    <w:rsid w:val="006C6588"/>
    <w:rsid w:val="006D7435"/>
    <w:rsid w:val="006F0E2E"/>
    <w:rsid w:val="00731BC3"/>
    <w:rsid w:val="00733835"/>
    <w:rsid w:val="007470C6"/>
    <w:rsid w:val="00772148"/>
    <w:rsid w:val="00785E52"/>
    <w:rsid w:val="00792967"/>
    <w:rsid w:val="00796DC9"/>
    <w:rsid w:val="007A3DD3"/>
    <w:rsid w:val="007B5A08"/>
    <w:rsid w:val="007F173E"/>
    <w:rsid w:val="008470E8"/>
    <w:rsid w:val="0085728B"/>
    <w:rsid w:val="00862F8C"/>
    <w:rsid w:val="008706CB"/>
    <w:rsid w:val="00874F8D"/>
    <w:rsid w:val="00882BF1"/>
    <w:rsid w:val="008877BA"/>
    <w:rsid w:val="00890F97"/>
    <w:rsid w:val="008A1FA8"/>
    <w:rsid w:val="008B49C0"/>
    <w:rsid w:val="008D2DE7"/>
    <w:rsid w:val="008E0B59"/>
    <w:rsid w:val="008F1934"/>
    <w:rsid w:val="008F1FA6"/>
    <w:rsid w:val="008F641E"/>
    <w:rsid w:val="00951E3D"/>
    <w:rsid w:val="00976261"/>
    <w:rsid w:val="00981950"/>
    <w:rsid w:val="009A7832"/>
    <w:rsid w:val="009B5233"/>
    <w:rsid w:val="009B73C3"/>
    <w:rsid w:val="009E1F49"/>
    <w:rsid w:val="009E3CB4"/>
    <w:rsid w:val="009E493B"/>
    <w:rsid w:val="009F5618"/>
    <w:rsid w:val="00A02510"/>
    <w:rsid w:val="00A06637"/>
    <w:rsid w:val="00A16BF2"/>
    <w:rsid w:val="00A42E82"/>
    <w:rsid w:val="00A438C5"/>
    <w:rsid w:val="00A44870"/>
    <w:rsid w:val="00A478FC"/>
    <w:rsid w:val="00AB6DA4"/>
    <w:rsid w:val="00AC7704"/>
    <w:rsid w:val="00AD591D"/>
    <w:rsid w:val="00AE3E2F"/>
    <w:rsid w:val="00B33AE4"/>
    <w:rsid w:val="00BA26A2"/>
    <w:rsid w:val="00BA2C36"/>
    <w:rsid w:val="00BD0534"/>
    <w:rsid w:val="00BF34C6"/>
    <w:rsid w:val="00BF7B04"/>
    <w:rsid w:val="00C07B47"/>
    <w:rsid w:val="00C110CB"/>
    <w:rsid w:val="00C34232"/>
    <w:rsid w:val="00C62FFE"/>
    <w:rsid w:val="00C67158"/>
    <w:rsid w:val="00C70333"/>
    <w:rsid w:val="00C83C60"/>
    <w:rsid w:val="00C9482F"/>
    <w:rsid w:val="00CA7CC5"/>
    <w:rsid w:val="00CB7BC6"/>
    <w:rsid w:val="00CC1E71"/>
    <w:rsid w:val="00CC2A6C"/>
    <w:rsid w:val="00CC3CC3"/>
    <w:rsid w:val="00CC7CA5"/>
    <w:rsid w:val="00D05D2F"/>
    <w:rsid w:val="00D13822"/>
    <w:rsid w:val="00D20038"/>
    <w:rsid w:val="00D25C6A"/>
    <w:rsid w:val="00D31CF4"/>
    <w:rsid w:val="00D3250D"/>
    <w:rsid w:val="00D37429"/>
    <w:rsid w:val="00D65999"/>
    <w:rsid w:val="00D67DD3"/>
    <w:rsid w:val="00D74212"/>
    <w:rsid w:val="00D74A84"/>
    <w:rsid w:val="00D92355"/>
    <w:rsid w:val="00D97A87"/>
    <w:rsid w:val="00DB0758"/>
    <w:rsid w:val="00DD6829"/>
    <w:rsid w:val="00DE7298"/>
    <w:rsid w:val="00E55228"/>
    <w:rsid w:val="00E60A53"/>
    <w:rsid w:val="00E6424F"/>
    <w:rsid w:val="00E71064"/>
    <w:rsid w:val="00E72F38"/>
    <w:rsid w:val="00E864AA"/>
    <w:rsid w:val="00E91F55"/>
    <w:rsid w:val="00EA5DFD"/>
    <w:rsid w:val="00EB331A"/>
    <w:rsid w:val="00EB3F70"/>
    <w:rsid w:val="00EB7C8D"/>
    <w:rsid w:val="00EC2F8C"/>
    <w:rsid w:val="00ED477A"/>
    <w:rsid w:val="00EE2DEF"/>
    <w:rsid w:val="00EF156E"/>
    <w:rsid w:val="00F10FB8"/>
    <w:rsid w:val="00F216E0"/>
    <w:rsid w:val="00F349C6"/>
    <w:rsid w:val="00F52D02"/>
    <w:rsid w:val="00F542E5"/>
    <w:rsid w:val="00F55B5B"/>
    <w:rsid w:val="00F77D62"/>
    <w:rsid w:val="00F904D7"/>
    <w:rsid w:val="00F96AC7"/>
    <w:rsid w:val="00F97B05"/>
    <w:rsid w:val="00FA5C74"/>
    <w:rsid w:val="00FD04C9"/>
    <w:rsid w:val="00FF4B4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semiHidden/>
    <w:unhideWhenUsed/>
    <w:rsid w:val="003B4A9F"/>
    <w:rPr>
      <w:sz w:val="20"/>
      <w:szCs w:val="20"/>
    </w:rPr>
  </w:style>
  <w:style w:type="character" w:customStyle="1" w:styleId="CommentTextChar">
    <w:name w:val="Comment Text Char"/>
    <w:basedOn w:val="DefaultParagraphFont"/>
    <w:link w:val="CommentText"/>
    <w:uiPriority w:val="99"/>
    <w:semiHidden/>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papers.ssrn.com/sol3/papers.cfm?abstract_id=3592974" TargetMode="External"/><Relationship Id="rId1" Type="http://schemas.openxmlformats.org/officeDocument/2006/relationships/hyperlink" Target="https://thebarexaminer.org/article/winter-2018-2019/limited-practice-legal-professionals-a-look-at-three-mod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11A2B-9E74-4039-9AE0-DED49B8A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B165FFCF</Template>
  <TotalTime>1</TotalTime>
  <Pages>6</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 Schlott</cp:lastModifiedBy>
  <cp:revision>4</cp:revision>
  <cp:lastPrinted>2019-04-24T20:58:00Z</cp:lastPrinted>
  <dcterms:created xsi:type="dcterms:W3CDTF">2020-05-27T00:27:00Z</dcterms:created>
  <dcterms:modified xsi:type="dcterms:W3CDTF">2020-05-27T00:36:00Z</dcterms:modified>
</cp:coreProperties>
</file>