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B72AC" w14:textId="77777777" w:rsidR="003F45A2" w:rsidRPr="002B3716" w:rsidRDefault="003F45A2" w:rsidP="003F45A2">
      <w:pPr>
        <w:spacing w:line="160" w:lineRule="exact"/>
        <w:jc w:val="both"/>
        <w:rPr>
          <w:rFonts w:ascii="Century Schoolbook" w:hAnsi="Century Schoolbook"/>
          <w:sz w:val="26"/>
          <w:szCs w:val="26"/>
        </w:rPr>
      </w:pPr>
      <w:bookmarkStart w:id="0" w:name="_GoBack"/>
      <w:bookmarkEnd w:id="0"/>
    </w:p>
    <w:p w14:paraId="277B1245" w14:textId="77777777" w:rsidR="003F45A2" w:rsidRPr="002C162A" w:rsidRDefault="003F45A2" w:rsidP="003F45A2">
      <w:pPr>
        <w:spacing w:line="240" w:lineRule="auto"/>
        <w:rPr>
          <w:rFonts w:ascii="Century Schoolbook" w:hAnsi="Century Schoolbook"/>
          <w:b/>
          <w:i/>
          <w:iCs/>
          <w:smallCaps/>
          <w:sz w:val="26"/>
          <w:szCs w:val="26"/>
        </w:rPr>
      </w:pPr>
      <w:bookmarkStart w:id="1" w:name="AttorneyName"/>
      <w:bookmarkEnd w:id="1"/>
      <w:r w:rsidRPr="002C162A">
        <w:rPr>
          <w:rStyle w:val="Style3"/>
          <w:rFonts w:ascii="Century Schoolbook" w:hAnsi="Century Schoolbook"/>
          <w:b/>
          <w:i w:val="0"/>
          <w:iCs/>
          <w:smallCaps/>
          <w:sz w:val="26"/>
          <w:szCs w:val="26"/>
        </w:rPr>
        <w:t>Pima County Bar Association</w:t>
      </w:r>
    </w:p>
    <w:p w14:paraId="3778961E" w14:textId="77777777" w:rsidR="003F45A2" w:rsidRPr="002B3716" w:rsidRDefault="003F45A2" w:rsidP="003F45A2">
      <w:pPr>
        <w:spacing w:line="240" w:lineRule="auto"/>
        <w:rPr>
          <w:sz w:val="26"/>
          <w:szCs w:val="26"/>
        </w:rPr>
      </w:pPr>
      <w:r w:rsidRPr="002B3716">
        <w:rPr>
          <w:sz w:val="26"/>
          <w:szCs w:val="26"/>
        </w:rPr>
        <w:t>177 North Church Avenue</w:t>
      </w:r>
    </w:p>
    <w:p w14:paraId="2823C774" w14:textId="77777777" w:rsidR="003F45A2" w:rsidRPr="002B3716" w:rsidRDefault="003F45A2" w:rsidP="003F45A2">
      <w:pPr>
        <w:spacing w:line="240" w:lineRule="auto"/>
        <w:rPr>
          <w:sz w:val="26"/>
          <w:szCs w:val="26"/>
        </w:rPr>
      </w:pPr>
      <w:r w:rsidRPr="002B3716">
        <w:rPr>
          <w:sz w:val="26"/>
          <w:szCs w:val="26"/>
        </w:rPr>
        <w:t>Tucson, Arizona 85701</w:t>
      </w:r>
    </w:p>
    <w:p w14:paraId="7FA77CB6" w14:textId="77777777" w:rsidR="003F45A2" w:rsidRDefault="003F45A2" w:rsidP="003F45A2">
      <w:pPr>
        <w:spacing w:line="240" w:lineRule="auto"/>
        <w:rPr>
          <w:sz w:val="26"/>
          <w:szCs w:val="26"/>
        </w:rPr>
      </w:pPr>
      <w:r>
        <w:rPr>
          <w:sz w:val="26"/>
          <w:szCs w:val="26"/>
        </w:rPr>
        <w:t>520-</w:t>
      </w:r>
      <w:r w:rsidRPr="002B3716">
        <w:rPr>
          <w:sz w:val="26"/>
          <w:szCs w:val="26"/>
        </w:rPr>
        <w:t>623-8258</w:t>
      </w:r>
      <w:r w:rsidRPr="00A924BD">
        <w:rPr>
          <w:sz w:val="26"/>
          <w:szCs w:val="26"/>
        </w:rPr>
        <w:t xml:space="preserve"> </w:t>
      </w:r>
    </w:p>
    <w:p w14:paraId="57684E92" w14:textId="77777777" w:rsidR="003F45A2" w:rsidRPr="002B3716" w:rsidRDefault="003F45A2" w:rsidP="003F45A2">
      <w:pPr>
        <w:spacing w:line="240" w:lineRule="auto"/>
        <w:rPr>
          <w:sz w:val="26"/>
          <w:szCs w:val="26"/>
        </w:rPr>
      </w:pPr>
      <w:r>
        <w:rPr>
          <w:sz w:val="26"/>
          <w:szCs w:val="26"/>
        </w:rPr>
        <w:t>James W. Rappaport, SBN 031699</w:t>
      </w:r>
    </w:p>
    <w:p w14:paraId="579B2C00" w14:textId="77777777" w:rsidR="003F45A2" w:rsidRPr="00AD6B9D" w:rsidRDefault="003F45A2" w:rsidP="003F45A2">
      <w:pPr>
        <w:spacing w:line="240" w:lineRule="auto"/>
        <w:rPr>
          <w:i/>
          <w:sz w:val="26"/>
          <w:szCs w:val="26"/>
        </w:rPr>
      </w:pPr>
      <w:r>
        <w:rPr>
          <w:rStyle w:val="Style1"/>
          <w:i/>
          <w:szCs w:val="26"/>
        </w:rPr>
        <w:t>Rules Committee Chair</w:t>
      </w:r>
    </w:p>
    <w:p w14:paraId="76F3EA97" w14:textId="77777777" w:rsidR="003F45A2" w:rsidRPr="00022A34" w:rsidRDefault="003F45A2" w:rsidP="003F45A2">
      <w:pPr>
        <w:spacing w:after="320" w:line="540" w:lineRule="exact"/>
        <w:rPr>
          <w:sz w:val="26"/>
          <w:szCs w:val="26"/>
        </w:rPr>
      </w:pPr>
    </w:p>
    <w:p w14:paraId="067BA6F5" w14:textId="77777777" w:rsidR="003F45A2" w:rsidRPr="009C465B" w:rsidRDefault="003F45A2" w:rsidP="003F45A2">
      <w:pPr>
        <w:jc w:val="center"/>
        <w:rPr>
          <w:b/>
          <w:sz w:val="26"/>
          <w:szCs w:val="26"/>
        </w:rPr>
      </w:pPr>
      <w:r>
        <w:rPr>
          <w:b/>
          <w:sz w:val="26"/>
          <w:szCs w:val="26"/>
        </w:rPr>
        <w:t>IN THE SUPREME COURT</w:t>
      </w:r>
    </w:p>
    <w:p w14:paraId="50C0C178" w14:textId="77777777" w:rsidR="003F45A2" w:rsidRDefault="003F45A2" w:rsidP="003F45A2">
      <w:pPr>
        <w:jc w:val="center"/>
        <w:rPr>
          <w:b/>
          <w:sz w:val="26"/>
          <w:szCs w:val="26"/>
        </w:rPr>
      </w:pPr>
      <w:r>
        <w:rPr>
          <w:b/>
          <w:sz w:val="26"/>
          <w:szCs w:val="26"/>
        </w:rPr>
        <w:t>STATE OF ARIZONA</w:t>
      </w:r>
    </w:p>
    <w:p w14:paraId="0DCB08D7" w14:textId="77777777" w:rsidR="003F45A2" w:rsidRPr="009C465B" w:rsidRDefault="003F45A2" w:rsidP="003F45A2">
      <w:pPr>
        <w:spacing w:line="660" w:lineRule="exact"/>
        <w:jc w:val="center"/>
        <w:rPr>
          <w:b/>
          <w:sz w:val="26"/>
          <w:szCs w:val="26"/>
        </w:rPr>
      </w:pPr>
    </w:p>
    <w:tbl>
      <w:tblPr>
        <w:tblW w:w="9612"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6"/>
        <w:gridCol w:w="4806"/>
      </w:tblGrid>
      <w:tr w:rsidR="003F45A2" w:rsidRPr="009C465B" w14:paraId="46354985" w14:textId="77777777" w:rsidTr="000A5060">
        <w:trPr>
          <w:trHeight w:val="2606"/>
        </w:trPr>
        <w:tc>
          <w:tcPr>
            <w:tcW w:w="4806" w:type="dxa"/>
            <w:shd w:val="clear" w:color="auto" w:fill="auto"/>
          </w:tcPr>
          <w:p w14:paraId="411ED754" w14:textId="77777777" w:rsidR="003F45A2" w:rsidRDefault="003F45A2" w:rsidP="000A5060">
            <w:pPr>
              <w:spacing w:line="240" w:lineRule="auto"/>
              <w:ind w:right="86"/>
              <w:jc w:val="both"/>
              <w:rPr>
                <w:sz w:val="26"/>
                <w:szCs w:val="26"/>
              </w:rPr>
            </w:pPr>
            <w:bookmarkStart w:id="2" w:name="Parties"/>
            <w:bookmarkEnd w:id="2"/>
            <w:r>
              <w:rPr>
                <w:sz w:val="26"/>
                <w:szCs w:val="26"/>
              </w:rPr>
              <w:t>In the matter of:</w:t>
            </w:r>
          </w:p>
          <w:p w14:paraId="57378655" w14:textId="77777777" w:rsidR="003F45A2" w:rsidRDefault="003F45A2" w:rsidP="000A5060">
            <w:pPr>
              <w:spacing w:line="240" w:lineRule="auto"/>
              <w:ind w:right="86"/>
              <w:jc w:val="both"/>
              <w:rPr>
                <w:sz w:val="26"/>
                <w:szCs w:val="26"/>
              </w:rPr>
            </w:pPr>
          </w:p>
          <w:p w14:paraId="08295C66" w14:textId="77777777" w:rsidR="003F45A2" w:rsidRPr="006A015E" w:rsidRDefault="003F45A2" w:rsidP="000A5060">
            <w:pPr>
              <w:spacing w:line="240" w:lineRule="auto"/>
              <w:ind w:right="86"/>
              <w:rPr>
                <w:b/>
                <w:sz w:val="26"/>
                <w:szCs w:val="26"/>
              </w:rPr>
            </w:pPr>
            <w:r>
              <w:rPr>
                <w:b/>
                <w:sz w:val="26"/>
                <w:szCs w:val="26"/>
              </w:rPr>
              <w:t xml:space="preserve">PETITION TO RESTYLE </w:t>
            </w:r>
            <w:r w:rsidRPr="004F6D7E">
              <w:rPr>
                <w:b/>
                <w:caps/>
                <w:sz w:val="26"/>
                <w:szCs w:val="26"/>
              </w:rPr>
              <w:t>and Amend Supreme Court Rule 31; Adopt New Rule 33.1; and Amend Rules 32, 41, 42 (Various ERs from 1.0 to 5.7), 46-51, 54-58, 60, and 75-76</w:t>
            </w:r>
          </w:p>
        </w:tc>
        <w:tc>
          <w:tcPr>
            <w:tcW w:w="4806" w:type="dxa"/>
            <w:tcBorders>
              <w:top w:val="nil"/>
              <w:bottom w:val="nil"/>
            </w:tcBorders>
            <w:shd w:val="clear" w:color="auto" w:fill="auto"/>
          </w:tcPr>
          <w:p w14:paraId="35CA6FA6" w14:textId="77777777" w:rsidR="003F45A2" w:rsidRPr="008A3442" w:rsidRDefault="003F45A2" w:rsidP="000A5060">
            <w:pPr>
              <w:pStyle w:val="SingleSpacing"/>
              <w:spacing w:line="240" w:lineRule="auto"/>
              <w:ind w:left="180"/>
              <w:rPr>
                <w:sz w:val="26"/>
                <w:szCs w:val="26"/>
              </w:rPr>
            </w:pPr>
            <w:bookmarkStart w:id="3" w:name="CaseNumber"/>
            <w:bookmarkEnd w:id="3"/>
            <w:r>
              <w:rPr>
                <w:sz w:val="26"/>
                <w:szCs w:val="26"/>
              </w:rPr>
              <w:t>Supreme Court No. R-20-0034</w:t>
            </w:r>
          </w:p>
          <w:p w14:paraId="322A0ECB" w14:textId="77777777" w:rsidR="003F45A2" w:rsidRDefault="003F45A2" w:rsidP="000A5060">
            <w:pPr>
              <w:spacing w:line="240" w:lineRule="auto"/>
              <w:ind w:left="187"/>
              <w:rPr>
                <w:b/>
                <w:sz w:val="26"/>
                <w:szCs w:val="26"/>
              </w:rPr>
            </w:pPr>
          </w:p>
          <w:p w14:paraId="12865345" w14:textId="0F7268D8" w:rsidR="003F45A2" w:rsidRPr="009C465B" w:rsidRDefault="003F45A2" w:rsidP="000A5060">
            <w:pPr>
              <w:spacing w:line="240" w:lineRule="auto"/>
              <w:ind w:left="187"/>
              <w:rPr>
                <w:sz w:val="26"/>
                <w:szCs w:val="26"/>
              </w:rPr>
            </w:pPr>
            <w:r>
              <w:rPr>
                <w:b/>
                <w:sz w:val="26"/>
                <w:szCs w:val="26"/>
              </w:rPr>
              <w:t xml:space="preserve">COMMENT OF THE PIMA COUNTY BAR ASSOCIATION </w:t>
            </w:r>
            <w:r w:rsidR="00600AC5">
              <w:rPr>
                <w:b/>
                <w:sz w:val="26"/>
                <w:szCs w:val="26"/>
              </w:rPr>
              <w:t>IN OPPOSITION TO THE PROPOSED RULE CHANGES</w:t>
            </w:r>
          </w:p>
        </w:tc>
      </w:tr>
    </w:tbl>
    <w:p w14:paraId="0C609252" w14:textId="7BBF51F2" w:rsidR="00621166" w:rsidRDefault="003F45A2" w:rsidP="00621166">
      <w:pPr>
        <w:tabs>
          <w:tab w:val="left" w:pos="0"/>
        </w:tabs>
        <w:jc w:val="both"/>
        <w:rPr>
          <w:sz w:val="26"/>
          <w:szCs w:val="26"/>
        </w:rPr>
      </w:pPr>
      <w:r>
        <w:rPr>
          <w:sz w:val="26"/>
          <w:szCs w:val="26"/>
        </w:rPr>
        <w:tab/>
      </w:r>
      <w:r w:rsidR="00621166">
        <w:rPr>
          <w:sz w:val="26"/>
          <w:szCs w:val="26"/>
        </w:rPr>
        <w:t xml:space="preserve">Unfortunately, the Amended Petition is old wine in a new bottle: it rehashes </w:t>
      </w:r>
      <w:proofErr w:type="gramStart"/>
      <w:r w:rsidR="00621166">
        <w:rPr>
          <w:sz w:val="26"/>
          <w:szCs w:val="26"/>
        </w:rPr>
        <w:t>exactly the same</w:t>
      </w:r>
      <w:proofErr w:type="gramEnd"/>
      <w:r w:rsidR="00621166">
        <w:rPr>
          <w:sz w:val="26"/>
          <w:szCs w:val="26"/>
        </w:rPr>
        <w:t xml:space="preserve"> claims in the original Petition without even attempting to explain how the proposed changes will operate in practice, much less how they will work to the benefit of the bar or public. It repeats the word “innovation” almost half a dozen times, but not once does the Petitioner give a concrete example of what it means. </w:t>
      </w:r>
      <w:r w:rsidR="00770BAA">
        <w:rPr>
          <w:sz w:val="26"/>
          <w:szCs w:val="26"/>
        </w:rPr>
        <w:t>And as for the Petitioner’s response to the dozens of thoughtful comments</w:t>
      </w:r>
      <w:r w:rsidR="00222DC1">
        <w:rPr>
          <w:sz w:val="26"/>
          <w:szCs w:val="26"/>
        </w:rPr>
        <w:t xml:space="preserve"> from the bench and bar alike</w:t>
      </w:r>
      <w:r w:rsidR="00770BAA">
        <w:rPr>
          <w:sz w:val="26"/>
          <w:szCs w:val="26"/>
        </w:rPr>
        <w:t>, those which it does not reduce to strawmen it ignores entirely</w:t>
      </w:r>
      <w:r w:rsidR="00621166">
        <w:rPr>
          <w:sz w:val="26"/>
          <w:szCs w:val="26"/>
        </w:rPr>
        <w:t xml:space="preserve">. The Amended Petition </w:t>
      </w:r>
      <w:r w:rsidR="00770BAA">
        <w:rPr>
          <w:sz w:val="26"/>
          <w:szCs w:val="26"/>
        </w:rPr>
        <w:t xml:space="preserve">treads no new ground, and it </w:t>
      </w:r>
      <w:r w:rsidR="00621166">
        <w:rPr>
          <w:sz w:val="26"/>
          <w:szCs w:val="26"/>
        </w:rPr>
        <w:t>should be rejected.</w:t>
      </w:r>
    </w:p>
    <w:p w14:paraId="452EB175" w14:textId="4EEFDC9A" w:rsidR="00B4756C" w:rsidRDefault="00B4756C" w:rsidP="003F45A2">
      <w:pPr>
        <w:tabs>
          <w:tab w:val="left" w:pos="0"/>
        </w:tabs>
        <w:jc w:val="both"/>
        <w:rPr>
          <w:sz w:val="26"/>
          <w:szCs w:val="26"/>
        </w:rPr>
      </w:pPr>
    </w:p>
    <w:p w14:paraId="62EED044" w14:textId="7EB8B61D" w:rsidR="00600AC5" w:rsidRDefault="00600AC5" w:rsidP="003F45A2">
      <w:pPr>
        <w:tabs>
          <w:tab w:val="left" w:pos="0"/>
        </w:tabs>
        <w:jc w:val="both"/>
        <w:rPr>
          <w:sz w:val="26"/>
          <w:szCs w:val="26"/>
        </w:rPr>
      </w:pPr>
    </w:p>
    <w:p w14:paraId="0F2F6894" w14:textId="77777777" w:rsidR="00600AC5" w:rsidRDefault="00600AC5" w:rsidP="003F45A2">
      <w:pPr>
        <w:tabs>
          <w:tab w:val="left" w:pos="0"/>
        </w:tabs>
        <w:jc w:val="both"/>
        <w:rPr>
          <w:sz w:val="26"/>
          <w:szCs w:val="26"/>
        </w:rPr>
      </w:pPr>
    </w:p>
    <w:p w14:paraId="614F9FCA" w14:textId="4D79F315" w:rsidR="002839A4" w:rsidRPr="00D2770A" w:rsidRDefault="00C32B5B" w:rsidP="00C32B5B">
      <w:pPr>
        <w:pStyle w:val="ListParagraph"/>
        <w:numPr>
          <w:ilvl w:val="0"/>
          <w:numId w:val="2"/>
        </w:numPr>
        <w:tabs>
          <w:tab w:val="left" w:pos="0"/>
        </w:tabs>
        <w:jc w:val="both"/>
        <w:rPr>
          <w:b/>
          <w:bCs/>
          <w:sz w:val="26"/>
          <w:szCs w:val="26"/>
        </w:rPr>
      </w:pPr>
      <w:r>
        <w:rPr>
          <w:b/>
          <w:bCs/>
          <w:sz w:val="26"/>
          <w:szCs w:val="26"/>
        </w:rPr>
        <w:lastRenderedPageBreak/>
        <w:t>Introduction</w:t>
      </w:r>
    </w:p>
    <w:p w14:paraId="63A97E38" w14:textId="704A169F" w:rsidR="00DA1E4C" w:rsidRDefault="002839A4" w:rsidP="00DA1E4C">
      <w:pPr>
        <w:tabs>
          <w:tab w:val="left" w:pos="0"/>
        </w:tabs>
        <w:jc w:val="both"/>
        <w:rPr>
          <w:sz w:val="26"/>
          <w:szCs w:val="26"/>
        </w:rPr>
      </w:pPr>
      <w:r>
        <w:rPr>
          <w:sz w:val="26"/>
          <w:szCs w:val="26"/>
        </w:rPr>
        <w:tab/>
      </w:r>
      <w:r w:rsidR="008F2881">
        <w:rPr>
          <w:sz w:val="26"/>
          <w:szCs w:val="26"/>
        </w:rPr>
        <w:t xml:space="preserve">In response to the many comments in opposition to non-lawyer ownership of law practices, the </w:t>
      </w:r>
      <w:r w:rsidR="00E45109">
        <w:rPr>
          <w:sz w:val="26"/>
          <w:szCs w:val="26"/>
        </w:rPr>
        <w:t>Task Force</w:t>
      </w:r>
      <w:r w:rsidR="008F2881">
        <w:rPr>
          <w:sz w:val="26"/>
          <w:szCs w:val="26"/>
        </w:rPr>
        <w:t xml:space="preserve"> raises three counterarguments. First</w:t>
      </w:r>
      <w:r w:rsidR="00F2757B">
        <w:rPr>
          <w:sz w:val="26"/>
          <w:szCs w:val="26"/>
        </w:rPr>
        <w:t xml:space="preserve">, </w:t>
      </w:r>
      <w:r w:rsidR="00E45109">
        <w:rPr>
          <w:sz w:val="26"/>
          <w:szCs w:val="26"/>
        </w:rPr>
        <w:t>it</w:t>
      </w:r>
      <w:r w:rsidR="00F2757B">
        <w:rPr>
          <w:sz w:val="26"/>
          <w:szCs w:val="26"/>
        </w:rPr>
        <w:t xml:space="preserve"> contends that</w:t>
      </w:r>
      <w:r w:rsidR="00600AC5">
        <w:rPr>
          <w:sz w:val="26"/>
          <w:szCs w:val="26"/>
        </w:rPr>
        <w:t xml:space="preserve"> </w:t>
      </w:r>
      <w:r w:rsidR="008F2881">
        <w:rPr>
          <w:sz w:val="26"/>
          <w:szCs w:val="26"/>
        </w:rPr>
        <w:t xml:space="preserve">the ethical conflicts that </w:t>
      </w:r>
      <w:r w:rsidR="00113888">
        <w:rPr>
          <w:sz w:val="26"/>
          <w:szCs w:val="26"/>
        </w:rPr>
        <w:t xml:space="preserve">may come with non-lawyer ownership </w:t>
      </w:r>
      <w:r w:rsidR="00600AC5">
        <w:rPr>
          <w:sz w:val="26"/>
          <w:szCs w:val="26"/>
        </w:rPr>
        <w:t xml:space="preserve">of law practices </w:t>
      </w:r>
      <w:r w:rsidR="00113888">
        <w:rPr>
          <w:sz w:val="26"/>
          <w:szCs w:val="26"/>
        </w:rPr>
        <w:t>already exist. Second,</w:t>
      </w:r>
      <w:r w:rsidR="00F2757B">
        <w:rPr>
          <w:sz w:val="26"/>
          <w:szCs w:val="26"/>
        </w:rPr>
        <w:t xml:space="preserve"> it argues that</w:t>
      </w:r>
      <w:r w:rsidR="00113888">
        <w:rPr>
          <w:sz w:val="26"/>
          <w:szCs w:val="26"/>
        </w:rPr>
        <w:t xml:space="preserve"> there is nothing inherently wrong with the profit motive that non-lawyer owners </w:t>
      </w:r>
      <w:r w:rsidR="00E07850">
        <w:rPr>
          <w:sz w:val="26"/>
          <w:szCs w:val="26"/>
        </w:rPr>
        <w:t>may have</w:t>
      </w:r>
      <w:r w:rsidR="00113888">
        <w:rPr>
          <w:sz w:val="26"/>
          <w:szCs w:val="26"/>
        </w:rPr>
        <w:t xml:space="preserve">. And </w:t>
      </w:r>
      <w:r w:rsidR="00E8349A">
        <w:rPr>
          <w:sz w:val="26"/>
          <w:szCs w:val="26"/>
        </w:rPr>
        <w:t xml:space="preserve">third, </w:t>
      </w:r>
      <w:r w:rsidR="00F2757B">
        <w:rPr>
          <w:sz w:val="26"/>
          <w:szCs w:val="26"/>
        </w:rPr>
        <w:t>it claims that the</w:t>
      </w:r>
      <w:r w:rsidR="00113888">
        <w:rPr>
          <w:sz w:val="26"/>
          <w:szCs w:val="26"/>
        </w:rPr>
        <w:t xml:space="preserve"> </w:t>
      </w:r>
      <w:r w:rsidR="00E07850">
        <w:rPr>
          <w:sz w:val="26"/>
          <w:szCs w:val="26"/>
        </w:rPr>
        <w:t xml:space="preserve">existing </w:t>
      </w:r>
      <w:r w:rsidR="00113888">
        <w:rPr>
          <w:sz w:val="26"/>
          <w:szCs w:val="26"/>
        </w:rPr>
        <w:t>Ethical Rules will continue to ensure that clients are protected.</w:t>
      </w:r>
      <w:r w:rsidR="00E8349A">
        <w:rPr>
          <w:sz w:val="26"/>
          <w:szCs w:val="26"/>
        </w:rPr>
        <w:t xml:space="preserve"> </w:t>
      </w:r>
      <w:r w:rsidR="00F2757B">
        <w:rPr>
          <w:sz w:val="26"/>
          <w:szCs w:val="26"/>
        </w:rPr>
        <w:t>None of these withstand</w:t>
      </w:r>
      <w:r w:rsidR="00E07850">
        <w:rPr>
          <w:sz w:val="26"/>
          <w:szCs w:val="26"/>
        </w:rPr>
        <w:t xml:space="preserve"> scrutiny. And i</w:t>
      </w:r>
      <w:r w:rsidR="00E8349A">
        <w:rPr>
          <w:sz w:val="26"/>
          <w:szCs w:val="26"/>
        </w:rPr>
        <w:t xml:space="preserve">n response to the </w:t>
      </w:r>
      <w:r w:rsidR="00DA1E4C">
        <w:rPr>
          <w:sz w:val="26"/>
          <w:szCs w:val="26"/>
        </w:rPr>
        <w:t xml:space="preserve">concerns </w:t>
      </w:r>
      <w:r w:rsidR="00E07850">
        <w:rPr>
          <w:sz w:val="26"/>
          <w:szCs w:val="26"/>
        </w:rPr>
        <w:t>about</w:t>
      </w:r>
      <w:r w:rsidR="00E8349A">
        <w:rPr>
          <w:sz w:val="26"/>
          <w:szCs w:val="26"/>
        </w:rPr>
        <w:t xml:space="preserve"> allowing paraprofessionals</w:t>
      </w:r>
      <w:r w:rsidR="00E07850">
        <w:rPr>
          <w:sz w:val="26"/>
          <w:szCs w:val="26"/>
        </w:rPr>
        <w:t xml:space="preserve"> to</w:t>
      </w:r>
      <w:r w:rsidR="00E8349A">
        <w:rPr>
          <w:sz w:val="26"/>
          <w:szCs w:val="26"/>
        </w:rPr>
        <w:t xml:space="preserve"> practice law, the Petitioner insists that they would have “stiff” licensure requirements and </w:t>
      </w:r>
      <w:r w:rsidR="00DA1E4C">
        <w:rPr>
          <w:sz w:val="26"/>
          <w:szCs w:val="26"/>
        </w:rPr>
        <w:t>relatively “circumscribed</w:t>
      </w:r>
      <w:r w:rsidR="00E8349A">
        <w:rPr>
          <w:sz w:val="26"/>
          <w:szCs w:val="26"/>
        </w:rPr>
        <w:t xml:space="preserve"> authority to practice.</w:t>
      </w:r>
      <w:r w:rsidR="00DA1E4C">
        <w:rPr>
          <w:sz w:val="26"/>
          <w:szCs w:val="26"/>
        </w:rPr>
        <w:t>”</w:t>
      </w:r>
      <w:r w:rsidR="00E8349A">
        <w:rPr>
          <w:sz w:val="26"/>
          <w:szCs w:val="26"/>
        </w:rPr>
        <w:t xml:space="preserve"> </w:t>
      </w:r>
      <w:r w:rsidR="00E8349A">
        <w:rPr>
          <w:i/>
          <w:iCs/>
          <w:sz w:val="26"/>
          <w:szCs w:val="26"/>
        </w:rPr>
        <w:t xml:space="preserve">Amended Petition </w:t>
      </w:r>
      <w:r w:rsidR="00E8349A">
        <w:rPr>
          <w:sz w:val="26"/>
          <w:szCs w:val="26"/>
        </w:rPr>
        <w:t>at 27</w:t>
      </w:r>
      <w:r w:rsidR="00DA1E4C">
        <w:rPr>
          <w:sz w:val="26"/>
          <w:szCs w:val="26"/>
        </w:rPr>
        <w:t>. This argument also fails</w:t>
      </w:r>
      <w:r w:rsidR="00E07850">
        <w:rPr>
          <w:sz w:val="26"/>
          <w:szCs w:val="26"/>
        </w:rPr>
        <w:t xml:space="preserve">. It is apparent that the Petitioner and most lawyers have </w:t>
      </w:r>
      <w:r w:rsidR="00473DB5">
        <w:rPr>
          <w:sz w:val="26"/>
          <w:szCs w:val="26"/>
        </w:rPr>
        <w:t xml:space="preserve">radically </w:t>
      </w:r>
      <w:r w:rsidR="00E07850">
        <w:rPr>
          <w:sz w:val="26"/>
          <w:szCs w:val="26"/>
        </w:rPr>
        <w:t>different understandings of what those words mean.</w:t>
      </w:r>
    </w:p>
    <w:p w14:paraId="06529388" w14:textId="20D66419" w:rsidR="00616DA0" w:rsidRDefault="00616DA0" w:rsidP="00DA1E4C">
      <w:pPr>
        <w:tabs>
          <w:tab w:val="left" w:pos="0"/>
        </w:tabs>
        <w:jc w:val="both"/>
        <w:rPr>
          <w:sz w:val="26"/>
          <w:szCs w:val="26"/>
        </w:rPr>
      </w:pPr>
      <w:r>
        <w:rPr>
          <w:sz w:val="26"/>
          <w:szCs w:val="26"/>
        </w:rPr>
        <w:tab/>
      </w:r>
      <w:r w:rsidR="004A212B">
        <w:rPr>
          <w:sz w:val="26"/>
          <w:szCs w:val="26"/>
        </w:rPr>
        <w:t>What is also striking is how quick the Petitioner is to level the charge of protectionism, as though the overwhelming opposition</w:t>
      </w:r>
      <w:r w:rsidR="002815DF">
        <w:rPr>
          <w:sz w:val="26"/>
          <w:szCs w:val="26"/>
        </w:rPr>
        <w:t xml:space="preserve"> from the bar</w:t>
      </w:r>
      <w:r w:rsidR="004A212B">
        <w:rPr>
          <w:sz w:val="26"/>
          <w:szCs w:val="26"/>
        </w:rPr>
        <w:t xml:space="preserve"> stems from nothing more than</w:t>
      </w:r>
      <w:r w:rsidR="00A4049F">
        <w:rPr>
          <w:sz w:val="26"/>
          <w:szCs w:val="26"/>
        </w:rPr>
        <w:t xml:space="preserve"> rank</w:t>
      </w:r>
      <w:r w:rsidR="00754A55">
        <w:rPr>
          <w:sz w:val="26"/>
          <w:szCs w:val="26"/>
        </w:rPr>
        <w:t xml:space="preserve"> financial</w:t>
      </w:r>
      <w:r w:rsidR="004A212B">
        <w:rPr>
          <w:sz w:val="26"/>
          <w:szCs w:val="26"/>
        </w:rPr>
        <w:t xml:space="preserve"> self-inter</w:t>
      </w:r>
      <w:r w:rsidR="0030370E">
        <w:rPr>
          <w:sz w:val="26"/>
          <w:szCs w:val="26"/>
        </w:rPr>
        <w:t xml:space="preserve">est. </w:t>
      </w:r>
      <w:r w:rsidR="00201407">
        <w:rPr>
          <w:sz w:val="26"/>
          <w:szCs w:val="26"/>
        </w:rPr>
        <w:t>This is a curious indictment considering that the entire purpose of the proposed rule changes is to allow passive investors to buy law practices. Yet according to the Petitioner, it is the bar that is overly concerned with money. Go figure.</w:t>
      </w:r>
    </w:p>
    <w:p w14:paraId="68D6AB3D" w14:textId="0B52A9B8" w:rsidR="005E6194" w:rsidRDefault="00201407" w:rsidP="00DA1E4C">
      <w:pPr>
        <w:tabs>
          <w:tab w:val="left" w:pos="0"/>
        </w:tabs>
        <w:jc w:val="both"/>
        <w:rPr>
          <w:sz w:val="26"/>
          <w:szCs w:val="26"/>
        </w:rPr>
      </w:pPr>
      <w:r>
        <w:rPr>
          <w:sz w:val="26"/>
          <w:szCs w:val="26"/>
        </w:rPr>
        <w:tab/>
        <w:t xml:space="preserve">At bottom, the Amended Petition does not </w:t>
      </w:r>
      <w:r w:rsidR="00AD3A92">
        <w:rPr>
          <w:sz w:val="26"/>
          <w:szCs w:val="26"/>
        </w:rPr>
        <w:t>even try to disentangle the Gordian Knot of legal ethics that the proposed rule changes entail. Rather, the Petitioner continues to assert that we should</w:t>
      </w:r>
      <w:r w:rsidR="00C67D5B">
        <w:rPr>
          <w:sz w:val="26"/>
          <w:szCs w:val="26"/>
        </w:rPr>
        <w:t xml:space="preserve"> simply</w:t>
      </w:r>
      <w:r w:rsidR="00AD3A92">
        <w:rPr>
          <w:sz w:val="26"/>
          <w:szCs w:val="26"/>
        </w:rPr>
        <w:t xml:space="preserve"> </w:t>
      </w:r>
      <w:r w:rsidR="003E022F">
        <w:rPr>
          <w:sz w:val="26"/>
          <w:szCs w:val="26"/>
        </w:rPr>
        <w:t xml:space="preserve">accept at face value </w:t>
      </w:r>
      <w:r w:rsidR="00473DB5">
        <w:rPr>
          <w:sz w:val="26"/>
          <w:szCs w:val="26"/>
        </w:rPr>
        <w:t>its</w:t>
      </w:r>
      <w:r w:rsidR="00AD3A92">
        <w:rPr>
          <w:sz w:val="26"/>
          <w:szCs w:val="26"/>
        </w:rPr>
        <w:t xml:space="preserve"> insistence that </w:t>
      </w:r>
      <w:r w:rsidR="003E022F">
        <w:rPr>
          <w:sz w:val="26"/>
          <w:szCs w:val="26"/>
        </w:rPr>
        <w:t>the proposed changes will be a force for good</w:t>
      </w:r>
      <w:r w:rsidR="001B46F6">
        <w:rPr>
          <w:sz w:val="26"/>
          <w:szCs w:val="26"/>
        </w:rPr>
        <w:t xml:space="preserve"> and</w:t>
      </w:r>
      <w:r w:rsidR="00473DB5">
        <w:rPr>
          <w:sz w:val="26"/>
          <w:szCs w:val="26"/>
        </w:rPr>
        <w:t xml:space="preserve"> that we should</w:t>
      </w:r>
      <w:r w:rsidR="001B46F6">
        <w:rPr>
          <w:sz w:val="26"/>
          <w:szCs w:val="26"/>
        </w:rPr>
        <w:t xml:space="preserve"> ignore our ethical qualms for the </w:t>
      </w:r>
      <w:r w:rsidR="005E6194">
        <w:rPr>
          <w:sz w:val="26"/>
          <w:szCs w:val="26"/>
        </w:rPr>
        <w:t xml:space="preserve">sake of “innovation.” The members of the Pima County Bar Association are not prepared to do so, and neither should any lawyer in Arizona. </w:t>
      </w:r>
    </w:p>
    <w:p w14:paraId="1D7CD622" w14:textId="77777777" w:rsidR="005E6194" w:rsidRDefault="005E6194" w:rsidP="00DA1E4C">
      <w:pPr>
        <w:tabs>
          <w:tab w:val="left" w:pos="0"/>
        </w:tabs>
        <w:jc w:val="both"/>
        <w:rPr>
          <w:sz w:val="26"/>
          <w:szCs w:val="26"/>
        </w:rPr>
      </w:pPr>
    </w:p>
    <w:p w14:paraId="2263006D" w14:textId="01BCA19A" w:rsidR="0012212C" w:rsidRDefault="005E6194" w:rsidP="00DA1E4C">
      <w:pPr>
        <w:tabs>
          <w:tab w:val="left" w:pos="0"/>
        </w:tabs>
        <w:jc w:val="both"/>
        <w:rPr>
          <w:sz w:val="26"/>
          <w:szCs w:val="26"/>
        </w:rPr>
      </w:pPr>
      <w:r>
        <w:rPr>
          <w:sz w:val="26"/>
          <w:szCs w:val="26"/>
        </w:rPr>
        <w:t xml:space="preserve"> </w:t>
      </w:r>
    </w:p>
    <w:p w14:paraId="3C904DC0" w14:textId="77777777" w:rsidR="00542B8A" w:rsidRDefault="00542B8A" w:rsidP="00DA1E4C">
      <w:pPr>
        <w:tabs>
          <w:tab w:val="left" w:pos="0"/>
        </w:tabs>
        <w:jc w:val="both"/>
        <w:rPr>
          <w:sz w:val="26"/>
          <w:szCs w:val="26"/>
        </w:rPr>
      </w:pPr>
    </w:p>
    <w:p w14:paraId="32E08B1D" w14:textId="4ED52984" w:rsidR="00DE71FC" w:rsidRPr="00691886" w:rsidRDefault="001C61EE" w:rsidP="00BC7F27">
      <w:pPr>
        <w:pStyle w:val="ListParagraph"/>
        <w:numPr>
          <w:ilvl w:val="0"/>
          <w:numId w:val="2"/>
        </w:numPr>
        <w:tabs>
          <w:tab w:val="left" w:pos="0"/>
        </w:tabs>
        <w:spacing w:after="120" w:line="240" w:lineRule="auto"/>
        <w:contextualSpacing w:val="0"/>
        <w:jc w:val="both"/>
        <w:rPr>
          <w:b/>
          <w:bCs/>
          <w:sz w:val="26"/>
          <w:szCs w:val="26"/>
        </w:rPr>
      </w:pPr>
      <w:r w:rsidRPr="00691886">
        <w:rPr>
          <w:b/>
          <w:bCs/>
          <w:sz w:val="26"/>
          <w:szCs w:val="26"/>
        </w:rPr>
        <w:lastRenderedPageBreak/>
        <w:t>The Amended Petition has wholly failed to account for</w:t>
      </w:r>
      <w:r w:rsidR="00691886" w:rsidRPr="00691886">
        <w:rPr>
          <w:b/>
          <w:bCs/>
          <w:sz w:val="26"/>
          <w:szCs w:val="26"/>
        </w:rPr>
        <w:t xml:space="preserve"> the additional ethical conflicts entailed by abolishing Rule 5.4.</w:t>
      </w:r>
      <w:r w:rsidR="00DA1E4C" w:rsidRPr="00691886">
        <w:rPr>
          <w:b/>
          <w:bCs/>
          <w:sz w:val="26"/>
          <w:szCs w:val="26"/>
        </w:rPr>
        <w:tab/>
        <w:t xml:space="preserve"> </w:t>
      </w:r>
    </w:p>
    <w:p w14:paraId="62F2F772" w14:textId="77A88400" w:rsidR="00C32B5B" w:rsidRDefault="00575878" w:rsidP="00C32B5B">
      <w:pPr>
        <w:tabs>
          <w:tab w:val="left" w:pos="0"/>
        </w:tabs>
        <w:jc w:val="both"/>
        <w:rPr>
          <w:sz w:val="26"/>
          <w:szCs w:val="26"/>
        </w:rPr>
      </w:pPr>
      <w:r>
        <w:rPr>
          <w:sz w:val="26"/>
          <w:szCs w:val="26"/>
        </w:rPr>
        <w:tab/>
      </w:r>
      <w:r w:rsidR="00C1411F">
        <w:rPr>
          <w:sz w:val="26"/>
          <w:szCs w:val="26"/>
        </w:rPr>
        <w:t xml:space="preserve">Allowing </w:t>
      </w:r>
      <w:r>
        <w:rPr>
          <w:sz w:val="26"/>
          <w:szCs w:val="26"/>
        </w:rPr>
        <w:t xml:space="preserve">private investors to own and manage law practices would </w:t>
      </w:r>
      <w:r w:rsidR="00C1411F">
        <w:rPr>
          <w:sz w:val="26"/>
          <w:szCs w:val="26"/>
        </w:rPr>
        <w:t>produce ethical conflicts between a lawyer’s duty to her client</w:t>
      </w:r>
      <w:r w:rsidR="00345C34">
        <w:rPr>
          <w:sz w:val="26"/>
          <w:szCs w:val="26"/>
        </w:rPr>
        <w:t>s</w:t>
      </w:r>
      <w:r w:rsidR="00C1411F">
        <w:rPr>
          <w:sz w:val="26"/>
          <w:szCs w:val="26"/>
        </w:rPr>
        <w:t xml:space="preserve"> and her incentive (indeed imperative) to generate money.</w:t>
      </w:r>
      <w:r>
        <w:rPr>
          <w:sz w:val="26"/>
          <w:szCs w:val="26"/>
        </w:rPr>
        <w:t xml:space="preserve"> </w:t>
      </w:r>
      <w:r w:rsidR="00C1411F">
        <w:rPr>
          <w:sz w:val="26"/>
          <w:szCs w:val="26"/>
        </w:rPr>
        <w:t xml:space="preserve">This is practically a truism, and the Petitioner does not appear to disagree. </w:t>
      </w:r>
      <w:r w:rsidR="00BC7F27">
        <w:rPr>
          <w:sz w:val="26"/>
          <w:szCs w:val="26"/>
        </w:rPr>
        <w:t xml:space="preserve">Rather, </w:t>
      </w:r>
      <w:r w:rsidR="00E631B2">
        <w:rPr>
          <w:sz w:val="26"/>
          <w:szCs w:val="26"/>
        </w:rPr>
        <w:t>the Task Force</w:t>
      </w:r>
      <w:r w:rsidR="00BC7F27">
        <w:rPr>
          <w:sz w:val="26"/>
          <w:szCs w:val="26"/>
        </w:rPr>
        <w:t xml:space="preserve"> sidesteps the issue</w:t>
      </w:r>
      <w:r w:rsidR="00821206">
        <w:rPr>
          <w:sz w:val="26"/>
          <w:szCs w:val="26"/>
        </w:rPr>
        <w:t xml:space="preserve"> </w:t>
      </w:r>
      <w:r w:rsidR="00EC36CC">
        <w:rPr>
          <w:sz w:val="26"/>
          <w:szCs w:val="26"/>
        </w:rPr>
        <w:t>completely</w:t>
      </w:r>
      <w:r w:rsidR="00BC7F27">
        <w:rPr>
          <w:sz w:val="26"/>
          <w:szCs w:val="26"/>
        </w:rPr>
        <w:t xml:space="preserve"> and argues</w:t>
      </w:r>
      <w:r w:rsidR="00C1411F">
        <w:rPr>
          <w:sz w:val="26"/>
          <w:szCs w:val="26"/>
        </w:rPr>
        <w:t xml:space="preserve"> that lawyers in private practice already </w:t>
      </w:r>
      <w:r w:rsidR="00BE3E05">
        <w:rPr>
          <w:sz w:val="26"/>
          <w:szCs w:val="26"/>
        </w:rPr>
        <w:t>must</w:t>
      </w:r>
      <w:r w:rsidR="00C1411F">
        <w:rPr>
          <w:sz w:val="26"/>
          <w:szCs w:val="26"/>
        </w:rPr>
        <w:t xml:space="preserve"> balance their own financial interests with</w:t>
      </w:r>
      <w:r w:rsidR="00C35E20">
        <w:rPr>
          <w:sz w:val="26"/>
          <w:szCs w:val="26"/>
        </w:rPr>
        <w:t xml:space="preserve"> the interests</w:t>
      </w:r>
      <w:r w:rsidR="00C1411F">
        <w:rPr>
          <w:sz w:val="26"/>
          <w:szCs w:val="26"/>
        </w:rPr>
        <w:t xml:space="preserve"> of their clients. </w:t>
      </w:r>
      <w:r w:rsidR="00C1411F">
        <w:rPr>
          <w:i/>
          <w:iCs/>
          <w:sz w:val="26"/>
          <w:szCs w:val="26"/>
        </w:rPr>
        <w:t xml:space="preserve">Amended Petition </w:t>
      </w:r>
      <w:r w:rsidR="00C1411F">
        <w:rPr>
          <w:sz w:val="26"/>
          <w:szCs w:val="26"/>
        </w:rPr>
        <w:t>at 1</w:t>
      </w:r>
      <w:r w:rsidR="00345C34">
        <w:rPr>
          <w:sz w:val="26"/>
          <w:szCs w:val="26"/>
        </w:rPr>
        <w:t>4</w:t>
      </w:r>
      <w:r w:rsidR="00C1411F">
        <w:rPr>
          <w:sz w:val="26"/>
          <w:szCs w:val="26"/>
        </w:rPr>
        <w:t>. As such, abolishing Ethical Rule 5.4 “</w:t>
      </w:r>
      <w:proofErr w:type="gramStart"/>
      <w:r w:rsidR="00C1411F">
        <w:rPr>
          <w:sz w:val="26"/>
          <w:szCs w:val="26"/>
        </w:rPr>
        <w:t>therefore[</w:t>
      </w:r>
      <w:proofErr w:type="gramEnd"/>
      <w:r w:rsidR="00C1411F">
        <w:rPr>
          <w:sz w:val="26"/>
          <w:szCs w:val="26"/>
        </w:rPr>
        <w:t xml:space="preserve">] does not suddenly interject the need for ‘balancing’ conflicting interests into lawyers’ lives.” </w:t>
      </w:r>
      <w:r w:rsidR="00C1411F">
        <w:rPr>
          <w:i/>
          <w:iCs/>
          <w:sz w:val="26"/>
          <w:szCs w:val="26"/>
        </w:rPr>
        <w:t xml:space="preserve">Amended Petition </w:t>
      </w:r>
      <w:r w:rsidR="00C1411F">
        <w:rPr>
          <w:sz w:val="26"/>
          <w:szCs w:val="26"/>
        </w:rPr>
        <w:t>at 1</w:t>
      </w:r>
      <w:r w:rsidR="00345C34">
        <w:rPr>
          <w:sz w:val="26"/>
          <w:szCs w:val="26"/>
        </w:rPr>
        <w:t>5</w:t>
      </w:r>
      <w:r w:rsidR="00C1411F">
        <w:rPr>
          <w:sz w:val="26"/>
          <w:szCs w:val="26"/>
        </w:rPr>
        <w:t xml:space="preserve">. Put more simply, the Task Force’s position </w:t>
      </w:r>
      <w:r w:rsidR="00C35E20">
        <w:rPr>
          <w:sz w:val="26"/>
          <w:szCs w:val="26"/>
        </w:rPr>
        <w:t>isn’t that th</w:t>
      </w:r>
      <w:r w:rsidR="00BE3E05">
        <w:rPr>
          <w:sz w:val="26"/>
          <w:szCs w:val="26"/>
        </w:rPr>
        <w:t>is</w:t>
      </w:r>
      <w:r w:rsidR="00C35E20">
        <w:rPr>
          <w:sz w:val="26"/>
          <w:szCs w:val="26"/>
        </w:rPr>
        <w:t xml:space="preserve"> proposed rule change is </w:t>
      </w:r>
      <w:r w:rsidR="003E777F">
        <w:rPr>
          <w:sz w:val="26"/>
          <w:szCs w:val="26"/>
        </w:rPr>
        <w:t xml:space="preserve">free </w:t>
      </w:r>
      <w:r w:rsidR="00821206">
        <w:rPr>
          <w:sz w:val="26"/>
          <w:szCs w:val="26"/>
        </w:rPr>
        <w:t>from</w:t>
      </w:r>
      <w:r w:rsidR="00C35E20">
        <w:rPr>
          <w:sz w:val="26"/>
          <w:szCs w:val="26"/>
        </w:rPr>
        <w:t xml:space="preserve"> ethical </w:t>
      </w:r>
      <w:r w:rsidR="003E777F">
        <w:rPr>
          <w:sz w:val="26"/>
          <w:szCs w:val="26"/>
        </w:rPr>
        <w:t>conflicts</w:t>
      </w:r>
      <w:r w:rsidR="00BE3E05">
        <w:rPr>
          <w:sz w:val="26"/>
          <w:szCs w:val="26"/>
        </w:rPr>
        <w:t xml:space="preserve">; it is that we can ignore them </w:t>
      </w:r>
      <w:proofErr w:type="gramStart"/>
      <w:r w:rsidR="003E777F">
        <w:rPr>
          <w:sz w:val="26"/>
          <w:szCs w:val="26"/>
        </w:rPr>
        <w:t>inasmuch as</w:t>
      </w:r>
      <w:proofErr w:type="gramEnd"/>
      <w:r w:rsidR="00BE3E05">
        <w:rPr>
          <w:sz w:val="26"/>
          <w:szCs w:val="26"/>
        </w:rPr>
        <w:t xml:space="preserve"> lawyers already seem to be</w:t>
      </w:r>
      <w:r w:rsidR="003E777F">
        <w:rPr>
          <w:sz w:val="26"/>
          <w:szCs w:val="26"/>
        </w:rPr>
        <w:t xml:space="preserve"> managing those types of conflicts just fine</w:t>
      </w:r>
      <w:r w:rsidR="00BE3E05">
        <w:rPr>
          <w:sz w:val="26"/>
          <w:szCs w:val="26"/>
        </w:rPr>
        <w:t>.</w:t>
      </w:r>
      <w:r w:rsidR="00C35E20">
        <w:rPr>
          <w:sz w:val="26"/>
          <w:szCs w:val="26"/>
        </w:rPr>
        <w:t xml:space="preserve"> This argument is not </w:t>
      </w:r>
      <w:r w:rsidR="003E777F">
        <w:rPr>
          <w:sz w:val="26"/>
          <w:szCs w:val="26"/>
        </w:rPr>
        <w:t>so much wrong</w:t>
      </w:r>
      <w:r w:rsidR="00C35E20">
        <w:rPr>
          <w:sz w:val="26"/>
          <w:szCs w:val="26"/>
        </w:rPr>
        <w:t xml:space="preserve"> as it is no argument at all.</w:t>
      </w:r>
    </w:p>
    <w:p w14:paraId="68B3EAD6" w14:textId="36CB3B58" w:rsidR="001C61EE" w:rsidRDefault="00C35E20" w:rsidP="00C32B5B">
      <w:pPr>
        <w:tabs>
          <w:tab w:val="left" w:pos="0"/>
        </w:tabs>
        <w:jc w:val="both"/>
        <w:rPr>
          <w:sz w:val="26"/>
          <w:szCs w:val="26"/>
        </w:rPr>
      </w:pPr>
      <w:r>
        <w:rPr>
          <w:sz w:val="26"/>
          <w:szCs w:val="26"/>
        </w:rPr>
        <w:tab/>
        <w:t xml:space="preserve">True enough, </w:t>
      </w:r>
      <w:r w:rsidR="00A323CC">
        <w:rPr>
          <w:sz w:val="26"/>
          <w:szCs w:val="26"/>
        </w:rPr>
        <w:t xml:space="preserve">private practice </w:t>
      </w:r>
      <w:r>
        <w:rPr>
          <w:sz w:val="26"/>
          <w:szCs w:val="26"/>
        </w:rPr>
        <w:t xml:space="preserve">attorneys </w:t>
      </w:r>
      <w:proofErr w:type="gramStart"/>
      <w:r>
        <w:rPr>
          <w:sz w:val="26"/>
          <w:szCs w:val="26"/>
        </w:rPr>
        <w:t xml:space="preserve">have </w:t>
      </w:r>
      <w:r w:rsidR="00A323CC">
        <w:rPr>
          <w:sz w:val="26"/>
          <w:szCs w:val="26"/>
        </w:rPr>
        <w:t>to</w:t>
      </w:r>
      <w:proofErr w:type="gramEnd"/>
      <w:r w:rsidR="00A323CC">
        <w:rPr>
          <w:sz w:val="26"/>
          <w:szCs w:val="26"/>
        </w:rPr>
        <w:t xml:space="preserve"> carefully balance </w:t>
      </w:r>
      <w:r w:rsidR="00B751E0">
        <w:rPr>
          <w:sz w:val="26"/>
          <w:szCs w:val="26"/>
        </w:rPr>
        <w:t>the incentive to make money against their duty to put their client</w:t>
      </w:r>
      <w:r w:rsidR="00345C34">
        <w:rPr>
          <w:sz w:val="26"/>
          <w:szCs w:val="26"/>
        </w:rPr>
        <w:t>s’</w:t>
      </w:r>
      <w:r w:rsidR="00B751E0">
        <w:rPr>
          <w:sz w:val="26"/>
          <w:szCs w:val="26"/>
        </w:rPr>
        <w:t xml:space="preserve"> </w:t>
      </w:r>
      <w:r w:rsidR="00BC7F27">
        <w:rPr>
          <w:sz w:val="26"/>
          <w:szCs w:val="26"/>
        </w:rPr>
        <w:t xml:space="preserve">interests </w:t>
      </w:r>
      <w:r w:rsidR="00B751E0">
        <w:rPr>
          <w:sz w:val="26"/>
          <w:szCs w:val="26"/>
        </w:rPr>
        <w:t xml:space="preserve">first. As the Amended Petition rightly notes, this problem is especially acute in the context of insurance defense where third parties (insurance carriers) pay the cost of defense. </w:t>
      </w:r>
      <w:r w:rsidR="002F3E59">
        <w:rPr>
          <w:sz w:val="26"/>
          <w:szCs w:val="26"/>
        </w:rPr>
        <w:t>This is even a potential problem in traditional firms where</w:t>
      </w:r>
      <w:r w:rsidR="00345C34">
        <w:rPr>
          <w:sz w:val="26"/>
          <w:szCs w:val="26"/>
        </w:rPr>
        <w:t xml:space="preserve"> equity</w:t>
      </w:r>
      <w:r w:rsidR="002F3E59">
        <w:rPr>
          <w:sz w:val="26"/>
          <w:szCs w:val="26"/>
        </w:rPr>
        <w:t xml:space="preserve"> partners direct the work of salaried associates. </w:t>
      </w:r>
      <w:r w:rsidR="005536A0">
        <w:rPr>
          <w:sz w:val="26"/>
          <w:szCs w:val="26"/>
        </w:rPr>
        <w:t>But this is a non</w:t>
      </w:r>
      <w:r w:rsidR="00811AF3">
        <w:rPr>
          <w:sz w:val="26"/>
          <w:szCs w:val="26"/>
        </w:rPr>
        <w:t xml:space="preserve"> </w:t>
      </w:r>
      <w:r w:rsidR="005536A0">
        <w:rPr>
          <w:sz w:val="26"/>
          <w:szCs w:val="26"/>
        </w:rPr>
        <w:t xml:space="preserve">sequitur: abolishing Ethical Rule 5.4 has nothing </w:t>
      </w:r>
      <w:r w:rsidR="00E631B2">
        <w:rPr>
          <w:sz w:val="26"/>
          <w:szCs w:val="26"/>
        </w:rPr>
        <w:t>at all</w:t>
      </w:r>
      <w:r w:rsidR="005536A0">
        <w:rPr>
          <w:sz w:val="26"/>
          <w:szCs w:val="26"/>
        </w:rPr>
        <w:t xml:space="preserve"> to do with these </w:t>
      </w:r>
      <w:r w:rsidR="00E631B2">
        <w:rPr>
          <w:sz w:val="26"/>
          <w:szCs w:val="26"/>
        </w:rPr>
        <w:t xml:space="preserve">existing </w:t>
      </w:r>
      <w:r w:rsidR="005536A0">
        <w:rPr>
          <w:sz w:val="26"/>
          <w:szCs w:val="26"/>
        </w:rPr>
        <w:t xml:space="preserve">conflicts; </w:t>
      </w:r>
      <w:r w:rsidR="00E631B2">
        <w:rPr>
          <w:sz w:val="26"/>
          <w:szCs w:val="26"/>
        </w:rPr>
        <w:t>it presents a new set of conflicts that will only compound those that already exist.</w:t>
      </w:r>
      <w:r w:rsidR="005536A0">
        <w:rPr>
          <w:sz w:val="26"/>
          <w:szCs w:val="26"/>
        </w:rPr>
        <w:t xml:space="preserve"> </w:t>
      </w:r>
    </w:p>
    <w:p w14:paraId="4DF14A10" w14:textId="31F6B93F" w:rsidR="00AA5D31" w:rsidRDefault="001C61EE" w:rsidP="000850F1">
      <w:pPr>
        <w:tabs>
          <w:tab w:val="left" w:pos="0"/>
        </w:tabs>
        <w:jc w:val="both"/>
        <w:rPr>
          <w:sz w:val="26"/>
          <w:szCs w:val="26"/>
        </w:rPr>
      </w:pPr>
      <w:r>
        <w:rPr>
          <w:sz w:val="26"/>
          <w:szCs w:val="26"/>
        </w:rPr>
        <w:tab/>
      </w:r>
      <w:r w:rsidR="000927FA">
        <w:rPr>
          <w:sz w:val="26"/>
          <w:szCs w:val="26"/>
        </w:rPr>
        <w:t>As discussed in the Pima County Bar Association’s original comment in opposition, a corporation’s primary reason for existing is to make money for its shareholders. This is doubly true for private equity firms—their very r</w:t>
      </w:r>
      <w:r w:rsidR="000927FA" w:rsidRPr="000927FA">
        <w:rPr>
          <w:sz w:val="26"/>
          <w:szCs w:val="26"/>
        </w:rPr>
        <w:t>aison d</w:t>
      </w:r>
      <w:r w:rsidR="00811AF3">
        <w:rPr>
          <w:sz w:val="26"/>
          <w:szCs w:val="26"/>
        </w:rPr>
        <w:t>’</w:t>
      </w:r>
      <w:r w:rsidR="000927FA" w:rsidRPr="000927FA">
        <w:rPr>
          <w:sz w:val="26"/>
          <w:szCs w:val="26"/>
        </w:rPr>
        <w:t>être</w:t>
      </w:r>
      <w:r w:rsidR="000927FA">
        <w:rPr>
          <w:sz w:val="26"/>
          <w:szCs w:val="26"/>
        </w:rPr>
        <w:t xml:space="preserve"> is to buy and restructure companies in such a way as to extract as much money from them as possibl</w:t>
      </w:r>
      <w:r w:rsidR="006B0521">
        <w:rPr>
          <w:sz w:val="26"/>
          <w:szCs w:val="26"/>
        </w:rPr>
        <w:t xml:space="preserve">e, either by stripping </w:t>
      </w:r>
      <w:r w:rsidR="00B5588D">
        <w:rPr>
          <w:sz w:val="26"/>
          <w:szCs w:val="26"/>
        </w:rPr>
        <w:t>those companies</w:t>
      </w:r>
      <w:r w:rsidR="006B0521">
        <w:rPr>
          <w:sz w:val="26"/>
          <w:szCs w:val="26"/>
        </w:rPr>
        <w:t xml:space="preserve"> of their assets and loading them with debt, or</w:t>
      </w:r>
      <w:r w:rsidR="00B5588D">
        <w:rPr>
          <w:sz w:val="26"/>
          <w:szCs w:val="26"/>
        </w:rPr>
        <w:t xml:space="preserve"> by</w:t>
      </w:r>
      <w:r w:rsidR="006B0521">
        <w:rPr>
          <w:sz w:val="26"/>
          <w:szCs w:val="26"/>
        </w:rPr>
        <w:t xml:space="preserve"> paring their </w:t>
      </w:r>
      <w:r w:rsidR="00B5588D">
        <w:rPr>
          <w:sz w:val="26"/>
          <w:szCs w:val="26"/>
        </w:rPr>
        <w:t>expenses</w:t>
      </w:r>
      <w:r w:rsidR="006B0521">
        <w:rPr>
          <w:sz w:val="26"/>
          <w:szCs w:val="26"/>
        </w:rPr>
        <w:t xml:space="preserve"> </w:t>
      </w:r>
      <w:r w:rsidR="00B5588D">
        <w:rPr>
          <w:sz w:val="26"/>
          <w:szCs w:val="26"/>
        </w:rPr>
        <w:t>down to the</w:t>
      </w:r>
      <w:r w:rsidR="006B0521">
        <w:rPr>
          <w:sz w:val="26"/>
          <w:szCs w:val="26"/>
        </w:rPr>
        <w:t xml:space="preserve"> bones </w:t>
      </w:r>
      <w:r w:rsidR="00811AF3">
        <w:rPr>
          <w:sz w:val="26"/>
          <w:szCs w:val="26"/>
        </w:rPr>
        <w:t xml:space="preserve">to look more </w:t>
      </w:r>
      <w:r w:rsidR="006B0521">
        <w:rPr>
          <w:sz w:val="26"/>
          <w:szCs w:val="26"/>
        </w:rPr>
        <w:t>attractive (</w:t>
      </w:r>
      <w:r w:rsidR="00B5588D">
        <w:rPr>
          <w:sz w:val="26"/>
          <w:szCs w:val="26"/>
        </w:rPr>
        <w:t>read:</w:t>
      </w:r>
      <w:r w:rsidR="006B0521">
        <w:rPr>
          <w:sz w:val="26"/>
          <w:szCs w:val="26"/>
        </w:rPr>
        <w:t xml:space="preserve"> cheaper) to other investors.</w:t>
      </w:r>
      <w:r w:rsidR="000927FA">
        <w:rPr>
          <w:sz w:val="26"/>
          <w:szCs w:val="26"/>
        </w:rPr>
        <w:t xml:space="preserve"> </w:t>
      </w:r>
      <w:r w:rsidR="00925B9B">
        <w:rPr>
          <w:sz w:val="26"/>
          <w:szCs w:val="26"/>
        </w:rPr>
        <w:t xml:space="preserve">The </w:t>
      </w:r>
      <w:r w:rsidR="00925B9B">
        <w:rPr>
          <w:sz w:val="26"/>
          <w:szCs w:val="26"/>
        </w:rPr>
        <w:lastRenderedPageBreak/>
        <w:t xml:space="preserve">Petitioner’s response is the truism that a profit motive is not necessarily at odds with an ethical, competent legal practice. </w:t>
      </w:r>
      <w:r w:rsidR="00151ECA">
        <w:rPr>
          <w:sz w:val="26"/>
          <w:szCs w:val="26"/>
        </w:rPr>
        <w:t>This is true</w:t>
      </w:r>
      <w:r w:rsidR="00925B9B">
        <w:rPr>
          <w:sz w:val="26"/>
          <w:szCs w:val="26"/>
        </w:rPr>
        <w:t xml:space="preserve"> enough, but </w:t>
      </w:r>
      <w:r w:rsidR="00C70A2D">
        <w:rPr>
          <w:sz w:val="26"/>
          <w:szCs w:val="26"/>
        </w:rPr>
        <w:t>it is a strawman argument</w:t>
      </w:r>
      <w:r w:rsidR="0054411C">
        <w:rPr>
          <w:sz w:val="26"/>
          <w:szCs w:val="26"/>
        </w:rPr>
        <w:t>:</w:t>
      </w:r>
      <w:r w:rsidR="00925B9B">
        <w:rPr>
          <w:sz w:val="26"/>
          <w:szCs w:val="26"/>
        </w:rPr>
        <w:t xml:space="preserve"> </w:t>
      </w:r>
      <w:r w:rsidR="0054411C">
        <w:rPr>
          <w:sz w:val="26"/>
          <w:szCs w:val="26"/>
        </w:rPr>
        <w:t>n</w:t>
      </w:r>
      <w:r w:rsidR="00925B9B">
        <w:rPr>
          <w:sz w:val="26"/>
          <w:szCs w:val="26"/>
        </w:rPr>
        <w:t>o commenter suggested that a profit motive was inherently at odds with the</w:t>
      </w:r>
      <w:r w:rsidR="0054411C">
        <w:rPr>
          <w:sz w:val="26"/>
          <w:szCs w:val="26"/>
        </w:rPr>
        <w:t xml:space="preserve"> ethical, competent</w:t>
      </w:r>
      <w:r w:rsidR="00925B9B">
        <w:rPr>
          <w:sz w:val="26"/>
          <w:szCs w:val="26"/>
        </w:rPr>
        <w:t xml:space="preserve"> practice of law</w:t>
      </w:r>
      <w:r w:rsidR="0054411C">
        <w:rPr>
          <w:sz w:val="26"/>
          <w:szCs w:val="26"/>
        </w:rPr>
        <w:t>.</w:t>
      </w:r>
      <w:r w:rsidR="00925B9B">
        <w:rPr>
          <w:sz w:val="26"/>
          <w:szCs w:val="26"/>
        </w:rPr>
        <w:t xml:space="preserve"> </w:t>
      </w:r>
      <w:r w:rsidR="0054411C">
        <w:rPr>
          <w:sz w:val="26"/>
          <w:szCs w:val="26"/>
        </w:rPr>
        <w:t>The issue is</w:t>
      </w:r>
      <w:r w:rsidR="00925B9B">
        <w:rPr>
          <w:sz w:val="26"/>
          <w:szCs w:val="26"/>
        </w:rPr>
        <w:t xml:space="preserve"> that when</w:t>
      </w:r>
      <w:r w:rsidR="0054411C">
        <w:rPr>
          <w:sz w:val="26"/>
          <w:szCs w:val="26"/>
        </w:rPr>
        <w:t xml:space="preserve"> a law practice</w:t>
      </w:r>
      <w:r w:rsidR="00925B9B">
        <w:rPr>
          <w:sz w:val="26"/>
          <w:szCs w:val="26"/>
        </w:rPr>
        <w:t xml:space="preserve"> is </w:t>
      </w:r>
      <w:r w:rsidR="00171292">
        <w:rPr>
          <w:sz w:val="26"/>
          <w:szCs w:val="26"/>
        </w:rPr>
        <w:t>transformed</w:t>
      </w:r>
      <w:r w:rsidR="00925B9B">
        <w:rPr>
          <w:sz w:val="26"/>
          <w:szCs w:val="26"/>
        </w:rPr>
        <w:t xml:space="preserve"> into a</w:t>
      </w:r>
      <w:r w:rsidR="00151ECA">
        <w:rPr>
          <w:sz w:val="26"/>
          <w:szCs w:val="26"/>
        </w:rPr>
        <w:t xml:space="preserve">n </w:t>
      </w:r>
      <w:r w:rsidR="00925B9B">
        <w:rPr>
          <w:sz w:val="26"/>
          <w:szCs w:val="26"/>
        </w:rPr>
        <w:t xml:space="preserve">investment vehicle, it presupposes incentives and duties that are </w:t>
      </w:r>
      <w:r w:rsidR="00171292">
        <w:rPr>
          <w:sz w:val="26"/>
          <w:szCs w:val="26"/>
        </w:rPr>
        <w:t>in deep</w:t>
      </w:r>
      <w:r w:rsidR="00925B9B">
        <w:rPr>
          <w:sz w:val="26"/>
          <w:szCs w:val="26"/>
        </w:rPr>
        <w:t xml:space="preserve"> conflict with one another. The Petitioner does not </w:t>
      </w:r>
      <w:r w:rsidR="0054411C">
        <w:rPr>
          <w:sz w:val="26"/>
          <w:szCs w:val="26"/>
        </w:rPr>
        <w:t>meaningfully</w:t>
      </w:r>
      <w:r w:rsidR="00925B9B">
        <w:rPr>
          <w:sz w:val="26"/>
          <w:szCs w:val="26"/>
        </w:rPr>
        <w:t xml:space="preserve"> engage with this argument. </w:t>
      </w:r>
    </w:p>
    <w:p w14:paraId="4CD06A6A" w14:textId="77777777" w:rsidR="000850F1" w:rsidRPr="000850F1" w:rsidRDefault="000850F1" w:rsidP="000850F1">
      <w:pPr>
        <w:tabs>
          <w:tab w:val="left" w:pos="0"/>
        </w:tabs>
        <w:jc w:val="both"/>
        <w:rPr>
          <w:sz w:val="26"/>
          <w:szCs w:val="26"/>
        </w:rPr>
      </w:pPr>
    </w:p>
    <w:p w14:paraId="4A641BAA" w14:textId="17FDE8C4" w:rsidR="00AA5D31" w:rsidRPr="00AA5D31" w:rsidRDefault="00AA5D31" w:rsidP="00AA5D31">
      <w:pPr>
        <w:pStyle w:val="ListParagraph"/>
        <w:numPr>
          <w:ilvl w:val="0"/>
          <w:numId w:val="2"/>
        </w:numPr>
        <w:tabs>
          <w:tab w:val="left" w:pos="0"/>
        </w:tabs>
        <w:spacing w:after="120" w:line="240" w:lineRule="auto"/>
        <w:contextualSpacing w:val="0"/>
        <w:jc w:val="both"/>
        <w:rPr>
          <w:b/>
          <w:bCs/>
          <w:sz w:val="26"/>
          <w:szCs w:val="26"/>
        </w:rPr>
      </w:pPr>
      <w:r>
        <w:rPr>
          <w:b/>
          <w:bCs/>
          <w:sz w:val="26"/>
          <w:szCs w:val="26"/>
        </w:rPr>
        <w:t>As a practical matter, there is no reason to believe that allowing private equity firms to own and operate law practices will benefit clients.</w:t>
      </w:r>
    </w:p>
    <w:p w14:paraId="49F38FC1" w14:textId="28B86A2B" w:rsidR="00F06F37" w:rsidRDefault="003F45A2" w:rsidP="003F45A2">
      <w:pPr>
        <w:tabs>
          <w:tab w:val="left" w:pos="720"/>
        </w:tabs>
        <w:jc w:val="both"/>
        <w:rPr>
          <w:sz w:val="26"/>
          <w:szCs w:val="26"/>
        </w:rPr>
      </w:pPr>
      <w:r>
        <w:rPr>
          <w:sz w:val="26"/>
          <w:szCs w:val="26"/>
        </w:rPr>
        <w:tab/>
      </w:r>
      <w:r w:rsidR="00AA5D31">
        <w:rPr>
          <w:sz w:val="26"/>
          <w:szCs w:val="26"/>
        </w:rPr>
        <w:t>The Amended Petition speaks in rosy terms about how the proposed rule changes will advance the practice of law and benefit clients</w:t>
      </w:r>
      <w:r w:rsidR="00185FA2">
        <w:rPr>
          <w:sz w:val="26"/>
          <w:szCs w:val="26"/>
        </w:rPr>
        <w:t xml:space="preserve">. It cites some of the recent changes we have all experienced in the legal community—depositions via Zoom, oral arguments over a conference call, for example—in support of its </w:t>
      </w:r>
      <w:r w:rsidR="00AE3F5B">
        <w:rPr>
          <w:sz w:val="26"/>
          <w:szCs w:val="26"/>
        </w:rPr>
        <w:t>claim</w:t>
      </w:r>
      <w:r w:rsidR="00185FA2">
        <w:rPr>
          <w:sz w:val="26"/>
          <w:szCs w:val="26"/>
        </w:rPr>
        <w:t xml:space="preserve"> that “[t]</w:t>
      </w:r>
      <w:proofErr w:type="spellStart"/>
      <w:r w:rsidR="00185FA2">
        <w:rPr>
          <w:sz w:val="26"/>
          <w:szCs w:val="26"/>
        </w:rPr>
        <w:t>hese</w:t>
      </w:r>
      <w:proofErr w:type="spellEnd"/>
      <w:r w:rsidR="00185FA2">
        <w:rPr>
          <w:sz w:val="26"/>
          <w:szCs w:val="26"/>
        </w:rPr>
        <w:t xml:space="preserve"> innovative ways to conduct court business would not have been possible without an infusion of new technology.” </w:t>
      </w:r>
      <w:r w:rsidR="00185FA2">
        <w:rPr>
          <w:i/>
          <w:iCs/>
          <w:sz w:val="26"/>
          <w:szCs w:val="26"/>
        </w:rPr>
        <w:t xml:space="preserve">Amended Petition </w:t>
      </w:r>
      <w:r w:rsidR="00185FA2">
        <w:rPr>
          <w:sz w:val="26"/>
          <w:szCs w:val="26"/>
        </w:rPr>
        <w:t xml:space="preserve">at 8. </w:t>
      </w:r>
      <w:r w:rsidR="00AE3F5B">
        <w:rPr>
          <w:sz w:val="26"/>
          <w:szCs w:val="26"/>
        </w:rPr>
        <w:t>As</w:t>
      </w:r>
      <w:r w:rsidR="00185FA2">
        <w:rPr>
          <w:sz w:val="26"/>
          <w:szCs w:val="26"/>
        </w:rPr>
        <w:t xml:space="preserve"> the Petitioner concludes, “[t]he ability to partner with other professionals to create innovative ways to deliver legal services in addition to the ability to attract capital may well help firms survive and thrive in what will likely become a new normal.” </w:t>
      </w:r>
      <w:r w:rsidR="00185FA2">
        <w:rPr>
          <w:i/>
          <w:iCs/>
          <w:sz w:val="26"/>
          <w:szCs w:val="26"/>
        </w:rPr>
        <w:t>Id</w:t>
      </w:r>
      <w:r w:rsidR="00185FA2">
        <w:rPr>
          <w:sz w:val="26"/>
          <w:szCs w:val="26"/>
        </w:rPr>
        <w:t xml:space="preserve">. at </w:t>
      </w:r>
      <w:r w:rsidR="003A6F27">
        <w:rPr>
          <w:sz w:val="26"/>
          <w:szCs w:val="26"/>
        </w:rPr>
        <w:t>8</w:t>
      </w:r>
      <w:r w:rsidR="00185FA2">
        <w:rPr>
          <w:sz w:val="26"/>
          <w:szCs w:val="26"/>
        </w:rPr>
        <w:t xml:space="preserve">. This argument is vulnerable on </w:t>
      </w:r>
      <w:proofErr w:type="gramStart"/>
      <w:r w:rsidR="00185FA2">
        <w:rPr>
          <w:sz w:val="26"/>
          <w:szCs w:val="26"/>
        </w:rPr>
        <w:t>a number of</w:t>
      </w:r>
      <w:proofErr w:type="gramEnd"/>
      <w:r w:rsidR="00185FA2">
        <w:rPr>
          <w:sz w:val="26"/>
          <w:szCs w:val="26"/>
        </w:rPr>
        <w:t xml:space="preserve"> grounds, not least of which is that there has been no “infusion of new technology”: </w:t>
      </w:r>
      <w:r w:rsidR="00C50384">
        <w:rPr>
          <w:sz w:val="26"/>
          <w:szCs w:val="26"/>
        </w:rPr>
        <w:t>video conferencing</w:t>
      </w:r>
      <w:r w:rsidR="00185FA2">
        <w:rPr>
          <w:sz w:val="26"/>
          <w:szCs w:val="26"/>
        </w:rPr>
        <w:t xml:space="preserve"> has been around for nearly two decades, and the telephone has been used for government business </w:t>
      </w:r>
      <w:r w:rsidR="00151ECA">
        <w:rPr>
          <w:sz w:val="26"/>
          <w:szCs w:val="26"/>
        </w:rPr>
        <w:t xml:space="preserve">since </w:t>
      </w:r>
      <w:r w:rsidR="003A6F27">
        <w:rPr>
          <w:sz w:val="26"/>
          <w:szCs w:val="26"/>
        </w:rPr>
        <w:t>at least the Hayes administration</w:t>
      </w:r>
      <w:r w:rsidR="00185FA2">
        <w:rPr>
          <w:sz w:val="26"/>
          <w:szCs w:val="26"/>
        </w:rPr>
        <w:t xml:space="preserve">. </w:t>
      </w:r>
      <w:r w:rsidR="0066096D">
        <w:rPr>
          <w:sz w:val="26"/>
          <w:szCs w:val="26"/>
        </w:rPr>
        <w:t xml:space="preserve">Even if </w:t>
      </w:r>
      <w:r w:rsidR="002B08BE">
        <w:rPr>
          <w:sz w:val="26"/>
          <w:szCs w:val="26"/>
        </w:rPr>
        <w:t>the factual</w:t>
      </w:r>
      <w:r w:rsidR="00AE3F5B">
        <w:rPr>
          <w:sz w:val="26"/>
          <w:szCs w:val="26"/>
        </w:rPr>
        <w:t xml:space="preserve"> premises were true, the conclusion </w:t>
      </w:r>
      <w:r w:rsidR="0066096D">
        <w:rPr>
          <w:sz w:val="26"/>
          <w:szCs w:val="26"/>
        </w:rPr>
        <w:t>would still not</w:t>
      </w:r>
      <w:r w:rsidR="00AE3F5B">
        <w:rPr>
          <w:sz w:val="26"/>
          <w:szCs w:val="26"/>
        </w:rPr>
        <w:t xml:space="preserve"> follow</w:t>
      </w:r>
      <w:r w:rsidR="002B08BE">
        <w:rPr>
          <w:sz w:val="26"/>
          <w:szCs w:val="26"/>
        </w:rPr>
        <w:t xml:space="preserve"> from them</w:t>
      </w:r>
      <w:r w:rsidR="00F06F37">
        <w:rPr>
          <w:sz w:val="26"/>
          <w:szCs w:val="26"/>
        </w:rPr>
        <w:t xml:space="preserve">: what does investor ownership of law firms have to do with Zoom conferencing and telephonic hearings? </w:t>
      </w:r>
      <w:r w:rsidR="002B08BE">
        <w:rPr>
          <w:sz w:val="26"/>
          <w:szCs w:val="26"/>
        </w:rPr>
        <w:t>How is it that private equity firms will facilitate greater access to the courts by lawyers and clients?</w:t>
      </w:r>
      <w:r w:rsidR="001E0BA2">
        <w:rPr>
          <w:sz w:val="26"/>
          <w:szCs w:val="26"/>
        </w:rPr>
        <w:t xml:space="preserve"> </w:t>
      </w:r>
      <w:r w:rsidR="00517D99">
        <w:rPr>
          <w:sz w:val="26"/>
          <w:szCs w:val="26"/>
        </w:rPr>
        <w:t xml:space="preserve">Considering that the bench and bar already solved a host of shutdown-related problems without </w:t>
      </w:r>
      <w:r w:rsidR="00402387">
        <w:rPr>
          <w:sz w:val="26"/>
          <w:szCs w:val="26"/>
        </w:rPr>
        <w:t xml:space="preserve">needing the </w:t>
      </w:r>
      <w:r w:rsidR="00402387">
        <w:rPr>
          <w:sz w:val="26"/>
          <w:szCs w:val="26"/>
        </w:rPr>
        <w:lastRenderedPageBreak/>
        <w:t>intervention of corporate titans, it seems that private equity is a solution desperately in search of a problem.</w:t>
      </w:r>
    </w:p>
    <w:p w14:paraId="299A1598" w14:textId="150E089E" w:rsidR="0066096D" w:rsidRDefault="00F06F37" w:rsidP="003F45A2">
      <w:pPr>
        <w:tabs>
          <w:tab w:val="left" w:pos="720"/>
        </w:tabs>
        <w:jc w:val="both"/>
        <w:rPr>
          <w:sz w:val="26"/>
          <w:szCs w:val="26"/>
        </w:rPr>
      </w:pPr>
      <w:r>
        <w:rPr>
          <w:sz w:val="26"/>
          <w:szCs w:val="26"/>
        </w:rPr>
        <w:tab/>
      </w:r>
      <w:r w:rsidR="0066096D">
        <w:rPr>
          <w:sz w:val="26"/>
          <w:szCs w:val="26"/>
        </w:rPr>
        <w:t>Nowhere in the commentary does anyone answer the</w:t>
      </w:r>
      <w:r>
        <w:rPr>
          <w:sz w:val="26"/>
          <w:szCs w:val="26"/>
        </w:rPr>
        <w:t xml:space="preserve"> </w:t>
      </w:r>
      <w:r w:rsidR="0066096D">
        <w:rPr>
          <w:sz w:val="26"/>
          <w:szCs w:val="26"/>
        </w:rPr>
        <w:t xml:space="preserve">question begged by the </w:t>
      </w:r>
      <w:r>
        <w:rPr>
          <w:sz w:val="26"/>
          <w:szCs w:val="26"/>
        </w:rPr>
        <w:t>Amended Petition</w:t>
      </w:r>
      <w:r w:rsidR="0066096D">
        <w:rPr>
          <w:sz w:val="26"/>
          <w:szCs w:val="26"/>
        </w:rPr>
        <w:t>: How does allowing private equity to dominate the legal field help clients?</w:t>
      </w:r>
      <w:r>
        <w:rPr>
          <w:sz w:val="26"/>
          <w:szCs w:val="26"/>
        </w:rPr>
        <w:t xml:space="preserve"> This is not a “gotcha” question nor should it come as a surprise. The Petitioner is proposing seismic changes to our profession,</w:t>
      </w:r>
      <w:r w:rsidR="001E0BA2">
        <w:rPr>
          <w:sz w:val="26"/>
          <w:szCs w:val="26"/>
        </w:rPr>
        <w:t xml:space="preserve"> </w:t>
      </w:r>
      <w:r w:rsidR="001E0BA2">
        <w:rPr>
          <w:i/>
          <w:iCs/>
          <w:sz w:val="26"/>
          <w:szCs w:val="26"/>
        </w:rPr>
        <w:t xml:space="preserve">Amended Petition </w:t>
      </w:r>
      <w:r w:rsidR="001E0BA2">
        <w:rPr>
          <w:sz w:val="26"/>
          <w:szCs w:val="26"/>
        </w:rPr>
        <w:t>at 9,</w:t>
      </w:r>
      <w:r>
        <w:rPr>
          <w:sz w:val="26"/>
          <w:szCs w:val="26"/>
        </w:rPr>
        <w:t xml:space="preserve"> and we should not be left wondering about the most basic question most of us have. </w:t>
      </w:r>
      <w:r w:rsidR="0066096D">
        <w:rPr>
          <w:sz w:val="26"/>
          <w:szCs w:val="26"/>
        </w:rPr>
        <w:t xml:space="preserve">It is not enough to make vague statements about “innovation” or arguments like the one above that wither under the gentlest scrutiny; the onus is on the Petitioner to cite to something specific, something concrete that investor ownership can do for clients and </w:t>
      </w:r>
      <w:r w:rsidR="001E0BA2">
        <w:rPr>
          <w:sz w:val="26"/>
          <w:szCs w:val="26"/>
        </w:rPr>
        <w:t xml:space="preserve">to </w:t>
      </w:r>
      <w:r w:rsidR="0066096D">
        <w:rPr>
          <w:sz w:val="26"/>
          <w:szCs w:val="26"/>
        </w:rPr>
        <w:t xml:space="preserve">provide </w:t>
      </w:r>
      <w:r w:rsidR="001E0BA2">
        <w:rPr>
          <w:sz w:val="26"/>
          <w:szCs w:val="26"/>
        </w:rPr>
        <w:t xml:space="preserve">meaningful </w:t>
      </w:r>
      <w:r w:rsidR="0066096D">
        <w:rPr>
          <w:sz w:val="26"/>
          <w:szCs w:val="26"/>
        </w:rPr>
        <w:t xml:space="preserve">justification. </w:t>
      </w:r>
      <w:r w:rsidR="00B965B6">
        <w:rPr>
          <w:sz w:val="26"/>
          <w:szCs w:val="26"/>
        </w:rPr>
        <w:t>The Amended Petition does not come close to sustaining this burden.</w:t>
      </w:r>
      <w:r>
        <w:rPr>
          <w:sz w:val="26"/>
          <w:szCs w:val="26"/>
        </w:rPr>
        <w:t xml:space="preserve"> Far from it, the available evidence suggests that the goals of private equity are antithetical to the needs of lawyers and their clients.</w:t>
      </w:r>
    </w:p>
    <w:p w14:paraId="3F5A51E0" w14:textId="0DECB06A" w:rsidR="00354F8F" w:rsidRDefault="00F06F37" w:rsidP="003F45A2">
      <w:pPr>
        <w:tabs>
          <w:tab w:val="left" w:pos="720"/>
        </w:tabs>
        <w:jc w:val="both"/>
        <w:rPr>
          <w:sz w:val="26"/>
          <w:szCs w:val="26"/>
        </w:rPr>
      </w:pPr>
      <w:r>
        <w:rPr>
          <w:sz w:val="26"/>
          <w:szCs w:val="26"/>
        </w:rPr>
        <w:tab/>
        <w:t>Consider the changes wrought by passive i</w:t>
      </w:r>
      <w:r w:rsidR="00336522">
        <w:rPr>
          <w:sz w:val="26"/>
          <w:szCs w:val="26"/>
        </w:rPr>
        <w:t>nvestment</w:t>
      </w:r>
      <w:r>
        <w:rPr>
          <w:sz w:val="26"/>
          <w:szCs w:val="26"/>
        </w:rPr>
        <w:t xml:space="preserve"> in medicine and nursing home care</w:t>
      </w:r>
      <w:r w:rsidR="00336522">
        <w:rPr>
          <w:sz w:val="26"/>
          <w:szCs w:val="26"/>
        </w:rPr>
        <w:t>, which is to say precisely the kinds of changes the Task Force is pushing</w:t>
      </w:r>
      <w:r>
        <w:rPr>
          <w:sz w:val="26"/>
          <w:szCs w:val="26"/>
        </w:rPr>
        <w:t xml:space="preserve">. The coronavirus pandemic laid bare </w:t>
      </w:r>
      <w:proofErr w:type="gramStart"/>
      <w:r>
        <w:rPr>
          <w:sz w:val="26"/>
          <w:szCs w:val="26"/>
        </w:rPr>
        <w:t>a number of</w:t>
      </w:r>
      <w:proofErr w:type="gramEnd"/>
      <w:r>
        <w:rPr>
          <w:sz w:val="26"/>
          <w:szCs w:val="26"/>
        </w:rPr>
        <w:t xml:space="preserve"> systemic problems in our country, among them the failure of private nursing homes to provide even minimal care to their patients. A New York Times investigation revealed what most of us who have had to find nursing care for our elderly relatives already suspected: for-profit nursing homes </w:t>
      </w:r>
      <w:proofErr w:type="gramStart"/>
      <w:r>
        <w:rPr>
          <w:sz w:val="26"/>
          <w:szCs w:val="26"/>
        </w:rPr>
        <w:t>lag behind</w:t>
      </w:r>
      <w:proofErr w:type="gramEnd"/>
      <w:r>
        <w:rPr>
          <w:sz w:val="26"/>
          <w:szCs w:val="26"/>
        </w:rPr>
        <w:t xml:space="preserve"> their non-profit counterparts and are cited for violations at a higher rate.</w:t>
      </w:r>
      <w:r w:rsidR="00354F8F">
        <w:rPr>
          <w:rStyle w:val="FootnoteReference"/>
          <w:sz w:val="26"/>
          <w:szCs w:val="26"/>
        </w:rPr>
        <w:footnoteReference w:id="1"/>
      </w:r>
      <w:r>
        <w:rPr>
          <w:sz w:val="26"/>
          <w:szCs w:val="26"/>
        </w:rPr>
        <w:t xml:space="preserve"> </w:t>
      </w:r>
      <w:r w:rsidR="00354F8F">
        <w:rPr>
          <w:sz w:val="26"/>
          <w:szCs w:val="26"/>
        </w:rPr>
        <w:t>An NBC News investigation revealed much the same thing and noted that</w:t>
      </w:r>
    </w:p>
    <w:p w14:paraId="666C2D39" w14:textId="77777777" w:rsidR="007206B7" w:rsidRDefault="007206B7" w:rsidP="003F45A2">
      <w:pPr>
        <w:tabs>
          <w:tab w:val="left" w:pos="720"/>
        </w:tabs>
        <w:jc w:val="both"/>
        <w:rPr>
          <w:sz w:val="26"/>
          <w:szCs w:val="26"/>
        </w:rPr>
      </w:pPr>
    </w:p>
    <w:p w14:paraId="0DD6A322" w14:textId="77777777" w:rsidR="007206B7" w:rsidRDefault="00354F8F" w:rsidP="007206B7">
      <w:pPr>
        <w:tabs>
          <w:tab w:val="left" w:pos="720"/>
        </w:tabs>
        <w:spacing w:line="240" w:lineRule="auto"/>
        <w:jc w:val="both"/>
        <w:rPr>
          <w:sz w:val="26"/>
          <w:szCs w:val="26"/>
        </w:rPr>
      </w:pPr>
      <w:r>
        <w:rPr>
          <w:sz w:val="26"/>
          <w:szCs w:val="26"/>
        </w:rPr>
        <w:tab/>
        <w:t>[t]</w:t>
      </w:r>
      <w:r w:rsidRPr="00354F8F">
        <w:rPr>
          <w:sz w:val="26"/>
          <w:szCs w:val="26"/>
        </w:rPr>
        <w:t xml:space="preserve">he </w:t>
      </w:r>
      <w:proofErr w:type="gramStart"/>
      <w:r w:rsidRPr="00354F8F">
        <w:rPr>
          <w:sz w:val="26"/>
          <w:szCs w:val="26"/>
        </w:rPr>
        <w:t>impact</w:t>
      </w:r>
      <w:proofErr w:type="gramEnd"/>
      <w:r w:rsidRPr="00354F8F">
        <w:rPr>
          <w:sz w:val="26"/>
          <w:szCs w:val="26"/>
        </w:rPr>
        <w:t xml:space="preserve"> private equity has had on employees and customers of the companies </w:t>
      </w:r>
      <w:r>
        <w:rPr>
          <w:sz w:val="26"/>
          <w:szCs w:val="26"/>
        </w:rPr>
        <w:tab/>
      </w:r>
      <w:r w:rsidRPr="00354F8F">
        <w:rPr>
          <w:sz w:val="26"/>
          <w:szCs w:val="26"/>
        </w:rPr>
        <w:t>it has taken over, however, isn</w:t>
      </w:r>
      <w:r w:rsidR="005C2AD1">
        <w:rPr>
          <w:sz w:val="26"/>
          <w:szCs w:val="26"/>
        </w:rPr>
        <w:t>’</w:t>
      </w:r>
      <w:r w:rsidRPr="00354F8F">
        <w:rPr>
          <w:sz w:val="26"/>
          <w:szCs w:val="26"/>
        </w:rPr>
        <w:t xml:space="preserve">t always beneficial. To finance the purchases, private </w:t>
      </w:r>
      <w:r>
        <w:rPr>
          <w:sz w:val="26"/>
          <w:szCs w:val="26"/>
        </w:rPr>
        <w:lastRenderedPageBreak/>
        <w:tab/>
      </w:r>
      <w:r w:rsidRPr="00354F8F">
        <w:rPr>
          <w:sz w:val="26"/>
          <w:szCs w:val="26"/>
        </w:rPr>
        <w:t xml:space="preserve">equity owners typically load the companies they buy with debt. Then they slash the </w:t>
      </w:r>
      <w:r>
        <w:rPr>
          <w:sz w:val="26"/>
          <w:szCs w:val="26"/>
        </w:rPr>
        <w:tab/>
      </w:r>
      <w:r w:rsidRPr="00354F8F">
        <w:rPr>
          <w:sz w:val="26"/>
          <w:szCs w:val="26"/>
        </w:rPr>
        <w:t>companies</w:t>
      </w:r>
      <w:r>
        <w:rPr>
          <w:sz w:val="26"/>
          <w:szCs w:val="26"/>
        </w:rPr>
        <w:t>’</w:t>
      </w:r>
      <w:r w:rsidRPr="00354F8F">
        <w:rPr>
          <w:sz w:val="26"/>
          <w:szCs w:val="26"/>
        </w:rPr>
        <w:t xml:space="preserve"> costs to increase earnings and appeal to potential buyers down the road.</w:t>
      </w:r>
      <w:r>
        <w:rPr>
          <w:rStyle w:val="FootnoteReference"/>
          <w:sz w:val="26"/>
          <w:szCs w:val="26"/>
        </w:rPr>
        <w:footnoteReference w:id="2"/>
      </w:r>
    </w:p>
    <w:p w14:paraId="1CE0BE50" w14:textId="326F8E79" w:rsidR="00185FA2" w:rsidRDefault="00354F8F" w:rsidP="00DB1CDF">
      <w:pPr>
        <w:tabs>
          <w:tab w:val="left" w:pos="720"/>
        </w:tabs>
        <w:jc w:val="both"/>
        <w:rPr>
          <w:sz w:val="26"/>
          <w:szCs w:val="26"/>
        </w:rPr>
      </w:pPr>
      <w:r>
        <w:rPr>
          <w:sz w:val="26"/>
          <w:szCs w:val="26"/>
        </w:rPr>
        <w:br/>
      </w:r>
      <w:r w:rsidR="00BB118E">
        <w:rPr>
          <w:sz w:val="26"/>
          <w:szCs w:val="26"/>
        </w:rPr>
        <w:t xml:space="preserve">And what does this look like in concrete terms? The horror show that is our healthcare system. The indignities that have been </w:t>
      </w:r>
      <w:r w:rsidR="006D64E1">
        <w:rPr>
          <w:sz w:val="26"/>
          <w:szCs w:val="26"/>
        </w:rPr>
        <w:t>visited</w:t>
      </w:r>
      <w:r w:rsidR="00BB118E">
        <w:rPr>
          <w:sz w:val="26"/>
          <w:szCs w:val="26"/>
        </w:rPr>
        <w:t xml:space="preserve"> </w:t>
      </w:r>
      <w:r w:rsidR="00950AC3">
        <w:rPr>
          <w:sz w:val="26"/>
          <w:szCs w:val="26"/>
        </w:rPr>
        <w:t>up</w:t>
      </w:r>
      <w:r w:rsidR="00BB118E">
        <w:rPr>
          <w:sz w:val="26"/>
          <w:szCs w:val="26"/>
        </w:rPr>
        <w:t>on almost all of us when we</w:t>
      </w:r>
      <w:r w:rsidR="006575F6">
        <w:rPr>
          <w:sz w:val="26"/>
          <w:szCs w:val="26"/>
        </w:rPr>
        <w:t xml:space="preserve"> or a loved one</w:t>
      </w:r>
      <w:r w:rsidR="00BB118E">
        <w:rPr>
          <w:sz w:val="26"/>
          <w:szCs w:val="26"/>
        </w:rPr>
        <w:t xml:space="preserve"> need</w:t>
      </w:r>
      <w:r w:rsidR="006575F6">
        <w:rPr>
          <w:sz w:val="26"/>
          <w:szCs w:val="26"/>
        </w:rPr>
        <w:t>s</w:t>
      </w:r>
      <w:r w:rsidR="00BB118E">
        <w:rPr>
          <w:sz w:val="26"/>
          <w:szCs w:val="26"/>
        </w:rPr>
        <w:t xml:space="preserve"> medical care, whether it is having our credit card swiped as we writhe in pain in </w:t>
      </w:r>
      <w:r w:rsidR="007062F0">
        <w:rPr>
          <w:sz w:val="26"/>
          <w:szCs w:val="26"/>
        </w:rPr>
        <w:t>an</w:t>
      </w:r>
      <w:r w:rsidR="00BB118E">
        <w:rPr>
          <w:sz w:val="26"/>
          <w:szCs w:val="26"/>
        </w:rPr>
        <w:t xml:space="preserve"> emergency department waiting room or the infuriating, Kafkaesque maze of automated options that await us when we call with a question about our hospital bill (if we even get an intelligible bill to begin with). In the worst cases, it means being denied care </w:t>
      </w:r>
      <w:r w:rsidR="005C2AD1">
        <w:rPr>
          <w:sz w:val="26"/>
          <w:szCs w:val="26"/>
        </w:rPr>
        <w:t xml:space="preserve">altogether </w:t>
      </w:r>
      <w:r w:rsidR="00BB118E">
        <w:rPr>
          <w:sz w:val="26"/>
          <w:szCs w:val="26"/>
        </w:rPr>
        <w:t>because you just aren’t profitable, as happened to a 17-year-old</w:t>
      </w:r>
      <w:r w:rsidR="008B34F4">
        <w:rPr>
          <w:sz w:val="26"/>
          <w:szCs w:val="26"/>
        </w:rPr>
        <w:t xml:space="preserve"> boy</w:t>
      </w:r>
      <w:r w:rsidR="00BB118E">
        <w:rPr>
          <w:sz w:val="26"/>
          <w:szCs w:val="26"/>
        </w:rPr>
        <w:t xml:space="preserve"> in California</w:t>
      </w:r>
      <w:r w:rsidR="006575F6">
        <w:rPr>
          <w:sz w:val="26"/>
          <w:szCs w:val="26"/>
        </w:rPr>
        <w:t xml:space="preserve"> in the middle of a global pandemic</w:t>
      </w:r>
      <w:r w:rsidR="00BB118E">
        <w:rPr>
          <w:sz w:val="26"/>
          <w:szCs w:val="26"/>
        </w:rPr>
        <w:t xml:space="preserve">. </w:t>
      </w:r>
      <w:r w:rsidR="008B34F4">
        <w:rPr>
          <w:sz w:val="26"/>
          <w:szCs w:val="26"/>
        </w:rPr>
        <w:t>Soon after</w:t>
      </w:r>
      <w:r w:rsidR="00BB118E">
        <w:rPr>
          <w:sz w:val="26"/>
          <w:szCs w:val="26"/>
        </w:rPr>
        <w:t xml:space="preserve"> being turned away at an urgent care for lack of insurance, </w:t>
      </w:r>
      <w:r w:rsidR="008B34F4">
        <w:rPr>
          <w:sz w:val="26"/>
          <w:szCs w:val="26"/>
        </w:rPr>
        <w:t>he</w:t>
      </w:r>
      <w:r w:rsidR="00BB118E">
        <w:rPr>
          <w:sz w:val="26"/>
          <w:szCs w:val="26"/>
        </w:rPr>
        <w:t xml:space="preserve"> died.</w:t>
      </w:r>
      <w:r w:rsidR="00BB118E">
        <w:rPr>
          <w:rStyle w:val="FootnoteReference"/>
          <w:sz w:val="26"/>
          <w:szCs w:val="26"/>
        </w:rPr>
        <w:footnoteReference w:id="3"/>
      </w:r>
      <w:r w:rsidR="00A068EC">
        <w:rPr>
          <w:sz w:val="26"/>
          <w:szCs w:val="26"/>
        </w:rPr>
        <w:t xml:space="preserve"> As for the Petitioner’s argument that the existing ethical rules will adequately protect clients, healthcare provides the perfect counterpoint: at what point will the ancient and venerable canons of medical ethics protect those patients with the misfortune of not being able to afford quality health insurance?</w:t>
      </w:r>
      <w:r w:rsidR="00DB1CDF">
        <w:rPr>
          <w:sz w:val="26"/>
          <w:szCs w:val="26"/>
        </w:rPr>
        <w:t xml:space="preserve"> Clearly, Hippocrates’s admonitions only apply in-network.</w:t>
      </w:r>
    </w:p>
    <w:p w14:paraId="0C2C14E5" w14:textId="47E17015" w:rsidR="00555913" w:rsidRDefault="00BE6204" w:rsidP="00555913">
      <w:pPr>
        <w:tabs>
          <w:tab w:val="left" w:pos="720"/>
        </w:tabs>
        <w:spacing w:after="240"/>
        <w:jc w:val="both"/>
        <w:rPr>
          <w:sz w:val="26"/>
          <w:szCs w:val="26"/>
        </w:rPr>
      </w:pPr>
      <w:r>
        <w:rPr>
          <w:sz w:val="26"/>
          <w:szCs w:val="26"/>
        </w:rPr>
        <w:tab/>
        <w:t>This is the evidence in front of our very eyes and the experiences that many if not most of us can personally attest to.</w:t>
      </w:r>
      <w:r w:rsidR="008B34F4">
        <w:rPr>
          <w:sz w:val="26"/>
          <w:szCs w:val="26"/>
        </w:rPr>
        <w:t xml:space="preserve"> And the rejoinder from the Task Force</w:t>
      </w:r>
      <w:r w:rsidR="00194869">
        <w:rPr>
          <w:sz w:val="26"/>
          <w:szCs w:val="26"/>
        </w:rPr>
        <w:t>?</w:t>
      </w:r>
      <w:r w:rsidR="00F02C03">
        <w:rPr>
          <w:sz w:val="26"/>
          <w:szCs w:val="26"/>
        </w:rPr>
        <w:t xml:space="preserve"> The</w:t>
      </w:r>
      <w:r w:rsidR="008B34F4">
        <w:rPr>
          <w:sz w:val="26"/>
          <w:szCs w:val="26"/>
        </w:rPr>
        <w:t xml:space="preserve">ir </w:t>
      </w:r>
      <w:r w:rsidR="00F02C03">
        <w:rPr>
          <w:i/>
          <w:iCs/>
          <w:sz w:val="26"/>
          <w:szCs w:val="26"/>
        </w:rPr>
        <w:t>ipse dixit</w:t>
      </w:r>
      <w:r w:rsidR="00F02C03">
        <w:rPr>
          <w:sz w:val="26"/>
          <w:szCs w:val="26"/>
        </w:rPr>
        <w:t xml:space="preserve"> that an infusion of capital into the legal field will spur innovation and that any skepticism can be chalked up to parochialism.</w:t>
      </w:r>
      <w:r w:rsidR="00F02C03">
        <w:rPr>
          <w:rStyle w:val="FootnoteReference"/>
          <w:sz w:val="26"/>
          <w:szCs w:val="26"/>
        </w:rPr>
        <w:footnoteReference w:id="4"/>
      </w:r>
      <w:r w:rsidR="000850F1">
        <w:rPr>
          <w:sz w:val="26"/>
          <w:szCs w:val="26"/>
        </w:rPr>
        <w:t xml:space="preserve"> Then the tepid defense that the existing ethical rules </w:t>
      </w:r>
      <w:r w:rsidR="000850F1">
        <w:rPr>
          <w:sz w:val="26"/>
          <w:szCs w:val="26"/>
        </w:rPr>
        <w:lastRenderedPageBreak/>
        <w:t xml:space="preserve">will protect client interests. </w:t>
      </w:r>
      <w:r w:rsidR="00F02C03">
        <w:rPr>
          <w:sz w:val="26"/>
          <w:szCs w:val="26"/>
        </w:rPr>
        <w:t xml:space="preserve">The members of the Task Force </w:t>
      </w:r>
      <w:proofErr w:type="gramStart"/>
      <w:r w:rsidR="00F02C03">
        <w:rPr>
          <w:sz w:val="26"/>
          <w:szCs w:val="26"/>
        </w:rPr>
        <w:t>have to</w:t>
      </w:r>
      <w:proofErr w:type="gramEnd"/>
      <w:r w:rsidR="00F02C03">
        <w:rPr>
          <w:sz w:val="26"/>
          <w:szCs w:val="26"/>
        </w:rPr>
        <w:t xml:space="preserve"> do better than that, and it is up to us to demand it </w:t>
      </w:r>
      <w:r w:rsidR="00EC6C32">
        <w:rPr>
          <w:sz w:val="26"/>
          <w:szCs w:val="26"/>
        </w:rPr>
        <w:t>from</w:t>
      </w:r>
      <w:r w:rsidR="00F02C03">
        <w:rPr>
          <w:sz w:val="26"/>
          <w:szCs w:val="26"/>
        </w:rPr>
        <w:t xml:space="preserve"> them.  </w:t>
      </w:r>
    </w:p>
    <w:p w14:paraId="59FFC759" w14:textId="00557370" w:rsidR="00555913" w:rsidRPr="00555913" w:rsidRDefault="00555913" w:rsidP="00555913">
      <w:pPr>
        <w:pStyle w:val="ListParagraph"/>
        <w:numPr>
          <w:ilvl w:val="0"/>
          <w:numId w:val="2"/>
        </w:numPr>
        <w:tabs>
          <w:tab w:val="left" w:pos="720"/>
        </w:tabs>
        <w:spacing w:after="120" w:line="240" w:lineRule="auto"/>
        <w:jc w:val="both"/>
        <w:rPr>
          <w:sz w:val="26"/>
          <w:szCs w:val="26"/>
        </w:rPr>
      </w:pPr>
      <w:r>
        <w:rPr>
          <w:b/>
          <w:bCs/>
          <w:sz w:val="26"/>
          <w:szCs w:val="26"/>
        </w:rPr>
        <w:tab/>
      </w:r>
      <w:r w:rsidRPr="00555913">
        <w:rPr>
          <w:b/>
          <w:bCs/>
          <w:sz w:val="26"/>
          <w:szCs w:val="26"/>
        </w:rPr>
        <w:t>The Task Force has still not proposed satisfactory licensure requirements for</w:t>
      </w:r>
      <w:r w:rsidRPr="00555913">
        <w:rPr>
          <w:sz w:val="26"/>
          <w:szCs w:val="26"/>
        </w:rPr>
        <w:t xml:space="preserve"> </w:t>
      </w:r>
      <w:r w:rsidRPr="00555913">
        <w:rPr>
          <w:b/>
          <w:bCs/>
          <w:sz w:val="26"/>
          <w:szCs w:val="26"/>
        </w:rPr>
        <w:t>paraprofessionals.</w:t>
      </w:r>
    </w:p>
    <w:p w14:paraId="5AEC86F5" w14:textId="322EBAA2" w:rsidR="00A20600" w:rsidRDefault="00555913" w:rsidP="00A20600">
      <w:pPr>
        <w:tabs>
          <w:tab w:val="left" w:pos="720"/>
        </w:tabs>
        <w:jc w:val="both"/>
        <w:rPr>
          <w:sz w:val="26"/>
          <w:szCs w:val="26"/>
        </w:rPr>
      </w:pPr>
      <w:r>
        <w:rPr>
          <w:sz w:val="26"/>
          <w:szCs w:val="26"/>
        </w:rPr>
        <w:tab/>
        <w:t xml:space="preserve">The Petitioner responds to the criticism that its proposed Limited Licensed Legal Practitioners (“LLLPs”) lack robust standards for education, training, and experience by asserting that they in fact will be subject to “stiff requirements.” </w:t>
      </w:r>
      <w:r>
        <w:rPr>
          <w:i/>
          <w:iCs/>
          <w:sz w:val="26"/>
          <w:szCs w:val="26"/>
        </w:rPr>
        <w:t xml:space="preserve">Amended Petition </w:t>
      </w:r>
      <w:r>
        <w:rPr>
          <w:sz w:val="26"/>
          <w:szCs w:val="26"/>
        </w:rPr>
        <w:t xml:space="preserve">at 27. As with other key terms, the Task Force has a somewhat </w:t>
      </w:r>
      <w:r w:rsidR="000A7173">
        <w:rPr>
          <w:sz w:val="26"/>
          <w:szCs w:val="26"/>
        </w:rPr>
        <w:t>loose understanding of “stiff</w:t>
      </w:r>
      <w:r w:rsidR="005704D7">
        <w:rPr>
          <w:sz w:val="26"/>
          <w:szCs w:val="26"/>
        </w:rPr>
        <w:t xml:space="preserve">”: at minimum, a four-year bachelor’s degree from an accredited school and “additional studies in paralegal studies or certificate programs, plus additional training and experiential learning.” </w:t>
      </w:r>
      <w:r w:rsidR="005D641B">
        <w:rPr>
          <w:i/>
          <w:iCs/>
          <w:sz w:val="26"/>
          <w:szCs w:val="26"/>
        </w:rPr>
        <w:t>Id</w:t>
      </w:r>
      <w:r w:rsidR="005704D7">
        <w:rPr>
          <w:sz w:val="26"/>
          <w:szCs w:val="26"/>
        </w:rPr>
        <w:t>.</w:t>
      </w:r>
      <w:r w:rsidR="00D87CBA">
        <w:rPr>
          <w:sz w:val="26"/>
          <w:szCs w:val="26"/>
        </w:rPr>
        <w:t xml:space="preserve"> As for the licensing examination, it would test “legal terminology, client communication, data gathering, document preparation, the ethical code for LLLPs, and professional and administrative responsibilities pertaining to the provision of legal services.” </w:t>
      </w:r>
      <w:r w:rsidR="00D87CBA">
        <w:rPr>
          <w:i/>
          <w:iCs/>
          <w:sz w:val="26"/>
          <w:szCs w:val="26"/>
        </w:rPr>
        <w:t>Id</w:t>
      </w:r>
      <w:r w:rsidR="00D87CBA">
        <w:rPr>
          <w:sz w:val="26"/>
          <w:szCs w:val="26"/>
        </w:rPr>
        <w:t>. at 28.</w:t>
      </w:r>
      <w:r w:rsidR="001030E7">
        <w:rPr>
          <w:sz w:val="26"/>
          <w:szCs w:val="26"/>
        </w:rPr>
        <w:t xml:space="preserve"> To be sure, this is better than no explanation at all, but all the same it is still wanting. </w:t>
      </w:r>
    </w:p>
    <w:p w14:paraId="45E3140A" w14:textId="50290A81" w:rsidR="001030E7" w:rsidRDefault="00A20600" w:rsidP="000A5060">
      <w:pPr>
        <w:tabs>
          <w:tab w:val="left" w:pos="720"/>
        </w:tabs>
        <w:jc w:val="both"/>
        <w:rPr>
          <w:sz w:val="26"/>
          <w:szCs w:val="26"/>
        </w:rPr>
      </w:pPr>
      <w:r>
        <w:rPr>
          <w:sz w:val="26"/>
          <w:szCs w:val="26"/>
        </w:rPr>
        <w:tab/>
      </w:r>
      <w:r w:rsidR="001030E7">
        <w:rPr>
          <w:sz w:val="26"/>
          <w:szCs w:val="26"/>
        </w:rPr>
        <w:t xml:space="preserve">As the Amended Petition </w:t>
      </w:r>
      <w:r w:rsidR="00652A62">
        <w:rPr>
          <w:sz w:val="26"/>
          <w:szCs w:val="26"/>
        </w:rPr>
        <w:t>explains</w:t>
      </w:r>
      <w:r w:rsidR="001030E7">
        <w:rPr>
          <w:sz w:val="26"/>
          <w:szCs w:val="26"/>
        </w:rPr>
        <w:t>, LLLPs will be empowered to represent clients in misdemeanor proceedings not involving a penalty of incarceration,</w:t>
      </w:r>
      <w:r w:rsidR="00652A62">
        <w:rPr>
          <w:sz w:val="26"/>
          <w:szCs w:val="26"/>
        </w:rPr>
        <w:t xml:space="preserve"> in</w:t>
      </w:r>
      <w:r w:rsidR="001030E7">
        <w:rPr>
          <w:sz w:val="26"/>
          <w:szCs w:val="26"/>
        </w:rPr>
        <w:t xml:space="preserve"> civil actions in small claims or Justice Court, and</w:t>
      </w:r>
      <w:r w:rsidR="00652A62">
        <w:rPr>
          <w:sz w:val="26"/>
          <w:szCs w:val="26"/>
        </w:rPr>
        <w:t xml:space="preserve"> in</w:t>
      </w:r>
      <w:r w:rsidR="001030E7">
        <w:rPr>
          <w:sz w:val="26"/>
          <w:szCs w:val="26"/>
        </w:rPr>
        <w:t xml:space="preserve"> </w:t>
      </w:r>
      <w:r w:rsidR="00652A62">
        <w:rPr>
          <w:sz w:val="26"/>
          <w:szCs w:val="26"/>
        </w:rPr>
        <w:t xml:space="preserve">family law proceedings. </w:t>
      </w:r>
      <w:r w:rsidR="00652A62">
        <w:rPr>
          <w:i/>
          <w:iCs/>
          <w:sz w:val="26"/>
          <w:szCs w:val="26"/>
        </w:rPr>
        <w:t xml:space="preserve">Amended Petition </w:t>
      </w:r>
      <w:r w:rsidR="00652A62">
        <w:rPr>
          <w:sz w:val="26"/>
          <w:szCs w:val="26"/>
        </w:rPr>
        <w:t xml:space="preserve">at 28. They will be permitted to advise clients as to their rights, remedies, defenses, options, and trial strategy. </w:t>
      </w:r>
      <w:r w:rsidR="00652A62">
        <w:rPr>
          <w:i/>
          <w:iCs/>
          <w:sz w:val="26"/>
          <w:szCs w:val="26"/>
        </w:rPr>
        <w:t>Id</w:t>
      </w:r>
      <w:r w:rsidR="00652A62">
        <w:rPr>
          <w:sz w:val="26"/>
          <w:szCs w:val="26"/>
        </w:rPr>
        <w:t xml:space="preserve">. They will also be permitted to appear and represent clients in arbitration and settlement conferences. </w:t>
      </w:r>
      <w:r w:rsidR="00652A62">
        <w:rPr>
          <w:i/>
          <w:iCs/>
          <w:sz w:val="26"/>
          <w:szCs w:val="26"/>
        </w:rPr>
        <w:t>Id</w:t>
      </w:r>
      <w:r w:rsidR="00652A62">
        <w:rPr>
          <w:sz w:val="26"/>
          <w:szCs w:val="26"/>
        </w:rPr>
        <w:t xml:space="preserve">. This is </w:t>
      </w:r>
      <w:r w:rsidR="000A5060">
        <w:rPr>
          <w:sz w:val="26"/>
          <w:szCs w:val="26"/>
        </w:rPr>
        <w:t>an astonishingly broad grant of authority that should give pause to any reasonable practitioner.</w:t>
      </w:r>
    </w:p>
    <w:p w14:paraId="7319FC4D" w14:textId="68B7A850" w:rsidR="00272EED" w:rsidRDefault="000A5060" w:rsidP="00272EED">
      <w:pPr>
        <w:tabs>
          <w:tab w:val="left" w:pos="720"/>
        </w:tabs>
        <w:spacing w:after="240"/>
        <w:jc w:val="both"/>
        <w:rPr>
          <w:sz w:val="26"/>
          <w:szCs w:val="26"/>
        </w:rPr>
      </w:pPr>
      <w:r>
        <w:rPr>
          <w:sz w:val="26"/>
          <w:szCs w:val="26"/>
        </w:rPr>
        <w:tab/>
        <w:t>Consider an LLLP with a</w:t>
      </w:r>
      <w:r w:rsidR="00EC6C32">
        <w:rPr>
          <w:sz w:val="26"/>
          <w:szCs w:val="26"/>
        </w:rPr>
        <w:t>n online</w:t>
      </w:r>
      <w:r>
        <w:rPr>
          <w:sz w:val="26"/>
          <w:szCs w:val="26"/>
        </w:rPr>
        <w:t xml:space="preserve"> bachelor’s </w:t>
      </w:r>
      <w:r w:rsidR="00EC6C32">
        <w:rPr>
          <w:sz w:val="26"/>
          <w:szCs w:val="26"/>
        </w:rPr>
        <w:t>degree in music composition</w:t>
      </w:r>
      <w:r>
        <w:rPr>
          <w:sz w:val="26"/>
          <w:szCs w:val="26"/>
        </w:rPr>
        <w:t xml:space="preserve"> and “additional studies in paralegal studies or certificate programs, plus additional training and experiential learning.” What those studies or </w:t>
      </w:r>
      <w:r w:rsidR="00EC6C32">
        <w:rPr>
          <w:sz w:val="26"/>
          <w:szCs w:val="26"/>
        </w:rPr>
        <w:t xml:space="preserve">additional </w:t>
      </w:r>
      <w:r>
        <w:rPr>
          <w:sz w:val="26"/>
          <w:szCs w:val="26"/>
        </w:rPr>
        <w:t xml:space="preserve">training consist of is anyone’s guess, but can the Task Force honestly suggest that </w:t>
      </w:r>
      <w:r w:rsidR="00950AC3">
        <w:rPr>
          <w:sz w:val="26"/>
          <w:szCs w:val="26"/>
        </w:rPr>
        <w:t>our hypothetical</w:t>
      </w:r>
      <w:r>
        <w:rPr>
          <w:sz w:val="26"/>
          <w:szCs w:val="26"/>
        </w:rPr>
        <w:t xml:space="preserve"> LLLP would be </w:t>
      </w:r>
      <w:r>
        <w:rPr>
          <w:sz w:val="26"/>
          <w:szCs w:val="26"/>
        </w:rPr>
        <w:lastRenderedPageBreak/>
        <w:t xml:space="preserve">prepared to </w:t>
      </w:r>
      <w:r w:rsidR="008F6CA0">
        <w:rPr>
          <w:sz w:val="26"/>
          <w:szCs w:val="26"/>
        </w:rPr>
        <w:t>advise or represent</w:t>
      </w:r>
      <w:r>
        <w:rPr>
          <w:sz w:val="26"/>
          <w:szCs w:val="26"/>
        </w:rPr>
        <w:t xml:space="preserve"> a domestic violence victim in court? Or perhaps to explain to that victim the myriad collateral consequences that attend their spouse’s misdemeanor conviction? Would he be prepared to explain to a victim of contracting without a license how to recover </w:t>
      </w:r>
      <w:r w:rsidR="00353EED">
        <w:rPr>
          <w:sz w:val="26"/>
          <w:szCs w:val="26"/>
        </w:rPr>
        <w:t xml:space="preserve">five figures in </w:t>
      </w:r>
      <w:r>
        <w:rPr>
          <w:sz w:val="26"/>
          <w:szCs w:val="26"/>
        </w:rPr>
        <w:t xml:space="preserve">restitution in a collateral action? </w:t>
      </w:r>
      <w:r w:rsidR="00272EED">
        <w:rPr>
          <w:sz w:val="26"/>
          <w:szCs w:val="26"/>
        </w:rPr>
        <w:t xml:space="preserve">What about the many and Byzantine distinctions between remedies in equity and those at law? How about the preclusive effect of a criminal plea in a subsequent administrative action? </w:t>
      </w:r>
      <w:r>
        <w:rPr>
          <w:sz w:val="26"/>
          <w:szCs w:val="26"/>
        </w:rPr>
        <w:t xml:space="preserve">These are not </w:t>
      </w:r>
      <w:r w:rsidR="008F3C31">
        <w:rPr>
          <w:sz w:val="26"/>
          <w:szCs w:val="26"/>
        </w:rPr>
        <w:t>speculative</w:t>
      </w:r>
      <w:r>
        <w:rPr>
          <w:sz w:val="26"/>
          <w:szCs w:val="26"/>
        </w:rPr>
        <w:t xml:space="preserve"> </w:t>
      </w:r>
      <w:r w:rsidR="00272EED">
        <w:rPr>
          <w:sz w:val="26"/>
          <w:szCs w:val="26"/>
        </w:rPr>
        <w:t>matters;</w:t>
      </w:r>
      <w:r>
        <w:rPr>
          <w:sz w:val="26"/>
          <w:szCs w:val="26"/>
        </w:rPr>
        <w:t xml:space="preserve"> they are the </w:t>
      </w:r>
      <w:r w:rsidR="00272EED">
        <w:rPr>
          <w:sz w:val="26"/>
          <w:szCs w:val="26"/>
        </w:rPr>
        <w:t>daily bread</w:t>
      </w:r>
      <w:r>
        <w:rPr>
          <w:sz w:val="26"/>
          <w:szCs w:val="26"/>
        </w:rPr>
        <w:t xml:space="preserve"> </w:t>
      </w:r>
      <w:r w:rsidR="00272EED">
        <w:rPr>
          <w:sz w:val="26"/>
          <w:szCs w:val="26"/>
        </w:rPr>
        <w:t>for countless attorneys who</w:t>
      </w:r>
      <w:r>
        <w:rPr>
          <w:sz w:val="26"/>
          <w:szCs w:val="26"/>
        </w:rPr>
        <w:t xml:space="preserve"> have had the benefit of </w:t>
      </w:r>
      <w:r w:rsidR="00353EED">
        <w:rPr>
          <w:sz w:val="26"/>
          <w:szCs w:val="26"/>
        </w:rPr>
        <w:t xml:space="preserve">a minimum of </w:t>
      </w:r>
      <w:r>
        <w:rPr>
          <w:sz w:val="26"/>
          <w:szCs w:val="26"/>
        </w:rPr>
        <w:t>three years of law school</w:t>
      </w:r>
      <w:r w:rsidR="00EC6C32">
        <w:rPr>
          <w:sz w:val="26"/>
          <w:szCs w:val="26"/>
        </w:rPr>
        <w:t>, two summers working in the profession</w:t>
      </w:r>
      <w:r w:rsidR="008F3C31">
        <w:rPr>
          <w:sz w:val="26"/>
          <w:szCs w:val="26"/>
        </w:rPr>
        <w:t>,</w:t>
      </w:r>
      <w:r>
        <w:rPr>
          <w:sz w:val="26"/>
          <w:szCs w:val="26"/>
        </w:rPr>
        <w:t xml:space="preserve"> and </w:t>
      </w:r>
      <w:r w:rsidR="00353EED">
        <w:rPr>
          <w:sz w:val="26"/>
          <w:szCs w:val="26"/>
        </w:rPr>
        <w:t>successfully passing the bar exam</w:t>
      </w:r>
      <w:r w:rsidR="0039130A">
        <w:rPr>
          <w:sz w:val="26"/>
          <w:szCs w:val="26"/>
        </w:rPr>
        <w:t>, and</w:t>
      </w:r>
      <w:r w:rsidR="00806D7D">
        <w:rPr>
          <w:sz w:val="26"/>
          <w:szCs w:val="26"/>
        </w:rPr>
        <w:t xml:space="preserve"> yet who </w:t>
      </w:r>
      <w:r w:rsidR="00272EED">
        <w:rPr>
          <w:sz w:val="26"/>
          <w:szCs w:val="26"/>
        </w:rPr>
        <w:t>still make mistakes</w:t>
      </w:r>
      <w:r>
        <w:rPr>
          <w:sz w:val="26"/>
          <w:szCs w:val="26"/>
        </w:rPr>
        <w:t>. Although the Task Force’s recommendations are a plausible start, the licensure requirements for LLLPs are</w:t>
      </w:r>
      <w:r w:rsidR="00EC6C32">
        <w:rPr>
          <w:sz w:val="26"/>
          <w:szCs w:val="26"/>
        </w:rPr>
        <w:t xml:space="preserve"> still</w:t>
      </w:r>
      <w:r>
        <w:rPr>
          <w:sz w:val="26"/>
          <w:szCs w:val="26"/>
        </w:rPr>
        <w:t xml:space="preserve"> too </w:t>
      </w:r>
      <w:r w:rsidR="00272EED">
        <w:rPr>
          <w:sz w:val="26"/>
          <w:szCs w:val="26"/>
        </w:rPr>
        <w:t>nebulous to ensure competent representation for those who need it. It is no limitation to restrict LLLPs to seemingly small matters like misdemeanors and arbitrations. These areas of practice are nuanced and complex in ways that even licensed practitioners can fail to appreciate. More basically, these matters are hardly small for those involved—ask any crime victim or</w:t>
      </w:r>
      <w:r w:rsidR="00066617">
        <w:rPr>
          <w:sz w:val="26"/>
          <w:szCs w:val="26"/>
        </w:rPr>
        <w:t xml:space="preserve"> suspected</w:t>
      </w:r>
      <w:r w:rsidR="00272EED">
        <w:rPr>
          <w:sz w:val="26"/>
          <w:szCs w:val="26"/>
        </w:rPr>
        <w:t xml:space="preserve"> misdemeanant. They are of immense importance such that it would be inappropriate to hand them off to a non-lawyer with the training described in the Amended Petition.</w:t>
      </w:r>
    </w:p>
    <w:p w14:paraId="6BFAB770" w14:textId="690A8F81" w:rsidR="00272EED" w:rsidRDefault="00272EED" w:rsidP="00272EED">
      <w:pPr>
        <w:pStyle w:val="ListParagraph"/>
        <w:numPr>
          <w:ilvl w:val="0"/>
          <w:numId w:val="2"/>
        </w:numPr>
        <w:tabs>
          <w:tab w:val="left" w:pos="720"/>
        </w:tabs>
        <w:jc w:val="both"/>
        <w:rPr>
          <w:b/>
          <w:bCs/>
          <w:sz w:val="26"/>
          <w:szCs w:val="26"/>
        </w:rPr>
      </w:pPr>
      <w:r w:rsidRPr="00272EED">
        <w:rPr>
          <w:b/>
          <w:bCs/>
          <w:sz w:val="26"/>
          <w:szCs w:val="26"/>
        </w:rPr>
        <w:t>Conclusion</w:t>
      </w:r>
    </w:p>
    <w:p w14:paraId="3593DA74" w14:textId="39CE2513" w:rsidR="007A7FF4" w:rsidRDefault="00272EED" w:rsidP="00272EED">
      <w:pPr>
        <w:tabs>
          <w:tab w:val="left" w:pos="720"/>
        </w:tabs>
        <w:jc w:val="both"/>
        <w:rPr>
          <w:sz w:val="26"/>
          <w:szCs w:val="26"/>
        </w:rPr>
      </w:pPr>
      <w:r>
        <w:rPr>
          <w:sz w:val="26"/>
          <w:szCs w:val="26"/>
        </w:rPr>
        <w:tab/>
      </w:r>
      <w:r w:rsidR="00806D7D">
        <w:rPr>
          <w:sz w:val="26"/>
          <w:szCs w:val="26"/>
        </w:rPr>
        <w:t xml:space="preserve">There is no question that we lawyers like to take ourselves seriously and are the justified </w:t>
      </w:r>
      <w:r w:rsidR="00B343FF">
        <w:rPr>
          <w:sz w:val="26"/>
          <w:szCs w:val="26"/>
        </w:rPr>
        <w:t>butt</w:t>
      </w:r>
      <w:r w:rsidR="00806D7D">
        <w:rPr>
          <w:sz w:val="26"/>
          <w:szCs w:val="26"/>
        </w:rPr>
        <w:t xml:space="preserve"> of many jokes and criticisms.</w:t>
      </w:r>
      <w:r w:rsidR="00066617">
        <w:rPr>
          <w:sz w:val="26"/>
          <w:szCs w:val="26"/>
        </w:rPr>
        <w:t xml:space="preserve"> </w:t>
      </w:r>
      <w:r w:rsidR="00B343FF">
        <w:rPr>
          <w:sz w:val="26"/>
          <w:szCs w:val="26"/>
        </w:rPr>
        <w:t>But i</w:t>
      </w:r>
      <w:r w:rsidR="00806D7D">
        <w:rPr>
          <w:sz w:val="26"/>
          <w:szCs w:val="26"/>
        </w:rPr>
        <w:t xml:space="preserve">f the bar takes itself seriously, it is because its work </w:t>
      </w:r>
      <w:r w:rsidR="00806D7D">
        <w:rPr>
          <w:i/>
          <w:iCs/>
          <w:sz w:val="26"/>
          <w:szCs w:val="26"/>
        </w:rPr>
        <w:t xml:space="preserve">is </w:t>
      </w:r>
      <w:r w:rsidR="00806D7D">
        <w:rPr>
          <w:sz w:val="26"/>
          <w:szCs w:val="26"/>
        </w:rPr>
        <w:t xml:space="preserve">serious. The way in which it impacts society and the lives of the people in it </w:t>
      </w:r>
      <w:r w:rsidR="00806D7D">
        <w:rPr>
          <w:i/>
          <w:iCs/>
          <w:sz w:val="26"/>
          <w:szCs w:val="26"/>
        </w:rPr>
        <w:t xml:space="preserve">is </w:t>
      </w:r>
      <w:r w:rsidR="00806D7D">
        <w:rPr>
          <w:sz w:val="26"/>
          <w:szCs w:val="26"/>
        </w:rPr>
        <w:t>serious. The changes proposed both to the profession and to the society that depends on it are serious enough that we should not lightly accept them, least of all when th</w:t>
      </w:r>
      <w:r w:rsidR="007A7FF4">
        <w:rPr>
          <w:sz w:val="26"/>
          <w:szCs w:val="26"/>
        </w:rPr>
        <w:t>ose</w:t>
      </w:r>
      <w:r w:rsidR="00806D7D">
        <w:rPr>
          <w:sz w:val="26"/>
          <w:szCs w:val="26"/>
        </w:rPr>
        <w:t xml:space="preserve"> changes come from people who would reduce our</w:t>
      </w:r>
      <w:r w:rsidR="007A7FF4">
        <w:rPr>
          <w:sz w:val="26"/>
          <w:szCs w:val="26"/>
        </w:rPr>
        <w:t xml:space="preserve"> </w:t>
      </w:r>
      <w:r w:rsidR="00806D7D">
        <w:rPr>
          <w:sz w:val="26"/>
          <w:szCs w:val="26"/>
        </w:rPr>
        <w:t xml:space="preserve">arguments to </w:t>
      </w:r>
      <w:r w:rsidR="007A7FF4">
        <w:rPr>
          <w:sz w:val="26"/>
          <w:szCs w:val="26"/>
        </w:rPr>
        <w:t>strawmen</w:t>
      </w:r>
      <w:r w:rsidR="00806D7D">
        <w:rPr>
          <w:sz w:val="26"/>
          <w:szCs w:val="26"/>
        </w:rPr>
        <w:t xml:space="preserve"> and caricature us as smallminded </w:t>
      </w:r>
      <w:r w:rsidR="007A7FF4">
        <w:rPr>
          <w:sz w:val="26"/>
          <w:szCs w:val="26"/>
        </w:rPr>
        <w:t xml:space="preserve">luddites who </w:t>
      </w:r>
      <w:r w:rsidR="00066617">
        <w:rPr>
          <w:sz w:val="26"/>
          <w:szCs w:val="26"/>
        </w:rPr>
        <w:t>fear change</w:t>
      </w:r>
      <w:r w:rsidR="00806D7D">
        <w:rPr>
          <w:sz w:val="26"/>
          <w:szCs w:val="26"/>
        </w:rPr>
        <w:t xml:space="preserve">. </w:t>
      </w:r>
      <w:r w:rsidR="007A7FF4">
        <w:rPr>
          <w:sz w:val="26"/>
          <w:szCs w:val="26"/>
        </w:rPr>
        <w:t xml:space="preserve">If the last two months of virtual hearings and </w:t>
      </w:r>
      <w:r w:rsidR="007A7FF4">
        <w:rPr>
          <w:sz w:val="26"/>
          <w:szCs w:val="26"/>
        </w:rPr>
        <w:lastRenderedPageBreak/>
        <w:t>meetings have shown us</w:t>
      </w:r>
      <w:r w:rsidR="00F03DA1">
        <w:rPr>
          <w:sz w:val="26"/>
          <w:szCs w:val="26"/>
        </w:rPr>
        <w:t xml:space="preserve"> </w:t>
      </w:r>
      <w:r w:rsidR="007A7FF4">
        <w:rPr>
          <w:sz w:val="26"/>
          <w:szCs w:val="26"/>
        </w:rPr>
        <w:t xml:space="preserve">anything, it is that our bar is already resilient, it is already innovative, and </w:t>
      </w:r>
      <w:r w:rsidR="00066617">
        <w:rPr>
          <w:sz w:val="26"/>
          <w:szCs w:val="26"/>
        </w:rPr>
        <w:t>far from fearing change, we embrace it wholeheartedly.</w:t>
      </w:r>
      <w:r w:rsidR="007A7FF4">
        <w:rPr>
          <w:sz w:val="26"/>
          <w:szCs w:val="26"/>
        </w:rPr>
        <w:t xml:space="preserve"> </w:t>
      </w:r>
    </w:p>
    <w:p w14:paraId="5530261F" w14:textId="51040853" w:rsidR="00272EED" w:rsidRDefault="007A7FF4" w:rsidP="00272EED">
      <w:pPr>
        <w:tabs>
          <w:tab w:val="left" w:pos="720"/>
        </w:tabs>
        <w:jc w:val="both"/>
        <w:rPr>
          <w:sz w:val="26"/>
          <w:szCs w:val="26"/>
        </w:rPr>
      </w:pPr>
      <w:r>
        <w:rPr>
          <w:sz w:val="26"/>
          <w:szCs w:val="26"/>
        </w:rPr>
        <w:tab/>
        <w:t>Although the Task Force continues to persist in its view of us as selfish and myopic guildsmen, just the opposite is true. It</w:t>
      </w:r>
      <w:r w:rsidR="00AF3A35">
        <w:rPr>
          <w:sz w:val="26"/>
          <w:szCs w:val="26"/>
        </w:rPr>
        <w:t xml:space="preserve"> is not the bar that is obsessed with money and protecting its</w:t>
      </w:r>
      <w:r w:rsidR="006575F6">
        <w:rPr>
          <w:sz w:val="26"/>
          <w:szCs w:val="26"/>
        </w:rPr>
        <w:t xml:space="preserve"> own</w:t>
      </w:r>
      <w:r w:rsidR="00AF3A35">
        <w:rPr>
          <w:sz w:val="26"/>
          <w:szCs w:val="26"/>
        </w:rPr>
        <w:t xml:space="preserve"> interests, it is th</w:t>
      </w:r>
      <w:r w:rsidR="00B62C2E">
        <w:rPr>
          <w:sz w:val="26"/>
          <w:szCs w:val="26"/>
        </w:rPr>
        <w:t xml:space="preserve">ose who are pushing these changes. </w:t>
      </w:r>
      <w:r>
        <w:rPr>
          <w:sz w:val="26"/>
          <w:szCs w:val="26"/>
        </w:rPr>
        <w:t xml:space="preserve">To be tarred in this way by those who </w:t>
      </w:r>
      <w:r w:rsidR="005B02EA">
        <w:rPr>
          <w:sz w:val="26"/>
          <w:szCs w:val="26"/>
        </w:rPr>
        <w:t>work tirelessly to</w:t>
      </w:r>
      <w:r>
        <w:rPr>
          <w:sz w:val="26"/>
          <w:szCs w:val="26"/>
        </w:rPr>
        <w:t xml:space="preserve"> elevate and protect venture capital and private equity is more than ironic, it is insulting, and it is plainly </w:t>
      </w:r>
      <w:r w:rsidR="00D1073C">
        <w:rPr>
          <w:sz w:val="26"/>
          <w:szCs w:val="26"/>
        </w:rPr>
        <w:t>driven</w:t>
      </w:r>
      <w:r w:rsidR="005B02EA">
        <w:rPr>
          <w:sz w:val="26"/>
          <w:szCs w:val="26"/>
        </w:rPr>
        <w:t xml:space="preserve"> by people for whom access to justice is a corporate slogan. The Amended Petition should be rejected in the strongest of terms, and the push to graft healthcare’s business model onto the legal profession should be fought tooth and nail.</w:t>
      </w:r>
    </w:p>
    <w:p w14:paraId="5BC9770C" w14:textId="77777777" w:rsidR="00272EED" w:rsidRPr="00272EED" w:rsidRDefault="00272EED" w:rsidP="00272EED">
      <w:pPr>
        <w:tabs>
          <w:tab w:val="left" w:pos="720"/>
        </w:tabs>
        <w:jc w:val="both"/>
        <w:rPr>
          <w:sz w:val="26"/>
          <w:szCs w:val="26"/>
        </w:rPr>
      </w:pPr>
    </w:p>
    <w:p w14:paraId="52310A1B" w14:textId="77777777" w:rsidR="00272EED" w:rsidRDefault="00272EED" w:rsidP="00272EED">
      <w:pPr>
        <w:tabs>
          <w:tab w:val="left" w:pos="720"/>
        </w:tabs>
        <w:spacing w:line="240" w:lineRule="auto"/>
        <w:jc w:val="both"/>
        <w:rPr>
          <w:sz w:val="26"/>
          <w:szCs w:val="26"/>
        </w:rPr>
      </w:pPr>
    </w:p>
    <w:p w14:paraId="256EB9E0" w14:textId="77777777" w:rsidR="00272EED" w:rsidRDefault="00272EED" w:rsidP="00272EED">
      <w:pPr>
        <w:tabs>
          <w:tab w:val="left" w:pos="720"/>
        </w:tabs>
        <w:spacing w:line="240" w:lineRule="auto"/>
        <w:jc w:val="both"/>
        <w:rPr>
          <w:sz w:val="26"/>
          <w:szCs w:val="26"/>
        </w:rPr>
      </w:pPr>
    </w:p>
    <w:p w14:paraId="04F416B6" w14:textId="77777777" w:rsidR="00272EED" w:rsidRDefault="00272EED" w:rsidP="00272EED">
      <w:pPr>
        <w:tabs>
          <w:tab w:val="left" w:pos="720"/>
        </w:tabs>
        <w:spacing w:line="240" w:lineRule="auto"/>
        <w:jc w:val="both"/>
        <w:rPr>
          <w:sz w:val="26"/>
          <w:szCs w:val="26"/>
        </w:rPr>
      </w:pPr>
    </w:p>
    <w:p w14:paraId="25EF0B90" w14:textId="3883512C" w:rsidR="003F45A2" w:rsidRPr="00B741C5" w:rsidRDefault="003F45A2" w:rsidP="00272EED">
      <w:pPr>
        <w:tabs>
          <w:tab w:val="left" w:pos="720"/>
        </w:tabs>
        <w:spacing w:line="240" w:lineRule="auto"/>
        <w:jc w:val="both"/>
        <w:rPr>
          <w:sz w:val="26"/>
          <w:szCs w:val="26"/>
        </w:rPr>
      </w:pPr>
      <w:r>
        <w:rPr>
          <w:sz w:val="26"/>
          <w:szCs w:val="26"/>
        </w:rPr>
        <w:t xml:space="preserve">RESPECTFULLY SUBMITTED this </w:t>
      </w:r>
      <w:r w:rsidR="00BB63C4">
        <w:rPr>
          <w:sz w:val="26"/>
          <w:szCs w:val="26"/>
        </w:rPr>
        <w:t>26th</w:t>
      </w:r>
      <w:r>
        <w:rPr>
          <w:sz w:val="26"/>
          <w:szCs w:val="26"/>
        </w:rPr>
        <w:t xml:space="preserve"> day of May </w:t>
      </w:r>
      <w:r w:rsidRPr="00B741C5">
        <w:rPr>
          <w:sz w:val="26"/>
          <w:szCs w:val="26"/>
        </w:rPr>
        <w:t>20</w:t>
      </w:r>
      <w:r>
        <w:rPr>
          <w:sz w:val="26"/>
          <w:szCs w:val="26"/>
        </w:rPr>
        <w:t>20</w:t>
      </w:r>
      <w:r w:rsidRPr="00B741C5">
        <w:rPr>
          <w:sz w:val="26"/>
          <w:szCs w:val="26"/>
        </w:rPr>
        <w:t>.</w:t>
      </w:r>
    </w:p>
    <w:p w14:paraId="5E9B5D44" w14:textId="77777777" w:rsidR="003F45A2" w:rsidRPr="004C6BC2" w:rsidRDefault="003F45A2" w:rsidP="003F45A2">
      <w:pPr>
        <w:pStyle w:val="ListParagraph"/>
        <w:spacing w:line="236" w:lineRule="exact"/>
        <w:ind w:left="0"/>
        <w:jc w:val="both"/>
        <w:rPr>
          <w:sz w:val="26"/>
          <w:szCs w:val="26"/>
        </w:rPr>
      </w:pPr>
    </w:p>
    <w:p w14:paraId="0955DE43" w14:textId="77777777" w:rsidR="003F45A2" w:rsidRPr="004C6BC2" w:rsidRDefault="003F45A2" w:rsidP="003F45A2">
      <w:pPr>
        <w:pStyle w:val="ListParagraph"/>
        <w:spacing w:line="236" w:lineRule="exact"/>
        <w:ind w:left="0"/>
        <w:jc w:val="both"/>
        <w:rPr>
          <w:sz w:val="26"/>
          <w:szCs w:val="26"/>
        </w:rPr>
      </w:pPr>
    </w:p>
    <w:p w14:paraId="3E3C5AAD" w14:textId="77777777" w:rsidR="003F45A2" w:rsidRDefault="003F45A2" w:rsidP="003F45A2">
      <w:pPr>
        <w:pStyle w:val="ListParagraph"/>
        <w:tabs>
          <w:tab w:val="left" w:pos="3960"/>
        </w:tabs>
        <w:spacing w:line="236" w:lineRule="exact"/>
        <w:ind w:left="0"/>
        <w:jc w:val="both"/>
        <w:rPr>
          <w:rFonts w:ascii="Century Schoolbook" w:hAnsi="Century Schoolbook"/>
          <w:b/>
          <w:smallCaps/>
          <w:sz w:val="26"/>
          <w:szCs w:val="26"/>
        </w:rPr>
      </w:pPr>
      <w:r>
        <w:rPr>
          <w:sz w:val="26"/>
          <w:szCs w:val="26"/>
        </w:rPr>
        <w:tab/>
      </w:r>
      <w:r w:rsidRPr="005263EE">
        <w:rPr>
          <w:rFonts w:ascii="Century Schoolbook" w:hAnsi="Century Schoolbook"/>
          <w:b/>
          <w:smallCaps/>
          <w:sz w:val="26"/>
          <w:szCs w:val="26"/>
        </w:rPr>
        <w:t>Pima County Bar Association</w:t>
      </w:r>
    </w:p>
    <w:p w14:paraId="2C6F6A60" w14:textId="77777777" w:rsidR="003F45A2" w:rsidRPr="005263EE" w:rsidRDefault="003F45A2" w:rsidP="003F45A2">
      <w:pPr>
        <w:pStyle w:val="ListParagraph"/>
        <w:tabs>
          <w:tab w:val="left" w:pos="4320"/>
        </w:tabs>
        <w:spacing w:line="236" w:lineRule="exact"/>
        <w:ind w:left="0"/>
        <w:jc w:val="both"/>
        <w:rPr>
          <w:rFonts w:ascii="Century Schoolbook" w:hAnsi="Century Schoolbook"/>
          <w:b/>
          <w:smallCaps/>
          <w:sz w:val="26"/>
          <w:szCs w:val="26"/>
        </w:rPr>
      </w:pPr>
    </w:p>
    <w:p w14:paraId="4950C24F" w14:textId="77777777" w:rsidR="003F45A2" w:rsidRDefault="003F45A2" w:rsidP="003F45A2">
      <w:pPr>
        <w:pStyle w:val="ListParagraph"/>
        <w:spacing w:line="236" w:lineRule="exact"/>
        <w:ind w:left="0"/>
        <w:jc w:val="both"/>
        <w:rPr>
          <w:sz w:val="26"/>
          <w:szCs w:val="26"/>
        </w:rPr>
      </w:pPr>
    </w:p>
    <w:p w14:paraId="3A3B3DF2" w14:textId="77777777" w:rsidR="003F45A2" w:rsidRDefault="003F45A2" w:rsidP="003F45A2">
      <w:pPr>
        <w:pStyle w:val="ListParagraph"/>
        <w:spacing w:line="236" w:lineRule="exact"/>
        <w:ind w:left="0"/>
        <w:jc w:val="both"/>
        <w:rPr>
          <w:sz w:val="26"/>
          <w:szCs w:val="26"/>
        </w:rPr>
      </w:pPr>
    </w:p>
    <w:p w14:paraId="0DC44050" w14:textId="77777777" w:rsidR="003F45A2" w:rsidRDefault="003F45A2" w:rsidP="003F45A2">
      <w:pPr>
        <w:pStyle w:val="ListParagraph"/>
        <w:spacing w:line="240" w:lineRule="auto"/>
        <w:ind w:left="3960"/>
        <w:jc w:val="both"/>
        <w:rPr>
          <w:sz w:val="26"/>
          <w:szCs w:val="26"/>
        </w:rPr>
      </w:pPr>
      <w:r>
        <w:rPr>
          <w:sz w:val="26"/>
          <w:szCs w:val="26"/>
        </w:rPr>
        <w:t xml:space="preserve">By </w:t>
      </w:r>
      <w:r w:rsidRPr="006C43D4">
        <w:rPr>
          <w:i/>
          <w:iCs/>
          <w:sz w:val="26"/>
          <w:szCs w:val="26"/>
          <w:u w:val="single"/>
        </w:rPr>
        <w:t>s/James W. Rappaport</w:t>
      </w:r>
    </w:p>
    <w:p w14:paraId="3CE3F6E8" w14:textId="77777777" w:rsidR="003F45A2" w:rsidRDefault="003F45A2" w:rsidP="003F45A2">
      <w:pPr>
        <w:pStyle w:val="ListParagraph"/>
        <w:spacing w:line="240" w:lineRule="auto"/>
        <w:ind w:left="0"/>
        <w:jc w:val="both"/>
        <w:rPr>
          <w:rStyle w:val="Style1"/>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rStyle w:val="Style1"/>
        </w:rPr>
        <w:t>James W. Rappaport</w:t>
      </w:r>
    </w:p>
    <w:p w14:paraId="108404D1" w14:textId="77777777" w:rsidR="003F45A2" w:rsidRDefault="003F45A2" w:rsidP="003F45A2">
      <w:pPr>
        <w:pStyle w:val="ListParagraph"/>
        <w:spacing w:line="240" w:lineRule="auto"/>
        <w:ind w:left="0"/>
        <w:jc w:val="both"/>
        <w:rPr>
          <w:i/>
          <w:sz w:val="26"/>
          <w:szCs w:val="26"/>
        </w:rPr>
      </w:pPr>
      <w:r>
        <w:rPr>
          <w:rStyle w:val="Style1"/>
        </w:rPr>
        <w:tab/>
      </w:r>
      <w:r>
        <w:rPr>
          <w:rStyle w:val="Style1"/>
        </w:rPr>
        <w:tab/>
      </w:r>
      <w:r>
        <w:rPr>
          <w:rStyle w:val="Style1"/>
        </w:rPr>
        <w:tab/>
      </w:r>
      <w:r>
        <w:rPr>
          <w:rStyle w:val="Style1"/>
        </w:rPr>
        <w:tab/>
      </w:r>
      <w:r>
        <w:rPr>
          <w:rStyle w:val="Style1"/>
        </w:rPr>
        <w:tab/>
      </w:r>
      <w:r>
        <w:rPr>
          <w:sz w:val="26"/>
          <w:szCs w:val="26"/>
        </w:rPr>
        <w:tab/>
      </w:r>
      <w:r w:rsidRPr="00A924BD">
        <w:rPr>
          <w:i/>
          <w:sz w:val="26"/>
          <w:szCs w:val="26"/>
        </w:rPr>
        <w:t>Rules Committee Chair</w:t>
      </w:r>
    </w:p>
    <w:p w14:paraId="33B973EF" w14:textId="77777777" w:rsidR="003F45A2" w:rsidRDefault="003F45A2" w:rsidP="003F45A2">
      <w:pPr>
        <w:pStyle w:val="ListParagraph"/>
        <w:spacing w:line="240" w:lineRule="auto"/>
        <w:ind w:left="0"/>
        <w:jc w:val="both"/>
        <w:rPr>
          <w:i/>
          <w:sz w:val="26"/>
          <w:szCs w:val="26"/>
        </w:rPr>
      </w:pPr>
    </w:p>
    <w:p w14:paraId="6CA15F87" w14:textId="77777777" w:rsidR="003F45A2" w:rsidRDefault="003F45A2" w:rsidP="003F45A2">
      <w:pPr>
        <w:pStyle w:val="ListParagraph"/>
        <w:spacing w:line="240" w:lineRule="auto"/>
        <w:ind w:left="0"/>
        <w:jc w:val="both"/>
        <w:rPr>
          <w:i/>
          <w:sz w:val="26"/>
          <w:szCs w:val="26"/>
        </w:rPr>
      </w:pPr>
    </w:p>
    <w:p w14:paraId="05DAB7BB" w14:textId="77777777" w:rsidR="003F45A2" w:rsidRDefault="003F45A2" w:rsidP="003F45A2">
      <w:pPr>
        <w:pStyle w:val="ListParagraph"/>
        <w:spacing w:line="240" w:lineRule="auto"/>
        <w:ind w:left="0"/>
        <w:jc w:val="both"/>
        <w:rPr>
          <w:i/>
          <w:sz w:val="26"/>
          <w:szCs w:val="26"/>
        </w:rPr>
      </w:pPr>
    </w:p>
    <w:p w14:paraId="32C733D0" w14:textId="4BA805E2" w:rsidR="003F45A2" w:rsidRDefault="003F45A2" w:rsidP="003F45A2">
      <w:pPr>
        <w:pStyle w:val="ListParagraph"/>
        <w:spacing w:line="240" w:lineRule="auto"/>
        <w:ind w:left="3960"/>
        <w:jc w:val="both"/>
        <w:rPr>
          <w:sz w:val="26"/>
          <w:szCs w:val="26"/>
        </w:rPr>
      </w:pPr>
      <w:r>
        <w:rPr>
          <w:sz w:val="26"/>
          <w:szCs w:val="26"/>
        </w:rPr>
        <w:t>By</w:t>
      </w:r>
      <w:r>
        <w:rPr>
          <w:sz w:val="26"/>
          <w:szCs w:val="26"/>
        </w:rPr>
        <w:tab/>
      </w:r>
      <w:r>
        <w:rPr>
          <w:i/>
          <w:iCs/>
          <w:sz w:val="26"/>
          <w:szCs w:val="26"/>
          <w:u w:val="single"/>
        </w:rPr>
        <w:t>s/</w:t>
      </w:r>
      <w:r w:rsidR="00EB1676">
        <w:rPr>
          <w:i/>
          <w:iCs/>
          <w:sz w:val="26"/>
          <w:szCs w:val="26"/>
          <w:u w:val="single"/>
        </w:rPr>
        <w:t>Reagen Kulseth</w:t>
      </w:r>
    </w:p>
    <w:p w14:paraId="1F1B72DA" w14:textId="02DE6D3A" w:rsidR="003F45A2" w:rsidRDefault="003F45A2" w:rsidP="003F45A2">
      <w:pPr>
        <w:pStyle w:val="ListParagraph"/>
        <w:spacing w:line="240" w:lineRule="auto"/>
        <w:ind w:left="0"/>
        <w:jc w:val="both"/>
        <w:rPr>
          <w:rStyle w:val="Style1"/>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4A212B" w:rsidRPr="004A212B">
        <w:rPr>
          <w:rStyle w:val="Style1"/>
        </w:rPr>
        <w:t>Reagen Kulseth</w:t>
      </w:r>
    </w:p>
    <w:p w14:paraId="7B11E930" w14:textId="77777777" w:rsidR="003F45A2" w:rsidRPr="00A924BD" w:rsidRDefault="003F45A2" w:rsidP="003F45A2">
      <w:pPr>
        <w:pStyle w:val="ListParagraph"/>
        <w:spacing w:line="240" w:lineRule="auto"/>
        <w:ind w:left="0"/>
        <w:jc w:val="both"/>
        <w:rPr>
          <w:i/>
          <w:sz w:val="26"/>
          <w:szCs w:val="26"/>
        </w:rPr>
      </w:pPr>
      <w:r>
        <w:rPr>
          <w:rStyle w:val="Style1"/>
        </w:rPr>
        <w:tab/>
      </w:r>
      <w:r>
        <w:rPr>
          <w:rStyle w:val="Style1"/>
        </w:rPr>
        <w:tab/>
      </w:r>
      <w:r>
        <w:rPr>
          <w:rStyle w:val="Style1"/>
        </w:rPr>
        <w:tab/>
      </w:r>
      <w:r>
        <w:rPr>
          <w:rStyle w:val="Style1"/>
        </w:rPr>
        <w:tab/>
      </w:r>
      <w:r>
        <w:rPr>
          <w:rStyle w:val="Style1"/>
        </w:rPr>
        <w:tab/>
      </w:r>
      <w:r>
        <w:rPr>
          <w:sz w:val="26"/>
          <w:szCs w:val="26"/>
        </w:rPr>
        <w:tab/>
      </w:r>
      <w:r>
        <w:rPr>
          <w:i/>
          <w:sz w:val="26"/>
          <w:szCs w:val="26"/>
        </w:rPr>
        <w:t>President</w:t>
      </w:r>
    </w:p>
    <w:p w14:paraId="792BC807" w14:textId="77777777" w:rsidR="003F45A2" w:rsidRPr="00C9234D" w:rsidRDefault="003F45A2" w:rsidP="003F45A2">
      <w:pPr>
        <w:pStyle w:val="ListParagraph"/>
        <w:spacing w:line="236" w:lineRule="exact"/>
        <w:ind w:left="0"/>
        <w:jc w:val="both"/>
        <w:rPr>
          <w:sz w:val="26"/>
          <w:szCs w:val="26"/>
        </w:rPr>
      </w:pPr>
    </w:p>
    <w:p w14:paraId="637AB645" w14:textId="77777777" w:rsidR="0086071C" w:rsidRDefault="0086071C"/>
    <w:sectPr w:rsidR="0086071C" w:rsidSect="003F45A2">
      <w:headerReference w:type="default" r:id="rId8"/>
      <w:footerReference w:type="default" r:id="rId9"/>
      <w:pgSz w:w="12240" w:h="15840" w:code="1"/>
      <w:pgMar w:top="1915" w:right="720" w:bottom="1440" w:left="216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7353F" w14:textId="77777777" w:rsidR="001C47DE" w:rsidRDefault="001C47DE">
      <w:pPr>
        <w:spacing w:line="240" w:lineRule="auto"/>
      </w:pPr>
      <w:r>
        <w:separator/>
      </w:r>
    </w:p>
  </w:endnote>
  <w:endnote w:type="continuationSeparator" w:id="0">
    <w:p w14:paraId="38B020B9" w14:textId="77777777" w:rsidR="001C47DE" w:rsidRDefault="001C4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58131"/>
      <w:docPartObj>
        <w:docPartGallery w:val="Page Numbers (Bottom of Page)"/>
        <w:docPartUnique/>
      </w:docPartObj>
    </w:sdtPr>
    <w:sdtEndPr>
      <w:rPr>
        <w:noProof/>
      </w:rPr>
    </w:sdtEndPr>
    <w:sdtContent>
      <w:p w14:paraId="18F10812" w14:textId="77777777" w:rsidR="000A5060" w:rsidRDefault="000A5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CF482B" w14:textId="77777777" w:rsidR="000A5060" w:rsidRDefault="000A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EE6A9" w14:textId="77777777" w:rsidR="001C47DE" w:rsidRDefault="001C47DE">
      <w:pPr>
        <w:spacing w:line="240" w:lineRule="auto"/>
      </w:pPr>
      <w:r>
        <w:separator/>
      </w:r>
    </w:p>
  </w:footnote>
  <w:footnote w:type="continuationSeparator" w:id="0">
    <w:p w14:paraId="4D101EEA" w14:textId="77777777" w:rsidR="001C47DE" w:rsidRDefault="001C47DE">
      <w:pPr>
        <w:spacing w:line="240" w:lineRule="auto"/>
      </w:pPr>
      <w:r>
        <w:continuationSeparator/>
      </w:r>
    </w:p>
  </w:footnote>
  <w:footnote w:id="1">
    <w:p w14:paraId="45739F78" w14:textId="3871E695" w:rsidR="000A5060" w:rsidRDefault="000A5060" w:rsidP="00BE6204">
      <w:pPr>
        <w:pStyle w:val="FootnoteText"/>
      </w:pPr>
      <w:r>
        <w:rPr>
          <w:rStyle w:val="FootnoteReference"/>
        </w:rPr>
        <w:footnoteRef/>
      </w:r>
      <w:r>
        <w:t xml:space="preserve"> </w:t>
      </w:r>
      <w:r w:rsidRPr="00EB1676">
        <w:t>Goldstein, Matthew, Jessica Silver-Greenberg, and Robert Gebelhoff. “</w:t>
      </w:r>
      <w:r w:rsidRPr="00EB1676">
        <w:rPr>
          <w:i/>
          <w:iCs/>
        </w:rPr>
        <w:t>Push for Profits Left Nursing Homes Struggling to Provide Care</w:t>
      </w:r>
      <w:r w:rsidRPr="00EB1676">
        <w:t xml:space="preserve">.” </w:t>
      </w:r>
      <w:r w:rsidRPr="00EB1676">
        <w:rPr>
          <w:i/>
          <w:iCs/>
        </w:rPr>
        <w:t>The New York Times</w:t>
      </w:r>
      <w:r w:rsidRPr="00EB1676">
        <w:t>, May 7, 2020.</w:t>
      </w:r>
      <w:r>
        <w:t xml:space="preserve"> </w:t>
      </w:r>
      <w:r w:rsidRPr="00354F8F">
        <w:t>https://www.nytimes.com/2020/05/07/business/coronavirus-nursing-homes.html</w:t>
      </w:r>
    </w:p>
    <w:p w14:paraId="5969291D" w14:textId="77777777" w:rsidR="000A5060" w:rsidRDefault="000A5060" w:rsidP="00354F8F">
      <w:pPr>
        <w:pStyle w:val="FootnoteText"/>
      </w:pPr>
    </w:p>
  </w:footnote>
  <w:footnote w:id="2">
    <w:p w14:paraId="514AFAF7" w14:textId="58CA9155" w:rsidR="000A5060" w:rsidRDefault="000A5060">
      <w:pPr>
        <w:pStyle w:val="FootnoteText"/>
      </w:pPr>
      <w:r>
        <w:rPr>
          <w:rStyle w:val="FootnoteReference"/>
        </w:rPr>
        <w:footnoteRef/>
      </w:r>
      <w:r>
        <w:t xml:space="preserve"> </w:t>
      </w:r>
      <w:r w:rsidRPr="00354F8F">
        <w:t>Morgenson</w:t>
      </w:r>
      <w:r>
        <w:t xml:space="preserve">, Gretchen, </w:t>
      </w:r>
      <w:r w:rsidRPr="00354F8F">
        <w:t>Emmanuelle Saliba</w:t>
      </w:r>
      <w:r>
        <w:t>.</w:t>
      </w:r>
      <w:r w:rsidR="00827262">
        <w:t xml:space="preserve"> </w:t>
      </w:r>
      <w:r>
        <w:rPr>
          <w:i/>
          <w:iCs/>
        </w:rPr>
        <w:t>“</w:t>
      </w:r>
      <w:r w:rsidRPr="00354F8F">
        <w:rPr>
          <w:i/>
          <w:iCs/>
        </w:rPr>
        <w:t>Private equity firms now control many hospitals, ERs and nursing homes. Is it good for health care?</w:t>
      </w:r>
      <w:r>
        <w:t xml:space="preserve">” </w:t>
      </w:r>
      <w:r w:rsidRPr="00BE6204">
        <w:rPr>
          <w:i/>
          <w:iCs/>
        </w:rPr>
        <w:t>NBC News</w:t>
      </w:r>
      <w:r>
        <w:t xml:space="preserve">, May 13, 2020. </w:t>
      </w:r>
      <w:r w:rsidRPr="00BB118E">
        <w:t>https://www.nbcnews.com/health/health-care/private-equity-firms-now-control-many-hospitals-ers-nursing-homes-n1203161</w:t>
      </w:r>
    </w:p>
    <w:p w14:paraId="6A3056DC" w14:textId="77777777" w:rsidR="000A5060" w:rsidRDefault="000A5060">
      <w:pPr>
        <w:pStyle w:val="FootnoteText"/>
      </w:pPr>
    </w:p>
  </w:footnote>
  <w:footnote w:id="3">
    <w:p w14:paraId="7D9FF518" w14:textId="7CB98C8C" w:rsidR="000A5060" w:rsidRDefault="000A5060">
      <w:pPr>
        <w:pStyle w:val="FootnoteText"/>
      </w:pPr>
      <w:r>
        <w:rPr>
          <w:rStyle w:val="FootnoteReference"/>
        </w:rPr>
        <w:footnoteRef/>
      </w:r>
      <w:r>
        <w:t xml:space="preserve"> Capron, Maddie. </w:t>
      </w:r>
      <w:r w:rsidRPr="00BB118E">
        <w:rPr>
          <w:i/>
          <w:iCs/>
        </w:rPr>
        <w:t>“Teen first counted as coronavirus death was turned away at urgent care, CA mayor says.”</w:t>
      </w:r>
      <w:r>
        <w:t xml:space="preserve"> </w:t>
      </w:r>
      <w:r>
        <w:rPr>
          <w:i/>
          <w:iCs/>
        </w:rPr>
        <w:t>The Sacramento Bee</w:t>
      </w:r>
      <w:r>
        <w:t xml:space="preserve">, March 27, 2020. </w:t>
      </w:r>
      <w:r w:rsidRPr="008B34F4">
        <w:t>https://www.sacbee.com/news/coronavirus/article241580601.html</w:t>
      </w:r>
    </w:p>
    <w:p w14:paraId="05E21E83" w14:textId="77777777" w:rsidR="000A5060" w:rsidRPr="00BB118E" w:rsidRDefault="000A5060">
      <w:pPr>
        <w:pStyle w:val="FootnoteText"/>
      </w:pPr>
    </w:p>
  </w:footnote>
  <w:footnote w:id="4">
    <w:p w14:paraId="24F77234" w14:textId="36146FD4" w:rsidR="000A5060" w:rsidRDefault="000A5060" w:rsidP="00F02C03">
      <w:pPr>
        <w:pStyle w:val="FootnoteText"/>
        <w:jc w:val="both"/>
      </w:pPr>
      <w:r>
        <w:rPr>
          <w:rStyle w:val="FootnoteReference"/>
        </w:rPr>
        <w:footnoteRef/>
      </w:r>
      <w:r>
        <w:t xml:space="preserve"> The Amended Petition cites liberally to three law review articles in support of its position, one by Crispin Passmore</w:t>
      </w:r>
      <w:r w:rsidR="005D641B">
        <w:t>,</w:t>
      </w:r>
      <w:r>
        <w:t xml:space="preserve"> another by Stephen </w:t>
      </w:r>
      <w:r>
        <w:t xml:space="preserve">Gillers, and a third by Thomas Andrews. </w:t>
      </w:r>
      <w:r>
        <w:rPr>
          <w:i/>
          <w:iCs/>
        </w:rPr>
        <w:t xml:space="preserve">See Amended Petition </w:t>
      </w:r>
      <w:r>
        <w:t xml:space="preserve">at 13-21. Mr. Passmore runs his own consulting firm in </w:t>
      </w:r>
      <w:r w:rsidR="00F815EE">
        <w:t>the United Kingdom</w:t>
      </w:r>
      <w:r>
        <w:t xml:space="preserve"> that advises start-ups, venture capitalists, and private equity firms that buy up law practices. Mr. Gillers has not practiced law in four decades. Mr. Andrews practiced law for approximately five years in the early 1980s and wrote the cited article in 1989. That the Petitioner cited to these sources uncritically and without any context illustrates how unseriously the Task Force has considered the arguments against their position.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2F2B8" w14:textId="77777777" w:rsidR="000A5060" w:rsidRPr="004C2142" w:rsidRDefault="000A5060" w:rsidP="000A5060">
    <w:pPr>
      <w:pStyle w:val="Header"/>
      <w:tabs>
        <w:tab w:val="clear" w:pos="4320"/>
      </w:tabs>
      <w:spacing w:line="240" w:lineRule="auto"/>
      <w:rPr>
        <w:i/>
      </w:rPr>
    </w:pPr>
    <w:r>
      <w:rPr>
        <w:noProof/>
      </w:rPr>
      <mc:AlternateContent>
        <mc:Choice Requires="wps">
          <w:drawing>
            <wp:anchor distT="0" distB="0" distL="114300" distR="114300" simplePos="0" relativeHeight="251663360" behindDoc="0" locked="0" layoutInCell="1" allowOverlap="1" wp14:anchorId="6DB97E8A" wp14:editId="003871DE">
              <wp:simplePos x="0" y="0"/>
              <wp:positionH relativeFrom="column">
                <wp:posOffset>-1163320</wp:posOffset>
              </wp:positionH>
              <wp:positionV relativeFrom="paragraph">
                <wp:posOffset>3593796</wp:posOffset>
              </wp:positionV>
              <wp:extent cx="971550" cy="2048786"/>
              <wp:effectExtent l="0" t="0" r="0" b="889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048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59C79" w14:textId="77777777" w:rsidR="000A5060" w:rsidRPr="00FD2A80" w:rsidRDefault="000A5060" w:rsidP="000A5060">
                          <w:pPr>
                            <w:spacing w:line="240" w:lineRule="auto"/>
                            <w:jc w:val="center"/>
                            <w:rPr>
                              <w:rFonts w:ascii="Garamond" w:hAnsi="Garamond"/>
                              <w:smallCaps/>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97E8A" id="_x0000_t202" coordsize="21600,21600" o:spt="202" path="m,l,21600r21600,l21600,xe">
              <v:stroke joinstyle="miter"/>
              <v:path gradientshapeok="t" o:connecttype="rect"/>
            </v:shapetype>
            <v:shape id="Text Box 7" o:spid="_x0000_s1026" type="#_x0000_t202" style="position:absolute;margin-left:-91.6pt;margin-top:283pt;width:76.5pt;height:16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tkvtAIAAL0FAAAOAAAAZHJzL2Uyb0RvYy54bWysVNtu2zAMfR+wfxD07voyJb6gTtHG8TCg&#10;uwDtPkCx5ViYLXmSEqcY9u+j5CRNWgwYtvlBsETqkIc84vXNvu/QjinNpchxeBVgxEQlay42Of76&#10;WHoJRtpQUdNOCpbjJ6bxzeLtm+txyFgkW9nVTCEAETobhxy3xgyZ7+uqZT3VV3JgAoyNVD01sFUb&#10;v1Z0BPS+86MgmPujVPWgZMW0htNiMuKFw28aVpnPTaOZQV2OITfjVuXWtV39xTXNNooOLa8OadC/&#10;yKKnXEDQE1RBDUVbxV9B9bxSUsvGXFWy92XT8Io5DsAmDF6weWjpwBwXKI4eTmXS/w+2+rT7ohCv&#10;oXcRRoL20KNHtjfoTu5RbMszDjoDr4cB/MwejsHVUdXDvay+aSTksqViw26VkmPLaA3phfamf3Z1&#10;wtEWZD1+lDWEoVsjHdC+Ub2tHVQDATq06enUGptKBYdpHM5mYKnAFAUkiZO5C0Gz4+1BafOeyR7Z&#10;nxwraL1Dp7t7bWw2NDu62GBClrzrXPs7cXEAjtMJxIar1mazcN38kQbpKlklxCPRfOWRoCi823JJ&#10;vHkZxrPiXbFcFuFPGzckWcvrmgkb5qiskPxZ5w4anzRx0paWHa8tnE1Jq8162Sm0o6Ds0n2Hgpy5&#10;+ZdpuCIAlxeUwogEd1HqlfMk9khJZl4aB4kXhOldOg9ISoryktI9F+zfKaER2jqLZpOYfsstcN9r&#10;bjTruYHZ0fE+x8nJiWZWgitRu9Yayrvp/6wUNv3nUkC7j412grUandRq9us9oFgVr2X9BNJVEpQF&#10;KoSBBz92jWLYjjA/cqy/b6liGHUfBLyANCQETMZtyCyOYKPOLetzCxVVK2EsGYym36WZhtR2UHzT&#10;QrDpzQl5C6+m4U7Qz4kd3hrMCMfrMM/sEDrfO6/nqbv4BQAA//8DAFBLAwQUAAYACAAAACEAh/B3&#10;BeIAAAAMAQAADwAAAGRycy9kb3ducmV2LnhtbEyPTU+DQBCG7yb+h82YeKO7LZEQZGmMxiZeTIt6&#10;8LawIxD3A9ltof/e8WSPM/Pknectt4s17IRTGLyTsF4JYOharwfXSXh/e05yYCEqp5XxDiWcMcC2&#10;ur4qVaH97A54qmPHKMSFQknoYxwLzkPbo1Vh5Ud0dPvyk1WRxqnjelIzhVvDN0Jk3KrB0YdejfjY&#10;Y/tdH62Ej+b1bA5j+imG+WW/7H729dOuk/L2Znm4BxZxif8w/OmTOlTk1Pij04EZCck6TzfESrjL&#10;MmpFSJIK2jQS8jzPgFclvyxR/QIAAP//AwBQSwECLQAUAAYACAAAACEAtoM4kv4AAADhAQAAEwAA&#10;AAAAAAAAAAAAAAAAAAAAW0NvbnRlbnRfVHlwZXNdLnhtbFBLAQItABQABgAIAAAAIQA4/SH/1gAA&#10;AJQBAAALAAAAAAAAAAAAAAAAAC8BAABfcmVscy8ucmVsc1BLAQItABQABgAIAAAAIQD71tkvtAIA&#10;AL0FAAAOAAAAAAAAAAAAAAAAAC4CAABkcnMvZTJvRG9jLnhtbFBLAQItABQABgAIAAAAIQCH8HcF&#10;4gAAAAwBAAAPAAAAAAAAAAAAAAAAAA4FAABkcnMvZG93bnJldi54bWxQSwUGAAAAAAQABADzAAAA&#10;HQYAAAAA&#10;" filled="f" stroked="f">
              <v:textbox style="layout-flow:vertical;mso-layout-flow-alt:bottom-to-top">
                <w:txbxContent>
                  <w:p w14:paraId="1FA59C79" w14:textId="77777777" w:rsidR="000A5060" w:rsidRPr="00FD2A80" w:rsidRDefault="000A5060" w:rsidP="000A5060">
                    <w:pPr>
                      <w:spacing w:line="240" w:lineRule="auto"/>
                      <w:jc w:val="center"/>
                      <w:rPr>
                        <w:rFonts w:ascii="Garamond" w:hAnsi="Garamond"/>
                        <w:smallCaps/>
                        <w:sz w:val="26"/>
                        <w:szCs w:val="26"/>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074FD56" wp14:editId="73277BBF">
              <wp:simplePos x="0" y="0"/>
              <wp:positionH relativeFrom="margin">
                <wp:posOffset>-640080</wp:posOffset>
              </wp:positionH>
              <wp:positionV relativeFrom="margin">
                <wp:posOffset>0</wp:posOffset>
              </wp:positionV>
              <wp:extent cx="457200" cy="7927975"/>
              <wp:effectExtent l="0" t="0" r="1905"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92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65523" w14:textId="77777777" w:rsidR="000A5060" w:rsidRPr="00374AC1" w:rsidRDefault="000A5060" w:rsidP="000A5060">
                          <w:pPr>
                            <w:jc w:val="right"/>
                            <w:rPr>
                              <w:sz w:val="24"/>
                              <w:szCs w:val="24"/>
                            </w:rPr>
                          </w:pPr>
                          <w:r w:rsidRPr="00374AC1">
                            <w:rPr>
                              <w:sz w:val="24"/>
                              <w:szCs w:val="24"/>
                            </w:rPr>
                            <w:t>1</w:t>
                          </w:r>
                        </w:p>
                        <w:p w14:paraId="18BCE387" w14:textId="77777777" w:rsidR="000A5060" w:rsidRPr="00374AC1" w:rsidRDefault="000A5060" w:rsidP="000A5060">
                          <w:pPr>
                            <w:jc w:val="right"/>
                            <w:rPr>
                              <w:sz w:val="24"/>
                              <w:szCs w:val="24"/>
                            </w:rPr>
                          </w:pPr>
                          <w:r w:rsidRPr="00374AC1">
                            <w:rPr>
                              <w:sz w:val="24"/>
                              <w:szCs w:val="24"/>
                            </w:rPr>
                            <w:t>2</w:t>
                          </w:r>
                        </w:p>
                        <w:p w14:paraId="21717448" w14:textId="77777777" w:rsidR="000A5060" w:rsidRPr="00374AC1" w:rsidRDefault="000A5060" w:rsidP="000A5060">
                          <w:pPr>
                            <w:jc w:val="right"/>
                            <w:rPr>
                              <w:sz w:val="24"/>
                              <w:szCs w:val="24"/>
                            </w:rPr>
                          </w:pPr>
                          <w:r w:rsidRPr="00374AC1">
                            <w:rPr>
                              <w:sz w:val="24"/>
                              <w:szCs w:val="24"/>
                            </w:rPr>
                            <w:t>3</w:t>
                          </w:r>
                        </w:p>
                        <w:p w14:paraId="1886B784" w14:textId="77777777" w:rsidR="000A5060" w:rsidRPr="00374AC1" w:rsidRDefault="000A5060" w:rsidP="000A5060">
                          <w:pPr>
                            <w:jc w:val="right"/>
                            <w:rPr>
                              <w:sz w:val="24"/>
                              <w:szCs w:val="24"/>
                            </w:rPr>
                          </w:pPr>
                          <w:r w:rsidRPr="00374AC1">
                            <w:rPr>
                              <w:sz w:val="24"/>
                              <w:szCs w:val="24"/>
                            </w:rPr>
                            <w:t>4</w:t>
                          </w:r>
                        </w:p>
                        <w:p w14:paraId="033AEFC4" w14:textId="77777777" w:rsidR="000A5060" w:rsidRPr="00374AC1" w:rsidRDefault="000A5060" w:rsidP="000A5060">
                          <w:pPr>
                            <w:jc w:val="right"/>
                            <w:rPr>
                              <w:sz w:val="24"/>
                              <w:szCs w:val="24"/>
                            </w:rPr>
                          </w:pPr>
                          <w:r w:rsidRPr="00374AC1">
                            <w:rPr>
                              <w:sz w:val="24"/>
                              <w:szCs w:val="24"/>
                            </w:rPr>
                            <w:t>5</w:t>
                          </w:r>
                        </w:p>
                        <w:p w14:paraId="070CD726" w14:textId="77777777" w:rsidR="000A5060" w:rsidRPr="00374AC1" w:rsidRDefault="000A5060" w:rsidP="000A5060">
                          <w:pPr>
                            <w:jc w:val="right"/>
                            <w:rPr>
                              <w:sz w:val="24"/>
                              <w:szCs w:val="24"/>
                            </w:rPr>
                          </w:pPr>
                          <w:r w:rsidRPr="00374AC1">
                            <w:rPr>
                              <w:sz w:val="24"/>
                              <w:szCs w:val="24"/>
                            </w:rPr>
                            <w:t>6</w:t>
                          </w:r>
                        </w:p>
                        <w:p w14:paraId="12A66EFA" w14:textId="77777777" w:rsidR="000A5060" w:rsidRPr="00374AC1" w:rsidRDefault="000A5060" w:rsidP="000A5060">
                          <w:pPr>
                            <w:jc w:val="right"/>
                            <w:rPr>
                              <w:sz w:val="24"/>
                              <w:szCs w:val="24"/>
                            </w:rPr>
                          </w:pPr>
                          <w:r w:rsidRPr="00374AC1">
                            <w:rPr>
                              <w:sz w:val="24"/>
                              <w:szCs w:val="24"/>
                            </w:rPr>
                            <w:t>7</w:t>
                          </w:r>
                        </w:p>
                        <w:p w14:paraId="15FC30B3" w14:textId="77777777" w:rsidR="000A5060" w:rsidRDefault="000A5060" w:rsidP="000A5060">
                          <w:pPr>
                            <w:jc w:val="right"/>
                            <w:rPr>
                              <w:sz w:val="24"/>
                              <w:szCs w:val="24"/>
                            </w:rPr>
                          </w:pPr>
                          <w:r w:rsidRPr="00374AC1">
                            <w:rPr>
                              <w:sz w:val="24"/>
                              <w:szCs w:val="24"/>
                            </w:rPr>
                            <w:t>8</w:t>
                          </w:r>
                        </w:p>
                        <w:p w14:paraId="06E4FCFD" w14:textId="77777777" w:rsidR="000A5060" w:rsidRPr="00374AC1" w:rsidRDefault="000A5060" w:rsidP="000A5060">
                          <w:pPr>
                            <w:jc w:val="right"/>
                            <w:rPr>
                              <w:sz w:val="24"/>
                              <w:szCs w:val="24"/>
                            </w:rPr>
                          </w:pPr>
                          <w:r>
                            <w:rPr>
                              <w:sz w:val="24"/>
                              <w:szCs w:val="24"/>
                            </w:rPr>
                            <w:t>9</w:t>
                          </w:r>
                        </w:p>
                        <w:p w14:paraId="19CA295A" w14:textId="77777777" w:rsidR="000A5060" w:rsidRPr="00374AC1" w:rsidRDefault="000A5060" w:rsidP="000A5060">
                          <w:pPr>
                            <w:jc w:val="right"/>
                            <w:rPr>
                              <w:sz w:val="24"/>
                              <w:szCs w:val="24"/>
                            </w:rPr>
                          </w:pPr>
                          <w:r w:rsidRPr="00374AC1">
                            <w:rPr>
                              <w:sz w:val="24"/>
                              <w:szCs w:val="24"/>
                            </w:rPr>
                            <w:t>10</w:t>
                          </w:r>
                        </w:p>
                        <w:p w14:paraId="7BA11CB3" w14:textId="77777777" w:rsidR="000A5060" w:rsidRPr="00374AC1" w:rsidRDefault="000A5060" w:rsidP="000A5060">
                          <w:pPr>
                            <w:jc w:val="right"/>
                            <w:rPr>
                              <w:sz w:val="24"/>
                              <w:szCs w:val="24"/>
                            </w:rPr>
                          </w:pPr>
                          <w:r w:rsidRPr="00374AC1">
                            <w:rPr>
                              <w:sz w:val="24"/>
                              <w:szCs w:val="24"/>
                            </w:rPr>
                            <w:t>11</w:t>
                          </w:r>
                        </w:p>
                        <w:p w14:paraId="6ED6EDA8" w14:textId="77777777" w:rsidR="000A5060" w:rsidRPr="00374AC1" w:rsidRDefault="000A5060" w:rsidP="000A5060">
                          <w:pPr>
                            <w:jc w:val="right"/>
                            <w:rPr>
                              <w:sz w:val="24"/>
                              <w:szCs w:val="24"/>
                            </w:rPr>
                          </w:pPr>
                          <w:r w:rsidRPr="00374AC1">
                            <w:rPr>
                              <w:sz w:val="24"/>
                              <w:szCs w:val="24"/>
                            </w:rPr>
                            <w:t>12</w:t>
                          </w:r>
                        </w:p>
                        <w:p w14:paraId="46683A8B" w14:textId="77777777" w:rsidR="000A5060" w:rsidRPr="00374AC1" w:rsidRDefault="000A5060" w:rsidP="000A5060">
                          <w:pPr>
                            <w:jc w:val="right"/>
                            <w:rPr>
                              <w:sz w:val="24"/>
                              <w:szCs w:val="24"/>
                            </w:rPr>
                          </w:pPr>
                          <w:r w:rsidRPr="00374AC1">
                            <w:rPr>
                              <w:sz w:val="24"/>
                              <w:szCs w:val="24"/>
                            </w:rPr>
                            <w:t>13</w:t>
                          </w:r>
                        </w:p>
                        <w:p w14:paraId="279AD1B8" w14:textId="77777777" w:rsidR="000A5060" w:rsidRPr="00374AC1" w:rsidRDefault="000A5060" w:rsidP="000A5060">
                          <w:pPr>
                            <w:jc w:val="right"/>
                            <w:rPr>
                              <w:sz w:val="24"/>
                              <w:szCs w:val="24"/>
                            </w:rPr>
                          </w:pPr>
                          <w:r w:rsidRPr="00374AC1">
                            <w:rPr>
                              <w:sz w:val="24"/>
                              <w:szCs w:val="24"/>
                            </w:rPr>
                            <w:t>14</w:t>
                          </w:r>
                        </w:p>
                        <w:p w14:paraId="796C56E8" w14:textId="77777777" w:rsidR="000A5060" w:rsidRPr="00374AC1" w:rsidRDefault="000A5060" w:rsidP="000A5060">
                          <w:pPr>
                            <w:jc w:val="right"/>
                            <w:rPr>
                              <w:sz w:val="24"/>
                              <w:szCs w:val="24"/>
                            </w:rPr>
                          </w:pPr>
                          <w:r w:rsidRPr="00374AC1">
                            <w:rPr>
                              <w:sz w:val="24"/>
                              <w:szCs w:val="24"/>
                            </w:rPr>
                            <w:t>15</w:t>
                          </w:r>
                        </w:p>
                        <w:p w14:paraId="4C4F0508" w14:textId="77777777" w:rsidR="000A5060" w:rsidRPr="00374AC1" w:rsidRDefault="000A5060" w:rsidP="000A5060">
                          <w:pPr>
                            <w:jc w:val="right"/>
                            <w:rPr>
                              <w:sz w:val="24"/>
                              <w:szCs w:val="24"/>
                            </w:rPr>
                          </w:pPr>
                          <w:r w:rsidRPr="00374AC1">
                            <w:rPr>
                              <w:sz w:val="24"/>
                              <w:szCs w:val="24"/>
                            </w:rPr>
                            <w:t>16</w:t>
                          </w:r>
                        </w:p>
                        <w:p w14:paraId="0E80DC66" w14:textId="77777777" w:rsidR="000A5060" w:rsidRPr="00374AC1" w:rsidRDefault="000A5060" w:rsidP="000A5060">
                          <w:pPr>
                            <w:jc w:val="right"/>
                            <w:rPr>
                              <w:sz w:val="24"/>
                              <w:szCs w:val="24"/>
                            </w:rPr>
                          </w:pPr>
                          <w:r w:rsidRPr="00374AC1">
                            <w:rPr>
                              <w:sz w:val="24"/>
                              <w:szCs w:val="24"/>
                            </w:rPr>
                            <w:t>17</w:t>
                          </w:r>
                        </w:p>
                        <w:p w14:paraId="0093FC64" w14:textId="77777777" w:rsidR="000A5060" w:rsidRPr="00374AC1" w:rsidRDefault="000A5060" w:rsidP="000A5060">
                          <w:pPr>
                            <w:jc w:val="right"/>
                            <w:rPr>
                              <w:sz w:val="24"/>
                              <w:szCs w:val="24"/>
                            </w:rPr>
                          </w:pPr>
                          <w:r w:rsidRPr="00374AC1">
                            <w:rPr>
                              <w:sz w:val="24"/>
                              <w:szCs w:val="24"/>
                            </w:rPr>
                            <w:t>18</w:t>
                          </w:r>
                        </w:p>
                        <w:p w14:paraId="484638CE" w14:textId="77777777" w:rsidR="000A5060" w:rsidRPr="00374AC1" w:rsidRDefault="000A5060" w:rsidP="000A5060">
                          <w:pPr>
                            <w:jc w:val="right"/>
                            <w:rPr>
                              <w:sz w:val="24"/>
                              <w:szCs w:val="24"/>
                            </w:rPr>
                          </w:pPr>
                          <w:r w:rsidRPr="00374AC1">
                            <w:rPr>
                              <w:sz w:val="24"/>
                              <w:szCs w:val="24"/>
                            </w:rPr>
                            <w:t>19</w:t>
                          </w:r>
                        </w:p>
                        <w:p w14:paraId="48FE24AF" w14:textId="77777777" w:rsidR="000A5060" w:rsidRPr="00374AC1" w:rsidRDefault="000A5060" w:rsidP="000A5060">
                          <w:pPr>
                            <w:jc w:val="right"/>
                            <w:rPr>
                              <w:sz w:val="24"/>
                              <w:szCs w:val="24"/>
                            </w:rPr>
                          </w:pPr>
                          <w:r w:rsidRPr="00374AC1">
                            <w:rPr>
                              <w:sz w:val="24"/>
                              <w:szCs w:val="24"/>
                            </w:rPr>
                            <w:t>20</w:t>
                          </w:r>
                        </w:p>
                        <w:p w14:paraId="58D21774" w14:textId="77777777" w:rsidR="000A5060" w:rsidRPr="00374AC1" w:rsidRDefault="000A5060" w:rsidP="000A5060">
                          <w:pPr>
                            <w:jc w:val="right"/>
                            <w:rPr>
                              <w:sz w:val="24"/>
                              <w:szCs w:val="24"/>
                            </w:rPr>
                          </w:pPr>
                          <w:r w:rsidRPr="00374AC1">
                            <w:rPr>
                              <w:sz w:val="24"/>
                              <w:szCs w:val="24"/>
                            </w:rPr>
                            <w:t>21</w:t>
                          </w:r>
                        </w:p>
                        <w:p w14:paraId="0EDA9ABB" w14:textId="77777777" w:rsidR="000A5060" w:rsidRPr="00374AC1" w:rsidRDefault="000A5060" w:rsidP="000A5060">
                          <w:pPr>
                            <w:jc w:val="right"/>
                            <w:rPr>
                              <w:sz w:val="24"/>
                              <w:szCs w:val="24"/>
                            </w:rPr>
                          </w:pPr>
                          <w:r w:rsidRPr="00374AC1">
                            <w:rPr>
                              <w:sz w:val="24"/>
                              <w:szCs w:val="24"/>
                            </w:rPr>
                            <w:t>22</w:t>
                          </w:r>
                        </w:p>
                        <w:p w14:paraId="736EA663" w14:textId="77777777" w:rsidR="000A5060" w:rsidRPr="00374AC1" w:rsidRDefault="000A5060" w:rsidP="000A5060">
                          <w:pPr>
                            <w:jc w:val="right"/>
                            <w:rPr>
                              <w:sz w:val="24"/>
                              <w:szCs w:val="24"/>
                            </w:rPr>
                          </w:pPr>
                          <w:r w:rsidRPr="00374AC1">
                            <w:rPr>
                              <w:sz w:val="24"/>
                              <w:szCs w:val="24"/>
                            </w:rPr>
                            <w:t>23</w:t>
                          </w:r>
                        </w:p>
                        <w:p w14:paraId="76F2157A" w14:textId="77777777" w:rsidR="000A5060" w:rsidRPr="00374AC1" w:rsidRDefault="000A5060" w:rsidP="000A5060">
                          <w:pPr>
                            <w:jc w:val="right"/>
                            <w:rPr>
                              <w:sz w:val="24"/>
                              <w:szCs w:val="24"/>
                            </w:rPr>
                          </w:pPr>
                          <w:r w:rsidRPr="00374AC1">
                            <w:rPr>
                              <w:sz w:val="24"/>
                              <w:szCs w:val="24"/>
                            </w:rPr>
                            <w:t>24</w:t>
                          </w:r>
                        </w:p>
                        <w:p w14:paraId="402EF0B7" w14:textId="77777777" w:rsidR="000A5060" w:rsidRPr="00374AC1" w:rsidRDefault="000A5060" w:rsidP="000A5060">
                          <w:pPr>
                            <w:jc w:val="right"/>
                            <w:rPr>
                              <w:sz w:val="24"/>
                              <w:szCs w:val="24"/>
                            </w:rPr>
                          </w:pPr>
                          <w:r w:rsidRPr="00374AC1">
                            <w:rPr>
                              <w:sz w:val="24"/>
                              <w:szCs w:val="24"/>
                            </w:rPr>
                            <w:t>25</w:t>
                          </w:r>
                        </w:p>
                        <w:p w14:paraId="63D57F02" w14:textId="77777777" w:rsidR="000A5060" w:rsidRPr="00374AC1" w:rsidRDefault="000A5060" w:rsidP="000A5060">
                          <w:pPr>
                            <w:jc w:val="right"/>
                            <w:rPr>
                              <w:sz w:val="24"/>
                              <w:szCs w:val="24"/>
                            </w:rPr>
                          </w:pPr>
                          <w:r w:rsidRPr="00374AC1">
                            <w:rPr>
                              <w:sz w:val="24"/>
                              <w:szCs w:val="24"/>
                            </w:rPr>
                            <w:t>26</w:t>
                          </w:r>
                        </w:p>
                        <w:p w14:paraId="10766A76" w14:textId="77777777" w:rsidR="000A5060" w:rsidRDefault="000A5060" w:rsidP="000A506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074FD56" id="LineNumbers" o:spid="_x0000_s1027" type="#_x0000_t202" style="position:absolute;margin-left:-50.4pt;margin-top:0;width:36pt;height:62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QLdgIAAPsEAAAOAAAAZHJzL2Uyb0RvYy54bWysVNtu1DAQfUfiHyy/b5Osss0maraiLYuQ&#10;SkEqfIBjOxsLX4Lt3aQg/p2xs9m2XCSEyIMztsfHM3PO+OJyVBIduHXC6BpnZylGXFPDhN7V+NPH&#10;7WKNkfNEMyKN5jV+4A5fbl6+uBj6ii9NZyTjFgGIdtXQ17jzvq+SxNGOK+LOTM81bLbGKuJhancJ&#10;s2QAdCWTZZqeJ4OxrLeGcudg9WbaxJuI37ac+vdt67hHssYQm4+jjWMTxmRzQaqdJX0n6DEM8g9R&#10;KCI0XHqCuiGeoL0Vv0ApQa1xpvVn1KjEtK2gPOYA2WTpT9ncd6TnMRcojutPZXL/D5beHT5YJFiN&#10;C4w0UUDRrdD8bq8aIDWUZ+hdBV73Pfj58cqMQHNM1fW3hn52SJvrjugdf2WtGTpOGISXhZPJk6MT&#10;jgsgzfDOMLiH7L2JQGNrVagdVAMBOtD0cKKGjx5RWMxXBdCNEYWtolwWZbGKV5BqPt1b599wo1Aw&#10;amyB+ohODrfOh2hINbuEy5yRgm2FlHFid821tOhAQCbb+B3Rn7lJHZy1CccmxGkFgoQ7wl4IN9L+&#10;rcyWeXq1LBfb83WxyLf5alEW6XqRZuVVeZ7mZX6z/R4CzPKqE4xxHeo+SzDL/47iYzNM4okiREON&#10;y9VyNVH0xyTT+P0uSSU8dKQUqsbrkxOpArGvNYO0SeWJkJOdPA8/VhlqMP9jVaIMAvOTBvzYjFFw&#10;USNBIo1hD6ALa4A2oBheEzA6Y79iNEBn1th92RPLMZJvNWgrtPFs2NloZoNoCkdr7DGazGsf231i&#10;7hVorhVRDo83H5UKHRbjPr4GoYWfzqPX45u1+QEAAP//AwBQSwMEFAAGAAgAAAAhACwoUSneAAAA&#10;CgEAAA8AAABkcnMvZG93bnJldi54bWxMj8FOwzAQRO9I/IO1SFxQajeCKgpxKmjhBoeWqudtbJKI&#10;eB3FTpP+PcuJHkczmnlTrGfXibMdQutJw3KhQFiqvGmp1nD4ek8yECEiGew8WQ0XG2Bd3t4UmBs/&#10;0c6e97EWXEIhRw1NjH0uZaga6zAsfG+JvW8/OIwsh1qaAScud51MlVpJhy3xQoO93TS2+tmPTsNq&#10;O4zTjjYP28PbB372dXp8vRy1vr+bX55BRDvH/zD84TM6lMx08iOZIDoNyVIpZo8a+BL7SZqxPHEw&#10;fcyeQJaFvL5Q/gIAAP//AwBQSwECLQAUAAYACAAAACEAtoM4kv4AAADhAQAAEwAAAAAAAAAAAAAA&#10;AAAAAAAAW0NvbnRlbnRfVHlwZXNdLnhtbFBLAQItABQABgAIAAAAIQA4/SH/1gAAAJQBAAALAAAA&#10;AAAAAAAAAAAAAC8BAABfcmVscy8ucmVsc1BLAQItABQABgAIAAAAIQBoyVQLdgIAAPsEAAAOAAAA&#10;AAAAAAAAAAAAAC4CAABkcnMvZTJvRG9jLnhtbFBLAQItABQABgAIAAAAIQAsKFEp3gAAAAoBAAAP&#10;AAAAAAAAAAAAAAAAANAEAABkcnMvZG93bnJldi54bWxQSwUGAAAAAAQABADzAAAA2wUAAAAA&#10;" stroked="f">
              <v:textbox inset="0,0,0,0">
                <w:txbxContent>
                  <w:p w14:paraId="09C65523" w14:textId="77777777" w:rsidR="000A5060" w:rsidRPr="00374AC1" w:rsidRDefault="000A5060" w:rsidP="000A5060">
                    <w:pPr>
                      <w:jc w:val="right"/>
                      <w:rPr>
                        <w:sz w:val="24"/>
                        <w:szCs w:val="24"/>
                      </w:rPr>
                    </w:pPr>
                    <w:r w:rsidRPr="00374AC1">
                      <w:rPr>
                        <w:sz w:val="24"/>
                        <w:szCs w:val="24"/>
                      </w:rPr>
                      <w:t>1</w:t>
                    </w:r>
                  </w:p>
                  <w:p w14:paraId="18BCE387" w14:textId="77777777" w:rsidR="000A5060" w:rsidRPr="00374AC1" w:rsidRDefault="000A5060" w:rsidP="000A5060">
                    <w:pPr>
                      <w:jc w:val="right"/>
                      <w:rPr>
                        <w:sz w:val="24"/>
                        <w:szCs w:val="24"/>
                      </w:rPr>
                    </w:pPr>
                    <w:r w:rsidRPr="00374AC1">
                      <w:rPr>
                        <w:sz w:val="24"/>
                        <w:szCs w:val="24"/>
                      </w:rPr>
                      <w:t>2</w:t>
                    </w:r>
                  </w:p>
                  <w:p w14:paraId="21717448" w14:textId="77777777" w:rsidR="000A5060" w:rsidRPr="00374AC1" w:rsidRDefault="000A5060" w:rsidP="000A5060">
                    <w:pPr>
                      <w:jc w:val="right"/>
                      <w:rPr>
                        <w:sz w:val="24"/>
                        <w:szCs w:val="24"/>
                      </w:rPr>
                    </w:pPr>
                    <w:r w:rsidRPr="00374AC1">
                      <w:rPr>
                        <w:sz w:val="24"/>
                        <w:szCs w:val="24"/>
                      </w:rPr>
                      <w:t>3</w:t>
                    </w:r>
                  </w:p>
                  <w:p w14:paraId="1886B784" w14:textId="77777777" w:rsidR="000A5060" w:rsidRPr="00374AC1" w:rsidRDefault="000A5060" w:rsidP="000A5060">
                    <w:pPr>
                      <w:jc w:val="right"/>
                      <w:rPr>
                        <w:sz w:val="24"/>
                        <w:szCs w:val="24"/>
                      </w:rPr>
                    </w:pPr>
                    <w:r w:rsidRPr="00374AC1">
                      <w:rPr>
                        <w:sz w:val="24"/>
                        <w:szCs w:val="24"/>
                      </w:rPr>
                      <w:t>4</w:t>
                    </w:r>
                  </w:p>
                  <w:p w14:paraId="033AEFC4" w14:textId="77777777" w:rsidR="000A5060" w:rsidRPr="00374AC1" w:rsidRDefault="000A5060" w:rsidP="000A5060">
                    <w:pPr>
                      <w:jc w:val="right"/>
                      <w:rPr>
                        <w:sz w:val="24"/>
                        <w:szCs w:val="24"/>
                      </w:rPr>
                    </w:pPr>
                    <w:r w:rsidRPr="00374AC1">
                      <w:rPr>
                        <w:sz w:val="24"/>
                        <w:szCs w:val="24"/>
                      </w:rPr>
                      <w:t>5</w:t>
                    </w:r>
                  </w:p>
                  <w:p w14:paraId="070CD726" w14:textId="77777777" w:rsidR="000A5060" w:rsidRPr="00374AC1" w:rsidRDefault="000A5060" w:rsidP="000A5060">
                    <w:pPr>
                      <w:jc w:val="right"/>
                      <w:rPr>
                        <w:sz w:val="24"/>
                        <w:szCs w:val="24"/>
                      </w:rPr>
                    </w:pPr>
                    <w:r w:rsidRPr="00374AC1">
                      <w:rPr>
                        <w:sz w:val="24"/>
                        <w:szCs w:val="24"/>
                      </w:rPr>
                      <w:t>6</w:t>
                    </w:r>
                  </w:p>
                  <w:p w14:paraId="12A66EFA" w14:textId="77777777" w:rsidR="000A5060" w:rsidRPr="00374AC1" w:rsidRDefault="000A5060" w:rsidP="000A5060">
                    <w:pPr>
                      <w:jc w:val="right"/>
                      <w:rPr>
                        <w:sz w:val="24"/>
                        <w:szCs w:val="24"/>
                      </w:rPr>
                    </w:pPr>
                    <w:r w:rsidRPr="00374AC1">
                      <w:rPr>
                        <w:sz w:val="24"/>
                        <w:szCs w:val="24"/>
                      </w:rPr>
                      <w:t>7</w:t>
                    </w:r>
                  </w:p>
                  <w:p w14:paraId="15FC30B3" w14:textId="77777777" w:rsidR="000A5060" w:rsidRDefault="000A5060" w:rsidP="000A5060">
                    <w:pPr>
                      <w:jc w:val="right"/>
                      <w:rPr>
                        <w:sz w:val="24"/>
                        <w:szCs w:val="24"/>
                      </w:rPr>
                    </w:pPr>
                    <w:r w:rsidRPr="00374AC1">
                      <w:rPr>
                        <w:sz w:val="24"/>
                        <w:szCs w:val="24"/>
                      </w:rPr>
                      <w:t>8</w:t>
                    </w:r>
                  </w:p>
                  <w:p w14:paraId="06E4FCFD" w14:textId="77777777" w:rsidR="000A5060" w:rsidRPr="00374AC1" w:rsidRDefault="000A5060" w:rsidP="000A5060">
                    <w:pPr>
                      <w:jc w:val="right"/>
                      <w:rPr>
                        <w:sz w:val="24"/>
                        <w:szCs w:val="24"/>
                      </w:rPr>
                    </w:pPr>
                    <w:r>
                      <w:rPr>
                        <w:sz w:val="24"/>
                        <w:szCs w:val="24"/>
                      </w:rPr>
                      <w:t>9</w:t>
                    </w:r>
                  </w:p>
                  <w:p w14:paraId="19CA295A" w14:textId="77777777" w:rsidR="000A5060" w:rsidRPr="00374AC1" w:rsidRDefault="000A5060" w:rsidP="000A5060">
                    <w:pPr>
                      <w:jc w:val="right"/>
                      <w:rPr>
                        <w:sz w:val="24"/>
                        <w:szCs w:val="24"/>
                      </w:rPr>
                    </w:pPr>
                    <w:r w:rsidRPr="00374AC1">
                      <w:rPr>
                        <w:sz w:val="24"/>
                        <w:szCs w:val="24"/>
                      </w:rPr>
                      <w:t>10</w:t>
                    </w:r>
                  </w:p>
                  <w:p w14:paraId="7BA11CB3" w14:textId="77777777" w:rsidR="000A5060" w:rsidRPr="00374AC1" w:rsidRDefault="000A5060" w:rsidP="000A5060">
                    <w:pPr>
                      <w:jc w:val="right"/>
                      <w:rPr>
                        <w:sz w:val="24"/>
                        <w:szCs w:val="24"/>
                      </w:rPr>
                    </w:pPr>
                    <w:r w:rsidRPr="00374AC1">
                      <w:rPr>
                        <w:sz w:val="24"/>
                        <w:szCs w:val="24"/>
                      </w:rPr>
                      <w:t>11</w:t>
                    </w:r>
                  </w:p>
                  <w:p w14:paraId="6ED6EDA8" w14:textId="77777777" w:rsidR="000A5060" w:rsidRPr="00374AC1" w:rsidRDefault="000A5060" w:rsidP="000A5060">
                    <w:pPr>
                      <w:jc w:val="right"/>
                      <w:rPr>
                        <w:sz w:val="24"/>
                        <w:szCs w:val="24"/>
                      </w:rPr>
                    </w:pPr>
                    <w:r w:rsidRPr="00374AC1">
                      <w:rPr>
                        <w:sz w:val="24"/>
                        <w:szCs w:val="24"/>
                      </w:rPr>
                      <w:t>12</w:t>
                    </w:r>
                  </w:p>
                  <w:p w14:paraId="46683A8B" w14:textId="77777777" w:rsidR="000A5060" w:rsidRPr="00374AC1" w:rsidRDefault="000A5060" w:rsidP="000A5060">
                    <w:pPr>
                      <w:jc w:val="right"/>
                      <w:rPr>
                        <w:sz w:val="24"/>
                        <w:szCs w:val="24"/>
                      </w:rPr>
                    </w:pPr>
                    <w:r w:rsidRPr="00374AC1">
                      <w:rPr>
                        <w:sz w:val="24"/>
                        <w:szCs w:val="24"/>
                      </w:rPr>
                      <w:t>13</w:t>
                    </w:r>
                  </w:p>
                  <w:p w14:paraId="279AD1B8" w14:textId="77777777" w:rsidR="000A5060" w:rsidRPr="00374AC1" w:rsidRDefault="000A5060" w:rsidP="000A5060">
                    <w:pPr>
                      <w:jc w:val="right"/>
                      <w:rPr>
                        <w:sz w:val="24"/>
                        <w:szCs w:val="24"/>
                      </w:rPr>
                    </w:pPr>
                    <w:r w:rsidRPr="00374AC1">
                      <w:rPr>
                        <w:sz w:val="24"/>
                        <w:szCs w:val="24"/>
                      </w:rPr>
                      <w:t>14</w:t>
                    </w:r>
                  </w:p>
                  <w:p w14:paraId="796C56E8" w14:textId="77777777" w:rsidR="000A5060" w:rsidRPr="00374AC1" w:rsidRDefault="000A5060" w:rsidP="000A5060">
                    <w:pPr>
                      <w:jc w:val="right"/>
                      <w:rPr>
                        <w:sz w:val="24"/>
                        <w:szCs w:val="24"/>
                      </w:rPr>
                    </w:pPr>
                    <w:r w:rsidRPr="00374AC1">
                      <w:rPr>
                        <w:sz w:val="24"/>
                        <w:szCs w:val="24"/>
                      </w:rPr>
                      <w:t>15</w:t>
                    </w:r>
                  </w:p>
                  <w:p w14:paraId="4C4F0508" w14:textId="77777777" w:rsidR="000A5060" w:rsidRPr="00374AC1" w:rsidRDefault="000A5060" w:rsidP="000A5060">
                    <w:pPr>
                      <w:jc w:val="right"/>
                      <w:rPr>
                        <w:sz w:val="24"/>
                        <w:szCs w:val="24"/>
                      </w:rPr>
                    </w:pPr>
                    <w:r w:rsidRPr="00374AC1">
                      <w:rPr>
                        <w:sz w:val="24"/>
                        <w:szCs w:val="24"/>
                      </w:rPr>
                      <w:t>16</w:t>
                    </w:r>
                  </w:p>
                  <w:p w14:paraId="0E80DC66" w14:textId="77777777" w:rsidR="000A5060" w:rsidRPr="00374AC1" w:rsidRDefault="000A5060" w:rsidP="000A5060">
                    <w:pPr>
                      <w:jc w:val="right"/>
                      <w:rPr>
                        <w:sz w:val="24"/>
                        <w:szCs w:val="24"/>
                      </w:rPr>
                    </w:pPr>
                    <w:r w:rsidRPr="00374AC1">
                      <w:rPr>
                        <w:sz w:val="24"/>
                        <w:szCs w:val="24"/>
                      </w:rPr>
                      <w:t>17</w:t>
                    </w:r>
                  </w:p>
                  <w:p w14:paraId="0093FC64" w14:textId="77777777" w:rsidR="000A5060" w:rsidRPr="00374AC1" w:rsidRDefault="000A5060" w:rsidP="000A5060">
                    <w:pPr>
                      <w:jc w:val="right"/>
                      <w:rPr>
                        <w:sz w:val="24"/>
                        <w:szCs w:val="24"/>
                      </w:rPr>
                    </w:pPr>
                    <w:r w:rsidRPr="00374AC1">
                      <w:rPr>
                        <w:sz w:val="24"/>
                        <w:szCs w:val="24"/>
                      </w:rPr>
                      <w:t>18</w:t>
                    </w:r>
                  </w:p>
                  <w:p w14:paraId="484638CE" w14:textId="77777777" w:rsidR="000A5060" w:rsidRPr="00374AC1" w:rsidRDefault="000A5060" w:rsidP="000A5060">
                    <w:pPr>
                      <w:jc w:val="right"/>
                      <w:rPr>
                        <w:sz w:val="24"/>
                        <w:szCs w:val="24"/>
                      </w:rPr>
                    </w:pPr>
                    <w:r w:rsidRPr="00374AC1">
                      <w:rPr>
                        <w:sz w:val="24"/>
                        <w:szCs w:val="24"/>
                      </w:rPr>
                      <w:t>19</w:t>
                    </w:r>
                  </w:p>
                  <w:p w14:paraId="48FE24AF" w14:textId="77777777" w:rsidR="000A5060" w:rsidRPr="00374AC1" w:rsidRDefault="000A5060" w:rsidP="000A5060">
                    <w:pPr>
                      <w:jc w:val="right"/>
                      <w:rPr>
                        <w:sz w:val="24"/>
                        <w:szCs w:val="24"/>
                      </w:rPr>
                    </w:pPr>
                    <w:r w:rsidRPr="00374AC1">
                      <w:rPr>
                        <w:sz w:val="24"/>
                        <w:szCs w:val="24"/>
                      </w:rPr>
                      <w:t>20</w:t>
                    </w:r>
                  </w:p>
                  <w:p w14:paraId="58D21774" w14:textId="77777777" w:rsidR="000A5060" w:rsidRPr="00374AC1" w:rsidRDefault="000A5060" w:rsidP="000A5060">
                    <w:pPr>
                      <w:jc w:val="right"/>
                      <w:rPr>
                        <w:sz w:val="24"/>
                        <w:szCs w:val="24"/>
                      </w:rPr>
                    </w:pPr>
                    <w:r w:rsidRPr="00374AC1">
                      <w:rPr>
                        <w:sz w:val="24"/>
                        <w:szCs w:val="24"/>
                      </w:rPr>
                      <w:t>21</w:t>
                    </w:r>
                  </w:p>
                  <w:p w14:paraId="0EDA9ABB" w14:textId="77777777" w:rsidR="000A5060" w:rsidRPr="00374AC1" w:rsidRDefault="000A5060" w:rsidP="000A5060">
                    <w:pPr>
                      <w:jc w:val="right"/>
                      <w:rPr>
                        <w:sz w:val="24"/>
                        <w:szCs w:val="24"/>
                      </w:rPr>
                    </w:pPr>
                    <w:r w:rsidRPr="00374AC1">
                      <w:rPr>
                        <w:sz w:val="24"/>
                        <w:szCs w:val="24"/>
                      </w:rPr>
                      <w:t>22</w:t>
                    </w:r>
                  </w:p>
                  <w:p w14:paraId="736EA663" w14:textId="77777777" w:rsidR="000A5060" w:rsidRPr="00374AC1" w:rsidRDefault="000A5060" w:rsidP="000A5060">
                    <w:pPr>
                      <w:jc w:val="right"/>
                      <w:rPr>
                        <w:sz w:val="24"/>
                        <w:szCs w:val="24"/>
                      </w:rPr>
                    </w:pPr>
                    <w:r w:rsidRPr="00374AC1">
                      <w:rPr>
                        <w:sz w:val="24"/>
                        <w:szCs w:val="24"/>
                      </w:rPr>
                      <w:t>23</w:t>
                    </w:r>
                  </w:p>
                  <w:p w14:paraId="76F2157A" w14:textId="77777777" w:rsidR="000A5060" w:rsidRPr="00374AC1" w:rsidRDefault="000A5060" w:rsidP="000A5060">
                    <w:pPr>
                      <w:jc w:val="right"/>
                      <w:rPr>
                        <w:sz w:val="24"/>
                        <w:szCs w:val="24"/>
                      </w:rPr>
                    </w:pPr>
                    <w:r w:rsidRPr="00374AC1">
                      <w:rPr>
                        <w:sz w:val="24"/>
                        <w:szCs w:val="24"/>
                      </w:rPr>
                      <w:t>24</w:t>
                    </w:r>
                  </w:p>
                  <w:p w14:paraId="402EF0B7" w14:textId="77777777" w:rsidR="000A5060" w:rsidRPr="00374AC1" w:rsidRDefault="000A5060" w:rsidP="000A5060">
                    <w:pPr>
                      <w:jc w:val="right"/>
                      <w:rPr>
                        <w:sz w:val="24"/>
                        <w:szCs w:val="24"/>
                      </w:rPr>
                    </w:pPr>
                    <w:r w:rsidRPr="00374AC1">
                      <w:rPr>
                        <w:sz w:val="24"/>
                        <w:szCs w:val="24"/>
                      </w:rPr>
                      <w:t>25</w:t>
                    </w:r>
                  </w:p>
                  <w:p w14:paraId="63D57F02" w14:textId="77777777" w:rsidR="000A5060" w:rsidRPr="00374AC1" w:rsidRDefault="000A5060" w:rsidP="000A5060">
                    <w:pPr>
                      <w:jc w:val="right"/>
                      <w:rPr>
                        <w:sz w:val="24"/>
                        <w:szCs w:val="24"/>
                      </w:rPr>
                    </w:pPr>
                    <w:r w:rsidRPr="00374AC1">
                      <w:rPr>
                        <w:sz w:val="24"/>
                        <w:szCs w:val="24"/>
                      </w:rPr>
                      <w:t>26</w:t>
                    </w:r>
                  </w:p>
                  <w:p w14:paraId="10766A76" w14:textId="77777777" w:rsidR="000A5060" w:rsidRDefault="000A5060" w:rsidP="000A5060">
                    <w:pPr>
                      <w:jc w:val="right"/>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4CC33CBD" wp14:editId="78FDEF5B">
              <wp:simplePos x="0" y="0"/>
              <wp:positionH relativeFrom="margin">
                <wp:posOffset>5943600</wp:posOffset>
              </wp:positionH>
              <wp:positionV relativeFrom="page">
                <wp:posOffset>0</wp:posOffset>
              </wp:positionV>
              <wp:extent cx="0" cy="10058400"/>
              <wp:effectExtent l="9525" t="9525" r="9525" b="9525"/>
              <wp:wrapNone/>
              <wp:docPr id="8"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A44FFC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2hywEAAHoDAAAOAAAAZHJzL2Uyb0RvYy54bWysU02P0zAQvSPxHyzfadKKoiVquhJdlssC&#10;Fbv7A6a2k1jYHst2m/TfM3Y/YNkbIgfLM37zPPOes7qdrGEHFaJG1/L5rOZMOYFSu77lz0/37244&#10;iwmcBINOtfyoIr9dv32zGn2jFjigkSowInGxGX3Lh5R8U1VRDMpCnKFXjg47DBYShaGvZICR2K2p&#10;FnX9oRoxSB9QqBgpe3c65OvC33VKpO9dF1VipuXUWyprKOsur9V6BU0fwA9anNuAf+jCgnZ06ZXq&#10;DhKwfdCvqKwWASN2aSbQVth1WqgyA00zr/+a5nEAr8osJE70V5ni/6MV3w7bwLRsORnlwJJFP3Q/&#10;pE8kqwqcDVpKlZ3NSo0+NlSwcduQZxWTe/QPKH5G5nAzgOtV6fjp6ImmVFQvSnIQPd23G7+iJAzs&#10;ExbZpi7YTEmCsKm4c7y6o6bExCkpKDuv6+XN+7pYV0FzqfQhpi8KLcublhvtsnLQwOEhJuqdoBdI&#10;Tju818YU941jY8s/LhfLUhDRaJkPMyyGfrcxgR0gv5/yZSGI7AUs4N7JQjYokJ/P+wTanPaEN47K&#10;LgKcpNyhPG5Dpst5MrgQnx9jfkF/xgX1+5dZ/wIAAP//AwBQSwMEFAAGAAgAAAAhAHZuVVrdAAAA&#10;CQEAAA8AAABkcnMvZG93bnJldi54bWxMj8FOwzAQRO9I/IO1SNyoA4WoTeNUqAj1gIRK4QO2sUlC&#10;4nVku3Xg61nEAS4rjWY0+6ZcT3YQJ+ND50jB9SwDYah2uqNGwdvr49UCRIhIGgdHRsGnCbCuzs9K&#10;LLRL9GJO+9gILqFQoII2xrGQMtStsRhmbjTE3rvzFiNL30jtMXG5HeRNluXSYkf8ocXRbFpT9/uj&#10;VfC1fZ4/+NGn9LHZ9k+0w9RPuVKXF9P9CkQ0U/wLww8+o0PFTAd3JB3EoGA5z3lLVMCX7V954Nzd&#10;4jYDWZXy/4LqGwAA//8DAFBLAQItABQABgAIAAAAIQC2gziS/gAAAOEBAAATAAAAAAAAAAAAAAAA&#10;AAAAAABbQ29udGVudF9UeXBlc10ueG1sUEsBAi0AFAAGAAgAAAAhADj9If/WAAAAlAEAAAsAAAAA&#10;AAAAAAAAAAAALwEAAF9yZWxzLy5yZWxzUEsBAi0AFAAGAAgAAAAhAD/IraHLAQAAegMAAA4AAAAA&#10;AAAAAAAAAAAALgIAAGRycy9lMm9Eb2MueG1sUEsBAi0AFAAGAAgAAAAhAHZuVVrdAAAACQEAAA8A&#10;AAAAAAAAAAAAAAAAJQQAAGRycy9kb3ducmV2LnhtbFBLBQYAAAAABAAEAPMAAAAvBQAAAAA=&#10;">
              <w10:wrap anchorx="margin" anchory="page"/>
            </v:line>
          </w:pict>
        </mc:Fallback>
      </mc:AlternateContent>
    </w:r>
    <w:r>
      <w:rPr>
        <w:noProof/>
      </w:rPr>
      <mc:AlternateContent>
        <mc:Choice Requires="wps">
          <w:drawing>
            <wp:anchor distT="0" distB="0" distL="114300" distR="114300" simplePos="0" relativeHeight="251660288" behindDoc="0" locked="0" layoutInCell="1" allowOverlap="1" wp14:anchorId="40D467F3" wp14:editId="2FA4B2B7">
              <wp:simplePos x="0" y="0"/>
              <wp:positionH relativeFrom="margin">
                <wp:posOffset>-91440</wp:posOffset>
              </wp:positionH>
              <wp:positionV relativeFrom="page">
                <wp:posOffset>0</wp:posOffset>
              </wp:positionV>
              <wp:extent cx="0" cy="10058400"/>
              <wp:effectExtent l="13335" t="9525" r="5715" b="9525"/>
              <wp:wrapNone/>
              <wp:docPr id="9"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63B2564" id="LeftBorder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ZxAEAAG8DAAAOAAAAZHJzL2Uyb0RvYy54bWysU9uO0zAQfUfiHyy/06QVRUvUdCW6LC8F&#10;Ku3yAVPbSSxsj2W7Tfr3jN3LLvCGyINlz+XMnDOT1f1kDTuqEDW6ls9nNWfKCZTa9S3/8fz47o6z&#10;mMBJMOhUy08q8vv12zer0TdqgQMaqQIjEBeb0bd8SMk3VRXFoCzEGXrlyNlhsJDoGfpKBhgJ3Zpq&#10;UdcfqhGD9AGFipGsD2cnXxf8rlMife+6qBIzLafeUjlDOff5rNYraPoAftDi0gb8QxcWtKOiN6gH&#10;SMAOQf8FZbUIGLFLM4G2wq7TQhUOxGZe/8HmaQCvChcSJ/qbTPH/wYpvx11gWrb8I2cOLI1oq7r0&#10;iVRVYZHlGX1sKGrjdiETFJN78lsUPyNzuBnA9aq0+XzylDvPGdVvKfkRPRXZj19RUgwcEhatpi7Y&#10;DEkqsKmM5HQbiZoSE2ejIOu8rpd37+syrwqaa6YPMX1RaFm+tNxol+WCBo7bmHIn0FxDstnhozam&#10;jNw4NhLn5WJZEiIaLbMzh8XQ7zcmsCPkpSlfoUWe12EBD04WsEGB/Hy5J9DmfKfixl3UyAKcpdyj&#10;PO3CVSWaaunysoF5bV6/S/bLf7L+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jgo/Z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59264" behindDoc="0" locked="0" layoutInCell="1" allowOverlap="1" wp14:anchorId="5C68DD5C" wp14:editId="3E010C2E">
              <wp:simplePos x="0" y="0"/>
              <wp:positionH relativeFrom="margin">
                <wp:posOffset>-45720</wp:posOffset>
              </wp:positionH>
              <wp:positionV relativeFrom="page">
                <wp:posOffset>0</wp:posOffset>
              </wp:positionV>
              <wp:extent cx="0" cy="10058400"/>
              <wp:effectExtent l="11430" t="9525" r="7620" b="9525"/>
              <wp:wrapNone/>
              <wp:docPr id="1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624A281"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BlxQEAAHA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0geB5Y82qou&#10;fSJZVZhnfUYfG4Jt3C7kCcXknvwWxc/IHG4GcL0qfT6fPNWWiupVSQ6ip1v241eUhIFDwiLW1AWb&#10;KUkGNhVPTjdP1JSYOCcFZed1vbx7XxfDKmiulT7E9EWhZXnTcqNd1gsaOG5jot4JeoXktMNHbUzx&#10;3Dg2tvzjcrEsBRGNlvkww2Lo9xsT2BHyqylfFoLIXsECHpwsZIMC+fmyT6DNeU9446jsKsBZyj3K&#10;0y5kupwnWwvx5Qnmd/N7XFAvP8r6FwAAAP//AwBQSwMEFAAGAAgAAAAhAM0P5h7aAAAABwEAAA8A&#10;AABkcnMvZG93bnJldi54bWxMj8tOwzAQRfdI/IM1SGyq1ia8qhCnQkB2bCggttN4SCLicRq7beDr&#10;GdjA8uoe3TlTrCbfqz2NsQts4WxhQBHXwXXcWHh5ruZLUDEhO+wDk4VPirAqj48KzF048BPt16lR&#10;MsIxRwttSkOudaxb8hgXYSCW7j2MHpPEsdFuxIOM+15nxlxpjx3LhRYHumup/ljvvIVYvdK2+prV&#10;M/N23gTKtvePD2jt6cl0ewMq0ZT+YPjRF3UoxWkTduyi6i3MrzMhLchD0v6mjVCXywsDuiz0f//y&#10;GwAA//8DAFBLAQItABQABgAIAAAAIQC2gziS/gAAAOEBAAATAAAAAAAAAAAAAAAAAAAAAABbQ29u&#10;dGVudF9UeXBlc10ueG1sUEsBAi0AFAAGAAgAAAAhADj9If/WAAAAlAEAAAsAAAAAAAAAAAAAAAAA&#10;LwEAAF9yZWxzLy5yZWxzUEsBAi0AFAAGAAgAAAAhACkfAGXFAQAAcAMAAA4AAAAAAAAAAAAAAAAA&#10;LgIAAGRycy9lMm9Eb2MueG1sUEsBAi0AFAAGAAgAAAAhAM0P5h7aAAAABwEAAA8AAAAAAAAAAAAA&#10;AAAAHwQAAGRycy9kb3ducmV2LnhtbFBLBQYAAAAABAAEAPMAAAAmBQAAAAA=&#10;">
              <w10:wrap anchorx="margin" anchory="page"/>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127FF"/>
    <w:multiLevelType w:val="hybridMultilevel"/>
    <w:tmpl w:val="F6D04D7A"/>
    <w:lvl w:ilvl="0" w:tplc="0CC41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D448E0"/>
    <w:multiLevelType w:val="hybridMultilevel"/>
    <w:tmpl w:val="C8281C54"/>
    <w:lvl w:ilvl="0" w:tplc="19FC3A9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A2"/>
    <w:rsid w:val="00066617"/>
    <w:rsid w:val="000850F1"/>
    <w:rsid w:val="000927FA"/>
    <w:rsid w:val="000A5060"/>
    <w:rsid w:val="000A7173"/>
    <w:rsid w:val="000B7711"/>
    <w:rsid w:val="001030E7"/>
    <w:rsid w:val="00113888"/>
    <w:rsid w:val="0012212C"/>
    <w:rsid w:val="0015182E"/>
    <w:rsid w:val="00151ECA"/>
    <w:rsid w:val="00171292"/>
    <w:rsid w:val="00185FA2"/>
    <w:rsid w:val="00194869"/>
    <w:rsid w:val="001B46F6"/>
    <w:rsid w:val="001C47DE"/>
    <w:rsid w:val="001C61EE"/>
    <w:rsid w:val="001E0BA2"/>
    <w:rsid w:val="00201407"/>
    <w:rsid w:val="00222DC1"/>
    <w:rsid w:val="00234AA2"/>
    <w:rsid w:val="00272EED"/>
    <w:rsid w:val="002815DF"/>
    <w:rsid w:val="002839A4"/>
    <w:rsid w:val="002B08BE"/>
    <w:rsid w:val="002C162A"/>
    <w:rsid w:val="002F3E59"/>
    <w:rsid w:val="0030370E"/>
    <w:rsid w:val="003069CB"/>
    <w:rsid w:val="00336522"/>
    <w:rsid w:val="00345C34"/>
    <w:rsid w:val="00353EED"/>
    <w:rsid w:val="00354F8F"/>
    <w:rsid w:val="00376B92"/>
    <w:rsid w:val="0039130A"/>
    <w:rsid w:val="003A6F27"/>
    <w:rsid w:val="003B0676"/>
    <w:rsid w:val="003B5465"/>
    <w:rsid w:val="003D6C79"/>
    <w:rsid w:val="003E022F"/>
    <w:rsid w:val="003E777F"/>
    <w:rsid w:val="003F45A2"/>
    <w:rsid w:val="00402387"/>
    <w:rsid w:val="00473DB5"/>
    <w:rsid w:val="004A212B"/>
    <w:rsid w:val="004A3B05"/>
    <w:rsid w:val="00517D99"/>
    <w:rsid w:val="00542B8A"/>
    <w:rsid w:val="0054411C"/>
    <w:rsid w:val="005536A0"/>
    <w:rsid w:val="00555913"/>
    <w:rsid w:val="005704D7"/>
    <w:rsid w:val="00575878"/>
    <w:rsid w:val="005B02EA"/>
    <w:rsid w:val="005C2AD1"/>
    <w:rsid w:val="005D641B"/>
    <w:rsid w:val="005E6194"/>
    <w:rsid w:val="00600AC5"/>
    <w:rsid w:val="00616DA0"/>
    <w:rsid w:val="00621166"/>
    <w:rsid w:val="00652A62"/>
    <w:rsid w:val="006575F6"/>
    <w:rsid w:val="0066096D"/>
    <w:rsid w:val="00680B0C"/>
    <w:rsid w:val="00691886"/>
    <w:rsid w:val="006A1966"/>
    <w:rsid w:val="006B0521"/>
    <w:rsid w:val="006D64E1"/>
    <w:rsid w:val="007062F0"/>
    <w:rsid w:val="007206B7"/>
    <w:rsid w:val="00754A55"/>
    <w:rsid w:val="00770BAA"/>
    <w:rsid w:val="00797BE5"/>
    <w:rsid w:val="007A7FF4"/>
    <w:rsid w:val="00806D7D"/>
    <w:rsid w:val="00811AF3"/>
    <w:rsid w:val="00821206"/>
    <w:rsid w:val="00827262"/>
    <w:rsid w:val="0083250D"/>
    <w:rsid w:val="0085389B"/>
    <w:rsid w:val="0086071C"/>
    <w:rsid w:val="008B34F4"/>
    <w:rsid w:val="008C2598"/>
    <w:rsid w:val="008F2881"/>
    <w:rsid w:val="008F3C31"/>
    <w:rsid w:val="008F4808"/>
    <w:rsid w:val="008F6CA0"/>
    <w:rsid w:val="00915B55"/>
    <w:rsid w:val="00924D9F"/>
    <w:rsid w:val="00925B9B"/>
    <w:rsid w:val="00950AC3"/>
    <w:rsid w:val="009C5583"/>
    <w:rsid w:val="009E67C7"/>
    <w:rsid w:val="00A068EC"/>
    <w:rsid w:val="00A11FAE"/>
    <w:rsid w:val="00A20600"/>
    <w:rsid w:val="00A323CC"/>
    <w:rsid w:val="00A4049F"/>
    <w:rsid w:val="00AA5D31"/>
    <w:rsid w:val="00AD3A92"/>
    <w:rsid w:val="00AE3F5B"/>
    <w:rsid w:val="00AF3A35"/>
    <w:rsid w:val="00AF562D"/>
    <w:rsid w:val="00B343FF"/>
    <w:rsid w:val="00B4756C"/>
    <w:rsid w:val="00B5588D"/>
    <w:rsid w:val="00B62C2E"/>
    <w:rsid w:val="00B751E0"/>
    <w:rsid w:val="00B965B6"/>
    <w:rsid w:val="00BB118E"/>
    <w:rsid w:val="00BB63C4"/>
    <w:rsid w:val="00BC7F27"/>
    <w:rsid w:val="00BE3E05"/>
    <w:rsid w:val="00BE6204"/>
    <w:rsid w:val="00C07288"/>
    <w:rsid w:val="00C1411F"/>
    <w:rsid w:val="00C32B5B"/>
    <w:rsid w:val="00C35E20"/>
    <w:rsid w:val="00C50384"/>
    <w:rsid w:val="00C67D5B"/>
    <w:rsid w:val="00C70A2D"/>
    <w:rsid w:val="00C96A51"/>
    <w:rsid w:val="00CA6DA9"/>
    <w:rsid w:val="00CF5E5A"/>
    <w:rsid w:val="00D1073C"/>
    <w:rsid w:val="00D2770A"/>
    <w:rsid w:val="00D87CBA"/>
    <w:rsid w:val="00DA1E4C"/>
    <w:rsid w:val="00DB1CDF"/>
    <w:rsid w:val="00DC006B"/>
    <w:rsid w:val="00DE71FC"/>
    <w:rsid w:val="00E07850"/>
    <w:rsid w:val="00E45109"/>
    <w:rsid w:val="00E631B2"/>
    <w:rsid w:val="00E8349A"/>
    <w:rsid w:val="00EA6AA8"/>
    <w:rsid w:val="00EB1676"/>
    <w:rsid w:val="00EC36CC"/>
    <w:rsid w:val="00EC45E1"/>
    <w:rsid w:val="00EC6C32"/>
    <w:rsid w:val="00F02C03"/>
    <w:rsid w:val="00F03DA1"/>
    <w:rsid w:val="00F06F37"/>
    <w:rsid w:val="00F2757B"/>
    <w:rsid w:val="00F81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F87B"/>
  <w15:chartTrackingRefBased/>
  <w15:docId w15:val="{85F755AC-7BE0-4709-A564-E235001B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5A2"/>
    <w:pPr>
      <w:spacing w:after="0" w:line="471" w:lineRule="exact"/>
    </w:pPr>
    <w:rPr>
      <w:rFonts w:ascii="Times New Roman" w:eastAsia="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3F45A2"/>
    <w:pPr>
      <w:spacing w:line="236" w:lineRule="exact"/>
    </w:pPr>
  </w:style>
  <w:style w:type="paragraph" w:styleId="Header">
    <w:name w:val="header"/>
    <w:basedOn w:val="Normal"/>
    <w:link w:val="HeaderChar"/>
    <w:rsid w:val="003F45A2"/>
    <w:pPr>
      <w:tabs>
        <w:tab w:val="center" w:pos="4320"/>
        <w:tab w:val="right" w:pos="8640"/>
      </w:tabs>
    </w:pPr>
  </w:style>
  <w:style w:type="character" w:customStyle="1" w:styleId="HeaderChar">
    <w:name w:val="Header Char"/>
    <w:basedOn w:val="DefaultParagraphFont"/>
    <w:link w:val="Header"/>
    <w:rsid w:val="003F45A2"/>
    <w:rPr>
      <w:rFonts w:ascii="Times New Roman" w:eastAsia="Times New Roman" w:hAnsi="Times New Roman" w:cs="Times New Roman"/>
      <w:sz w:val="18"/>
      <w:szCs w:val="20"/>
    </w:rPr>
  </w:style>
  <w:style w:type="paragraph" w:styleId="Footer">
    <w:name w:val="footer"/>
    <w:basedOn w:val="Normal"/>
    <w:link w:val="FooterChar"/>
    <w:uiPriority w:val="99"/>
    <w:rsid w:val="003F45A2"/>
    <w:pPr>
      <w:tabs>
        <w:tab w:val="center" w:pos="4320"/>
        <w:tab w:val="right" w:pos="8640"/>
      </w:tabs>
    </w:pPr>
  </w:style>
  <w:style w:type="character" w:customStyle="1" w:styleId="FooterChar">
    <w:name w:val="Footer Char"/>
    <w:basedOn w:val="DefaultParagraphFont"/>
    <w:link w:val="Footer"/>
    <w:uiPriority w:val="99"/>
    <w:rsid w:val="003F45A2"/>
    <w:rPr>
      <w:rFonts w:ascii="Times New Roman" w:eastAsia="Times New Roman" w:hAnsi="Times New Roman" w:cs="Times New Roman"/>
      <w:sz w:val="18"/>
      <w:szCs w:val="20"/>
    </w:rPr>
  </w:style>
  <w:style w:type="paragraph" w:styleId="ListParagraph">
    <w:name w:val="List Paragraph"/>
    <w:basedOn w:val="Normal"/>
    <w:uiPriority w:val="34"/>
    <w:qFormat/>
    <w:rsid w:val="003F45A2"/>
    <w:pPr>
      <w:ind w:left="720"/>
      <w:contextualSpacing/>
    </w:pPr>
  </w:style>
  <w:style w:type="character" w:customStyle="1" w:styleId="Style1">
    <w:name w:val="Style1"/>
    <w:basedOn w:val="DefaultParagraphFont"/>
    <w:uiPriority w:val="1"/>
    <w:rsid w:val="003F45A2"/>
    <w:rPr>
      <w:rFonts w:ascii="Times New Roman" w:hAnsi="Times New Roman"/>
      <w:sz w:val="26"/>
    </w:rPr>
  </w:style>
  <w:style w:type="character" w:customStyle="1" w:styleId="Style3">
    <w:name w:val="Style3"/>
    <w:basedOn w:val="DefaultParagraphFont"/>
    <w:uiPriority w:val="1"/>
    <w:rsid w:val="003F45A2"/>
    <w:rPr>
      <w:i/>
    </w:rPr>
  </w:style>
  <w:style w:type="character" w:customStyle="1" w:styleId="css-1baulvz">
    <w:name w:val="css-1baulvz"/>
    <w:basedOn w:val="DefaultParagraphFont"/>
    <w:rsid w:val="00F06F37"/>
  </w:style>
  <w:style w:type="paragraph" w:styleId="FootnoteText">
    <w:name w:val="footnote text"/>
    <w:basedOn w:val="Normal"/>
    <w:link w:val="FootnoteTextChar"/>
    <w:uiPriority w:val="99"/>
    <w:semiHidden/>
    <w:unhideWhenUsed/>
    <w:rsid w:val="00924D9F"/>
    <w:pPr>
      <w:spacing w:line="240" w:lineRule="auto"/>
    </w:pPr>
    <w:rPr>
      <w:sz w:val="20"/>
    </w:rPr>
  </w:style>
  <w:style w:type="character" w:customStyle="1" w:styleId="FootnoteTextChar">
    <w:name w:val="Footnote Text Char"/>
    <w:basedOn w:val="DefaultParagraphFont"/>
    <w:link w:val="FootnoteText"/>
    <w:uiPriority w:val="99"/>
    <w:semiHidden/>
    <w:rsid w:val="00924D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24D9F"/>
    <w:rPr>
      <w:vertAlign w:val="superscript"/>
    </w:rPr>
  </w:style>
  <w:style w:type="character" w:styleId="Hyperlink">
    <w:name w:val="Hyperlink"/>
    <w:basedOn w:val="DefaultParagraphFont"/>
    <w:uiPriority w:val="99"/>
    <w:unhideWhenUsed/>
    <w:rsid w:val="00354F8F"/>
    <w:rPr>
      <w:color w:val="0563C1" w:themeColor="hyperlink"/>
      <w:u w:val="single"/>
    </w:rPr>
  </w:style>
  <w:style w:type="character" w:styleId="UnresolvedMention">
    <w:name w:val="Unresolved Mention"/>
    <w:basedOn w:val="DefaultParagraphFont"/>
    <w:uiPriority w:val="99"/>
    <w:semiHidden/>
    <w:unhideWhenUsed/>
    <w:rsid w:val="00354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EE300-E5EA-4E83-95EF-55ED231B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2378</Words>
  <Characters>13560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Rappaport</dc:creator>
  <cp:keywords/>
  <dc:description/>
  <cp:lastModifiedBy>Fox, Yolanda</cp:lastModifiedBy>
  <cp:revision>2</cp:revision>
  <cp:lastPrinted>2020-05-26T19:48:00Z</cp:lastPrinted>
  <dcterms:created xsi:type="dcterms:W3CDTF">2020-05-26T22:17:00Z</dcterms:created>
  <dcterms:modified xsi:type="dcterms:W3CDTF">2020-05-26T22:17:00Z</dcterms:modified>
</cp:coreProperties>
</file>