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D3DA6" w14:textId="77777777" w:rsidR="00DC38DE" w:rsidRDefault="00AC2190" w:rsidP="002E545E">
      <w:pPr>
        <w:pStyle w:val="AttorneyName"/>
        <w:spacing w:line="240" w:lineRule="auto"/>
        <w:rPr>
          <w:b/>
        </w:rPr>
      </w:pPr>
      <w:r>
        <w:rPr>
          <w:b/>
        </w:rPr>
        <w:t>ARIZONA CAPITAL REPRESENTATION PROJECT</w:t>
      </w:r>
    </w:p>
    <w:p w14:paraId="26BCE4C2" w14:textId="77777777" w:rsidR="00DB0932" w:rsidRPr="00DB0932" w:rsidRDefault="00DB0932" w:rsidP="00DB0932">
      <w:pPr>
        <w:pStyle w:val="AttorneyName"/>
        <w:spacing w:line="240" w:lineRule="auto"/>
        <w:rPr>
          <w:b/>
        </w:rPr>
      </w:pPr>
      <w:r w:rsidRPr="00DB0932">
        <w:rPr>
          <w:b/>
        </w:rPr>
        <w:t>NATMAN SCHAYE, SB# 007095</w:t>
      </w:r>
    </w:p>
    <w:p w14:paraId="37A0BAD9" w14:textId="77777777" w:rsidR="00DB0932" w:rsidRPr="00DB0932" w:rsidRDefault="00025086" w:rsidP="00DB0932">
      <w:pPr>
        <w:pStyle w:val="AttorneyName"/>
        <w:spacing w:line="240" w:lineRule="auto"/>
      </w:pPr>
      <w:hyperlink r:id="rId8" w:history="1">
        <w:r w:rsidR="00DB0932" w:rsidRPr="00DB0932">
          <w:rPr>
            <w:rStyle w:val="Hyperlink"/>
            <w:b/>
          </w:rPr>
          <w:t>natman@azcapitalproject.org</w:t>
        </w:r>
      </w:hyperlink>
    </w:p>
    <w:p w14:paraId="09764D64" w14:textId="2A39DCB6" w:rsidR="00AC2190" w:rsidRDefault="00107DC5" w:rsidP="002E545E">
      <w:pPr>
        <w:pStyle w:val="AttorneyName"/>
        <w:spacing w:line="240" w:lineRule="auto"/>
        <w:rPr>
          <w:b/>
        </w:rPr>
      </w:pPr>
      <w:r>
        <w:rPr>
          <w:b/>
        </w:rPr>
        <w:t>25 South Grande Avenue</w:t>
      </w:r>
      <w:r w:rsidR="00DB0932">
        <w:rPr>
          <w:b/>
        </w:rPr>
        <w:t xml:space="preserve">, </w:t>
      </w:r>
      <w:r w:rsidR="00AC2190">
        <w:rPr>
          <w:b/>
        </w:rPr>
        <w:t xml:space="preserve">Tucson, AZ </w:t>
      </w:r>
      <w:r>
        <w:rPr>
          <w:b/>
        </w:rPr>
        <w:t>85745</w:t>
      </w:r>
    </w:p>
    <w:p w14:paraId="1A83B83E" w14:textId="77777777" w:rsidR="00AC2190" w:rsidRDefault="00AC2190" w:rsidP="002E545E">
      <w:pPr>
        <w:pStyle w:val="AttorneyName"/>
        <w:spacing w:line="240" w:lineRule="auto"/>
        <w:rPr>
          <w:b/>
        </w:rPr>
      </w:pPr>
      <w:r>
        <w:rPr>
          <w:b/>
        </w:rPr>
        <w:t>TEL: (520) 229-8550</w:t>
      </w:r>
    </w:p>
    <w:p w14:paraId="27D30165" w14:textId="77777777" w:rsidR="00AC2190" w:rsidRDefault="00AC2190" w:rsidP="002E545E">
      <w:pPr>
        <w:pStyle w:val="AttorneyName"/>
        <w:spacing w:line="240" w:lineRule="auto"/>
      </w:pPr>
    </w:p>
    <w:p w14:paraId="39859C96" w14:textId="7B9E3871" w:rsidR="00696A86" w:rsidRPr="00F252E5" w:rsidRDefault="00A204A8" w:rsidP="002E545E">
      <w:pPr>
        <w:pStyle w:val="AttorneyName"/>
        <w:spacing w:line="240" w:lineRule="auto"/>
        <w:rPr>
          <w:b/>
        </w:rPr>
      </w:pPr>
      <w:r w:rsidRPr="00F252E5">
        <w:rPr>
          <w:b/>
        </w:rPr>
        <w:t xml:space="preserve">MARICOPA COUNTY </w:t>
      </w:r>
      <w:r w:rsidR="00451495">
        <w:rPr>
          <w:b/>
        </w:rPr>
        <w:t xml:space="preserve">OFFICE OF THE </w:t>
      </w:r>
      <w:r w:rsidRPr="00F252E5">
        <w:rPr>
          <w:b/>
        </w:rPr>
        <w:t>PUBLIC DEFENDER</w:t>
      </w:r>
    </w:p>
    <w:p w14:paraId="0BCC8E14" w14:textId="73FA1C26" w:rsidR="00DF0282" w:rsidRPr="00DB0932" w:rsidRDefault="00DF0282" w:rsidP="002E545E">
      <w:pPr>
        <w:pStyle w:val="AttorneyName"/>
        <w:spacing w:line="240" w:lineRule="auto"/>
        <w:rPr>
          <w:b/>
        </w:rPr>
      </w:pPr>
      <w:r w:rsidRPr="00DB0932">
        <w:rPr>
          <w:b/>
        </w:rPr>
        <w:t>JOHN CANBY, SB#010574</w:t>
      </w:r>
    </w:p>
    <w:p w14:paraId="742EAB23" w14:textId="0DD36A30" w:rsidR="00DB0932" w:rsidRDefault="00025086" w:rsidP="00DB0932">
      <w:pPr>
        <w:pStyle w:val="AttorneyName"/>
        <w:spacing w:line="240" w:lineRule="auto"/>
        <w:rPr>
          <w:b/>
        </w:rPr>
      </w:pPr>
      <w:hyperlink r:id="rId9" w:history="1">
        <w:r w:rsidR="00DB0932" w:rsidRPr="005E21DA">
          <w:rPr>
            <w:rStyle w:val="Hyperlink"/>
            <w:b/>
          </w:rPr>
          <w:t>John.Canby@maricopa.gov</w:t>
        </w:r>
      </w:hyperlink>
    </w:p>
    <w:p w14:paraId="5BADE159" w14:textId="54203F71" w:rsidR="00DB0932" w:rsidRPr="00F252E5" w:rsidRDefault="00DB0932" w:rsidP="00DB0932">
      <w:pPr>
        <w:pStyle w:val="AttorneyName"/>
        <w:spacing w:line="240" w:lineRule="auto"/>
        <w:rPr>
          <w:b/>
        </w:rPr>
      </w:pPr>
      <w:r w:rsidRPr="00F252E5">
        <w:rPr>
          <w:b/>
        </w:rPr>
        <w:t>620 W. Jackson, Suite 4015</w:t>
      </w:r>
      <w:r>
        <w:rPr>
          <w:b/>
        </w:rPr>
        <w:t xml:space="preserve">, </w:t>
      </w:r>
      <w:r w:rsidRPr="00F252E5">
        <w:rPr>
          <w:b/>
        </w:rPr>
        <w:t>Phoenix, AZ 85003</w:t>
      </w:r>
    </w:p>
    <w:p w14:paraId="64E94EE4" w14:textId="7DA14A36" w:rsidR="00107DC5" w:rsidRPr="00FF5E32" w:rsidRDefault="00107DC5" w:rsidP="002E545E">
      <w:pPr>
        <w:pStyle w:val="AttorneyName"/>
        <w:spacing w:line="240" w:lineRule="auto"/>
        <w:rPr>
          <w:color w:val="FF0000"/>
        </w:rPr>
      </w:pPr>
    </w:p>
    <w:p w14:paraId="2DB36433" w14:textId="77777777" w:rsidR="00A204A8" w:rsidRPr="00F72E82" w:rsidRDefault="00A204A8" w:rsidP="00A204A8">
      <w:pPr>
        <w:pStyle w:val="AttorneyName"/>
        <w:spacing w:line="240" w:lineRule="auto"/>
        <w:rPr>
          <w:b/>
        </w:rPr>
      </w:pPr>
      <w:r w:rsidRPr="00F72E82">
        <w:rPr>
          <w:b/>
        </w:rPr>
        <w:t>ARIZONA ATTORNEYS FOR CRIMINAL JUSTICE</w:t>
      </w:r>
    </w:p>
    <w:p w14:paraId="5D5A6368" w14:textId="77777777" w:rsidR="00DB0932" w:rsidRPr="00DB0932" w:rsidRDefault="00DB0932" w:rsidP="00DB0932">
      <w:pPr>
        <w:pStyle w:val="AttorneyName"/>
        <w:spacing w:line="240" w:lineRule="auto"/>
        <w:rPr>
          <w:b/>
        </w:rPr>
      </w:pPr>
      <w:r w:rsidRPr="00DB0932">
        <w:rPr>
          <w:b/>
        </w:rPr>
        <w:t>DAVID J. EUCHNER, SB#021768</w:t>
      </w:r>
    </w:p>
    <w:p w14:paraId="6FA4699D" w14:textId="77777777" w:rsidR="00DB0932" w:rsidRPr="00DB0932" w:rsidRDefault="00025086" w:rsidP="00DB0932">
      <w:pPr>
        <w:pStyle w:val="AttorneyName"/>
        <w:spacing w:line="240" w:lineRule="auto"/>
        <w:rPr>
          <w:b/>
        </w:rPr>
      </w:pPr>
      <w:hyperlink r:id="rId10" w:history="1">
        <w:r w:rsidR="00DB0932" w:rsidRPr="00DB0932">
          <w:rPr>
            <w:rStyle w:val="Hyperlink"/>
            <w:b/>
          </w:rPr>
          <w:t>David.Euchner@pima.gov</w:t>
        </w:r>
      </w:hyperlink>
      <w:r w:rsidR="00DB0932" w:rsidRPr="00DB0932">
        <w:rPr>
          <w:b/>
        </w:rPr>
        <w:t xml:space="preserve"> </w:t>
      </w:r>
    </w:p>
    <w:p w14:paraId="630AB8E6" w14:textId="2540DE6A" w:rsidR="00DB0932" w:rsidRDefault="00DB0932" w:rsidP="00A204A8">
      <w:pPr>
        <w:pStyle w:val="AttorneyName"/>
        <w:spacing w:line="240" w:lineRule="auto"/>
        <w:rPr>
          <w:b/>
        </w:rPr>
      </w:pPr>
      <w:r>
        <w:rPr>
          <w:b/>
        </w:rPr>
        <w:t>33 N. Stone Ave., 21</w:t>
      </w:r>
      <w:r w:rsidRPr="00DB0932">
        <w:rPr>
          <w:b/>
          <w:vertAlign w:val="superscript"/>
        </w:rPr>
        <w:t>st</w:t>
      </w:r>
      <w:r>
        <w:rPr>
          <w:b/>
        </w:rPr>
        <w:t xml:space="preserve"> Floor, Tucson, AZ 85701</w:t>
      </w:r>
    </w:p>
    <w:p w14:paraId="240A7F50" w14:textId="1FF05C1E" w:rsidR="00A204A8" w:rsidRPr="00F72E82" w:rsidRDefault="00DB0932" w:rsidP="00A204A8">
      <w:pPr>
        <w:pStyle w:val="AttorneyName"/>
        <w:spacing w:line="240" w:lineRule="auto"/>
        <w:rPr>
          <w:b/>
        </w:rPr>
      </w:pPr>
      <w:r>
        <w:rPr>
          <w:b/>
        </w:rPr>
        <w:t>TEL: (52</w:t>
      </w:r>
      <w:r w:rsidR="00A204A8" w:rsidRPr="00F72E82">
        <w:rPr>
          <w:b/>
        </w:rPr>
        <w:t xml:space="preserve">0) </w:t>
      </w:r>
      <w:r>
        <w:rPr>
          <w:b/>
        </w:rPr>
        <w:t>724</w:t>
      </w:r>
      <w:r w:rsidR="00A204A8" w:rsidRPr="00F72E82">
        <w:rPr>
          <w:b/>
        </w:rPr>
        <w:t>-</w:t>
      </w:r>
      <w:r>
        <w:rPr>
          <w:b/>
        </w:rPr>
        <w:t>68</w:t>
      </w:r>
      <w:r w:rsidR="00A204A8" w:rsidRPr="00F72E82">
        <w:rPr>
          <w:b/>
        </w:rPr>
        <w:t>00</w:t>
      </w:r>
    </w:p>
    <w:p w14:paraId="5F1AA465" w14:textId="77777777" w:rsidR="00A204A8" w:rsidRPr="0014499B" w:rsidRDefault="00A204A8" w:rsidP="00A204A8">
      <w:pPr>
        <w:pStyle w:val="AttorneyName"/>
        <w:spacing w:line="240" w:lineRule="auto"/>
        <w:rPr>
          <w:b/>
          <w:i/>
        </w:rPr>
      </w:pPr>
    </w:p>
    <w:p w14:paraId="65845A71" w14:textId="77777777" w:rsidR="00107DC5" w:rsidRPr="00AC2190" w:rsidRDefault="00107DC5" w:rsidP="002E545E">
      <w:pPr>
        <w:pStyle w:val="AttorneyName"/>
        <w:spacing w:line="240" w:lineRule="auto"/>
      </w:pPr>
    </w:p>
    <w:p w14:paraId="218E842F" w14:textId="77777777" w:rsidR="00DC38DE" w:rsidRPr="0014499B" w:rsidRDefault="00DC38DE" w:rsidP="002E545E">
      <w:pPr>
        <w:pStyle w:val="AttorneyName"/>
        <w:spacing w:line="240" w:lineRule="auto"/>
        <w:jc w:val="center"/>
        <w:rPr>
          <w:b/>
        </w:rPr>
      </w:pPr>
      <w:r w:rsidRPr="0014499B">
        <w:rPr>
          <w:b/>
        </w:rPr>
        <w:t>IN THE SUPREME COURT OF THE STATE OF ARIZONA</w:t>
      </w:r>
    </w:p>
    <w:p w14:paraId="7371BE76" w14:textId="77777777" w:rsidR="00DC38DE" w:rsidRPr="0014499B" w:rsidRDefault="00DC38DE" w:rsidP="00DC38DE">
      <w:pPr>
        <w:pStyle w:val="AttorneyName"/>
        <w:jc w:val="center"/>
        <w:rPr>
          <w:b/>
        </w:rPr>
      </w:pPr>
    </w:p>
    <w:p w14:paraId="6DA4A854" w14:textId="77777777" w:rsidR="00DC38DE" w:rsidRPr="0014499B" w:rsidRDefault="00DC38DE" w:rsidP="00DC38DE">
      <w:pPr>
        <w:pStyle w:val="AttorneyName"/>
        <w:rPr>
          <w:b/>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38BDA0C3" w14:textId="77777777" w:rsidTr="00DB2614">
        <w:tc>
          <w:tcPr>
            <w:tcW w:w="4542" w:type="dxa"/>
            <w:tcBorders>
              <w:bottom w:val="single" w:sz="4" w:space="0" w:color="auto"/>
            </w:tcBorders>
            <w:shd w:val="clear" w:color="auto" w:fill="auto"/>
          </w:tcPr>
          <w:p w14:paraId="60DA9B45" w14:textId="77777777" w:rsidR="00DC38DE" w:rsidRPr="0014499B" w:rsidRDefault="00DC38DE" w:rsidP="00DB2614">
            <w:pPr>
              <w:tabs>
                <w:tab w:val="left" w:pos="1500"/>
              </w:tabs>
              <w:spacing w:line="240" w:lineRule="auto"/>
            </w:pPr>
            <w:bookmarkStart w:id="0" w:name="Parties"/>
            <w:bookmarkEnd w:id="0"/>
            <w:r w:rsidRPr="0014499B">
              <w:t>In the Matter of:</w:t>
            </w:r>
          </w:p>
          <w:p w14:paraId="3D83908A" w14:textId="77777777" w:rsidR="00DC38DE" w:rsidRPr="0014499B" w:rsidRDefault="00DC38DE" w:rsidP="00DB2614">
            <w:pPr>
              <w:tabs>
                <w:tab w:val="left" w:pos="1500"/>
              </w:tabs>
              <w:spacing w:line="240" w:lineRule="auto"/>
            </w:pPr>
          </w:p>
          <w:p w14:paraId="7B4CDC3D" w14:textId="77777777" w:rsidR="00DC38DE" w:rsidRPr="0014499B" w:rsidRDefault="00DC38DE" w:rsidP="00DB2614">
            <w:pPr>
              <w:tabs>
                <w:tab w:val="left" w:pos="1500"/>
              </w:tabs>
              <w:spacing w:line="240" w:lineRule="auto"/>
            </w:pPr>
          </w:p>
          <w:p w14:paraId="6E118838" w14:textId="604FC61D" w:rsidR="00DC38DE" w:rsidRPr="0014499B" w:rsidRDefault="00DC38DE" w:rsidP="00FE79F6">
            <w:pPr>
              <w:tabs>
                <w:tab w:val="left" w:pos="1500"/>
              </w:tabs>
              <w:spacing w:line="240" w:lineRule="auto"/>
            </w:pPr>
            <w:r w:rsidRPr="0014499B">
              <w:t xml:space="preserve">Petition to </w:t>
            </w:r>
            <w:r w:rsidR="00FE79F6">
              <w:t>Amend</w:t>
            </w:r>
            <w:r w:rsidRPr="0014499B">
              <w:t xml:space="preserve"> </w:t>
            </w:r>
            <w:r w:rsidR="00F4743E">
              <w:t xml:space="preserve">Rule </w:t>
            </w:r>
            <w:r w:rsidR="00FE79F6">
              <w:t>22</w:t>
            </w:r>
            <w:r w:rsidR="00572E4B">
              <w:t xml:space="preserve">.5, </w:t>
            </w:r>
            <w:r>
              <w:t xml:space="preserve">Arizona Rules of </w:t>
            </w:r>
            <w:r w:rsidRPr="0014499B">
              <w:t>Criminal Procedure</w:t>
            </w:r>
          </w:p>
        </w:tc>
        <w:tc>
          <w:tcPr>
            <w:tcW w:w="276" w:type="dxa"/>
            <w:shd w:val="clear" w:color="auto" w:fill="auto"/>
          </w:tcPr>
          <w:p w14:paraId="31A3B6E5" w14:textId="77777777" w:rsidR="00DC38DE" w:rsidRPr="0014499B" w:rsidRDefault="00DC38DE" w:rsidP="00DB2614">
            <w:pPr>
              <w:pStyle w:val="SingleSpacing"/>
              <w:spacing w:line="240" w:lineRule="auto"/>
            </w:pPr>
            <w:r w:rsidRPr="0014499B">
              <w:t>)</w:t>
            </w:r>
          </w:p>
          <w:p w14:paraId="70AC2E0E" w14:textId="77777777" w:rsidR="00DC38DE" w:rsidRPr="0014499B" w:rsidRDefault="00DC38DE" w:rsidP="00DB2614">
            <w:pPr>
              <w:pStyle w:val="SingleSpacing"/>
              <w:spacing w:line="240" w:lineRule="auto"/>
            </w:pPr>
            <w:r w:rsidRPr="0014499B">
              <w:t>)</w:t>
            </w:r>
          </w:p>
          <w:p w14:paraId="186FB823" w14:textId="77777777" w:rsidR="00DC38DE" w:rsidRPr="0014499B" w:rsidRDefault="00DC38DE" w:rsidP="00DB2614">
            <w:pPr>
              <w:pStyle w:val="SingleSpacing"/>
              <w:spacing w:line="240" w:lineRule="auto"/>
            </w:pPr>
            <w:r w:rsidRPr="0014499B">
              <w:t>)</w:t>
            </w:r>
          </w:p>
          <w:p w14:paraId="10F7E3AB" w14:textId="77777777" w:rsidR="00DC38DE" w:rsidRPr="0014499B" w:rsidRDefault="00DC38DE" w:rsidP="00DB2614">
            <w:pPr>
              <w:pStyle w:val="SingleSpacing"/>
              <w:spacing w:line="240" w:lineRule="auto"/>
            </w:pPr>
            <w:r w:rsidRPr="0014499B">
              <w:t>)</w:t>
            </w:r>
          </w:p>
          <w:p w14:paraId="10E5DF81" w14:textId="77777777" w:rsidR="00DC38DE" w:rsidRPr="0014499B" w:rsidRDefault="00DC38DE" w:rsidP="00DB2614">
            <w:pPr>
              <w:pStyle w:val="SingleSpacing"/>
              <w:spacing w:line="240" w:lineRule="auto"/>
            </w:pPr>
            <w:r w:rsidRPr="0014499B">
              <w:t>)</w:t>
            </w:r>
          </w:p>
          <w:p w14:paraId="5DBC1D2C" w14:textId="77777777" w:rsidR="00DC38DE" w:rsidRPr="0014499B" w:rsidRDefault="00DC38DE" w:rsidP="00DB2614">
            <w:pPr>
              <w:pStyle w:val="SingleSpacing"/>
              <w:spacing w:line="240" w:lineRule="auto"/>
            </w:pPr>
            <w:r w:rsidRPr="0014499B">
              <w:t>)</w:t>
            </w:r>
          </w:p>
          <w:p w14:paraId="14B7FB80" w14:textId="77777777" w:rsidR="00DC38DE" w:rsidRPr="0014499B" w:rsidRDefault="00DC38DE" w:rsidP="00DB2614">
            <w:pPr>
              <w:pStyle w:val="SingleSpacing"/>
              <w:spacing w:line="240" w:lineRule="auto"/>
            </w:pPr>
            <w:r w:rsidRPr="0014499B">
              <w:t>)</w:t>
            </w:r>
          </w:p>
          <w:p w14:paraId="71382128" w14:textId="77777777" w:rsidR="00DC38DE" w:rsidRPr="0014499B" w:rsidRDefault="00DC38DE" w:rsidP="00DB2614">
            <w:pPr>
              <w:pStyle w:val="SingleSpacing"/>
              <w:spacing w:line="240" w:lineRule="auto"/>
            </w:pPr>
            <w:r w:rsidRPr="0014499B">
              <w:t>)</w:t>
            </w:r>
          </w:p>
          <w:p w14:paraId="115CFC90" w14:textId="77777777" w:rsidR="00DC38DE" w:rsidRPr="0014499B" w:rsidRDefault="00DC38DE" w:rsidP="00DB2614">
            <w:pPr>
              <w:pStyle w:val="SingleSpacing"/>
              <w:spacing w:line="240" w:lineRule="auto"/>
            </w:pPr>
            <w:r w:rsidRPr="0014499B">
              <w:t>)</w:t>
            </w:r>
          </w:p>
          <w:p w14:paraId="6F3955DE" w14:textId="77777777" w:rsidR="00DC38DE" w:rsidRDefault="00DC38DE" w:rsidP="00DB2614">
            <w:pPr>
              <w:pStyle w:val="SingleSpacing"/>
              <w:spacing w:line="240" w:lineRule="auto"/>
            </w:pPr>
            <w:r w:rsidRPr="0014499B">
              <w:t>)</w:t>
            </w:r>
          </w:p>
          <w:p w14:paraId="3751CBB2" w14:textId="64EEC788" w:rsidR="00572E4B" w:rsidRPr="0014499B" w:rsidRDefault="00572E4B" w:rsidP="00DB2614">
            <w:pPr>
              <w:pStyle w:val="SingleSpacing"/>
              <w:spacing w:line="240" w:lineRule="auto"/>
            </w:pPr>
            <w:r>
              <w:t>)</w:t>
            </w:r>
          </w:p>
        </w:tc>
        <w:tc>
          <w:tcPr>
            <w:tcW w:w="4542" w:type="dxa"/>
            <w:shd w:val="clear" w:color="auto" w:fill="auto"/>
          </w:tcPr>
          <w:p w14:paraId="58004C05" w14:textId="37812CB3" w:rsidR="00DC38DE" w:rsidRPr="0014499B" w:rsidRDefault="00DC38DE" w:rsidP="00DB2614">
            <w:pPr>
              <w:pStyle w:val="SingleSpacing"/>
              <w:spacing w:line="240" w:lineRule="auto"/>
            </w:pPr>
            <w:bookmarkStart w:id="1" w:name="CaseNumber"/>
            <w:bookmarkEnd w:id="1"/>
            <w:r w:rsidRPr="00342232">
              <w:t>No. R-</w:t>
            </w:r>
            <w:r w:rsidR="0004248C">
              <w:t>20-0015</w:t>
            </w:r>
          </w:p>
          <w:p w14:paraId="1E714C49" w14:textId="77777777" w:rsidR="00DC38DE" w:rsidRPr="0014499B" w:rsidRDefault="00DC38DE" w:rsidP="00DB2614">
            <w:pPr>
              <w:pStyle w:val="SingleSpacing"/>
              <w:spacing w:line="240" w:lineRule="auto"/>
            </w:pPr>
          </w:p>
          <w:p w14:paraId="7B8858A5" w14:textId="545E2BED" w:rsidR="00DC38DE" w:rsidRPr="00F84E06" w:rsidRDefault="00DC38DE" w:rsidP="00FE79F6">
            <w:pPr>
              <w:pStyle w:val="SingleSpacing"/>
              <w:spacing w:line="240" w:lineRule="auto"/>
              <w:rPr>
                <w:b/>
                <w:i/>
              </w:rPr>
            </w:pPr>
            <w:r w:rsidRPr="0014499B">
              <w:rPr>
                <w:b/>
              </w:rPr>
              <w:t xml:space="preserve">COMMENT </w:t>
            </w:r>
            <w:r>
              <w:rPr>
                <w:b/>
              </w:rPr>
              <w:t xml:space="preserve">OF </w:t>
            </w:r>
            <w:r w:rsidR="0085755C">
              <w:rPr>
                <w:b/>
              </w:rPr>
              <w:t>ARIZONA CAPITAL REPRESENTATION PROJECT</w:t>
            </w:r>
            <w:r w:rsidR="00107DC5">
              <w:rPr>
                <w:b/>
              </w:rPr>
              <w:t>, MARICOPA COUNTY</w:t>
            </w:r>
            <w:r w:rsidR="00451495">
              <w:rPr>
                <w:b/>
              </w:rPr>
              <w:t xml:space="preserve"> OFFICE OF THE</w:t>
            </w:r>
            <w:r w:rsidR="00107DC5">
              <w:rPr>
                <w:b/>
              </w:rPr>
              <w:t xml:space="preserve"> PUBLIC DEFENDER</w:t>
            </w:r>
            <w:r w:rsidR="00A204A8">
              <w:rPr>
                <w:b/>
              </w:rPr>
              <w:t>, AND ARIZONA ATTORNEYS FOR CRIMINAL JUSTICE</w:t>
            </w:r>
            <w:r w:rsidR="0085755C">
              <w:rPr>
                <w:b/>
              </w:rPr>
              <w:t xml:space="preserve"> </w:t>
            </w:r>
            <w:r>
              <w:rPr>
                <w:b/>
              </w:rPr>
              <w:t>REGARDING</w:t>
            </w:r>
            <w:r w:rsidRPr="0014499B">
              <w:rPr>
                <w:b/>
              </w:rPr>
              <w:t xml:space="preserve"> PETITION TO </w:t>
            </w:r>
            <w:r w:rsidR="00FE79F6">
              <w:rPr>
                <w:b/>
              </w:rPr>
              <w:t>AMEND</w:t>
            </w:r>
            <w:r w:rsidRPr="0014499B">
              <w:rPr>
                <w:b/>
              </w:rPr>
              <w:t xml:space="preserve"> </w:t>
            </w:r>
            <w:r w:rsidR="00A204A8">
              <w:rPr>
                <w:b/>
              </w:rPr>
              <w:t>ARIZ. R. CRIM. P.</w:t>
            </w:r>
            <w:r w:rsidR="00A204A8" w:rsidRPr="0014499B">
              <w:rPr>
                <w:b/>
              </w:rPr>
              <w:t xml:space="preserve"> </w:t>
            </w:r>
            <w:r w:rsidR="00FE79F6">
              <w:rPr>
                <w:b/>
              </w:rPr>
              <w:t>22</w:t>
            </w:r>
            <w:r w:rsidR="009370AD">
              <w:rPr>
                <w:b/>
              </w:rPr>
              <w:t>.5</w:t>
            </w:r>
          </w:p>
        </w:tc>
      </w:tr>
    </w:tbl>
    <w:p w14:paraId="5DCD2531" w14:textId="77777777" w:rsidR="00DC38DE" w:rsidRPr="0014499B" w:rsidRDefault="00DC38DE" w:rsidP="007F091F">
      <w:pPr>
        <w:spacing w:line="480" w:lineRule="auto"/>
        <w:jc w:val="both"/>
      </w:pPr>
    </w:p>
    <w:p w14:paraId="4B822F10" w14:textId="25D34AFF" w:rsidR="00A204A8" w:rsidRDefault="00DC38DE" w:rsidP="007F091F">
      <w:pPr>
        <w:spacing w:line="480" w:lineRule="auto"/>
        <w:jc w:val="both"/>
      </w:pPr>
      <w:r>
        <w:tab/>
      </w:r>
      <w:r w:rsidRPr="0014499B">
        <w:t xml:space="preserve">Pursuant to Rule 28 of the Arizona Rules of Supreme Court, </w:t>
      </w:r>
      <w:r w:rsidR="000E309A">
        <w:t>the Arizona Capital Representation Project (“ACRP”)</w:t>
      </w:r>
      <w:r w:rsidR="001D7FC4">
        <w:t xml:space="preserve">, the Maricopa County </w:t>
      </w:r>
      <w:r w:rsidR="00451495">
        <w:t xml:space="preserve">Office of the </w:t>
      </w:r>
      <w:r w:rsidR="001D7FC4">
        <w:t>Public Defender</w:t>
      </w:r>
      <w:r w:rsidR="00A204A8">
        <w:t xml:space="preserve"> (“MCPD”), and </w:t>
      </w:r>
      <w:r w:rsidR="00A204A8" w:rsidRPr="0014499B">
        <w:t>Arizona Attorneys for Criminal Justice (“AACJ”)</w:t>
      </w:r>
      <w:r w:rsidRPr="0014499B">
        <w:t xml:space="preserve"> hereby </w:t>
      </w:r>
      <w:r w:rsidRPr="0014499B">
        <w:lastRenderedPageBreak/>
        <w:t>submit the following comment to the above-referenced petition</w:t>
      </w:r>
      <w:r w:rsidR="0078270D">
        <w:t xml:space="preserve"> </w:t>
      </w:r>
      <w:r w:rsidR="00053F59">
        <w:t xml:space="preserve">to </w:t>
      </w:r>
      <w:r w:rsidR="00FE79F6">
        <w:t>amend</w:t>
      </w:r>
      <w:r w:rsidR="00053F59">
        <w:t xml:space="preserve"> </w:t>
      </w:r>
      <w:r w:rsidR="00A204A8">
        <w:t xml:space="preserve">Ariz. R. Crim. P. </w:t>
      </w:r>
      <w:r w:rsidR="001D7FC4">
        <w:t xml:space="preserve">22.5 </w:t>
      </w:r>
      <w:r w:rsidR="006207F9">
        <w:t>submitted by the Maricopa County Attorney’s Office (“MCAO”)</w:t>
      </w:r>
      <w:r w:rsidRPr="0014499B">
        <w:t>.</w:t>
      </w:r>
    </w:p>
    <w:p w14:paraId="2622AA3F" w14:textId="67384C16" w:rsidR="00A204A8" w:rsidRDefault="00A204A8" w:rsidP="00696A86">
      <w:pPr>
        <w:pStyle w:val="NormalWeb"/>
        <w:spacing w:before="2" w:line="480" w:lineRule="auto"/>
        <w:jc w:val="both"/>
        <w:rPr>
          <w:rFonts w:ascii="Times New Roman" w:hAnsi="Times New Roman"/>
          <w:color w:val="000000"/>
          <w:sz w:val="28"/>
        </w:rPr>
      </w:pPr>
      <w:r>
        <w:rPr>
          <w:rFonts w:ascii="Times New Roman" w:hAnsi="Times New Roman"/>
          <w:sz w:val="28"/>
        </w:rPr>
        <w:tab/>
        <w:t>ACRP is</w:t>
      </w:r>
      <w:r>
        <w:rPr>
          <w:rFonts w:ascii="Times New Roman" w:hAnsi="Times New Roman"/>
          <w:color w:val="000000"/>
          <w:sz w:val="28"/>
        </w:rPr>
        <w:t xml:space="preserve"> a non-profit</w:t>
      </w:r>
      <w:r w:rsidR="00696A86">
        <w:rPr>
          <w:rFonts w:ascii="Times New Roman" w:hAnsi="Times New Roman"/>
          <w:color w:val="000000"/>
          <w:sz w:val="28"/>
        </w:rPr>
        <w:t xml:space="preserve"> legal</w:t>
      </w:r>
      <w:r>
        <w:rPr>
          <w:rFonts w:ascii="Times New Roman" w:hAnsi="Times New Roman"/>
          <w:color w:val="000000"/>
          <w:sz w:val="28"/>
        </w:rPr>
        <w:t xml:space="preserve"> organization that </w:t>
      </w:r>
      <w:r w:rsidRPr="003C65DC">
        <w:rPr>
          <w:rFonts w:ascii="Times New Roman" w:hAnsi="Times New Roman"/>
          <w:color w:val="000000"/>
          <w:sz w:val="28"/>
        </w:rPr>
        <w:t>represent</w:t>
      </w:r>
      <w:r>
        <w:rPr>
          <w:rFonts w:ascii="Times New Roman" w:hAnsi="Times New Roman"/>
          <w:color w:val="000000"/>
          <w:sz w:val="28"/>
        </w:rPr>
        <w:t>s</w:t>
      </w:r>
      <w:r w:rsidRPr="003C65DC">
        <w:rPr>
          <w:rFonts w:ascii="Times New Roman" w:hAnsi="Times New Roman"/>
          <w:color w:val="000000"/>
          <w:sz w:val="28"/>
        </w:rPr>
        <w:t xml:space="preserve"> capital defendants</w:t>
      </w:r>
      <w:r>
        <w:rPr>
          <w:rFonts w:ascii="Times New Roman" w:hAnsi="Times New Roman"/>
          <w:color w:val="000000"/>
          <w:sz w:val="28"/>
        </w:rPr>
        <w:t xml:space="preserve"> and provides </w:t>
      </w:r>
      <w:r w:rsidR="00696A86">
        <w:rPr>
          <w:rFonts w:ascii="Times New Roman" w:hAnsi="Times New Roman"/>
          <w:color w:val="000000"/>
          <w:sz w:val="28"/>
        </w:rPr>
        <w:t xml:space="preserve">pro bono </w:t>
      </w:r>
      <w:r>
        <w:rPr>
          <w:rFonts w:ascii="Times New Roman" w:hAnsi="Times New Roman"/>
          <w:color w:val="000000"/>
          <w:sz w:val="28"/>
        </w:rPr>
        <w:t>training and consultation to</w:t>
      </w:r>
      <w:r w:rsidRPr="003C65DC">
        <w:rPr>
          <w:rFonts w:ascii="Times New Roman" w:hAnsi="Times New Roman"/>
          <w:color w:val="000000"/>
          <w:sz w:val="28"/>
        </w:rPr>
        <w:t xml:space="preserve"> teams defending capital clients</w:t>
      </w:r>
      <w:r>
        <w:rPr>
          <w:rFonts w:ascii="Times New Roman" w:hAnsi="Times New Roman"/>
          <w:color w:val="000000"/>
          <w:sz w:val="28"/>
        </w:rPr>
        <w:t xml:space="preserve"> throughout the State of Arizona</w:t>
      </w:r>
      <w:r w:rsidRPr="003C65DC">
        <w:rPr>
          <w:rFonts w:ascii="Times New Roman" w:hAnsi="Times New Roman"/>
          <w:color w:val="000000"/>
          <w:sz w:val="28"/>
        </w:rPr>
        <w:t>.</w:t>
      </w:r>
      <w:r>
        <w:rPr>
          <w:rFonts w:ascii="Times New Roman" w:hAnsi="Times New Roman"/>
          <w:color w:val="000000"/>
          <w:sz w:val="28"/>
        </w:rPr>
        <w:t xml:space="preserve"> ACRP</w:t>
      </w:r>
      <w:r w:rsidR="00F252E5">
        <w:rPr>
          <w:rFonts w:ascii="Times New Roman" w:hAnsi="Times New Roman"/>
          <w:color w:val="000000"/>
          <w:sz w:val="28"/>
        </w:rPr>
        <w:t xml:space="preserve"> tracks and monitors all capital cases at all stages state-wide. Its</w:t>
      </w:r>
      <w:r>
        <w:rPr>
          <w:rFonts w:ascii="Times New Roman" w:hAnsi="Times New Roman"/>
          <w:color w:val="000000"/>
          <w:sz w:val="28"/>
        </w:rPr>
        <w:t xml:space="preserve"> mission is to improve the quality of representation afforded to capital defendants in Arizona.</w:t>
      </w:r>
    </w:p>
    <w:p w14:paraId="1AE9FA5F" w14:textId="74CBDE97" w:rsidR="00A204A8" w:rsidRPr="00F760DD" w:rsidRDefault="00A204A8" w:rsidP="00696A86">
      <w:pPr>
        <w:pStyle w:val="NormalWeb"/>
        <w:spacing w:before="2" w:line="480" w:lineRule="auto"/>
        <w:jc w:val="both"/>
      </w:pPr>
      <w:r>
        <w:rPr>
          <w:rFonts w:ascii="Times New Roman" w:hAnsi="Times New Roman"/>
          <w:color w:val="000000"/>
          <w:sz w:val="28"/>
        </w:rPr>
        <w:tab/>
        <w:t>MCPD</w:t>
      </w:r>
      <w:r w:rsidRPr="00DF0282">
        <w:rPr>
          <w:color w:val="000000"/>
        </w:rPr>
        <w:t xml:space="preserve"> </w:t>
      </w:r>
      <w:r w:rsidRPr="00FF5E32">
        <w:rPr>
          <w:color w:val="000000"/>
          <w:sz w:val="28"/>
        </w:rPr>
        <w:t>is the largest indigent defense law firm in the State of Arizona and handles a majority of all felonies, and is the presumptive agency of assignment for all designated or anticipated death penalty cases in Maricopa County.</w:t>
      </w:r>
      <w:r w:rsidRPr="00DF0282">
        <w:rPr>
          <w:color w:val="000000"/>
        </w:rPr>
        <w:tab/>
      </w:r>
    </w:p>
    <w:p w14:paraId="2218A62A" w14:textId="0E524E0D" w:rsidR="00DC38DE" w:rsidRDefault="00A204A8" w:rsidP="007F091F">
      <w:pPr>
        <w:spacing w:line="480" w:lineRule="auto"/>
        <w:jc w:val="both"/>
      </w:pPr>
      <w:r>
        <w:tab/>
      </w:r>
      <w:r w:rsidR="00132861" w:rsidRPr="00132861">
        <w:t>AACJ</w:t>
      </w:r>
      <w:r>
        <w:t xml:space="preserve">, </w:t>
      </w:r>
      <w:r w:rsidRPr="00343162">
        <w:t>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17E74256" w14:textId="6AD2362B" w:rsidR="00342232" w:rsidRPr="00F760DD" w:rsidRDefault="00DC38DE" w:rsidP="00696A86">
      <w:pPr>
        <w:pStyle w:val="NormalWeb"/>
        <w:spacing w:before="2" w:line="480" w:lineRule="auto"/>
        <w:jc w:val="both"/>
      </w:pPr>
      <w:r w:rsidRPr="00FF5E32">
        <w:rPr>
          <w:sz w:val="28"/>
        </w:rPr>
        <w:lastRenderedPageBreak/>
        <w:tab/>
      </w:r>
      <w:r w:rsidR="001D7FC4" w:rsidRPr="00FF5E32">
        <w:rPr>
          <w:sz w:val="28"/>
        </w:rPr>
        <w:t xml:space="preserve">The proposed </w:t>
      </w:r>
      <w:r w:rsidR="00F86F51">
        <w:rPr>
          <w:sz w:val="28"/>
        </w:rPr>
        <w:t>addition of Rule 22.5(c)</w:t>
      </w:r>
      <w:r w:rsidR="001D7FC4" w:rsidRPr="00FF5E32">
        <w:rPr>
          <w:sz w:val="28"/>
        </w:rPr>
        <w:t xml:space="preserve"> would substantially and unnecessarily interfere with </w:t>
      </w:r>
      <w:r w:rsidR="00177DDC">
        <w:rPr>
          <w:sz w:val="28"/>
        </w:rPr>
        <w:t xml:space="preserve">post-trial and </w:t>
      </w:r>
      <w:r w:rsidR="001D7FC4" w:rsidRPr="00FF5E32">
        <w:rPr>
          <w:sz w:val="28"/>
        </w:rPr>
        <w:t xml:space="preserve">post-conviction litigants’ ability to investigate and </w:t>
      </w:r>
      <w:r w:rsidR="0093721A" w:rsidRPr="00FF5E32">
        <w:rPr>
          <w:sz w:val="28"/>
        </w:rPr>
        <w:t>reveal</w:t>
      </w:r>
      <w:r w:rsidR="001D7FC4" w:rsidRPr="00FF5E32">
        <w:rPr>
          <w:sz w:val="28"/>
        </w:rPr>
        <w:t xml:space="preserve"> </w:t>
      </w:r>
      <w:r w:rsidR="0093721A" w:rsidRPr="00FF5E32">
        <w:rPr>
          <w:sz w:val="28"/>
        </w:rPr>
        <w:t xml:space="preserve">prosecutorial misconduct and </w:t>
      </w:r>
      <w:r w:rsidR="00FE79F6">
        <w:rPr>
          <w:sz w:val="28"/>
        </w:rPr>
        <w:t>constitutional violations.</w:t>
      </w:r>
      <w:r w:rsidR="001D7FC4" w:rsidRPr="00FF5E32">
        <w:rPr>
          <w:sz w:val="28"/>
        </w:rPr>
        <w:t xml:space="preserve"> The proposed </w:t>
      </w:r>
      <w:r w:rsidR="00104C2D" w:rsidRPr="00FF5E32">
        <w:rPr>
          <w:sz w:val="28"/>
        </w:rPr>
        <w:t>modifications</w:t>
      </w:r>
      <w:r w:rsidR="001D7FC4" w:rsidRPr="00FF5E32">
        <w:rPr>
          <w:sz w:val="28"/>
        </w:rPr>
        <w:t xml:space="preserve"> are </w:t>
      </w:r>
      <w:r w:rsidR="0093721A" w:rsidRPr="00FF5E32">
        <w:rPr>
          <w:sz w:val="28"/>
        </w:rPr>
        <w:t>inconsistent with precedent and contrary to the expansion of i</w:t>
      </w:r>
      <w:r w:rsidR="00FE79F6">
        <w:rPr>
          <w:sz w:val="28"/>
        </w:rPr>
        <w:t>nquiries into juror misconduct.</w:t>
      </w:r>
      <w:r w:rsidR="0093721A" w:rsidRPr="00FF5E32">
        <w:rPr>
          <w:sz w:val="28"/>
        </w:rPr>
        <w:t xml:space="preserve"> Similar proposals were rejected by this Court in 2014 and</w:t>
      </w:r>
      <w:r w:rsidR="00FE79F6">
        <w:rPr>
          <w:sz w:val="28"/>
        </w:rPr>
        <w:t xml:space="preserve"> 2019, and</w:t>
      </w:r>
      <w:r w:rsidR="0093721A" w:rsidRPr="00FF5E32">
        <w:rPr>
          <w:sz w:val="28"/>
        </w:rPr>
        <w:t xml:space="preserve"> the Arizona Legislature </w:t>
      </w:r>
      <w:r w:rsidR="00FE79F6">
        <w:rPr>
          <w:sz w:val="28"/>
        </w:rPr>
        <w:t>also rejected a similar proposal in 2019</w:t>
      </w:r>
      <w:r w:rsidR="0093721A" w:rsidRPr="00FF5E32">
        <w:rPr>
          <w:sz w:val="28"/>
        </w:rPr>
        <w:t>.</w:t>
      </w:r>
      <w:r w:rsidR="008063D7">
        <w:rPr>
          <w:rStyle w:val="FootnoteReference"/>
          <w:rFonts w:ascii="Times New Roman" w:hAnsi="Times New Roman"/>
          <w:sz w:val="28"/>
        </w:rPr>
        <w:footnoteReference w:id="1"/>
      </w:r>
      <w:r w:rsidR="0093721A" w:rsidRPr="00FF5E32">
        <w:rPr>
          <w:sz w:val="28"/>
        </w:rPr>
        <w:t xml:space="preserve"> The interests of justice require that they again be rejected.</w:t>
      </w:r>
    </w:p>
    <w:p w14:paraId="1DE89CEF" w14:textId="69CFB740" w:rsidR="006E7C92" w:rsidRDefault="00587EF9" w:rsidP="006E7C92">
      <w:pPr>
        <w:pStyle w:val="ListParagraph"/>
        <w:numPr>
          <w:ilvl w:val="0"/>
          <w:numId w:val="3"/>
        </w:numPr>
        <w:spacing w:line="240" w:lineRule="auto"/>
        <w:jc w:val="both"/>
        <w:rPr>
          <w:b/>
          <w:u w:val="single"/>
        </w:rPr>
      </w:pPr>
      <w:r>
        <w:rPr>
          <w:b/>
          <w:u w:val="single"/>
        </w:rPr>
        <w:t>The proposed modifications</w:t>
      </w:r>
      <w:r w:rsidR="004A124E" w:rsidRPr="006E7C92">
        <w:rPr>
          <w:b/>
          <w:u w:val="single"/>
        </w:rPr>
        <w:t xml:space="preserve"> would impede defense attorneys’ ability to </w:t>
      </w:r>
      <w:r w:rsidR="005A78B5">
        <w:rPr>
          <w:b/>
          <w:u w:val="single"/>
        </w:rPr>
        <w:t xml:space="preserve">thoroughly and </w:t>
      </w:r>
      <w:r w:rsidR="004A124E" w:rsidRPr="006E7C92">
        <w:rPr>
          <w:b/>
          <w:u w:val="single"/>
        </w:rPr>
        <w:t>competently</w:t>
      </w:r>
      <w:r w:rsidR="006E7C92" w:rsidRPr="006E7C92">
        <w:rPr>
          <w:b/>
          <w:u w:val="single"/>
        </w:rPr>
        <w:t xml:space="preserve"> represent their clients.</w:t>
      </w:r>
    </w:p>
    <w:p w14:paraId="7FD93F6F" w14:textId="77777777" w:rsidR="006E7C92" w:rsidRPr="006E7C92" w:rsidRDefault="006E7C92" w:rsidP="006E7C92">
      <w:pPr>
        <w:pStyle w:val="ListParagraph"/>
        <w:spacing w:line="240" w:lineRule="auto"/>
        <w:jc w:val="both"/>
        <w:rPr>
          <w:b/>
          <w:u w:val="single"/>
        </w:rPr>
      </w:pPr>
    </w:p>
    <w:p w14:paraId="61CDB485" w14:textId="119017BB" w:rsidR="00F86F51" w:rsidRDefault="00342232" w:rsidP="00000252">
      <w:pPr>
        <w:spacing w:line="480" w:lineRule="auto"/>
        <w:jc w:val="both"/>
      </w:pPr>
      <w:r>
        <w:tab/>
      </w:r>
      <w:r w:rsidR="00F86F51">
        <w:t>Since its last effort was denied, MCAO has modified its proposal so that only Rule 22.5 would be amended under its current request. Furthermore, this proposal does not seek to limit juror contact within the ten days after a ver</w:t>
      </w:r>
      <w:r w:rsidR="00920DD5">
        <w:t xml:space="preserve">dict is rendered for purposes; presumably this was designed to allay the concerns about investigating claims of juror misconduct that could be the basis for a motion for new trial under Rule 24.1(c)(3). The limitation it creates after ten days, however, is so onerous that </w:t>
      </w:r>
      <w:r w:rsidR="00920DD5">
        <w:lastRenderedPageBreak/>
        <w:t>for all practical purposes it serves as an absolute ban on contact. Thus, it is no less offensive than its predecessor petitions.</w:t>
      </w:r>
    </w:p>
    <w:p w14:paraId="7268AB8F" w14:textId="22A3E8C3" w:rsidR="00CA1604" w:rsidRDefault="00CA1604" w:rsidP="00000252">
      <w:pPr>
        <w:spacing w:line="480" w:lineRule="auto"/>
        <w:jc w:val="both"/>
      </w:pPr>
      <w:r>
        <w:tab/>
        <w:t xml:space="preserve">Moreover, the proposal does not provide for opportunity to contact jurors within ten days of their discharge, but within “the 10-day time period in Rule 24.1.” </w:t>
      </w:r>
      <w:r w:rsidR="001E05F0">
        <w:t xml:space="preserve">Rule 24.1(b) specifies the deadline for </w:t>
      </w:r>
      <w:r>
        <w:t>fil</w:t>
      </w:r>
      <w:r w:rsidR="001E05F0">
        <w:t>ing</w:t>
      </w:r>
      <w:r>
        <w:t xml:space="preserve"> a motion for new trial </w:t>
      </w:r>
      <w:r w:rsidR="001E05F0">
        <w:t>is</w:t>
      </w:r>
      <w:r>
        <w:t xml:space="preserve"> ten days </w:t>
      </w:r>
      <w:r w:rsidR="001E05F0">
        <w:t>after</w:t>
      </w:r>
      <w:r>
        <w:t xml:space="preserve"> the </w:t>
      </w:r>
      <w:r w:rsidR="001E05F0">
        <w:t>return</w:t>
      </w:r>
      <w:r>
        <w:t xml:space="preserve"> of the verdict be</w:t>
      </w:r>
      <w:r w:rsidR="001E05F0">
        <w:t>ing</w:t>
      </w:r>
      <w:r>
        <w:t xml:space="preserve"> challenged. </w:t>
      </w:r>
      <w:r w:rsidR="001E05F0" w:rsidRPr="001E05F0">
        <w:rPr>
          <w:i/>
        </w:rPr>
        <w:t>State v. Fitzgerald</w:t>
      </w:r>
      <w:r w:rsidR="001E05F0">
        <w:t xml:space="preserve">, 232 Ariz. 208, </w:t>
      </w:r>
      <w:r w:rsidR="00A66D19">
        <w:t>211-12 ¶</w:t>
      </w:r>
      <w:r w:rsidR="001E05F0">
        <w:t>¶ 15</w:t>
      </w:r>
      <w:r w:rsidR="00A66D19">
        <w:t>-18</w:t>
      </w:r>
      <w:r w:rsidR="001E05F0">
        <w:t xml:space="preserve"> (2013) (interpreting previous version of Rule 24.1(b) to require the time limit be applied to the particular verdict being challenged). In capital cases where the jury returns a verdict of guilty as to first-degree murder, assuming the defense presents any meaningful mitigation case, ten days will have already elapsed by the time any party’s representative has an opportunity to speak with jurors.</w:t>
      </w:r>
    </w:p>
    <w:p w14:paraId="4ADC6DD4" w14:textId="09BCA35A" w:rsidR="001E05F0" w:rsidRDefault="001E05F0" w:rsidP="00000252">
      <w:pPr>
        <w:spacing w:line="480" w:lineRule="auto"/>
        <w:jc w:val="both"/>
      </w:pPr>
      <w:r>
        <w:tab/>
        <w:t xml:space="preserve">In </w:t>
      </w:r>
      <w:r w:rsidRPr="001E05F0">
        <w:rPr>
          <w:i/>
        </w:rPr>
        <w:t>Fitzgerald</w:t>
      </w:r>
      <w:r>
        <w:t xml:space="preserve"> this Court recognized a potentially anomalous result that would deny capital defendants the opportunity to challenge juror misconduct in the guilt phase.</w:t>
      </w:r>
      <w:r w:rsidR="00A66D19">
        <w:t xml:space="preserve"> </w:t>
      </w:r>
      <w:r w:rsidR="00A66D19" w:rsidRPr="00A66D19">
        <w:rPr>
          <w:i/>
        </w:rPr>
        <w:t>Id</w:t>
      </w:r>
      <w:r w:rsidR="00A66D19">
        <w:t>. at 212 ¶ 19.</w:t>
      </w:r>
      <w:r>
        <w:t xml:space="preserve"> It found that </w:t>
      </w:r>
      <w:r w:rsidR="00A66D19">
        <w:t xml:space="preserve">while Rule 24.1 contains no “discovery rule” for learning of the basis for a motion for new trial, </w:t>
      </w:r>
      <w:r>
        <w:t>other rules could protect defendants’ rights</w:t>
      </w:r>
      <w:r w:rsidR="00A66D19">
        <w:t xml:space="preserve"> in such a situation</w:t>
      </w:r>
      <w:r>
        <w:t>, such as Rule 24.2</w:t>
      </w:r>
      <w:r w:rsidR="00A66D19">
        <w:t xml:space="preserve"> and Rule 32. </w:t>
      </w:r>
      <w:r w:rsidR="00A66D19" w:rsidRPr="00A66D19">
        <w:rPr>
          <w:i/>
        </w:rPr>
        <w:t>Id</w:t>
      </w:r>
      <w:r w:rsidR="00A66D19">
        <w:t xml:space="preserve">. ¶ 20 (citing cases approving of use of those rules). </w:t>
      </w:r>
    </w:p>
    <w:p w14:paraId="24D37C74" w14:textId="0BFC3A67" w:rsidR="00A66D19" w:rsidRDefault="00A66D19" w:rsidP="00000252">
      <w:pPr>
        <w:spacing w:line="480" w:lineRule="auto"/>
        <w:jc w:val="both"/>
      </w:pPr>
      <w:r>
        <w:tab/>
        <w:t xml:space="preserve">The proposed amendment to Rule 22.5 would actually deny juror contact entirely to capital defendants who, like Fitzgerald himself, are convicted in the guilt phase but have a mistrial declared in the penalty phase. Although the circumstances </w:t>
      </w:r>
      <w:r>
        <w:lastRenderedPageBreak/>
        <w:t xml:space="preserve">leading to the mistrial in </w:t>
      </w:r>
      <w:r w:rsidRPr="00A66D19">
        <w:rPr>
          <w:i/>
        </w:rPr>
        <w:t>Fitzgerald</w:t>
      </w:r>
      <w:r>
        <w:t xml:space="preserve"> are somewhat unusual, mistrials are declared all the time when a jury cannot reach a unanimous verdict in penalty proceedings. </w:t>
      </w:r>
      <w:r w:rsidRPr="0024513B">
        <w:rPr>
          <w:i/>
        </w:rPr>
        <w:t xml:space="preserve">See </w:t>
      </w:r>
      <w:r w:rsidR="0024513B">
        <w:t>A.R.S. § 13-752(K) (defendant shall be exposed no more than twice to a penalty-phase trial);</w:t>
      </w:r>
      <w:r>
        <w:t xml:space="preserve"> </w:t>
      </w:r>
      <w:r w:rsidRPr="0024513B">
        <w:rPr>
          <w:i/>
        </w:rPr>
        <w:t>State v. Arias</w:t>
      </w:r>
      <w:r>
        <w:t>, 16 Ariz. Cases Digest</w:t>
      </w:r>
      <w:r w:rsidR="0024513B">
        <w:t xml:space="preserve"> 18, 19 ¶ 10 (App., Apr. 21, 2020) (two juries failed to return unanimous verdict for death). In cases where no penalty verdict is returned, there could be no basis for a motion for new trial as to the penalty phase; </w:t>
      </w:r>
      <w:r w:rsidR="00CF2C86">
        <w:t>nor could there be a basis for such a motion as to guilt</w:t>
      </w:r>
      <w:r w:rsidR="0024513B">
        <w:t xml:space="preserve"> because more </w:t>
      </w:r>
      <w:r w:rsidR="00CF2C86">
        <w:t>than ten days will have elapsed since the return of the guilt-phase verdicts. And, because the proposed limitation in Rule 22.5 is for the sole purpose of filing a motion under Rule 24.1, the proposal would ban contact for the purpose of a motion under Rule 24.2 or a post-conviction investigation under Rule 32.</w:t>
      </w:r>
      <w:r w:rsidR="00CB5BD0">
        <w:rPr>
          <w:rStyle w:val="FootnoteReference"/>
        </w:rPr>
        <w:footnoteReference w:id="2"/>
      </w:r>
    </w:p>
    <w:p w14:paraId="0F7DE7A0" w14:textId="06297B2C" w:rsidR="0055600F" w:rsidRDefault="00066783" w:rsidP="00F86F51">
      <w:pPr>
        <w:spacing w:line="480" w:lineRule="auto"/>
        <w:ind w:firstLine="720"/>
        <w:jc w:val="both"/>
      </w:pPr>
      <w:r>
        <w:t>By requiring a court order to approach jurors</w:t>
      </w:r>
      <w:r w:rsidR="0055600F">
        <w:t>—even those</w:t>
      </w:r>
      <w:r>
        <w:t xml:space="preserve"> who</w:t>
      </w:r>
      <w:r w:rsidR="0055600F">
        <w:t xml:space="preserve"> do not</w:t>
      </w:r>
      <w:r>
        <w:t xml:space="preserve"> indicate a refusal to speak with litigants</w:t>
      </w:r>
      <w:r w:rsidR="0055600F">
        <w:t xml:space="preserve"> and might actually welcome it—MCAO’s proposed Rule 22.5(c)</w:t>
      </w:r>
      <w:r>
        <w:t xml:space="preserve"> places an almost impossible burden on defendants. </w:t>
      </w:r>
      <w:r w:rsidR="0055600F">
        <w:t xml:space="preserve">First, the defendant </w:t>
      </w:r>
      <w:r w:rsidR="0055600F">
        <w:lastRenderedPageBreak/>
        <w:t xml:space="preserve">must file a motion with the court, which necessarily means that the State </w:t>
      </w:r>
      <w:r w:rsidR="00924225">
        <w:t xml:space="preserve">has an opportunity to respond (the proposal does not include any provision for </w:t>
      </w:r>
      <w:r w:rsidR="00924225" w:rsidRPr="00924225">
        <w:rPr>
          <w:i/>
        </w:rPr>
        <w:t>ex parte</w:t>
      </w:r>
      <w:r w:rsidR="00924225">
        <w:t xml:space="preserve"> requests). And</w:t>
      </w:r>
      <w:r w:rsidR="0055600F">
        <w:t xml:space="preserve"> the proposed Rule requires written notification to jurors of the request </w:t>
      </w:r>
      <w:r w:rsidR="00924225">
        <w:t>to speak with them, but it does not explain who would author or send that request. Presumably the State would want a voice in that process, in which case the State can be expected to demand language that makes jurors feel that contact with the defense team would be unpleasant and undesireable.</w:t>
      </w:r>
      <w:r w:rsidR="0055600F">
        <w:t xml:space="preserve"> </w:t>
      </w:r>
      <w:r w:rsidR="00CF2C86">
        <w:t>This</w:t>
      </w:r>
      <w:r w:rsidR="0059629B">
        <w:t xml:space="preserve"> </w:t>
      </w:r>
      <w:r w:rsidR="00342232">
        <w:t>would impede defense attorneys’</w:t>
      </w:r>
      <w:r w:rsidR="00000252" w:rsidRPr="00000252">
        <w:t xml:space="preserve"> ability to </w:t>
      </w:r>
      <w:r w:rsidR="00342232">
        <w:t>competently</w:t>
      </w:r>
      <w:r w:rsidR="00000252" w:rsidRPr="00000252">
        <w:t xml:space="preserve"> represent their clients </w:t>
      </w:r>
      <w:r w:rsidR="004570ED">
        <w:t xml:space="preserve">by </w:t>
      </w:r>
      <w:r w:rsidR="00520D53">
        <w:t>interfering with counsel’s ability to</w:t>
      </w:r>
      <w:r w:rsidR="004570ED">
        <w:t xml:space="preserve"> </w:t>
      </w:r>
      <w:r w:rsidR="00342232">
        <w:t>investigate potential</w:t>
      </w:r>
      <w:r w:rsidR="00000252" w:rsidRPr="00000252">
        <w:t xml:space="preserve"> claims</w:t>
      </w:r>
      <w:r w:rsidR="00342232">
        <w:t xml:space="preserve"> for relief</w:t>
      </w:r>
      <w:r w:rsidR="00FE79F6">
        <w:t xml:space="preserve">. </w:t>
      </w:r>
    </w:p>
    <w:p w14:paraId="4C637185" w14:textId="114E9A30" w:rsidR="005123E4" w:rsidRDefault="007F78B2" w:rsidP="00F86F51">
      <w:pPr>
        <w:spacing w:line="480" w:lineRule="auto"/>
        <w:ind w:firstLine="720"/>
        <w:jc w:val="both"/>
      </w:pPr>
      <w:r>
        <w:t xml:space="preserve">To provide competent representation, counsel must investigate </w:t>
      </w:r>
      <w:r w:rsidR="00CF2C86">
        <w:t>the</w:t>
      </w:r>
      <w:r>
        <w:t xml:space="preserve"> c</w:t>
      </w:r>
      <w:r w:rsidR="00FE79F6">
        <w:t xml:space="preserve">lient’s constitutional claims. </w:t>
      </w:r>
      <w:r w:rsidRPr="007F78B2">
        <w:rPr>
          <w:i/>
        </w:rPr>
        <w:t>See</w:t>
      </w:r>
      <w:r w:rsidR="00E65244">
        <w:rPr>
          <w:i/>
        </w:rPr>
        <w:t>,</w:t>
      </w:r>
      <w:r>
        <w:rPr>
          <w:i/>
        </w:rPr>
        <w:t xml:space="preserve"> e.g.</w:t>
      </w:r>
      <w:r>
        <w:t xml:space="preserve">, </w:t>
      </w:r>
      <w:r w:rsidR="002F587D" w:rsidRPr="007D65F4">
        <w:rPr>
          <w:i/>
        </w:rPr>
        <w:t>McCleskey v. Zant</w:t>
      </w:r>
      <w:r w:rsidR="002F587D" w:rsidRPr="002F587D">
        <w:t>, 499 U.S. 467, 498 (1991)</w:t>
      </w:r>
      <w:r w:rsidR="00746FCD">
        <w:t xml:space="preserve"> </w:t>
      </w:r>
      <w:r w:rsidR="002F587D" w:rsidRPr="002F587D">
        <w:t>(“</w:t>
      </w:r>
      <w:r w:rsidR="00746FCD">
        <w:t>[P]</w:t>
      </w:r>
      <w:r w:rsidR="002F587D" w:rsidRPr="002F587D">
        <w:t>etitioner must conduct a reasonable and diligent investigation aimed at including all relevant claims and grounds for relief in the first federal habeas petition</w:t>
      </w:r>
      <w:r w:rsidR="00746FCD">
        <w:t>.</w:t>
      </w:r>
      <w:r w:rsidR="002F587D" w:rsidRPr="002F587D">
        <w:t>”);</w:t>
      </w:r>
      <w:r w:rsidR="000E309A">
        <w:t xml:space="preserve"> </w:t>
      </w:r>
      <w:r w:rsidR="000E309A" w:rsidRPr="000E309A">
        <w:t>ABA Criminal Justice Standards, Defense Function (3</w:t>
      </w:r>
      <w:r w:rsidR="00AD0B3D">
        <w:t>d</w:t>
      </w:r>
      <w:r w:rsidR="000E309A" w:rsidRPr="000E309A">
        <w:t xml:space="preserve"> ed.), Standard 4-4.1 (defense counsel has a duty to “conduct a prompt investigation of the circumstanc</w:t>
      </w:r>
      <w:r w:rsidR="00FE79F6">
        <w:t>es of the case and explore all </w:t>
      </w:r>
      <w:r w:rsidR="000E309A" w:rsidRPr="000E309A">
        <w:t xml:space="preserve">avenues leading to facts relevant to the merits”); Standard 4-8.5, </w:t>
      </w:r>
      <w:r w:rsidR="00DE6EF2" w:rsidRPr="00DE6EF2">
        <w:rPr>
          <w:iCs/>
        </w:rPr>
        <w:t>Commentary</w:t>
      </w:r>
      <w:r w:rsidR="000E309A" w:rsidRPr="000E309A">
        <w:t xml:space="preserve"> (“Since a postconviction proceeding is fundamentally an original judicial proceeding, involving problems of investigation, preparation, and trial, the Standards governing lawyers in these tasks are essentially the same as those outlined in these Standards for the defense of a criminal case.”)</w:t>
      </w:r>
      <w:r w:rsidR="000E309A">
        <w:t>;</w:t>
      </w:r>
      <w:r w:rsidR="00F869AF">
        <w:t xml:space="preserve"> </w:t>
      </w:r>
      <w:r w:rsidR="002F587D" w:rsidRPr="002F587D">
        <w:lastRenderedPageBreak/>
        <w:t xml:space="preserve">ABA </w:t>
      </w:r>
      <w:r w:rsidR="003F366C">
        <w:t>Guidelines for the Appointment and Performance of Defense Counsel in Death Penalty Cases,</w:t>
      </w:r>
      <w:r w:rsidR="008B3751" w:rsidRPr="002F587D">
        <w:t xml:space="preserve"> </w:t>
      </w:r>
      <w:r w:rsidR="002F587D" w:rsidRPr="002F587D">
        <w:t>Guideline 10.15.1 and Commentary (2003)</w:t>
      </w:r>
      <w:r w:rsidR="00746FCD">
        <w:t xml:space="preserve"> </w:t>
      </w:r>
      <w:r w:rsidR="002F587D" w:rsidRPr="002F587D">
        <w:t>(“Post-conviction counsel should seek to litigate all issue</w:t>
      </w:r>
      <w:r w:rsidR="007D65F4">
        <w:t>s</w:t>
      </w:r>
      <w:r>
        <w:t xml:space="preserve"> . . . that are arguably meritorious . . . [and] </w:t>
      </w:r>
      <w:r w:rsidR="002F587D" w:rsidRPr="002F587D">
        <w:t>preserve them for subsequent review.”)</w:t>
      </w:r>
      <w:r w:rsidR="0004305F">
        <w:t xml:space="preserve">; ABA Guideline 10.7(A) (attorneys at each stage are obliged </w:t>
      </w:r>
      <w:r w:rsidR="0004305F" w:rsidRPr="005123E4">
        <w:t>“to conduct thorough and independent investigations relating to the issues of both guilt and penalty</w:t>
      </w:r>
      <w:r w:rsidR="0004305F">
        <w:t>”)</w:t>
      </w:r>
      <w:r w:rsidR="00FE79F6">
        <w:t>.</w:t>
      </w:r>
      <w:r w:rsidR="007D65F4">
        <w:t xml:space="preserve"> </w:t>
      </w:r>
      <w:r w:rsidR="002F587D" w:rsidRPr="002F587D">
        <w:t xml:space="preserve">The ABA Guidelines </w:t>
      </w:r>
      <w:r w:rsidR="007D65F4">
        <w:t xml:space="preserve">further </w:t>
      </w:r>
      <w:r w:rsidR="002F587D" w:rsidRPr="002F587D">
        <w:t>impose a professional obligation to contact jurors in post</w:t>
      </w:r>
      <w:r>
        <w:t>-</w:t>
      </w:r>
      <w:r w:rsidR="002F587D" w:rsidRPr="002F587D">
        <w:t>conviction proceedings.</w:t>
      </w:r>
      <w:r w:rsidR="007D65F4">
        <w:t xml:space="preserve"> </w:t>
      </w:r>
      <w:r w:rsidR="007D65F4">
        <w:rPr>
          <w:i/>
        </w:rPr>
        <w:t>See, e.g.</w:t>
      </w:r>
      <w:r w:rsidR="007D65F4">
        <w:t xml:space="preserve">, </w:t>
      </w:r>
      <w:r w:rsidR="002F587D" w:rsidRPr="002F587D">
        <w:t>Guideline 10.15.1(E)(4)</w:t>
      </w:r>
      <w:r w:rsidR="00E65244">
        <w:t xml:space="preserve"> </w:t>
      </w:r>
      <w:r w:rsidR="002F587D" w:rsidRPr="002F587D">
        <w:t>(“Post-conviction counsel should</w:t>
      </w:r>
      <w:r w:rsidR="00E65244">
        <w:t xml:space="preserve"> </w:t>
      </w:r>
      <w:r w:rsidR="002F587D" w:rsidRPr="002F587D">
        <w:t>…</w:t>
      </w:r>
      <w:r w:rsidR="00E65244">
        <w:t xml:space="preserve"> </w:t>
      </w:r>
      <w:r w:rsidR="002F587D" w:rsidRPr="002F587D">
        <w:t>continue an aggressive investigation of all aspects of the case</w:t>
      </w:r>
      <w:r w:rsidR="00E65244">
        <w:t>.</w:t>
      </w:r>
      <w:r w:rsidR="002F587D" w:rsidRPr="002F587D">
        <w:t>”); 10.10.2, Commentary n.260 (“</w:t>
      </w:r>
      <w:r w:rsidR="00E65244">
        <w:t>[C]</w:t>
      </w:r>
      <w:r w:rsidR="002F587D" w:rsidRPr="002F587D">
        <w:t>ounsel investigating a capital case should be particularly alert to the possibility that, notwithstanding surface appearances, one or more jurors were unqualified to sit at either phase of the trial and make every effort to develop the relevant facts, whether by interviewing jurors or otherwise. Such inquiries can be critical in discovering constitutional errors</w:t>
      </w:r>
      <w:r w:rsidR="00E65244">
        <w:t>.</w:t>
      </w:r>
      <w:r w:rsidR="002F587D" w:rsidRPr="002F587D">
        <w:t>”</w:t>
      </w:r>
      <w:r w:rsidR="00F869AF">
        <w:t xml:space="preserve">) </w:t>
      </w:r>
      <w:r w:rsidR="002F587D" w:rsidRPr="002F587D">
        <w:t>(citation and in</w:t>
      </w:r>
      <w:r w:rsidR="000A3157">
        <w:t>ternal quotation marks omitted)</w:t>
      </w:r>
      <w:r w:rsidR="002F587D" w:rsidRPr="002F587D">
        <w:t>.</w:t>
      </w:r>
    </w:p>
    <w:p w14:paraId="1E06E03F" w14:textId="65B40398" w:rsidR="00850E1C" w:rsidRDefault="004A2A47" w:rsidP="00066783">
      <w:pPr>
        <w:spacing w:line="480" w:lineRule="auto"/>
        <w:jc w:val="both"/>
      </w:pPr>
      <w:r>
        <w:tab/>
      </w:r>
      <w:r w:rsidR="0085755C">
        <w:t>ACRP,</w:t>
      </w:r>
      <w:r w:rsidR="005B6B42" w:rsidRPr="005123E4">
        <w:t xml:space="preserve"> </w:t>
      </w:r>
      <w:r w:rsidR="00587EF9">
        <w:t>MCPD</w:t>
      </w:r>
      <w:r w:rsidR="00B22094">
        <w:t>,</w:t>
      </w:r>
      <w:r w:rsidR="00587EF9">
        <w:t xml:space="preserve"> </w:t>
      </w:r>
      <w:r w:rsidR="00B22094" w:rsidRPr="005123E4">
        <w:t>AACJ members</w:t>
      </w:r>
      <w:r w:rsidR="00B22094">
        <w:t xml:space="preserve">, </w:t>
      </w:r>
      <w:r w:rsidR="005B6B42" w:rsidRPr="005123E4">
        <w:t>and other members of the criminal defense community who practice post-appeal litigation in capital</w:t>
      </w:r>
      <w:r w:rsidR="000F2B04">
        <w:t xml:space="preserve"> and non-capital</w:t>
      </w:r>
      <w:r w:rsidR="005B6B42" w:rsidRPr="005123E4">
        <w:t xml:space="preserve"> cases consider it essential to investigate all potential avenues for relief for their clients, including investigating the possibility of juror misconduct</w:t>
      </w:r>
      <w:r w:rsidR="008B3751">
        <w:t xml:space="preserve"> or misconduct witnessed by jurors</w:t>
      </w:r>
      <w:r w:rsidR="005B6B42" w:rsidRPr="005123E4">
        <w:t>.</w:t>
      </w:r>
      <w:r w:rsidR="005B6B42">
        <w:t xml:space="preserve"> </w:t>
      </w:r>
      <w:r w:rsidR="00664D81">
        <w:t xml:space="preserve">Due to the </w:t>
      </w:r>
      <w:r w:rsidR="00066783">
        <w:t xml:space="preserve">necessarily </w:t>
      </w:r>
      <w:r w:rsidR="00F74E60">
        <w:t xml:space="preserve">secretive </w:t>
      </w:r>
      <w:r w:rsidR="00664D81">
        <w:t xml:space="preserve">nature of jury </w:t>
      </w:r>
      <w:r w:rsidR="00F74E60">
        <w:t>deliberations</w:t>
      </w:r>
      <w:r w:rsidR="00664D81" w:rsidRPr="005123E4">
        <w:t xml:space="preserve">, and the fact that there is no ability to record or otherwise document their processes, there is </w:t>
      </w:r>
      <w:r w:rsidR="00664D81" w:rsidRPr="005123E4">
        <w:lastRenderedPageBreak/>
        <w:t xml:space="preserve">simply no other way to learn </w:t>
      </w:r>
      <w:r w:rsidR="008B3751">
        <w:t>of such</w:t>
      </w:r>
      <w:r w:rsidR="00664D81" w:rsidRPr="005123E4">
        <w:t xml:space="preserve"> misconduct without asking members of the panel.</w:t>
      </w:r>
      <w:r w:rsidR="00664D81">
        <w:t xml:space="preserve"> </w:t>
      </w:r>
      <w:r w:rsidR="007D65F4">
        <w:t>Thus, r</w:t>
      </w:r>
      <w:r w:rsidR="00000252" w:rsidRPr="00000252">
        <w:t>equiring counsel to demonstrate good cause</w:t>
      </w:r>
      <w:r w:rsidR="00CB5BD0">
        <w:t>—</w:t>
      </w:r>
      <w:r w:rsidR="00000252" w:rsidRPr="00000252">
        <w:t>or to meet any standard</w:t>
      </w:r>
      <w:r w:rsidR="00CB5BD0">
        <w:t>—</w:t>
      </w:r>
      <w:r w:rsidR="00000252" w:rsidRPr="00000252">
        <w:t xml:space="preserve">before </w:t>
      </w:r>
      <w:r w:rsidR="002F587D">
        <w:t>contacting</w:t>
      </w:r>
      <w:r w:rsidR="00000252" w:rsidRPr="00000252">
        <w:t xml:space="preserve"> jurors </w:t>
      </w:r>
      <w:r w:rsidR="002F587D">
        <w:t>to investigate misconduct impedes counsel’s ability to provide thorough and adequate representation</w:t>
      </w:r>
      <w:r w:rsidR="00FE79F6">
        <w:t>.</w:t>
      </w:r>
    </w:p>
    <w:p w14:paraId="3AED0364" w14:textId="168C5D75" w:rsidR="0008321E" w:rsidRDefault="00850E1C" w:rsidP="00000252">
      <w:pPr>
        <w:spacing w:line="480" w:lineRule="auto"/>
        <w:jc w:val="both"/>
      </w:pPr>
      <w:r>
        <w:tab/>
      </w:r>
      <w:r w:rsidR="00924225">
        <w:t>Further, this proposal, if adopted,</w:t>
      </w:r>
      <w:r w:rsidR="00000252" w:rsidRPr="00000252">
        <w:t xml:space="preserve"> </w:t>
      </w:r>
      <w:r w:rsidR="00407228">
        <w:t>would</w:t>
      </w:r>
      <w:r w:rsidR="00000252" w:rsidRPr="00000252">
        <w:t xml:space="preserve"> prevent valid constitutional claims from being discovered or</w:t>
      </w:r>
      <w:r w:rsidR="0067350A">
        <w:t>, at best,</w:t>
      </w:r>
      <w:r w:rsidR="00000252" w:rsidRPr="00000252">
        <w:t xml:space="preserve"> delay discovery unti</w:t>
      </w:r>
      <w:r w:rsidR="00FE79F6">
        <w:t>l federal habeas proceedings.</w:t>
      </w:r>
      <w:r w:rsidR="00000252" w:rsidRPr="00000252">
        <w:t xml:space="preserve"> </w:t>
      </w:r>
      <w:r w:rsidR="00177DDC">
        <w:t>C</w:t>
      </w:r>
      <w:r w:rsidR="004F16A7">
        <w:t>riminal defendants are enti</w:t>
      </w:r>
      <w:r w:rsidR="00FE79F6">
        <w:t>tled a fair and impartial jury.</w:t>
      </w:r>
      <w:r w:rsidR="004F16A7">
        <w:t xml:space="preserve"> U.S. Const. amends. V, VI, XIV; Ariz. Const. art. </w:t>
      </w:r>
      <w:r w:rsidR="007C0BB7">
        <w:t>2</w:t>
      </w:r>
      <w:r w:rsidR="004F16A7">
        <w:t>, §§</w:t>
      </w:r>
      <w:r w:rsidR="005B6B42">
        <w:t xml:space="preserve"> </w:t>
      </w:r>
      <w:r w:rsidR="00FE79F6">
        <w:t>4, 23, 24.</w:t>
      </w:r>
      <w:r w:rsidR="0084624A">
        <w:t xml:space="preserve"> </w:t>
      </w:r>
      <w:r w:rsidR="008A0573">
        <w:t>In capital cases, the right to an impartial jury is further protected by prohibitions agains</w:t>
      </w:r>
      <w:r w:rsidR="001B5B0E">
        <w:t>t cruel and unusual punishment.</w:t>
      </w:r>
      <w:r w:rsidR="008A0573">
        <w:t xml:space="preserve"> U.S. Const. amend. VIII; Ariz. Const. art. </w:t>
      </w:r>
      <w:r w:rsidR="007C0BB7">
        <w:t>2</w:t>
      </w:r>
      <w:r w:rsidR="008A0573">
        <w:t>, §</w:t>
      </w:r>
      <w:r w:rsidR="005B6B42">
        <w:t xml:space="preserve"> </w:t>
      </w:r>
      <w:r w:rsidR="00431929">
        <w:t>1</w:t>
      </w:r>
      <w:r w:rsidR="008A0573">
        <w:t xml:space="preserve">5; </w:t>
      </w:r>
      <w:r w:rsidR="008A0573">
        <w:rPr>
          <w:i/>
        </w:rPr>
        <w:t>Eddings v. Oklahoma</w:t>
      </w:r>
      <w:r w:rsidR="001B5B0E">
        <w:t>, 455 U.S. 104, 114 (1982).</w:t>
      </w:r>
      <w:r w:rsidR="008A0573">
        <w:t xml:space="preserve"> </w:t>
      </w:r>
      <w:r w:rsidR="00B54D9F">
        <w:t xml:space="preserve">The Supreme Court has insisted that the right to an impartial jury be scrupulously protected, </w:t>
      </w:r>
      <w:r w:rsidR="00B54D9F">
        <w:rPr>
          <w:i/>
        </w:rPr>
        <w:t>see</w:t>
      </w:r>
      <w:r w:rsidR="005B6B42">
        <w:rPr>
          <w:i/>
        </w:rPr>
        <w:t>,</w:t>
      </w:r>
      <w:r w:rsidR="00B54D9F">
        <w:rPr>
          <w:i/>
        </w:rPr>
        <w:t xml:space="preserve"> e.g.</w:t>
      </w:r>
      <w:r w:rsidR="00B54D9F">
        <w:t xml:space="preserve">, </w:t>
      </w:r>
      <w:r w:rsidR="00B54D9F">
        <w:rPr>
          <w:i/>
        </w:rPr>
        <w:t>Parker v. Gladden</w:t>
      </w:r>
      <w:r w:rsidR="00B54D9F">
        <w:t>,</w:t>
      </w:r>
      <w:r w:rsidR="00B54D9F">
        <w:rPr>
          <w:i/>
        </w:rPr>
        <w:t xml:space="preserve"> </w:t>
      </w:r>
      <w:r w:rsidR="00B54D9F">
        <w:t>385 U.S. 363, 364-66 (1966)</w:t>
      </w:r>
      <w:r w:rsidR="00FE0479">
        <w:t xml:space="preserve">, and state and federal collateral proceedings are the proper venues for pursuing relief when this paramount right </w:t>
      </w:r>
      <w:r w:rsidR="0008321E">
        <w:t>has been violated.</w:t>
      </w:r>
    </w:p>
    <w:p w14:paraId="12875931" w14:textId="4D6C8E0D" w:rsidR="00D569DB" w:rsidRPr="00D569DB" w:rsidRDefault="00617CD9" w:rsidP="00BE1C39">
      <w:pPr>
        <w:spacing w:line="480" w:lineRule="auto"/>
        <w:jc w:val="both"/>
        <w:rPr>
          <w:u w:val="single"/>
        </w:rPr>
      </w:pPr>
      <w:r>
        <w:tab/>
        <w:t xml:space="preserve">Arizona </w:t>
      </w:r>
      <w:r w:rsidR="00924225">
        <w:t xml:space="preserve">post-trial and </w:t>
      </w:r>
      <w:r>
        <w:t xml:space="preserve">post-conviction petitioners are required to “include every ground known to him or her for vacating, reducing, correcting or otherwise changing all judgments or sentences imposed upon him or her” and to provide “[a]ffidavits, records, or other evidence currently available to the defendant supporting the allegations of the petition . . . .” Proposed Rule </w:t>
      </w:r>
      <w:r w:rsidR="00924225">
        <w:t>2</w:t>
      </w:r>
      <w:r w:rsidR="005F6D81">
        <w:t>2.</w:t>
      </w:r>
      <w:r w:rsidR="00924225">
        <w:t>5</w:t>
      </w:r>
      <w:r w:rsidR="005F6D81">
        <w:t>(c)</w:t>
      </w:r>
      <w:r>
        <w:t xml:space="preserve"> would impose a “good cause”</w:t>
      </w:r>
      <w:r w:rsidR="0067350A">
        <w:t xml:space="preserve"> threshold</w:t>
      </w:r>
      <w:r>
        <w:t xml:space="preserve"> and </w:t>
      </w:r>
      <w:r w:rsidR="005F6D81">
        <w:t>require trial courts to micromanag</w:t>
      </w:r>
      <w:r w:rsidR="00924225">
        <w:t xml:space="preserve">e the defense </w:t>
      </w:r>
      <w:r w:rsidR="00924225">
        <w:lastRenderedPageBreak/>
        <w:t xml:space="preserve">investigation by </w:t>
      </w:r>
      <w:r w:rsidR="005F6D81">
        <w:t>defining the scope of permissible contact with each juror</w:t>
      </w:r>
      <w:r w:rsidR="00F86F51">
        <w:t>.</w:t>
      </w:r>
      <w:r w:rsidR="002F587D">
        <w:t xml:space="preserve"> </w:t>
      </w:r>
      <w:r w:rsidR="005F6D81">
        <w:t>I</w:t>
      </w:r>
      <w:r w:rsidR="00C24E2D" w:rsidRPr="00000252">
        <w:t xml:space="preserve">t is </w:t>
      </w:r>
      <w:r w:rsidR="00785721">
        <w:t>virtually</w:t>
      </w:r>
      <w:r w:rsidR="00C24E2D" w:rsidRPr="00000252">
        <w:t xml:space="preserve"> impossible to determine whether any juror misconduct occurred </w:t>
      </w:r>
      <w:r w:rsidR="008B3751">
        <w:t xml:space="preserve">or whether a juror witnessed misconduct </w:t>
      </w:r>
      <w:r w:rsidR="00C24E2D" w:rsidRPr="00000252">
        <w:t>without reaching out to jurors themselves.</w:t>
      </w:r>
      <w:r w:rsidR="005B6B42">
        <w:t xml:space="preserve"> Arizona jurisprudence is rife with examples of instances where misconduct came to light via juror contact after conviction</w:t>
      </w:r>
      <w:r w:rsidR="00924225">
        <w:t xml:space="preserve">, such as in </w:t>
      </w:r>
      <w:r w:rsidR="00924225" w:rsidRPr="00924225">
        <w:rPr>
          <w:i/>
        </w:rPr>
        <w:t>Kolmann</w:t>
      </w:r>
      <w:r w:rsidR="005B6B42">
        <w:t xml:space="preserve">. Even where juror misconduct was discovered by happenstance, </w:t>
      </w:r>
      <w:r w:rsidR="00924225">
        <w:t xml:space="preserve">such as in </w:t>
      </w:r>
      <w:r w:rsidR="00924225">
        <w:rPr>
          <w:i/>
        </w:rPr>
        <w:t>Fitzgerald</w:t>
      </w:r>
      <w:r w:rsidR="00924225">
        <w:t xml:space="preserve">, </w:t>
      </w:r>
      <w:r w:rsidR="005B6B42">
        <w:t>juror contact would have provided the best assurance that juror misconduct was discovered.</w:t>
      </w:r>
    </w:p>
    <w:p w14:paraId="6D757002" w14:textId="05E2A079" w:rsidR="00D569DB" w:rsidRPr="0067350A" w:rsidRDefault="00D569DB" w:rsidP="00D569DB">
      <w:pPr>
        <w:spacing w:line="480" w:lineRule="auto"/>
        <w:ind w:firstLine="720"/>
        <w:jc w:val="both"/>
      </w:pPr>
      <w:r>
        <w:t xml:space="preserve">In </w:t>
      </w:r>
      <w:r w:rsidRPr="00D569DB">
        <w:rPr>
          <w:i/>
        </w:rPr>
        <w:t>State v. Hall</w:t>
      </w:r>
      <w:r>
        <w:t>, 204 Ariz. 442</w:t>
      </w:r>
      <w:r w:rsidR="0067350A">
        <w:t xml:space="preserve">, 446 </w:t>
      </w:r>
      <w:r w:rsidR="0067350A" w:rsidRPr="00105DEB">
        <w:t>¶</w:t>
      </w:r>
      <w:r w:rsidR="00431929">
        <w:t xml:space="preserve"> </w:t>
      </w:r>
      <w:r w:rsidR="0067350A">
        <w:t>12</w:t>
      </w:r>
      <w:r>
        <w:t xml:space="preserve"> (2003), the defense contacted jurors post-verdict and discovered that the bailiff had inappropriately discussed prejudicial facts surrounding defendant’s tattoos with the jury, and that the jury had discussed those facts among themselves. The</w:t>
      </w:r>
      <w:r w:rsidR="009A1439">
        <w:t xml:space="preserve"> defense</w:t>
      </w:r>
      <w:r>
        <w:t xml:space="preserve"> presented this information to the court in the form of affidavits. Additionally, their investigative interviews with the jurors were used to impeach jurors who testified at the evidentiary hearing that they had not heard or considered the information.</w:t>
      </w:r>
      <w:r w:rsidR="0067350A">
        <w:t xml:space="preserve"> </w:t>
      </w:r>
      <w:r w:rsidR="0067350A">
        <w:rPr>
          <w:i/>
        </w:rPr>
        <w:t>Id</w:t>
      </w:r>
      <w:r w:rsidR="0067350A">
        <w:t xml:space="preserve">. at 447 </w:t>
      </w:r>
      <w:r w:rsidR="0067350A" w:rsidRPr="00105DEB">
        <w:t>¶</w:t>
      </w:r>
      <w:r w:rsidR="00431929">
        <w:t xml:space="preserve"> </w:t>
      </w:r>
      <w:r w:rsidR="0067350A">
        <w:t>13.</w:t>
      </w:r>
      <w:r>
        <w:t xml:space="preserve"> Because the jurors had considered extrinsic evidence, </w:t>
      </w:r>
      <w:r w:rsidR="000F39D6">
        <w:t>this</w:t>
      </w:r>
      <w:r>
        <w:t xml:space="preserve"> Court </w:t>
      </w:r>
      <w:r w:rsidR="000F39D6">
        <w:t>reversed</w:t>
      </w:r>
      <w:r>
        <w:t xml:space="preserve"> the trial court</w:t>
      </w:r>
      <w:r w:rsidR="000F39D6">
        <w:t xml:space="preserve">’s denial of relief, </w:t>
      </w:r>
      <w:r>
        <w:t xml:space="preserve">and reversed </w:t>
      </w:r>
      <w:r w:rsidR="000F39D6">
        <w:t>Hall’s</w:t>
      </w:r>
      <w:r>
        <w:t xml:space="preserve"> murder conviction</w:t>
      </w:r>
      <w:r w:rsidR="00DA7969">
        <w:t xml:space="preserve"> and death sentence.</w:t>
      </w:r>
      <w:r w:rsidR="0067350A">
        <w:t xml:space="preserve"> </w:t>
      </w:r>
      <w:r w:rsidR="0067350A">
        <w:rPr>
          <w:i/>
        </w:rPr>
        <w:t>Id</w:t>
      </w:r>
      <w:r w:rsidR="0067350A">
        <w:t xml:space="preserve">. at 449 </w:t>
      </w:r>
      <w:r w:rsidR="0067350A" w:rsidRPr="00105DEB">
        <w:t>¶</w:t>
      </w:r>
      <w:r w:rsidR="00431929">
        <w:t xml:space="preserve"> </w:t>
      </w:r>
      <w:r w:rsidR="0067350A">
        <w:t>25.</w:t>
      </w:r>
    </w:p>
    <w:p w14:paraId="0FCE5F92" w14:textId="475331FD" w:rsidR="00231484" w:rsidRDefault="00581732" w:rsidP="00D569DB">
      <w:pPr>
        <w:spacing w:line="480" w:lineRule="auto"/>
        <w:ind w:firstLine="720"/>
        <w:jc w:val="both"/>
      </w:pPr>
      <w:r>
        <w:t xml:space="preserve">In </w:t>
      </w:r>
      <w:r w:rsidRPr="00581732">
        <w:rPr>
          <w:i/>
        </w:rPr>
        <w:t>State v. Glover</w:t>
      </w:r>
      <w:r>
        <w:t>, 159 Ariz. 291</w:t>
      </w:r>
      <w:r w:rsidR="00D201BD">
        <w:t>, 292-9</w:t>
      </w:r>
      <w:r w:rsidR="00BD671D">
        <w:t>4</w:t>
      </w:r>
      <w:r>
        <w:t xml:space="preserve"> (1988), </w:t>
      </w:r>
      <w:r w:rsidR="00BD671D">
        <w:t xml:space="preserve">this Court reversed convictions because </w:t>
      </w:r>
      <w:r w:rsidR="00F869AF">
        <w:t xml:space="preserve">the </w:t>
      </w:r>
      <w:r w:rsidR="00F52198">
        <w:t xml:space="preserve">defense presented </w:t>
      </w:r>
      <w:r w:rsidR="00F869AF">
        <w:t xml:space="preserve">an </w:t>
      </w:r>
      <w:r w:rsidR="00F52198">
        <w:t xml:space="preserve">affidavit from the </w:t>
      </w:r>
      <w:r w:rsidR="00F869AF">
        <w:t xml:space="preserve">jury </w:t>
      </w:r>
      <w:r w:rsidR="00F52198">
        <w:t xml:space="preserve">foreman </w:t>
      </w:r>
      <w:r w:rsidR="000F39D6">
        <w:t>revealing</w:t>
      </w:r>
      <w:r w:rsidR="00F52198">
        <w:t xml:space="preserve"> two instances o</w:t>
      </w:r>
      <w:r w:rsidR="00DA7969">
        <w:t>f significant juror misconduct</w:t>
      </w:r>
      <w:r w:rsidR="00BD671D">
        <w:t xml:space="preserve"> involving asking nonjurors with specialized knowledge for insight as to the evidence and trial procedures</w:t>
      </w:r>
      <w:r w:rsidR="00DA7969">
        <w:t>.</w:t>
      </w:r>
      <w:r w:rsidR="00F52198">
        <w:t xml:space="preserve"> </w:t>
      </w:r>
      <w:r w:rsidR="00BD671D">
        <w:t xml:space="preserve">And </w:t>
      </w:r>
      <w:r w:rsidR="00BD671D">
        <w:lastRenderedPageBreak/>
        <w:t>i</w:t>
      </w:r>
      <w:r w:rsidR="00E0202A">
        <w:t xml:space="preserve">n </w:t>
      </w:r>
      <w:r w:rsidR="00E0202A" w:rsidRPr="00E0202A">
        <w:rPr>
          <w:i/>
        </w:rPr>
        <w:t>State v. Compton</w:t>
      </w:r>
      <w:r w:rsidR="00E0202A">
        <w:t xml:space="preserve">, 127 Ariz. 420, </w:t>
      </w:r>
      <w:r w:rsidR="0081392B">
        <w:t>421</w:t>
      </w:r>
      <w:r w:rsidR="00E0202A">
        <w:t xml:space="preserve"> (App. 1980),</w:t>
      </w:r>
      <w:r w:rsidR="009A1439">
        <w:t xml:space="preserve"> the</w:t>
      </w:r>
      <w:r w:rsidR="0081392B">
        <w:t xml:space="preserve"> trial court conducted an evidentiary hearing on the </w:t>
      </w:r>
      <w:r w:rsidR="00E0202A">
        <w:t xml:space="preserve">defense </w:t>
      </w:r>
      <w:r w:rsidR="0081392B">
        <w:t xml:space="preserve">motion </w:t>
      </w:r>
      <w:r w:rsidR="00E0202A">
        <w:t xml:space="preserve">for a new trial </w:t>
      </w:r>
      <w:r w:rsidR="00F869AF">
        <w:t>based on</w:t>
      </w:r>
      <w:r w:rsidR="00E0202A">
        <w:t xml:space="preserve"> the bailiff’s improper statement to </w:t>
      </w:r>
      <w:r w:rsidR="000F39D6">
        <w:t>jurors</w:t>
      </w:r>
      <w:r w:rsidR="00E0202A">
        <w:t xml:space="preserve"> that the judge </w:t>
      </w:r>
      <w:r w:rsidR="00F869AF">
        <w:t>would not allow</w:t>
      </w:r>
      <w:r w:rsidR="00E0202A">
        <w:t xml:space="preserve"> </w:t>
      </w:r>
      <w:r w:rsidR="005B6B42">
        <w:t>the</w:t>
      </w:r>
      <w:r w:rsidR="000F39D6">
        <w:t>m</w:t>
      </w:r>
      <w:r w:rsidR="005B6B42">
        <w:t xml:space="preserve"> </w:t>
      </w:r>
      <w:r w:rsidR="00E0202A">
        <w:t xml:space="preserve">to go home that evening without reaching a </w:t>
      </w:r>
      <w:r w:rsidR="009A1439">
        <w:t>verdict</w:t>
      </w:r>
      <w:r w:rsidR="00AF2160">
        <w:t>.</w:t>
      </w:r>
      <w:r w:rsidR="00E0202A">
        <w:t xml:space="preserve"> </w:t>
      </w:r>
      <w:r w:rsidR="0081392B">
        <w:t>Over the prosecution’s objection, j</w:t>
      </w:r>
      <w:r w:rsidR="000F2B04">
        <w:t>urors testified</w:t>
      </w:r>
      <w:r w:rsidR="0081392B">
        <w:t xml:space="preserve"> in support of the motion</w:t>
      </w:r>
      <w:r w:rsidR="00A214EF">
        <w:t xml:space="preserve">, and, given that the bailiff denied making the statement, those contacts were instrumental in supporting the </w:t>
      </w:r>
      <w:r w:rsidR="0081392B">
        <w:t>defense motion. The trial court</w:t>
      </w:r>
      <w:r w:rsidR="00A214EF">
        <w:t xml:space="preserve"> order</w:t>
      </w:r>
      <w:r w:rsidR="0081392B">
        <w:t>ed</w:t>
      </w:r>
      <w:r w:rsidR="00A214EF">
        <w:t xml:space="preserve"> </w:t>
      </w:r>
      <w:r w:rsidR="0081392B">
        <w:t>a</w:t>
      </w:r>
      <w:r w:rsidR="00A214EF">
        <w:t xml:space="preserve"> new trial</w:t>
      </w:r>
      <w:r w:rsidR="00DA7969">
        <w:t xml:space="preserve">, </w:t>
      </w:r>
      <w:r w:rsidR="00177DDC">
        <w:t>which the</w:t>
      </w:r>
      <w:r w:rsidR="00DA7969">
        <w:t xml:space="preserve"> court of appeals affirmed</w:t>
      </w:r>
      <w:r w:rsidR="00F65C1C">
        <w:t>.</w:t>
      </w:r>
      <w:r w:rsidR="00BD671D">
        <w:t xml:space="preserve"> </w:t>
      </w:r>
      <w:r w:rsidR="00231484">
        <w:t xml:space="preserve">In fact, Arizona’s courts not only accept declarations from jurors, but require them to support post-trial claims. </w:t>
      </w:r>
      <w:r w:rsidR="00231484" w:rsidRPr="00231484">
        <w:rPr>
          <w:i/>
        </w:rPr>
        <w:t>S</w:t>
      </w:r>
      <w:r w:rsidR="00177DDC">
        <w:rPr>
          <w:i/>
        </w:rPr>
        <w:t>ee S</w:t>
      </w:r>
      <w:r w:rsidR="00231484" w:rsidRPr="00231484">
        <w:rPr>
          <w:i/>
        </w:rPr>
        <w:t>tate v. Pearson</w:t>
      </w:r>
      <w:r w:rsidR="00231484" w:rsidRPr="00231484">
        <w:t xml:space="preserve">, </w:t>
      </w:r>
      <w:r w:rsidR="00BB2149" w:rsidRPr="00231484">
        <w:rPr>
          <w:lang w:val="en-CA"/>
        </w:rPr>
        <w:fldChar w:fldCharType="begin"/>
      </w:r>
      <w:r w:rsidR="00231484" w:rsidRPr="00231484">
        <w:rPr>
          <w:lang w:val="en-CA"/>
        </w:rPr>
        <w:instrText xml:space="preserve"> SEQ CHAPTER \h \r 1</w:instrText>
      </w:r>
      <w:r w:rsidR="00BB2149" w:rsidRPr="00231484">
        <w:fldChar w:fldCharType="end"/>
      </w:r>
      <w:r w:rsidR="00231484" w:rsidRPr="00231484">
        <w:t>98 Ariz. 133, 135</w:t>
      </w:r>
      <w:r w:rsidR="00177DDC">
        <w:t>-36</w:t>
      </w:r>
      <w:r w:rsidR="00231484" w:rsidRPr="00231484">
        <w:t xml:space="preserve"> (1965)</w:t>
      </w:r>
      <w:r w:rsidR="00177DDC">
        <w:t xml:space="preserve"> (</w:t>
      </w:r>
      <w:r w:rsidR="00231484" w:rsidRPr="00231484">
        <w:t>defense counsel’s affidavit relating a juror’s statement</w:t>
      </w:r>
      <w:r w:rsidR="00177DDC">
        <w:t xml:space="preserve"> was insufficient to support motion for new trial in absence of</w:t>
      </w:r>
      <w:r w:rsidR="00231484" w:rsidRPr="00231484">
        <w:t xml:space="preserve"> the juror’s affidavit</w:t>
      </w:r>
      <w:r w:rsidR="00177DDC">
        <w:t>)</w:t>
      </w:r>
      <w:r w:rsidR="00231484" w:rsidRPr="00231484">
        <w:t xml:space="preserve">. </w:t>
      </w:r>
      <w:r w:rsidR="00231484" w:rsidRPr="00231484">
        <w:rPr>
          <w:i/>
        </w:rPr>
        <w:t>Accord State v. McMurtrey</w:t>
      </w:r>
      <w:r w:rsidR="00231484" w:rsidRPr="00231484">
        <w:t>, 136 Ariz. 93, 98 (1983)</w:t>
      </w:r>
      <w:r w:rsidR="00F869AF">
        <w:t xml:space="preserve"> </w:t>
      </w:r>
      <w:r w:rsidR="00870A00">
        <w:t>(“</w:t>
      </w:r>
      <w:r w:rsidR="00870A00" w:rsidRPr="00870A00">
        <w:t>It is well settled that affidavits of third parties as to unsworn statements of jurors are not competent evidence of juror misconduct.</w:t>
      </w:r>
      <w:r w:rsidR="00870A00">
        <w:t>”</w:t>
      </w:r>
      <w:r w:rsidR="00823358">
        <w:t>)</w:t>
      </w:r>
      <w:r w:rsidR="00431929">
        <w:t xml:space="preserve"> </w:t>
      </w:r>
      <w:r w:rsidR="00870A00">
        <w:t>(citations omitted)</w:t>
      </w:r>
      <w:r w:rsidR="0067350A">
        <w:t xml:space="preserve">; </w:t>
      </w:r>
      <w:r w:rsidR="0067350A" w:rsidRPr="00231484">
        <w:rPr>
          <w:i/>
        </w:rPr>
        <w:t>State v. Wassenaar</w:t>
      </w:r>
      <w:r w:rsidR="0067350A" w:rsidRPr="00231484">
        <w:t>, 215 Ariz. 565, 576</w:t>
      </w:r>
      <w:r w:rsidR="0067350A">
        <w:t xml:space="preserve"> ¶ 44 </w:t>
      </w:r>
      <w:r w:rsidR="0067350A" w:rsidRPr="00231484">
        <w:t>(App. 2007)</w:t>
      </w:r>
      <w:r w:rsidR="00231484" w:rsidRPr="00231484">
        <w:t>.</w:t>
      </w:r>
    </w:p>
    <w:p w14:paraId="18D1DAE2" w14:textId="27C5A4EF" w:rsidR="00561FC4" w:rsidRDefault="00231484" w:rsidP="00561FC4">
      <w:pPr>
        <w:spacing w:line="480" w:lineRule="auto"/>
        <w:ind w:firstLine="720"/>
        <w:jc w:val="both"/>
      </w:pPr>
      <w:r>
        <w:t>Arizona case law</w:t>
      </w:r>
      <w:r w:rsidR="00105DEB" w:rsidRPr="00105DEB">
        <w:t xml:space="preserve">, </w:t>
      </w:r>
      <w:r w:rsidR="00823358">
        <w:t>both</w:t>
      </w:r>
      <w:r w:rsidR="00823358" w:rsidRPr="00105DEB">
        <w:t xml:space="preserve"> </w:t>
      </w:r>
      <w:r w:rsidR="00105DEB" w:rsidRPr="00105DEB">
        <w:t xml:space="preserve">recent and dating to the earliest days of statehood, is replete with parties’ reliance on juror affidavits obtained through post-trial investigation. </w:t>
      </w:r>
      <w:r w:rsidR="00BB2149" w:rsidRPr="00105DEB">
        <w:rPr>
          <w:lang w:val="en-CA"/>
        </w:rPr>
        <w:fldChar w:fldCharType="begin"/>
      </w:r>
      <w:r w:rsidR="00105DEB" w:rsidRPr="00105DEB">
        <w:rPr>
          <w:lang w:val="en-CA"/>
        </w:rPr>
        <w:instrText xml:space="preserve"> SEQ CHAPTER \h \r 1</w:instrText>
      </w:r>
      <w:r w:rsidR="00BB2149" w:rsidRPr="00105DEB">
        <w:fldChar w:fldCharType="end"/>
      </w:r>
      <w:r w:rsidR="00105DEB" w:rsidRPr="00105DEB">
        <w:rPr>
          <w:i/>
          <w:iCs/>
        </w:rPr>
        <w:t>State v. Nelson</w:t>
      </w:r>
      <w:r w:rsidR="00105DEB" w:rsidRPr="00105DEB">
        <w:t>, 229 Ariz. 180, 190-91 ¶</w:t>
      </w:r>
      <w:r w:rsidR="00431929">
        <w:t xml:space="preserve"> </w:t>
      </w:r>
      <w:r w:rsidR="00105DEB" w:rsidRPr="00105DEB">
        <w:t xml:space="preserve">47 (2012); </w:t>
      </w:r>
      <w:r w:rsidR="00BB2149" w:rsidRPr="00105DEB">
        <w:rPr>
          <w:lang w:val="en-CA"/>
        </w:rPr>
        <w:fldChar w:fldCharType="begin"/>
      </w:r>
      <w:r w:rsidR="00105DEB" w:rsidRPr="00105DEB">
        <w:rPr>
          <w:lang w:val="en-CA"/>
        </w:rPr>
        <w:instrText xml:space="preserve"> SEQ CHAPTER \h \r 1</w:instrText>
      </w:r>
      <w:r w:rsidR="00BB2149" w:rsidRPr="00105DEB">
        <w:fldChar w:fldCharType="end"/>
      </w:r>
      <w:r w:rsidR="00105DEB" w:rsidRPr="00105DEB">
        <w:rPr>
          <w:i/>
          <w:iCs/>
        </w:rPr>
        <w:t>State v. Dickens</w:t>
      </w:r>
      <w:r w:rsidR="00105DEB" w:rsidRPr="00105DEB">
        <w:t xml:space="preserve">, 187 Ariz. 1, 15 (1996); </w:t>
      </w:r>
      <w:r w:rsidR="00BB2149" w:rsidRPr="00105DEB">
        <w:rPr>
          <w:lang w:val="en-CA"/>
        </w:rPr>
        <w:fldChar w:fldCharType="begin"/>
      </w:r>
      <w:r w:rsidR="00105DEB" w:rsidRPr="00105DEB">
        <w:rPr>
          <w:lang w:val="en-CA"/>
        </w:rPr>
        <w:instrText xml:space="preserve"> SEQ CHAPTER \h \r 1</w:instrText>
      </w:r>
      <w:r w:rsidR="00BB2149" w:rsidRPr="00105DEB">
        <w:fldChar w:fldCharType="end"/>
      </w:r>
      <w:r w:rsidR="00105DEB" w:rsidRPr="00105DEB">
        <w:rPr>
          <w:i/>
          <w:iCs/>
        </w:rPr>
        <w:t>Dunn v. Maras</w:t>
      </w:r>
      <w:r w:rsidR="00105DEB" w:rsidRPr="00105DEB">
        <w:t xml:space="preserve">, 182 Ariz. 412, 419-20 (App. 1995); </w:t>
      </w:r>
      <w:r w:rsidR="00BB2149" w:rsidRPr="00105DEB">
        <w:rPr>
          <w:lang w:val="en-CA"/>
        </w:rPr>
        <w:fldChar w:fldCharType="begin"/>
      </w:r>
      <w:r w:rsidR="00105DEB" w:rsidRPr="00105DEB">
        <w:rPr>
          <w:lang w:val="en-CA"/>
        </w:rPr>
        <w:instrText xml:space="preserve"> SEQ CHAPTER \h \r 1</w:instrText>
      </w:r>
      <w:r w:rsidR="00BB2149" w:rsidRPr="00105DEB">
        <w:fldChar w:fldCharType="end"/>
      </w:r>
      <w:r w:rsidR="00105DEB" w:rsidRPr="00105DEB">
        <w:rPr>
          <w:i/>
          <w:iCs/>
        </w:rPr>
        <w:t>State v. Walker</w:t>
      </w:r>
      <w:r w:rsidR="00105DEB" w:rsidRPr="00105DEB">
        <w:t>, 181 Ariz. 475, 483-</w:t>
      </w:r>
      <w:r w:rsidR="00823358">
        <w:t>8</w:t>
      </w:r>
      <w:r w:rsidR="00105DEB" w:rsidRPr="00105DEB">
        <w:t xml:space="preserve">4 (App. 1995); </w:t>
      </w:r>
      <w:r w:rsidR="00BB2149" w:rsidRPr="00105DEB">
        <w:rPr>
          <w:lang w:val="en-CA"/>
        </w:rPr>
        <w:fldChar w:fldCharType="begin"/>
      </w:r>
      <w:r w:rsidR="00105DEB" w:rsidRPr="00105DEB">
        <w:rPr>
          <w:lang w:val="en-CA"/>
        </w:rPr>
        <w:instrText xml:space="preserve"> SEQ CHAPTER \h \r 1</w:instrText>
      </w:r>
      <w:r w:rsidR="00BB2149" w:rsidRPr="00105DEB">
        <w:fldChar w:fldCharType="end"/>
      </w:r>
      <w:r w:rsidR="00105DEB" w:rsidRPr="00105DEB">
        <w:rPr>
          <w:i/>
          <w:iCs/>
        </w:rPr>
        <w:t>Richtmyre v. State</w:t>
      </w:r>
      <w:r w:rsidR="00105DEB" w:rsidRPr="00105DEB">
        <w:t xml:space="preserve">, 175 Ariz. 489, 491 (App. 1993); </w:t>
      </w:r>
      <w:r w:rsidR="00BB2149" w:rsidRPr="00105DEB">
        <w:rPr>
          <w:lang w:val="en-CA"/>
        </w:rPr>
        <w:fldChar w:fldCharType="begin"/>
      </w:r>
      <w:r w:rsidR="00105DEB" w:rsidRPr="00105DEB">
        <w:rPr>
          <w:lang w:val="en-CA"/>
        </w:rPr>
        <w:instrText xml:space="preserve"> SEQ CHAPTER \h \r 1</w:instrText>
      </w:r>
      <w:r w:rsidR="00BB2149" w:rsidRPr="00105DEB">
        <w:fldChar w:fldCharType="end"/>
      </w:r>
      <w:r w:rsidR="00105DEB" w:rsidRPr="00105DEB">
        <w:rPr>
          <w:i/>
          <w:iCs/>
        </w:rPr>
        <w:t>Brooks v. Zahn</w:t>
      </w:r>
      <w:r w:rsidR="00105DEB" w:rsidRPr="00105DEB">
        <w:t xml:space="preserve">, 170 Ariz. 545, 548 (App. 1991); </w:t>
      </w:r>
      <w:r w:rsidR="00BB2149" w:rsidRPr="00105DEB">
        <w:rPr>
          <w:lang w:val="en-CA"/>
        </w:rPr>
        <w:fldChar w:fldCharType="begin"/>
      </w:r>
      <w:r w:rsidR="00105DEB" w:rsidRPr="00105DEB">
        <w:rPr>
          <w:lang w:val="en-CA"/>
        </w:rPr>
        <w:instrText xml:space="preserve"> SEQ CHAPTER \h \r 1</w:instrText>
      </w:r>
      <w:r w:rsidR="00BB2149" w:rsidRPr="00105DEB">
        <w:fldChar w:fldCharType="end"/>
      </w:r>
      <w:r w:rsidR="00105DEB" w:rsidRPr="00105DEB">
        <w:rPr>
          <w:i/>
          <w:iCs/>
        </w:rPr>
        <w:t>Kirby v. Rosell</w:t>
      </w:r>
      <w:r w:rsidR="00105DEB" w:rsidRPr="00105DEB">
        <w:t xml:space="preserve">, 133 </w:t>
      </w:r>
      <w:r w:rsidR="00105DEB" w:rsidRPr="00105DEB">
        <w:lastRenderedPageBreak/>
        <w:t xml:space="preserve">Ariz. 42, 43 (App. 1982); </w:t>
      </w:r>
      <w:r w:rsidR="00BB2149" w:rsidRPr="00105DEB">
        <w:rPr>
          <w:lang w:val="en-CA"/>
        </w:rPr>
        <w:fldChar w:fldCharType="begin"/>
      </w:r>
      <w:r w:rsidR="00105DEB" w:rsidRPr="00105DEB">
        <w:rPr>
          <w:lang w:val="en-CA"/>
        </w:rPr>
        <w:instrText xml:space="preserve"> SEQ CHAPTER \h \r 1</w:instrText>
      </w:r>
      <w:r w:rsidR="00BB2149" w:rsidRPr="00105DEB">
        <w:fldChar w:fldCharType="end"/>
      </w:r>
      <w:r w:rsidR="00105DEB" w:rsidRPr="00105DEB">
        <w:rPr>
          <w:i/>
          <w:iCs/>
        </w:rPr>
        <w:t>State v. Poland</w:t>
      </w:r>
      <w:r w:rsidR="00105DEB" w:rsidRPr="00105DEB">
        <w:t xml:space="preserve">, 132 Ariz. 269, 282 (1982); </w:t>
      </w:r>
      <w:r w:rsidR="00105DEB" w:rsidRPr="00105DEB">
        <w:rPr>
          <w:i/>
        </w:rPr>
        <w:t>Valley Nat</w:t>
      </w:r>
      <w:r w:rsidR="00823358">
        <w:rPr>
          <w:i/>
        </w:rPr>
        <w:t>’</w:t>
      </w:r>
      <w:r w:rsidR="00105DEB" w:rsidRPr="00105DEB">
        <w:rPr>
          <w:i/>
        </w:rPr>
        <w:t>l Bank v. Haney</w:t>
      </w:r>
      <w:r w:rsidR="00105DEB" w:rsidRPr="00105DEB">
        <w:t>, 27 Ariz.</w:t>
      </w:r>
      <w:r w:rsidR="00823358">
        <w:t xml:space="preserve"> </w:t>
      </w:r>
      <w:r w:rsidR="00105DEB" w:rsidRPr="00105DEB">
        <w:t xml:space="preserve">App. 692, 693 (1976); </w:t>
      </w:r>
      <w:r w:rsidR="00105DEB" w:rsidRPr="00105DEB">
        <w:rPr>
          <w:i/>
        </w:rPr>
        <w:t>Board of Trustees Eloy Elementary Sch</w:t>
      </w:r>
      <w:r w:rsidR="00823358">
        <w:rPr>
          <w:i/>
        </w:rPr>
        <w:t>.</w:t>
      </w:r>
      <w:r w:rsidR="00105DEB" w:rsidRPr="00105DEB">
        <w:rPr>
          <w:i/>
        </w:rPr>
        <w:t xml:space="preserve"> Dist. v. McEwen</w:t>
      </w:r>
      <w:r w:rsidR="00105DEB" w:rsidRPr="00105DEB">
        <w:t xml:space="preserve">, 6 Ariz. App. 148, 149 (1967); </w:t>
      </w:r>
      <w:r w:rsidR="00105DEB" w:rsidRPr="00105DEB">
        <w:rPr>
          <w:i/>
        </w:rPr>
        <w:t>Webb v. Hardin</w:t>
      </w:r>
      <w:r w:rsidR="00105DEB" w:rsidRPr="00105DEB">
        <w:t xml:space="preserve">, 53 Ariz. 310, 312 (1939); </w:t>
      </w:r>
      <w:r w:rsidR="00105DEB" w:rsidRPr="00105DEB">
        <w:rPr>
          <w:i/>
        </w:rPr>
        <w:t>S</w:t>
      </w:r>
      <w:r w:rsidR="00F65C1C">
        <w:rPr>
          <w:i/>
        </w:rPr>
        <w:t>outhwest</w:t>
      </w:r>
      <w:r w:rsidR="00823358">
        <w:rPr>
          <w:i/>
        </w:rPr>
        <w:t>.</w:t>
      </w:r>
      <w:r w:rsidR="00105DEB" w:rsidRPr="00105DEB">
        <w:rPr>
          <w:i/>
        </w:rPr>
        <w:t xml:space="preserve"> Cotton Co. v. Ryan</w:t>
      </w:r>
      <w:r w:rsidR="00105DEB" w:rsidRPr="00105DEB">
        <w:t xml:space="preserve">, 22 Ariz. 520, 524 (1921); </w:t>
      </w:r>
      <w:r w:rsidR="00105DEB" w:rsidRPr="00105DEB">
        <w:rPr>
          <w:i/>
        </w:rPr>
        <w:t>Hull v. Larson</w:t>
      </w:r>
      <w:r w:rsidR="00105DEB" w:rsidRPr="00105DEB">
        <w:t>, 14 Ariz. 492, 495 (1913).</w:t>
      </w:r>
      <w:r w:rsidR="003605DE">
        <w:t xml:space="preserve"> </w:t>
      </w:r>
      <w:r w:rsidR="003605DE">
        <w:rPr>
          <w:i/>
        </w:rPr>
        <w:t>See also State v. Aguilar</w:t>
      </w:r>
      <w:r w:rsidR="003605DE">
        <w:t>, 224 Ariz. 299</w:t>
      </w:r>
      <w:r w:rsidR="00572E4B">
        <w:t xml:space="preserve">-300 </w:t>
      </w:r>
      <w:r w:rsidR="00BE1C39" w:rsidRPr="00105DEB">
        <w:t>¶¶</w:t>
      </w:r>
      <w:r w:rsidR="00431929">
        <w:t xml:space="preserve"> </w:t>
      </w:r>
      <w:r w:rsidR="00BE1C39">
        <w:t xml:space="preserve">1-3 </w:t>
      </w:r>
      <w:r w:rsidR="00572E4B">
        <w:t>(App. 2010) (ordering new trial where bailiff stumbled upon evidence of juror misconduct that could have been discovered through post-trial juror interviews).</w:t>
      </w:r>
    </w:p>
    <w:p w14:paraId="71806986" w14:textId="449316EB" w:rsidR="00444EDB" w:rsidRPr="00561FC4" w:rsidRDefault="003605DE" w:rsidP="00561FC4">
      <w:pPr>
        <w:pStyle w:val="ListParagraph"/>
        <w:numPr>
          <w:ilvl w:val="0"/>
          <w:numId w:val="3"/>
        </w:numPr>
        <w:spacing w:line="240" w:lineRule="auto"/>
        <w:jc w:val="both"/>
        <w:rPr>
          <w:b/>
        </w:rPr>
      </w:pPr>
      <w:r w:rsidRPr="00561FC4">
        <w:rPr>
          <w:b/>
          <w:u w:val="single"/>
        </w:rPr>
        <w:t>The constitutional right to challenge verdicts based on</w:t>
      </w:r>
      <w:r w:rsidR="00561FC4" w:rsidRPr="00561FC4">
        <w:rPr>
          <w:b/>
          <w:u w:val="single"/>
        </w:rPr>
        <w:t xml:space="preserve"> m</w:t>
      </w:r>
      <w:r w:rsidR="00444EDB" w:rsidRPr="00561FC4">
        <w:rPr>
          <w:b/>
          <w:u w:val="single"/>
        </w:rPr>
        <w:t>isconduct in jury rooms is expanding</w:t>
      </w:r>
      <w:r w:rsidR="004C743C">
        <w:rPr>
          <w:b/>
          <w:u w:val="single"/>
        </w:rPr>
        <w:t>.</w:t>
      </w:r>
    </w:p>
    <w:p w14:paraId="1FB6798B" w14:textId="77777777" w:rsidR="00444EDB" w:rsidRDefault="00444EDB" w:rsidP="00444EDB">
      <w:pPr>
        <w:pStyle w:val="ListParagraph"/>
        <w:spacing w:line="240" w:lineRule="auto"/>
        <w:ind w:left="1800"/>
        <w:jc w:val="both"/>
      </w:pPr>
    </w:p>
    <w:p w14:paraId="2F2C0DA7" w14:textId="176F0FCE" w:rsidR="003E1F26" w:rsidRDefault="00444EDB" w:rsidP="00444EDB">
      <w:pPr>
        <w:pStyle w:val="ListParagraph"/>
        <w:spacing w:line="480" w:lineRule="auto"/>
        <w:ind w:left="0"/>
        <w:jc w:val="both"/>
      </w:pPr>
      <w:r>
        <w:tab/>
        <w:t xml:space="preserve">In </w:t>
      </w:r>
      <w:r>
        <w:rPr>
          <w:i/>
        </w:rPr>
        <w:t>Pena-Rodriguez v. Colorado</w:t>
      </w:r>
      <w:r>
        <w:t>, 137 S.</w:t>
      </w:r>
      <w:r w:rsidR="00431929">
        <w:t xml:space="preserve"> </w:t>
      </w:r>
      <w:r>
        <w:t xml:space="preserve">Ct. 855 (2017), the </w:t>
      </w:r>
      <w:r w:rsidR="00DA7969">
        <w:t xml:space="preserve">Supreme </w:t>
      </w:r>
      <w:r>
        <w:t>Court established a constitutional exception to the</w:t>
      </w:r>
      <w:r w:rsidR="003605DE" w:rsidRPr="00561FC4">
        <w:t xml:space="preserve"> </w:t>
      </w:r>
      <w:r w:rsidRPr="00561FC4">
        <w:t>centuries-old limitation on post-trial inquiries into jury deliberations. The Court recognized that the common law Mansf</w:t>
      </w:r>
      <w:r w:rsidR="00A56029" w:rsidRPr="00561FC4">
        <w:t xml:space="preserve">ield </w:t>
      </w:r>
      <w:r w:rsidR="00561FC4">
        <w:t>R</w:t>
      </w:r>
      <w:r w:rsidR="00A56029" w:rsidRPr="00561FC4">
        <w:t>ule prohibited jurors “</w:t>
      </w:r>
      <w:r w:rsidR="00A56029">
        <w:t>from testifying either about their subjective mental processes or about objective events that occurred during deliberati</w:t>
      </w:r>
      <w:r w:rsidR="00DA7969">
        <w:t>ons.”</w:t>
      </w:r>
      <w:r w:rsidR="00A56029">
        <w:t xml:space="preserve"> </w:t>
      </w:r>
      <w:r w:rsidR="00A56029">
        <w:rPr>
          <w:i/>
        </w:rPr>
        <w:t>Id</w:t>
      </w:r>
      <w:r w:rsidR="00A56029">
        <w:t>. at 863.</w:t>
      </w:r>
      <w:r w:rsidR="00376665">
        <w:t xml:space="preserve"> </w:t>
      </w:r>
      <w:r w:rsidR="003B2B82">
        <w:t xml:space="preserve">This standard eventually evolved into Federal Rule of Evidence 606(b)(1), which provides, in pertinent part, “[A] juror may not testify </w:t>
      </w:r>
      <w:r w:rsidR="003B2B82" w:rsidRPr="003B2B82">
        <w:t>about any statement made or incident that occurred during the jury’s deliberations</w:t>
      </w:r>
      <w:r w:rsidR="003B2B82">
        <w:t xml:space="preserve"> …”</w:t>
      </w:r>
      <w:r w:rsidR="00D94226">
        <w:t xml:space="preserve"> </w:t>
      </w:r>
      <w:r w:rsidR="000F15A3">
        <w:t>E</w:t>
      </w:r>
      <w:r w:rsidR="002D428C">
        <w:t>very state has adopted some v</w:t>
      </w:r>
      <w:r w:rsidR="003E1F26">
        <w:t>ariation</w:t>
      </w:r>
      <w:r w:rsidR="002D428C">
        <w:t xml:space="preserve"> of the rule. </w:t>
      </w:r>
      <w:r w:rsidR="002D428C">
        <w:rPr>
          <w:i/>
        </w:rPr>
        <w:t>Id</w:t>
      </w:r>
      <w:r w:rsidR="002D428C">
        <w:t>. at 865.</w:t>
      </w:r>
    </w:p>
    <w:p w14:paraId="72AB86F8" w14:textId="5835A3A1" w:rsidR="00F57189" w:rsidRDefault="003E1F26" w:rsidP="00FF5E32">
      <w:pPr>
        <w:pStyle w:val="ListParagraph"/>
        <w:spacing w:line="480" w:lineRule="auto"/>
        <w:ind w:left="0"/>
        <w:jc w:val="both"/>
      </w:pPr>
      <w:r>
        <w:tab/>
      </w:r>
      <w:r w:rsidR="002D428C">
        <w:t xml:space="preserve">Before </w:t>
      </w:r>
      <w:r w:rsidR="002D428C">
        <w:rPr>
          <w:i/>
        </w:rPr>
        <w:t>Pena-Rodriguez</w:t>
      </w:r>
      <w:r w:rsidR="002D428C">
        <w:t>, the Court had never f</w:t>
      </w:r>
      <w:r w:rsidR="00AF2160">
        <w:t xml:space="preserve">ound an exception to the rule. </w:t>
      </w:r>
      <w:r w:rsidR="002D428C">
        <w:rPr>
          <w:i/>
        </w:rPr>
        <w:t>Id</w:t>
      </w:r>
      <w:r w:rsidR="002D428C">
        <w:t>. at 866.</w:t>
      </w:r>
      <w:r>
        <w:t xml:space="preserve"> </w:t>
      </w:r>
      <w:r w:rsidR="00F57189">
        <w:t xml:space="preserve">However, the Court spoke strongly in announcing an exception </w:t>
      </w:r>
      <w:r>
        <w:t xml:space="preserve">designed </w:t>
      </w:r>
      <w:r w:rsidR="00F57189">
        <w:t>to</w:t>
      </w:r>
      <w:r w:rsidR="00DA7969">
        <w:t xml:space="preserve"> battle racism in the courtroom:</w:t>
      </w:r>
      <w:r w:rsidR="00F57189">
        <w:t xml:space="preserve"> “</w:t>
      </w:r>
      <w:r w:rsidR="00F57189" w:rsidRPr="00F57189">
        <w:t xml:space="preserve">A constitutional rule that racial bias in the justice </w:t>
      </w:r>
      <w:r w:rsidR="00F57189" w:rsidRPr="00F57189">
        <w:lastRenderedPageBreak/>
        <w:t>system must be addressed—including, in some instances, after the verdict has been entered—is necessary to prevent a systemic loss of confidence in jury verdicts, a confidence that is a central premise of the Sixth Amendment trial right.</w:t>
      </w:r>
      <w:r w:rsidR="00F57189">
        <w:t xml:space="preserve">” </w:t>
      </w:r>
      <w:r w:rsidR="00F57189">
        <w:rPr>
          <w:i/>
        </w:rPr>
        <w:t>Id</w:t>
      </w:r>
      <w:r w:rsidR="00DA7969">
        <w:t>. at 869.</w:t>
      </w:r>
      <w:r w:rsidR="00F57189">
        <w:t xml:space="preserve"> Jurors must be encouraged to reveal racism and other miscond</w:t>
      </w:r>
      <w:r w:rsidR="00DA7969">
        <w:t>uct that may taint convictions.</w:t>
      </w:r>
      <w:r w:rsidR="00F57189">
        <w:t xml:space="preserve"> Adoption of MCAO’s proposal would deter jurors from doing so.</w:t>
      </w:r>
    </w:p>
    <w:p w14:paraId="676157F4" w14:textId="54FA7107" w:rsidR="004C743C" w:rsidRPr="00561FC4" w:rsidRDefault="004C743C" w:rsidP="004C743C">
      <w:pPr>
        <w:pStyle w:val="ListParagraph"/>
        <w:numPr>
          <w:ilvl w:val="0"/>
          <w:numId w:val="3"/>
        </w:numPr>
        <w:spacing w:line="240" w:lineRule="auto"/>
        <w:jc w:val="both"/>
        <w:rPr>
          <w:b/>
        </w:rPr>
      </w:pPr>
      <w:r w:rsidRPr="00561FC4">
        <w:rPr>
          <w:b/>
          <w:u w:val="single"/>
        </w:rPr>
        <w:t xml:space="preserve">MCAO </w:t>
      </w:r>
      <w:r>
        <w:rPr>
          <w:b/>
          <w:u w:val="single"/>
        </w:rPr>
        <w:t>cites</w:t>
      </w:r>
      <w:r w:rsidRPr="00561FC4">
        <w:rPr>
          <w:b/>
          <w:u w:val="single"/>
        </w:rPr>
        <w:t xml:space="preserve"> no persuasive authority in support of the proposal</w:t>
      </w:r>
      <w:r>
        <w:rPr>
          <w:b/>
          <w:u w:val="single"/>
        </w:rPr>
        <w:t>.</w:t>
      </w:r>
    </w:p>
    <w:p w14:paraId="1C781824" w14:textId="77777777" w:rsidR="004C743C" w:rsidRDefault="004C743C" w:rsidP="004C743C">
      <w:pPr>
        <w:pStyle w:val="ListParagraph"/>
        <w:spacing w:line="240" w:lineRule="auto"/>
        <w:ind w:left="1800"/>
        <w:jc w:val="both"/>
      </w:pPr>
    </w:p>
    <w:p w14:paraId="46AF9366" w14:textId="140955A0" w:rsidR="00465B53" w:rsidRDefault="00DA7969" w:rsidP="004F27C6">
      <w:pPr>
        <w:spacing w:line="480" w:lineRule="auto"/>
        <w:ind w:firstLine="720"/>
        <w:jc w:val="both"/>
      </w:pPr>
      <w:r>
        <w:t xml:space="preserve">As it did in last year’s petition, </w:t>
      </w:r>
      <w:r w:rsidR="00EA3FB7">
        <w:t xml:space="preserve">MCAO </w:t>
      </w:r>
      <w:r w:rsidR="00465B53">
        <w:t>cited</w:t>
      </w:r>
      <w:r w:rsidR="00EA3FB7">
        <w:t xml:space="preserve"> two </w:t>
      </w:r>
      <w:r w:rsidR="00BD1411">
        <w:t>Arizona Court of Appeals decisions</w:t>
      </w:r>
      <w:r w:rsidR="00EA3FB7">
        <w:t xml:space="preserve"> </w:t>
      </w:r>
      <w:r w:rsidR="00BD1411">
        <w:t>in</w:t>
      </w:r>
      <w:r w:rsidR="00EA3FB7">
        <w:t xml:space="preserve"> support</w:t>
      </w:r>
      <w:r w:rsidR="00BD1411">
        <w:t xml:space="preserve"> of</w:t>
      </w:r>
      <w:r>
        <w:t xml:space="preserve"> its proposal</w:t>
      </w:r>
      <w:r w:rsidR="00465B53">
        <w:t xml:space="preserve">, </w:t>
      </w:r>
      <w:r w:rsidR="00465B53">
        <w:rPr>
          <w:i/>
        </w:rPr>
        <w:t>Stewart v. Carroll</w:t>
      </w:r>
      <w:r w:rsidR="00465B53">
        <w:t xml:space="preserve">, 214 Ariz. 480 (App. 2007), and </w:t>
      </w:r>
      <w:r w:rsidR="00465B53" w:rsidRPr="00465B53">
        <w:rPr>
          <w:i/>
        </w:rPr>
        <w:t>State v. Olague</w:t>
      </w:r>
      <w:r w:rsidR="00465B53">
        <w:t>, 240 Ariz. 475 (App. 2016). This year, it additionally cites</w:t>
      </w:r>
      <w:r w:rsidR="00F46458">
        <w:t xml:space="preserve"> several other cases; but none of those cases involves outright prohibition on juror contact for the purpose of determining whether any misconduct actually occurred.</w:t>
      </w:r>
    </w:p>
    <w:p w14:paraId="1CB061C1" w14:textId="191E2BDD" w:rsidR="00561FC4" w:rsidRDefault="00465B53" w:rsidP="00AF2160">
      <w:pPr>
        <w:spacing w:line="480" w:lineRule="auto"/>
        <w:ind w:firstLine="720"/>
        <w:jc w:val="both"/>
      </w:pPr>
      <w:r>
        <w:t xml:space="preserve">First, MCAO’s reliance on </w:t>
      </w:r>
      <w:r w:rsidRPr="00465B53">
        <w:rPr>
          <w:i/>
        </w:rPr>
        <w:t>Stewart</w:t>
      </w:r>
      <w:r>
        <w:t xml:space="preserve"> is questionable since that case has nothing to do with juror contact. Instead, it</w:t>
      </w:r>
      <w:r w:rsidR="00876C65">
        <w:t xml:space="preserve"> addressed</w:t>
      </w:r>
      <w:r>
        <w:t xml:space="preserve"> a challenge to</w:t>
      </w:r>
      <w:r w:rsidR="00807A9C">
        <w:t xml:space="preserve"> </w:t>
      </w:r>
      <w:r w:rsidR="00BD1411">
        <w:t>A.R.S. §</w:t>
      </w:r>
      <w:r w:rsidR="00431929">
        <w:t xml:space="preserve"> </w:t>
      </w:r>
      <w:r w:rsidR="00BD1411">
        <w:t>21-202(</w:t>
      </w:r>
      <w:r w:rsidR="00876C65">
        <w:t>B)(1), which permits excusal of a “</w:t>
      </w:r>
      <w:r w:rsidR="00876C65">
        <w:rPr>
          <w:sz w:val="24"/>
          <w:szCs w:val="24"/>
          <w:lang w:val="en-CA"/>
        </w:rPr>
        <w:fldChar w:fldCharType="begin"/>
      </w:r>
      <w:r w:rsidR="00876C65">
        <w:rPr>
          <w:sz w:val="24"/>
          <w:szCs w:val="24"/>
          <w:lang w:val="en-CA"/>
        </w:rPr>
        <w:instrText xml:space="preserve"> SEQ CHAPTER \h \r 1</w:instrText>
      </w:r>
      <w:r w:rsidR="00876C65">
        <w:rPr>
          <w:sz w:val="24"/>
          <w:szCs w:val="24"/>
          <w:lang w:val="en-CA"/>
        </w:rPr>
        <w:fldChar w:fldCharType="end"/>
      </w:r>
      <w:r w:rsidR="00876C65">
        <w:t xml:space="preserve">prospective juror [who] has a mental or physical condition that causes the juror to be incapable of performing jury service.” The defendant challenged </w:t>
      </w:r>
      <w:r w:rsidR="0048435C">
        <w:t>§</w:t>
      </w:r>
      <w:r w:rsidR="00431929">
        <w:t xml:space="preserve"> </w:t>
      </w:r>
      <w:r w:rsidR="0048435C">
        <w:t>21-202(B)(4)(e) to the extent that it provided that medical records submitted by such prospective jurors</w:t>
      </w:r>
      <w:r w:rsidR="00876C65">
        <w:t xml:space="preserve"> </w:t>
      </w:r>
      <w:r w:rsidR="0048435C">
        <w:t>“are not public records and shall not be disclosed to the general public.”</w:t>
      </w:r>
      <w:r w:rsidR="005E2372">
        <w:t xml:space="preserve"> The court held, “</w:t>
      </w:r>
      <w:r w:rsidR="005E2372">
        <w:rPr>
          <w:sz w:val="24"/>
          <w:szCs w:val="24"/>
          <w:lang w:val="en-CA"/>
        </w:rPr>
        <w:fldChar w:fldCharType="begin"/>
      </w:r>
      <w:r w:rsidR="005E2372">
        <w:rPr>
          <w:sz w:val="24"/>
          <w:szCs w:val="24"/>
          <w:lang w:val="en-CA"/>
        </w:rPr>
        <w:instrText xml:space="preserve"> SEQ CHAPTER \h \r 1</w:instrText>
      </w:r>
      <w:r w:rsidR="005E2372">
        <w:rPr>
          <w:sz w:val="24"/>
          <w:szCs w:val="24"/>
          <w:lang w:val="en-CA"/>
        </w:rPr>
        <w:fldChar w:fldCharType="end"/>
      </w:r>
      <w:r w:rsidR="005E2372">
        <w:t>The legislature</w:t>
      </w:r>
      <w:r w:rsidR="00DA7969">
        <w:t>’</w:t>
      </w:r>
      <w:r w:rsidR="005E2372">
        <w:t>s decision to maintain the confidentiality of medical statements submitted by prospective jurors does not infringe the constitutional requirement of ‘</w:t>
      </w:r>
      <w:r w:rsidR="00F43AF4">
        <w:t>public judicial proceedings’ …”</w:t>
      </w:r>
      <w:r w:rsidR="005E2372">
        <w:t xml:space="preserve"> </w:t>
      </w:r>
      <w:r w:rsidR="005E2372">
        <w:rPr>
          <w:i/>
        </w:rPr>
        <w:lastRenderedPageBreak/>
        <w:t>Id</w:t>
      </w:r>
      <w:r w:rsidR="005E2372">
        <w:t xml:space="preserve">. at </w:t>
      </w:r>
      <w:r w:rsidR="00431929">
        <w:t xml:space="preserve">¶ </w:t>
      </w:r>
      <w:r w:rsidR="005E2372">
        <w:t>20.</w:t>
      </w:r>
      <w:r w:rsidR="00431929">
        <w:t xml:space="preserve"> </w:t>
      </w:r>
      <w:r w:rsidR="00AF2160">
        <w:t xml:space="preserve">That </w:t>
      </w:r>
      <w:r w:rsidR="002C03E2">
        <w:t>statute shield</w:t>
      </w:r>
      <w:r w:rsidR="00CC4DFF">
        <w:t>s</w:t>
      </w:r>
      <w:r w:rsidR="002C03E2">
        <w:t xml:space="preserve"> </w:t>
      </w:r>
      <w:r w:rsidR="00CC4DFF">
        <w:t>jurors’</w:t>
      </w:r>
      <w:r w:rsidR="002C03E2">
        <w:t xml:space="preserve"> medical records </w:t>
      </w:r>
      <w:r w:rsidR="00CC4DFF">
        <w:t xml:space="preserve">from disclosure to the general public, not </w:t>
      </w:r>
      <w:r w:rsidR="002C03E2">
        <w:t>from consideration in court or from the defense</w:t>
      </w:r>
      <w:r w:rsidR="00F86F51">
        <w:t>.</w:t>
      </w:r>
      <w:r w:rsidR="002C03E2">
        <w:t xml:space="preserve"> Finally, the court </w:t>
      </w:r>
      <w:r w:rsidR="00CC4DFF">
        <w:t>noted that</w:t>
      </w:r>
      <w:r w:rsidR="003744F3">
        <w:t xml:space="preserve"> “</w:t>
      </w:r>
      <w:r w:rsidR="003744F3">
        <w:rPr>
          <w:sz w:val="24"/>
          <w:szCs w:val="24"/>
          <w:lang w:val="en-CA"/>
        </w:rPr>
        <w:fldChar w:fldCharType="begin"/>
      </w:r>
      <w:r w:rsidR="003744F3">
        <w:rPr>
          <w:sz w:val="24"/>
          <w:szCs w:val="24"/>
          <w:lang w:val="en-CA"/>
        </w:rPr>
        <w:instrText xml:space="preserve"> SEQ CHAPTER \h \r 1</w:instrText>
      </w:r>
      <w:r w:rsidR="003744F3">
        <w:rPr>
          <w:sz w:val="24"/>
          <w:szCs w:val="24"/>
          <w:lang w:val="en-CA"/>
        </w:rPr>
        <w:fldChar w:fldCharType="end"/>
      </w:r>
      <w:r w:rsidR="00CC4DFF">
        <w:rPr>
          <w:sz w:val="24"/>
          <w:szCs w:val="24"/>
          <w:lang w:val="en-CA"/>
        </w:rPr>
        <w:t>t</w:t>
      </w:r>
      <w:r w:rsidR="003744F3">
        <w:t>he open-courts requirement ‘does not guarantee a defendant access to information that he or she desires. Any constitutional right to this informa</w:t>
      </w:r>
      <w:r w:rsidR="00F86F51">
        <w:t>tion must be found elsewhere.’”</w:t>
      </w:r>
      <w:r w:rsidR="003744F3">
        <w:t xml:space="preserve"> </w:t>
      </w:r>
      <w:r w:rsidR="00431929">
        <w:rPr>
          <w:i/>
        </w:rPr>
        <w:t>Stewart</w:t>
      </w:r>
      <w:r w:rsidR="00431929">
        <w:t xml:space="preserve">, </w:t>
      </w:r>
      <w:r w:rsidR="003744F3">
        <w:t>214 Ariz. at 48</w:t>
      </w:r>
      <w:r w:rsidR="00DF6693">
        <w:t>5</w:t>
      </w:r>
      <w:r w:rsidR="003744F3">
        <w:t xml:space="preserve"> </w:t>
      </w:r>
      <w:r w:rsidR="00431929">
        <w:t xml:space="preserve">¶ </w:t>
      </w:r>
      <w:r w:rsidR="003744F3">
        <w:t>20</w:t>
      </w:r>
      <w:r w:rsidR="00CC4DFF">
        <w:t xml:space="preserve"> (</w:t>
      </w:r>
      <w:r w:rsidR="00DF6693" w:rsidRPr="00CC4DFF">
        <w:t xml:space="preserve">quoting </w:t>
      </w:r>
      <w:r w:rsidR="00DF6693">
        <w:rPr>
          <w:sz w:val="24"/>
          <w:szCs w:val="24"/>
          <w:lang w:val="en-CA"/>
        </w:rPr>
        <w:fldChar w:fldCharType="begin"/>
      </w:r>
      <w:r w:rsidR="00DF6693">
        <w:rPr>
          <w:sz w:val="24"/>
          <w:szCs w:val="24"/>
          <w:lang w:val="en-CA"/>
        </w:rPr>
        <w:instrText xml:space="preserve"> SEQ CHAPTER \h \r 1</w:instrText>
      </w:r>
      <w:r w:rsidR="00DF6693">
        <w:rPr>
          <w:sz w:val="24"/>
          <w:szCs w:val="24"/>
          <w:lang w:val="en-CA"/>
        </w:rPr>
        <w:fldChar w:fldCharType="end"/>
      </w:r>
      <w:r w:rsidR="00DF6693">
        <w:rPr>
          <w:i/>
          <w:iCs/>
        </w:rPr>
        <w:t>State v. Ramirez</w:t>
      </w:r>
      <w:r w:rsidR="00DF6693" w:rsidRPr="00F86F51">
        <w:rPr>
          <w:iCs/>
        </w:rPr>
        <w:t>,</w:t>
      </w:r>
      <w:r w:rsidR="00DF6693">
        <w:t xml:space="preserve"> 178 Ariz. 116, 127 (1994</w:t>
      </w:r>
      <w:r w:rsidR="00CC4DFF">
        <w:t>)</w:t>
      </w:r>
      <w:r w:rsidR="00DF6693">
        <w:t>)</w:t>
      </w:r>
      <w:r w:rsidR="003744F3">
        <w:t xml:space="preserve">. In other words, </w:t>
      </w:r>
      <w:r w:rsidR="00094AC3">
        <w:t xml:space="preserve">the court left open the option that this narrow category of information may be exposed under </w:t>
      </w:r>
      <w:r w:rsidR="003744F3">
        <w:t>other constitutional provisions.</w:t>
      </w:r>
    </w:p>
    <w:p w14:paraId="0D333FA5" w14:textId="48E39B59" w:rsidR="00465B53" w:rsidRDefault="00465B53" w:rsidP="00465B53">
      <w:pPr>
        <w:spacing w:line="480" w:lineRule="auto"/>
        <w:ind w:firstLine="720"/>
        <w:jc w:val="both"/>
      </w:pPr>
      <w:r>
        <w:t xml:space="preserve">Next, </w:t>
      </w:r>
      <w:r w:rsidR="00094AC3">
        <w:t xml:space="preserve">MCAO </w:t>
      </w:r>
      <w:r w:rsidR="005A3F39">
        <w:t>now</w:t>
      </w:r>
      <w:r w:rsidR="00094AC3">
        <w:t xml:space="preserve"> cites </w:t>
      </w:r>
      <w:r w:rsidR="00CC4DFF">
        <w:rPr>
          <w:i/>
        </w:rPr>
        <w:t>State v. Paxton</w:t>
      </w:r>
      <w:r w:rsidR="00CC4DFF">
        <w:t>, 145 Ariz. 396, 397 (App. 1985), which was cited approvingly in</w:t>
      </w:r>
      <w:r w:rsidR="005A3F39">
        <w:t xml:space="preserve"> </w:t>
      </w:r>
      <w:r w:rsidR="005A3F39">
        <w:rPr>
          <w:i/>
        </w:rPr>
        <w:t>Olague</w:t>
      </w:r>
      <w:r w:rsidR="00F43AF4">
        <w:t xml:space="preserve">. </w:t>
      </w:r>
      <w:r w:rsidR="005A3F39" w:rsidRPr="005A3F39">
        <w:rPr>
          <w:i/>
        </w:rPr>
        <w:t>Paxton</w:t>
      </w:r>
      <w:r w:rsidR="005A3F39">
        <w:t xml:space="preserve"> provided no reasoning or analysis at all to support its conclusion that the trial court properly prohibited juror contact after the polling of the jury. 145 Ariz. at 397. </w:t>
      </w:r>
      <w:r w:rsidR="005A3F39" w:rsidRPr="005A3F39">
        <w:rPr>
          <w:i/>
        </w:rPr>
        <w:t>Olague</w:t>
      </w:r>
      <w:r w:rsidR="005A3F39">
        <w:t xml:space="preserve"> recognized this, and avoided criticizing Paxton only based on the principle of </w:t>
      </w:r>
      <w:r w:rsidR="005A3F39" w:rsidRPr="005A3F39">
        <w:rPr>
          <w:i/>
        </w:rPr>
        <w:t xml:space="preserve">stare decisis </w:t>
      </w:r>
      <w:r w:rsidR="005A3F39">
        <w:t xml:space="preserve">and a lack of criticism of the case from the parties. 240 Ariz. at 481 ¶ 23. Unlike </w:t>
      </w:r>
      <w:r w:rsidR="005A3F39" w:rsidRPr="005A3F39">
        <w:rPr>
          <w:i/>
        </w:rPr>
        <w:t>Paxton</w:t>
      </w:r>
      <w:r w:rsidR="005A3F39">
        <w:t xml:space="preserve">, however, in </w:t>
      </w:r>
      <w:r w:rsidR="005A3F39" w:rsidRPr="005A3F39">
        <w:rPr>
          <w:i/>
        </w:rPr>
        <w:t>Olague</w:t>
      </w:r>
      <w:r w:rsidR="005A3F39">
        <w:t xml:space="preserve"> the defense had already contacted jurors and obtained affidavits prior to the trial court entering an order prohibiting further contact absent good cause. </w:t>
      </w:r>
      <w:r w:rsidR="005A3F39" w:rsidRPr="005A3F39">
        <w:rPr>
          <w:i/>
        </w:rPr>
        <w:t>Id</w:t>
      </w:r>
      <w:r w:rsidR="005A3F39">
        <w:t>. at 481-82 ¶ 24. The court of appeals found that Olague’s juror affidavits failed to support a claim of misconduct under Rule 24.1(c)</w:t>
      </w:r>
      <w:r w:rsidR="00C61742">
        <w:t xml:space="preserve">, rather they fell under challenges to jurors’ subjective mental processes in deliberations prohibited under </w:t>
      </w:r>
      <w:r w:rsidR="00DD6FEA">
        <w:t xml:space="preserve">Rule 24.1(d). </w:t>
      </w:r>
      <w:r w:rsidR="00DD6FEA" w:rsidRPr="00DD6FEA">
        <w:rPr>
          <w:i/>
        </w:rPr>
        <w:t>Id</w:t>
      </w:r>
      <w:r w:rsidR="00DD6FEA">
        <w:t xml:space="preserve">. at 481 ¶ 20. </w:t>
      </w:r>
      <w:r w:rsidR="00DD6FEA" w:rsidRPr="00DD6FEA">
        <w:rPr>
          <w:i/>
        </w:rPr>
        <w:t>Olague</w:t>
      </w:r>
      <w:r w:rsidR="00DD6FEA">
        <w:t xml:space="preserve">, decided five months after </w:t>
      </w:r>
      <w:r w:rsidR="00DD6FEA" w:rsidRPr="00DD6FEA">
        <w:rPr>
          <w:i/>
        </w:rPr>
        <w:t>Kolmann</w:t>
      </w:r>
      <w:r w:rsidR="00DD6FEA">
        <w:t xml:space="preserve">, did not cite or distinguish </w:t>
      </w:r>
      <w:r w:rsidR="00DD6FEA" w:rsidRPr="00DD6FEA">
        <w:rPr>
          <w:i/>
        </w:rPr>
        <w:t>Kolmann</w:t>
      </w:r>
      <w:r w:rsidR="00DD6FEA">
        <w:t xml:space="preserve"> as to its application of Rule 24.1(d), but since it is presumed that judges </w:t>
      </w:r>
      <w:r w:rsidR="00DD6FEA">
        <w:lastRenderedPageBreak/>
        <w:t xml:space="preserve">know the law and follow the law, </w:t>
      </w:r>
      <w:r w:rsidR="00DD6FEA" w:rsidRPr="00DD6FEA">
        <w:rPr>
          <w:i/>
        </w:rPr>
        <w:t xml:space="preserve">see State v. </w:t>
      </w:r>
      <w:r w:rsidR="00DD6FEA">
        <w:rPr>
          <w:i/>
        </w:rPr>
        <w:t>Trostle</w:t>
      </w:r>
      <w:r w:rsidR="00DD6FEA">
        <w:t xml:space="preserve">, 191 Ariz. 4, 22 (1997), </w:t>
      </w:r>
      <w:r w:rsidR="00DD6FEA" w:rsidRPr="00DD6FEA">
        <w:rPr>
          <w:i/>
        </w:rPr>
        <w:t>Olague</w:t>
      </w:r>
      <w:r w:rsidR="00DD6FEA">
        <w:t xml:space="preserve"> must be read consistenly with </w:t>
      </w:r>
      <w:r w:rsidR="00DD6FEA" w:rsidRPr="00DD6FEA">
        <w:rPr>
          <w:i/>
        </w:rPr>
        <w:t>Kolmann</w:t>
      </w:r>
      <w:r w:rsidR="00DD6FEA">
        <w:t xml:space="preserve"> as to the use of juror affidavits in connection with juror misconduct claims.</w:t>
      </w:r>
      <w:r>
        <w:t xml:space="preserve"> </w:t>
      </w:r>
      <w:r w:rsidR="00BD671D">
        <w:t>N</w:t>
      </w:r>
      <w:r w:rsidR="00575058">
        <w:t xml:space="preserve">o reported decision has ever cited </w:t>
      </w:r>
      <w:r w:rsidR="00575058">
        <w:rPr>
          <w:i/>
        </w:rPr>
        <w:t>Olague</w:t>
      </w:r>
      <w:r w:rsidR="00575058">
        <w:t xml:space="preserve"> or </w:t>
      </w:r>
      <w:r w:rsidR="00575058">
        <w:rPr>
          <w:i/>
        </w:rPr>
        <w:t>Paxton</w:t>
      </w:r>
      <w:r w:rsidR="00575058">
        <w:t xml:space="preserve"> to support the denial of a defendant’s right to conduct p</w:t>
      </w:r>
      <w:r>
        <w:t>ost-trial juror investigation.</w:t>
      </w:r>
    </w:p>
    <w:p w14:paraId="3F78524C" w14:textId="6CDB9979" w:rsidR="00255BB3" w:rsidRDefault="009E343C" w:rsidP="00465B53">
      <w:pPr>
        <w:spacing w:line="480" w:lineRule="auto"/>
        <w:ind w:firstLine="720"/>
        <w:jc w:val="both"/>
      </w:pPr>
      <w:r>
        <w:t>Although this year’s petition is significantly longer and better researched than what MCAO filed last year, the cases upon which it relies involve the distinction</w:t>
      </w:r>
      <w:r w:rsidR="00465B53">
        <w:t xml:space="preserve"> between proper use of juror affidavits to support a claim under Rule 24.1(c) from inadmissible uses under Rule 24.1(d).</w:t>
      </w:r>
      <w:r>
        <w:t xml:space="preserve"> </w:t>
      </w:r>
      <w:r w:rsidR="009875D5">
        <w:t>MCAO’s reliance on</w:t>
      </w:r>
      <w:r w:rsidR="009875D5" w:rsidRPr="009875D5">
        <w:rPr>
          <w:i/>
          <w:kern w:val="16"/>
        </w:rPr>
        <w:t xml:space="preserve"> </w:t>
      </w:r>
      <w:r w:rsidR="009875D5" w:rsidRPr="004558BC">
        <w:rPr>
          <w:i/>
          <w:kern w:val="16"/>
        </w:rPr>
        <w:t>Hyde v. United States</w:t>
      </w:r>
      <w:r w:rsidR="009875D5" w:rsidRPr="004558BC">
        <w:rPr>
          <w:kern w:val="16"/>
        </w:rPr>
        <w:t>, 225 U.S. 347, 383–84 (1912)</w:t>
      </w:r>
      <w:r w:rsidR="009875D5">
        <w:rPr>
          <w:kern w:val="16"/>
        </w:rPr>
        <w:t xml:space="preserve">, </w:t>
      </w:r>
      <w:r w:rsidRPr="009E343C">
        <w:rPr>
          <w:i/>
        </w:rPr>
        <w:t>McDonald v. Pless</w:t>
      </w:r>
      <w:r>
        <w:t xml:space="preserve">, 238 Ariz. 264, 267-68 (1915), </w:t>
      </w:r>
      <w:r w:rsidR="00E30560">
        <w:t xml:space="preserve">and </w:t>
      </w:r>
      <w:r w:rsidR="00E30560" w:rsidRPr="00E30560">
        <w:rPr>
          <w:i/>
        </w:rPr>
        <w:t>Tanner</w:t>
      </w:r>
      <w:r w:rsidR="00E30560">
        <w:rPr>
          <w:i/>
        </w:rPr>
        <w:t xml:space="preserve"> </w:t>
      </w:r>
      <w:r w:rsidR="00E30560" w:rsidRPr="004558BC">
        <w:rPr>
          <w:i/>
          <w:kern w:val="16"/>
        </w:rPr>
        <w:t>v. United States</w:t>
      </w:r>
      <w:r w:rsidR="00E30560">
        <w:t xml:space="preserve">, 483 U.S. 107, 120-21 (1987), </w:t>
      </w:r>
      <w:r w:rsidR="00BD671D">
        <w:t>is</w:t>
      </w:r>
      <w:r w:rsidR="009875D5">
        <w:t xml:space="preserve"> misplaced not only because </w:t>
      </w:r>
      <w:r>
        <w:t>th</w:t>
      </w:r>
      <w:r w:rsidR="009875D5">
        <w:t>os</w:t>
      </w:r>
      <w:r>
        <w:t xml:space="preserve">e </w:t>
      </w:r>
      <w:r w:rsidR="009875D5">
        <w:t>cases merely explain</w:t>
      </w:r>
      <w:r>
        <w:t xml:space="preserve"> that a rule limiting the use of jurors’ statements about deliberations to impeach the verdict was necessary to avoid turning a “private deliberation” into “the constant subject of a public investigation,” </w:t>
      </w:r>
      <w:r w:rsidR="009875D5">
        <w:t>but also because</w:t>
      </w:r>
      <w:r w:rsidR="009875D5">
        <w:rPr>
          <w:kern w:val="16"/>
        </w:rPr>
        <w:t xml:space="preserve"> </w:t>
      </w:r>
      <w:r w:rsidR="009875D5" w:rsidRPr="009875D5">
        <w:rPr>
          <w:i/>
          <w:kern w:val="16"/>
        </w:rPr>
        <w:t>Pena-Rodriguez</w:t>
      </w:r>
      <w:r w:rsidR="009875D5">
        <w:rPr>
          <w:kern w:val="16"/>
        </w:rPr>
        <w:t>, 137 S. Ct. at 864</w:t>
      </w:r>
      <w:r w:rsidR="00E30560">
        <w:rPr>
          <w:kern w:val="16"/>
        </w:rPr>
        <w:t>-66</w:t>
      </w:r>
      <w:r w:rsidR="009875D5">
        <w:rPr>
          <w:kern w:val="16"/>
        </w:rPr>
        <w:t xml:space="preserve">, acknowledged </w:t>
      </w:r>
      <w:r w:rsidR="00E30560">
        <w:rPr>
          <w:kern w:val="16"/>
        </w:rPr>
        <w:t>all</w:t>
      </w:r>
      <w:r w:rsidR="009875D5">
        <w:rPr>
          <w:kern w:val="16"/>
        </w:rPr>
        <w:t xml:space="preserve"> of those cases in </w:t>
      </w:r>
      <w:r w:rsidR="00BD671D">
        <w:rPr>
          <w:kern w:val="16"/>
        </w:rPr>
        <w:t>deciding</w:t>
      </w:r>
      <w:r w:rsidR="009875D5">
        <w:rPr>
          <w:kern w:val="16"/>
        </w:rPr>
        <w:t xml:space="preserve"> that </w:t>
      </w:r>
      <w:r w:rsidR="00BD671D">
        <w:rPr>
          <w:kern w:val="16"/>
        </w:rPr>
        <w:t xml:space="preserve">in some situations </w:t>
      </w:r>
      <w:r w:rsidR="009875D5">
        <w:rPr>
          <w:kern w:val="16"/>
        </w:rPr>
        <w:t xml:space="preserve">jurors </w:t>
      </w:r>
      <w:r w:rsidR="00BD671D">
        <w:rPr>
          <w:kern w:val="16"/>
        </w:rPr>
        <w:t>may</w:t>
      </w:r>
      <w:r w:rsidR="009875D5">
        <w:rPr>
          <w:kern w:val="16"/>
        </w:rPr>
        <w:t xml:space="preserve"> b</w:t>
      </w:r>
      <w:r w:rsidR="00BD671D">
        <w:rPr>
          <w:kern w:val="16"/>
        </w:rPr>
        <w:t>e called to give evidence about</w:t>
      </w:r>
      <w:r w:rsidR="00F46458">
        <w:rPr>
          <w:kern w:val="16"/>
        </w:rPr>
        <w:t xml:space="preserve"> jurors</w:t>
      </w:r>
      <w:r w:rsidR="00BD671D">
        <w:rPr>
          <w:kern w:val="16"/>
        </w:rPr>
        <w:t>’</w:t>
      </w:r>
      <w:r w:rsidR="00F46458">
        <w:rPr>
          <w:kern w:val="16"/>
        </w:rPr>
        <w:t xml:space="preserve"> mental processes in </w:t>
      </w:r>
      <w:r w:rsidR="009875D5">
        <w:rPr>
          <w:kern w:val="16"/>
        </w:rPr>
        <w:t xml:space="preserve">deliberations. </w:t>
      </w:r>
      <w:r w:rsidRPr="00255BB3">
        <w:rPr>
          <w:i/>
        </w:rPr>
        <w:t>Landrum</w:t>
      </w:r>
      <w:r w:rsidR="00255BB3">
        <w:t xml:space="preserve">, 25 Ariz. App. at 448-49, </w:t>
      </w:r>
      <w:r>
        <w:t xml:space="preserve">and </w:t>
      </w:r>
      <w:r w:rsidRPr="00255BB3">
        <w:rPr>
          <w:i/>
        </w:rPr>
        <w:t>Callahan</w:t>
      </w:r>
      <w:r w:rsidR="009875D5">
        <w:t xml:space="preserve">, 117 Ariz. at 219-20, </w:t>
      </w:r>
      <w:r w:rsidR="00BD671D">
        <w:t>also</w:t>
      </w:r>
      <w:r>
        <w:t xml:space="preserve"> focus on the interplay between Rules 24.1(c)(3) and 24.1(d)</w:t>
      </w:r>
      <w:r w:rsidR="00F46458">
        <w:t>.</w:t>
      </w:r>
    </w:p>
    <w:p w14:paraId="1FBEBF33" w14:textId="5E1C853C" w:rsidR="00465B53" w:rsidRDefault="00255BB3" w:rsidP="00465B53">
      <w:pPr>
        <w:spacing w:line="480" w:lineRule="auto"/>
        <w:ind w:firstLine="720"/>
        <w:jc w:val="both"/>
      </w:pPr>
      <w:r>
        <w:t>MCAO</w:t>
      </w:r>
      <w:r w:rsidR="00F46458">
        <w:t xml:space="preserve"> </w:t>
      </w:r>
      <w:r w:rsidR="00BD671D">
        <w:t>finds support in a passing</w:t>
      </w:r>
      <w:r w:rsidR="00F46458">
        <w:t xml:space="preserve"> comment in </w:t>
      </w:r>
      <w:r w:rsidR="00F46458" w:rsidRPr="00BD671D">
        <w:rPr>
          <w:i/>
        </w:rPr>
        <w:t>Pena-Rodriguez</w:t>
      </w:r>
      <w:r w:rsidR="00F46458">
        <w:t>, 137 S. Ct. at 869, that “[t]</w:t>
      </w:r>
      <w:r w:rsidR="00F46458" w:rsidRPr="00F46458">
        <w:t xml:space="preserve">he practical mechanics of acquiring and presenting such evidence will no doubt be shaped and guided by state rules of professional ethics and local court </w:t>
      </w:r>
      <w:r w:rsidR="00F46458" w:rsidRPr="00F46458">
        <w:lastRenderedPageBreak/>
        <w:t>rules, both of which often limit counsel's post-trial contact with jurors.</w:t>
      </w:r>
      <w:r w:rsidR="00F46458">
        <w:t>” It</w:t>
      </w:r>
      <w:r w:rsidR="00BD671D">
        <w:t xml:space="preserve"> incorrectly</w:t>
      </w:r>
      <w:r w:rsidR="00F46458">
        <w:t xml:space="preserve"> infers the Court endorses a blanket rule prohibiting juror contact absent a showing of good cause to the trial judge. </w:t>
      </w:r>
      <w:r w:rsidR="00BD671D">
        <w:t>Instead,</w:t>
      </w:r>
      <w:r w:rsidR="00F46458">
        <w:t xml:space="preserve"> the Court </w:t>
      </w:r>
      <w:r w:rsidR="00BD671D">
        <w:t>was merely recognizing</w:t>
      </w:r>
      <w:r w:rsidR="00F46458">
        <w:t xml:space="preserve"> rules that require parties and their representatives to respect jurors who express their wishes not to be contacted. As in its past attempts, MCAO </w:t>
      </w:r>
      <w:r w:rsidR="00BD671D">
        <w:t>again fails</w:t>
      </w:r>
      <w:r>
        <w:t xml:space="preserve"> to cite any authority demonstrating a need or the propriety for such</w:t>
      </w:r>
      <w:r w:rsidR="00575058">
        <w:t xml:space="preserve"> broad changes to the criminal rules.</w:t>
      </w:r>
    </w:p>
    <w:p w14:paraId="63333B2E" w14:textId="549DC3B4" w:rsidR="006E7C92" w:rsidRPr="00F65738" w:rsidRDefault="00F65738" w:rsidP="004C743C">
      <w:pPr>
        <w:pStyle w:val="ListParagraph"/>
        <w:numPr>
          <w:ilvl w:val="0"/>
          <w:numId w:val="3"/>
        </w:numPr>
        <w:spacing w:line="480" w:lineRule="auto"/>
        <w:jc w:val="both"/>
        <w:rPr>
          <w:b/>
          <w:u w:val="single"/>
        </w:rPr>
      </w:pPr>
      <w:r>
        <w:rPr>
          <w:b/>
          <w:u w:val="single"/>
        </w:rPr>
        <w:t xml:space="preserve">Current </w:t>
      </w:r>
      <w:r w:rsidR="00AB177B" w:rsidRPr="00F65738">
        <w:rPr>
          <w:b/>
          <w:u w:val="single"/>
        </w:rPr>
        <w:t xml:space="preserve">Arizona </w:t>
      </w:r>
      <w:r>
        <w:rPr>
          <w:b/>
          <w:u w:val="single"/>
        </w:rPr>
        <w:t>provisions</w:t>
      </w:r>
      <w:r w:rsidR="00AB177B" w:rsidRPr="00F65738">
        <w:rPr>
          <w:b/>
          <w:u w:val="single"/>
        </w:rPr>
        <w:t xml:space="preserve"> adequate</w:t>
      </w:r>
      <w:r>
        <w:rPr>
          <w:b/>
          <w:u w:val="single"/>
        </w:rPr>
        <w:t>ly</w:t>
      </w:r>
      <w:r w:rsidR="00AB177B" w:rsidRPr="00F65738">
        <w:rPr>
          <w:b/>
          <w:u w:val="single"/>
        </w:rPr>
        <w:t xml:space="preserve"> protect jurors’</w:t>
      </w:r>
      <w:r w:rsidR="000D5F5E" w:rsidRPr="00F65738">
        <w:rPr>
          <w:b/>
          <w:u w:val="single"/>
        </w:rPr>
        <w:t xml:space="preserve"> </w:t>
      </w:r>
      <w:r w:rsidR="00AB177B" w:rsidRPr="00F65738">
        <w:rPr>
          <w:b/>
          <w:u w:val="single"/>
        </w:rPr>
        <w:t>privacy</w:t>
      </w:r>
      <w:r w:rsidR="0008321E" w:rsidRPr="00F65738">
        <w:rPr>
          <w:b/>
          <w:u w:val="single"/>
        </w:rPr>
        <w:t xml:space="preserve">. </w:t>
      </w:r>
    </w:p>
    <w:p w14:paraId="31354DA5" w14:textId="64B10236" w:rsidR="0008321E" w:rsidRDefault="00C928B5" w:rsidP="00000252">
      <w:pPr>
        <w:spacing w:line="480" w:lineRule="auto"/>
        <w:jc w:val="both"/>
      </w:pPr>
      <w:r>
        <w:tab/>
      </w:r>
      <w:r w:rsidR="00F53F36">
        <w:t>ACRP</w:t>
      </w:r>
      <w:r w:rsidR="00977852">
        <w:t>,</w:t>
      </w:r>
      <w:r w:rsidR="00F53F36">
        <w:t xml:space="preserve"> MCPD</w:t>
      </w:r>
      <w:r w:rsidR="00977852">
        <w:t>, and AACJ</w:t>
      </w:r>
      <w:r w:rsidR="00F53F36">
        <w:t xml:space="preserve"> recognize that</w:t>
      </w:r>
      <w:r w:rsidR="005E14D9">
        <w:t xml:space="preserve"> juror</w:t>
      </w:r>
      <w:r w:rsidR="00F53F36">
        <w:t>s’</w:t>
      </w:r>
      <w:r w:rsidR="005E14D9">
        <w:t xml:space="preserve"> interest</w:t>
      </w:r>
      <w:r w:rsidR="00F53F36">
        <w:t>s</w:t>
      </w:r>
      <w:r w:rsidR="005E14D9">
        <w:t xml:space="preserve"> in privacy and being free of harassment are deserving of protection</w:t>
      </w:r>
      <w:r w:rsidR="00BA07AF">
        <w:t>.</w:t>
      </w:r>
      <w:r w:rsidR="00F53F36">
        <w:t xml:space="preserve"> However, those interests</w:t>
      </w:r>
      <w:r w:rsidR="00850E1C" w:rsidRPr="00000252">
        <w:t xml:space="preserve"> are already </w:t>
      </w:r>
      <w:r w:rsidR="00F53F36">
        <w:t>sufficiently protected by Arizona’s rules,</w:t>
      </w:r>
      <w:r w:rsidR="00C86967">
        <w:t xml:space="preserve"> </w:t>
      </w:r>
      <w:r w:rsidR="00F53F36">
        <w:t>ethical standards, and case</w:t>
      </w:r>
      <w:r w:rsidR="00BD671D">
        <w:t xml:space="preserve"> </w:t>
      </w:r>
      <w:r w:rsidR="00F53F36">
        <w:t>law</w:t>
      </w:r>
      <w:r w:rsidR="00850E1C" w:rsidRPr="00000252">
        <w:t>.</w:t>
      </w:r>
      <w:r w:rsidR="00F86F51">
        <w:t xml:space="preserve"> </w:t>
      </w:r>
      <w:r w:rsidR="004C743C">
        <w:t>MCAO provides no evidence that existing rules and ethical standards fai</w:t>
      </w:r>
      <w:r w:rsidR="00BA07AF">
        <w:t>l to adequately protect jurors.</w:t>
      </w:r>
    </w:p>
    <w:p w14:paraId="5ED471E6" w14:textId="3476AFD8" w:rsidR="000C16E5" w:rsidRDefault="0008321E" w:rsidP="00000252">
      <w:pPr>
        <w:spacing w:line="480" w:lineRule="auto"/>
        <w:jc w:val="both"/>
      </w:pPr>
      <w:r>
        <w:tab/>
      </w:r>
      <w:r w:rsidR="0076670D">
        <w:t>For example,</w:t>
      </w:r>
      <w:r w:rsidR="00C928B5">
        <w:t xml:space="preserve"> </w:t>
      </w:r>
      <w:r w:rsidR="00C86967">
        <w:t xml:space="preserve">Rule 18.3(b) </w:t>
      </w:r>
      <w:r w:rsidR="00F65738">
        <w:t>provides</w:t>
      </w:r>
      <w:r w:rsidR="00C86967">
        <w:t>, “The court must keep all jurors' home and business telephone numbers and addresses confidential, and may not disclose them unless good cause is shown.” Rule 18.5</w:t>
      </w:r>
      <w:r w:rsidR="001E0466">
        <w:t>(e) mandates that, during voir dire, “The court must ensure the reasonable protection of the prospective jurors</w:t>
      </w:r>
      <w:r w:rsidR="00977852">
        <w:t>’</w:t>
      </w:r>
      <w:r w:rsidR="00AF2160">
        <w:t xml:space="preserve"> privacy.” </w:t>
      </w:r>
      <w:r w:rsidR="001E0466">
        <w:t>Rule 18.6(d)(4) ensures that notes jurors take are destro</w:t>
      </w:r>
      <w:r w:rsidR="00665F45">
        <w:t xml:space="preserve">yed at the conclusion of trial. </w:t>
      </w:r>
      <w:r w:rsidR="0085287F">
        <w:t>At the close of trial, Rule 22.5(</w:t>
      </w:r>
      <w:r w:rsidR="00F46458">
        <w:t>b</w:t>
      </w:r>
      <w:r w:rsidR="0085287F">
        <w:t>) requires the court to “advise the jurors that they are released from service.” Further, “If appropriate, the court must release them from their duty of confidentiality and explain their rights regarding inquiries from coun</w:t>
      </w:r>
      <w:r w:rsidR="00F46458">
        <w:t xml:space="preserve">sel, </w:t>
      </w:r>
      <w:r w:rsidR="00F46458">
        <w:lastRenderedPageBreak/>
        <w:t>the media, or any person.”</w:t>
      </w:r>
      <w:r w:rsidR="0085287F">
        <w:t xml:space="preserve"> </w:t>
      </w:r>
      <w:r w:rsidR="00F46458" w:rsidRPr="00F46458">
        <w:rPr>
          <w:i/>
        </w:rPr>
        <w:t>Id</w:t>
      </w:r>
      <w:r w:rsidR="00F46458">
        <w:t xml:space="preserve">. </w:t>
      </w:r>
      <w:r w:rsidR="0085287F">
        <w:t xml:space="preserve">Rule 24.1(d) limits the scope of juror testimony at hearings on post-trial motions, thus removing any incentive a party might have to </w:t>
      </w:r>
      <w:r w:rsidR="000C16E5">
        <w:t>pepper a former juror with irrelevant, intrusive questions.</w:t>
      </w:r>
      <w:r w:rsidR="0076670D">
        <w:t xml:space="preserve"> </w:t>
      </w:r>
    </w:p>
    <w:p w14:paraId="6114B94A" w14:textId="74578317" w:rsidR="00CE1CDE" w:rsidRDefault="000C16E5" w:rsidP="00000252">
      <w:pPr>
        <w:spacing w:line="480" w:lineRule="auto"/>
        <w:jc w:val="both"/>
      </w:pPr>
      <w:r>
        <w:tab/>
        <w:t>T</w:t>
      </w:r>
      <w:r w:rsidR="0076670D">
        <w:t xml:space="preserve">he </w:t>
      </w:r>
      <w:r w:rsidR="00C928B5">
        <w:t>Arizona Rules</w:t>
      </w:r>
      <w:r w:rsidR="00823358">
        <w:t xml:space="preserve"> of Professional Conduct</w:t>
      </w:r>
      <w:r w:rsidR="00C928B5">
        <w:t xml:space="preserve"> </w:t>
      </w:r>
      <w:r>
        <w:t>also prot</w:t>
      </w:r>
      <w:r w:rsidR="00BA07AF">
        <w:t>ect jurors’ privacy.</w:t>
      </w:r>
      <w:r>
        <w:t xml:space="preserve"> They recognize </w:t>
      </w:r>
      <w:r w:rsidR="0076670D">
        <w:t xml:space="preserve">that </w:t>
      </w:r>
      <w:r w:rsidR="00C928B5">
        <w:t xml:space="preserve">a lawyer may </w:t>
      </w:r>
      <w:r>
        <w:t>approach</w:t>
      </w:r>
      <w:r w:rsidR="00C928B5">
        <w:t xml:space="preserve"> a juror after the jury has been discharged</w:t>
      </w:r>
      <w:r w:rsidR="0076670D">
        <w:t>,</w:t>
      </w:r>
      <w:r w:rsidR="00C928B5">
        <w:t xml:space="preserve"> but require that the lawyer “respect the desire of the juror not to talk with the lawyer</w:t>
      </w:r>
      <w:r w:rsidR="00823358">
        <w:t>,</w:t>
      </w:r>
      <w:r w:rsidR="00C928B5">
        <w:t>” and the lawyer “may not engage in improper conduct during</w:t>
      </w:r>
      <w:r w:rsidR="00BA07AF">
        <w:t xml:space="preserve"> the communication.” </w:t>
      </w:r>
      <w:r w:rsidR="003E1901">
        <w:t>Ariz.</w:t>
      </w:r>
      <w:r w:rsidR="00823358">
        <w:t xml:space="preserve"> </w:t>
      </w:r>
      <w:r w:rsidR="003E1901">
        <w:t>R.</w:t>
      </w:r>
      <w:r w:rsidR="00823358">
        <w:t xml:space="preserve"> </w:t>
      </w:r>
      <w:r w:rsidR="003E1901">
        <w:t>Sup.</w:t>
      </w:r>
      <w:r w:rsidR="00823358">
        <w:t xml:space="preserve"> </w:t>
      </w:r>
      <w:r w:rsidR="003E1901">
        <w:t>Ct. 42, E.R.</w:t>
      </w:r>
      <w:r w:rsidR="00C928B5">
        <w:t xml:space="preserve"> 3.5(c) &amp; </w:t>
      </w:r>
      <w:r w:rsidR="003E1901">
        <w:t>cmt. [3]</w:t>
      </w:r>
      <w:r w:rsidR="00C928B5">
        <w:t xml:space="preserve">; </w:t>
      </w:r>
      <w:r w:rsidR="00C928B5">
        <w:rPr>
          <w:i/>
        </w:rPr>
        <w:t xml:space="preserve">see also </w:t>
      </w:r>
      <w:r w:rsidR="00B85915" w:rsidRPr="00B85915">
        <w:rPr>
          <w:smallCaps/>
        </w:rPr>
        <w:t xml:space="preserve">ABA </w:t>
      </w:r>
      <w:r w:rsidR="00DE6EF2" w:rsidRPr="00DE6EF2">
        <w:t>Model Rules of Prof’l Conduct</w:t>
      </w:r>
      <w:r w:rsidR="00C928B5">
        <w:t xml:space="preserve"> </w:t>
      </w:r>
      <w:r w:rsidR="00307338">
        <w:t xml:space="preserve">R. </w:t>
      </w:r>
      <w:r w:rsidR="00C928B5">
        <w:t xml:space="preserve">3.5(c) &amp; </w:t>
      </w:r>
      <w:r w:rsidR="003E1901">
        <w:t>cmt. [3]</w:t>
      </w:r>
      <w:r w:rsidR="00BA07AF">
        <w:t>.</w:t>
      </w:r>
      <w:r w:rsidR="00C928B5">
        <w:t xml:space="preserve"> </w:t>
      </w:r>
      <w:r w:rsidR="00D71F16">
        <w:t xml:space="preserve">The ABA Criminal Justice Standards also </w:t>
      </w:r>
      <w:r>
        <w:t>provide</w:t>
      </w:r>
      <w:r w:rsidR="00D71F16">
        <w:t xml:space="preserve"> that defense counsel “should not intentionally make comments to or ask questions of a juror for the purpose of harassing or embarrassing the juror in any way which will tend to influence ju</w:t>
      </w:r>
      <w:r w:rsidR="00BA07AF">
        <w:t>dgment in future jury service.”</w:t>
      </w:r>
      <w:r w:rsidR="00D71F16">
        <w:t xml:space="preserve"> </w:t>
      </w:r>
      <w:r w:rsidR="00DE6EF2" w:rsidRPr="00DE6EF2">
        <w:t xml:space="preserve">ABA Standards for Criminal Justice: Prosecution </w:t>
      </w:r>
      <w:r w:rsidR="00823358">
        <w:t>&amp;</w:t>
      </w:r>
      <w:r w:rsidR="00DE6EF2" w:rsidRPr="00DE6EF2">
        <w:t xml:space="preserve"> Defense Function</w:t>
      </w:r>
      <w:r w:rsidR="00307338">
        <w:t xml:space="preserve">, Defense Function </w:t>
      </w:r>
      <w:r w:rsidR="00D71F16">
        <w:t xml:space="preserve">Standard 4-7.3. </w:t>
      </w:r>
      <w:r w:rsidR="00535FEA">
        <w:t xml:space="preserve">Finally, as noted in </w:t>
      </w:r>
      <w:r w:rsidR="00977852">
        <w:t xml:space="preserve">Section </w:t>
      </w:r>
      <w:r w:rsidR="00F65738">
        <w:t>4</w:t>
      </w:r>
      <w:r w:rsidR="00535FEA">
        <w:t xml:space="preserve">, </w:t>
      </w:r>
      <w:r w:rsidR="00535FEA">
        <w:rPr>
          <w:i/>
        </w:rPr>
        <w:t>supra</w:t>
      </w:r>
      <w:r w:rsidR="00535FEA">
        <w:t>, Arizona’s appellate courts</w:t>
      </w:r>
      <w:r w:rsidR="00F65738">
        <w:t xml:space="preserve"> already</w:t>
      </w:r>
      <w:r w:rsidR="00535FEA">
        <w:t xml:space="preserve"> recognize that judges have discretion to limit parties’ post-trial contacts with jurors.</w:t>
      </w:r>
    </w:p>
    <w:p w14:paraId="7B9D8317" w14:textId="0BDE0D7B" w:rsidR="0008321E" w:rsidRPr="00DD59E4" w:rsidRDefault="00535FEA" w:rsidP="004C743C">
      <w:pPr>
        <w:pStyle w:val="ListParagraph"/>
        <w:spacing w:line="480" w:lineRule="auto"/>
        <w:ind w:left="0"/>
        <w:jc w:val="both"/>
        <w:rPr>
          <w:color w:val="231F20"/>
        </w:rPr>
      </w:pPr>
      <w:r>
        <w:tab/>
      </w:r>
      <w:r w:rsidR="005057CD">
        <w:t xml:space="preserve">Further, if a juror, or anyone else with potentially relevant information, does not wish to speak to defense counsel, the person can simply decline and counsel will abide by such wishes. </w:t>
      </w:r>
      <w:r w:rsidR="00A06BDB">
        <w:t>H</w:t>
      </w:r>
      <w:r w:rsidR="00EC6233">
        <w:t xml:space="preserve">owever, </w:t>
      </w:r>
      <w:r w:rsidR="00A06BDB">
        <w:t xml:space="preserve">it is AACJ, ACRP and MCPD’s experience that most </w:t>
      </w:r>
      <w:r w:rsidR="00EC6233">
        <w:t>jurors do n</w:t>
      </w:r>
      <w:r w:rsidR="00BA07AF">
        <w:t>ot decline.</w:t>
      </w:r>
      <w:r w:rsidR="00EC6233">
        <w:t xml:space="preserve"> </w:t>
      </w:r>
      <w:r w:rsidR="00A06BDB">
        <w:t>This is also true of</w:t>
      </w:r>
      <w:r w:rsidR="00EC6233">
        <w:t xml:space="preserve"> jurors across the country</w:t>
      </w:r>
      <w:r w:rsidR="00A06BDB">
        <w:t xml:space="preserve"> who</w:t>
      </w:r>
      <w:r w:rsidR="00EC6233">
        <w:t xml:space="preserve"> have voluntarily consented to post-verdict interviews by counsel, academics, and the </w:t>
      </w:r>
      <w:r w:rsidR="00EC6233">
        <w:lastRenderedPageBreak/>
        <w:t xml:space="preserve">press. </w:t>
      </w:r>
      <w:r w:rsidR="00EC6233">
        <w:rPr>
          <w:i/>
        </w:rPr>
        <w:t>See</w:t>
      </w:r>
      <w:r w:rsidR="00823358">
        <w:rPr>
          <w:i/>
        </w:rPr>
        <w:t>,</w:t>
      </w:r>
      <w:r w:rsidR="00EC6233">
        <w:rPr>
          <w:i/>
        </w:rPr>
        <w:t xml:space="preserve"> e.g.</w:t>
      </w:r>
      <w:r w:rsidR="00EC6233">
        <w:t xml:space="preserve">, </w:t>
      </w:r>
      <w:r w:rsidR="00BF0102">
        <w:t xml:space="preserve">Neil </w:t>
      </w:r>
      <w:r w:rsidR="00BF0102" w:rsidRPr="00DD59E4">
        <w:rPr>
          <w:color w:val="231F20"/>
        </w:rPr>
        <w:t>Vidmar</w:t>
      </w:r>
      <w:r w:rsidR="001F087D">
        <w:rPr>
          <w:color w:val="231F20"/>
        </w:rPr>
        <w:t>,</w:t>
      </w:r>
      <w:r w:rsidR="00BF0102" w:rsidRPr="00DD59E4">
        <w:rPr>
          <w:color w:val="231F20"/>
        </w:rPr>
        <w:t xml:space="preserve"> </w:t>
      </w:r>
      <w:r w:rsidR="00BF0102" w:rsidRPr="00834614">
        <w:rPr>
          <w:iCs/>
          <w:smallCaps/>
          <w:color w:val="231F20"/>
        </w:rPr>
        <w:t>Medical Malpractice and the American Jury: Confronting the Myths About Jury Incompetence, Deep Pockets, and Outrageous Jury Awards</w:t>
      </w:r>
      <w:r w:rsidR="00BF0102" w:rsidRPr="00DD59E4">
        <w:rPr>
          <w:color w:val="231F20"/>
        </w:rPr>
        <w:t xml:space="preserve"> </w:t>
      </w:r>
      <w:r w:rsidR="00BF0102">
        <w:rPr>
          <w:color w:val="231F20"/>
        </w:rPr>
        <w:t>(</w:t>
      </w:r>
      <w:r w:rsidR="00BF0102" w:rsidRPr="00DD59E4">
        <w:rPr>
          <w:color w:val="231F20"/>
        </w:rPr>
        <w:t>1995</w:t>
      </w:r>
      <w:r w:rsidR="00BF0102">
        <w:rPr>
          <w:color w:val="231F20"/>
        </w:rPr>
        <w:t>)</w:t>
      </w:r>
      <w:r w:rsidR="00BF0102" w:rsidRPr="00DD59E4">
        <w:rPr>
          <w:color w:val="231F20"/>
        </w:rPr>
        <w:t xml:space="preserve"> </w:t>
      </w:r>
      <w:r w:rsidR="00BF0102" w:rsidRPr="00DD59E4">
        <w:t>(</w:t>
      </w:r>
      <w:r w:rsidR="00BF0102" w:rsidRPr="00DD59E4">
        <w:rPr>
          <w:color w:val="231F20"/>
        </w:rPr>
        <w:t xml:space="preserve">Vidmar conducted detailed interviews with </w:t>
      </w:r>
      <w:r w:rsidR="00BF0102">
        <w:rPr>
          <w:color w:val="231F20"/>
        </w:rPr>
        <w:t xml:space="preserve">jurors in five medical </w:t>
      </w:r>
      <w:r w:rsidR="00BF0102" w:rsidRPr="00DD59E4">
        <w:rPr>
          <w:color w:val="231F20"/>
        </w:rPr>
        <w:t>malpractice cases)</w:t>
      </w:r>
      <w:r w:rsidR="00BF0102">
        <w:rPr>
          <w:color w:val="231F20"/>
        </w:rPr>
        <w:t>;</w:t>
      </w:r>
      <w:r w:rsidR="00BF0102" w:rsidRPr="00DD59E4">
        <w:rPr>
          <w:color w:val="231F20"/>
        </w:rPr>
        <w:t xml:space="preserve"> </w:t>
      </w:r>
      <w:r w:rsidR="00EC6233">
        <w:t xml:space="preserve">William J. </w:t>
      </w:r>
      <w:r w:rsidR="00EC6233" w:rsidRPr="00DD59E4">
        <w:t xml:space="preserve">Bowers, </w:t>
      </w:r>
      <w:r w:rsidR="00EC6233" w:rsidRPr="00DD59E4">
        <w:rPr>
          <w:i/>
        </w:rPr>
        <w:t>The Capital Jury Project: Rationale Design and a Preview of Early Findings</w:t>
      </w:r>
      <w:r w:rsidR="00EC6233" w:rsidRPr="00DD59E4">
        <w:t>, 70 Ind. L.J. 1043, 1077-79 (1993) (describing interviews of 1201 jurors across 14 sta</w:t>
      </w:r>
      <w:r w:rsidR="00DD59E4">
        <w:t>tes conducted by researchers)</w:t>
      </w:r>
      <w:r w:rsidR="00307338">
        <w:t>;</w:t>
      </w:r>
      <w:r w:rsidR="00DD59E4">
        <w:t xml:space="preserve"> </w:t>
      </w:r>
      <w:r w:rsidR="007B4ECB">
        <w:rPr>
          <w:color w:val="231F20"/>
        </w:rPr>
        <w:t xml:space="preserve">Sanja </w:t>
      </w:r>
      <w:r w:rsidR="007B4ECB" w:rsidRPr="00DD59E4">
        <w:rPr>
          <w:color w:val="231F20"/>
        </w:rPr>
        <w:t>Kutjnak Ivkovich</w:t>
      </w:r>
      <w:r w:rsidR="00823358">
        <w:rPr>
          <w:color w:val="231F20"/>
        </w:rPr>
        <w:t xml:space="preserve"> </w:t>
      </w:r>
      <w:r w:rsidR="007B4ECB">
        <w:rPr>
          <w:color w:val="231F20"/>
        </w:rPr>
        <w:t>&amp;</w:t>
      </w:r>
      <w:r w:rsidR="007B4ECB" w:rsidRPr="00DD59E4">
        <w:rPr>
          <w:color w:val="231F20"/>
        </w:rPr>
        <w:t xml:space="preserve"> </w:t>
      </w:r>
      <w:r w:rsidR="007B4ECB">
        <w:rPr>
          <w:color w:val="231F20"/>
        </w:rPr>
        <w:t xml:space="preserve">Valerie </w:t>
      </w:r>
      <w:r w:rsidR="007B4ECB" w:rsidRPr="00DD59E4">
        <w:rPr>
          <w:color w:val="231F20"/>
        </w:rPr>
        <w:t>Hans</w:t>
      </w:r>
      <w:r w:rsidR="007B4ECB">
        <w:rPr>
          <w:color w:val="231F20"/>
        </w:rPr>
        <w:t>,</w:t>
      </w:r>
      <w:r w:rsidR="007B4ECB" w:rsidRPr="00DD59E4">
        <w:rPr>
          <w:color w:val="231F20"/>
        </w:rPr>
        <w:t xml:space="preserve"> </w:t>
      </w:r>
      <w:r w:rsidR="007B4ECB" w:rsidRPr="00075EF6">
        <w:rPr>
          <w:i/>
          <w:color w:val="231F20"/>
        </w:rPr>
        <w:t xml:space="preserve">Jurors’ </w:t>
      </w:r>
      <w:r w:rsidR="000F2B04">
        <w:rPr>
          <w:i/>
          <w:color w:val="231F20"/>
        </w:rPr>
        <w:t>E</w:t>
      </w:r>
      <w:r w:rsidR="007B4ECB" w:rsidRPr="00075EF6">
        <w:rPr>
          <w:i/>
          <w:color w:val="231F20"/>
        </w:rPr>
        <w:t>valuations of</w:t>
      </w:r>
      <w:r w:rsidR="007B4ECB" w:rsidRPr="00075EF6">
        <w:rPr>
          <w:i/>
          <w:iCs/>
          <w:color w:val="231F20"/>
        </w:rPr>
        <w:t xml:space="preserve"> </w:t>
      </w:r>
      <w:r w:rsidR="000F2B04">
        <w:rPr>
          <w:i/>
          <w:color w:val="231F20"/>
        </w:rPr>
        <w:t>E</w:t>
      </w:r>
      <w:r w:rsidR="007B4ECB" w:rsidRPr="00075EF6">
        <w:rPr>
          <w:i/>
          <w:color w:val="231F20"/>
        </w:rPr>
        <w:t xml:space="preserve">xpert </w:t>
      </w:r>
      <w:r w:rsidR="000F2B04">
        <w:rPr>
          <w:i/>
          <w:color w:val="231F20"/>
        </w:rPr>
        <w:t>T</w:t>
      </w:r>
      <w:r w:rsidR="007B4ECB" w:rsidRPr="00075EF6">
        <w:rPr>
          <w:i/>
          <w:color w:val="231F20"/>
        </w:rPr>
        <w:t xml:space="preserve">estimony: </w:t>
      </w:r>
      <w:r w:rsidR="000F2B04">
        <w:rPr>
          <w:i/>
          <w:color w:val="231F20"/>
        </w:rPr>
        <w:t>J</w:t>
      </w:r>
      <w:r w:rsidR="007B4ECB" w:rsidRPr="00075EF6">
        <w:rPr>
          <w:i/>
          <w:color w:val="231F20"/>
        </w:rPr>
        <w:t xml:space="preserve">udging the </w:t>
      </w:r>
      <w:r w:rsidR="000F2B04">
        <w:rPr>
          <w:i/>
          <w:color w:val="231F20"/>
        </w:rPr>
        <w:t>M</w:t>
      </w:r>
      <w:r w:rsidR="007B4ECB" w:rsidRPr="00075EF6">
        <w:rPr>
          <w:i/>
          <w:color w:val="231F20"/>
        </w:rPr>
        <w:t xml:space="preserve">essenger and the </w:t>
      </w:r>
      <w:r w:rsidR="000F2B04">
        <w:rPr>
          <w:i/>
          <w:color w:val="231F20"/>
        </w:rPr>
        <w:t>M</w:t>
      </w:r>
      <w:r w:rsidR="007B4ECB" w:rsidRPr="00075EF6">
        <w:rPr>
          <w:i/>
          <w:color w:val="231F20"/>
        </w:rPr>
        <w:t>essage</w:t>
      </w:r>
      <w:r w:rsidR="007B4ECB">
        <w:rPr>
          <w:color w:val="231F20"/>
        </w:rPr>
        <w:t>,</w:t>
      </w:r>
      <w:r w:rsidR="007B4ECB">
        <w:rPr>
          <w:i/>
          <w:iCs/>
          <w:color w:val="231F20"/>
        </w:rPr>
        <w:t xml:space="preserve"> </w:t>
      </w:r>
      <w:r w:rsidR="007B4ECB">
        <w:rPr>
          <w:iCs/>
          <w:color w:val="231F20"/>
        </w:rPr>
        <w:t xml:space="preserve">28 </w:t>
      </w:r>
      <w:r w:rsidR="007B4ECB" w:rsidRPr="00075EF6">
        <w:rPr>
          <w:iCs/>
          <w:color w:val="231F20"/>
        </w:rPr>
        <w:t xml:space="preserve">Law </w:t>
      </w:r>
      <w:r w:rsidR="007B4ECB">
        <w:rPr>
          <w:iCs/>
          <w:color w:val="231F20"/>
        </w:rPr>
        <w:t xml:space="preserve">&amp; </w:t>
      </w:r>
      <w:r w:rsidR="007B4ECB" w:rsidRPr="00075EF6">
        <w:rPr>
          <w:iCs/>
          <w:color w:val="231F20"/>
        </w:rPr>
        <w:t>Soc</w:t>
      </w:r>
      <w:r w:rsidR="007B4ECB">
        <w:rPr>
          <w:iCs/>
          <w:color w:val="231F20"/>
        </w:rPr>
        <w:t>.</w:t>
      </w:r>
      <w:r w:rsidR="007B4ECB" w:rsidRPr="00075EF6">
        <w:rPr>
          <w:iCs/>
          <w:color w:val="231F20"/>
        </w:rPr>
        <w:t xml:space="preserve"> Inquiry</w:t>
      </w:r>
      <w:r w:rsidR="007B4ECB">
        <w:rPr>
          <w:iCs/>
          <w:color w:val="231F20"/>
        </w:rPr>
        <w:t xml:space="preserve"> 441-82 (</w:t>
      </w:r>
      <w:r w:rsidR="007B4ECB" w:rsidRPr="00DD59E4">
        <w:rPr>
          <w:color w:val="231F20"/>
        </w:rPr>
        <w:t>2003</w:t>
      </w:r>
      <w:r w:rsidR="007B4ECB">
        <w:rPr>
          <w:color w:val="231F20"/>
        </w:rPr>
        <w:t>)</w:t>
      </w:r>
      <w:r w:rsidR="007B4ECB" w:rsidRPr="00DD59E4">
        <w:rPr>
          <w:color w:val="231F20"/>
        </w:rPr>
        <w:t xml:space="preserve"> (Ivkovich and Hans conducted interviews</w:t>
      </w:r>
      <w:r w:rsidR="007B4ECB">
        <w:rPr>
          <w:color w:val="231F20"/>
        </w:rPr>
        <w:t xml:space="preserve"> </w:t>
      </w:r>
      <w:r w:rsidR="007B4ECB" w:rsidRPr="00DD59E4">
        <w:rPr>
          <w:color w:val="231F20"/>
        </w:rPr>
        <w:t>with a sample of 269 jurors who decided</w:t>
      </w:r>
      <w:r w:rsidR="007B4ECB">
        <w:rPr>
          <w:color w:val="231F20"/>
        </w:rPr>
        <w:t xml:space="preserve"> </w:t>
      </w:r>
      <w:r w:rsidR="007B4ECB" w:rsidRPr="00DD59E4">
        <w:rPr>
          <w:color w:val="231F20"/>
        </w:rPr>
        <w:t>cases involving business and corporate defendants)</w:t>
      </w:r>
      <w:r w:rsidR="007B4ECB">
        <w:rPr>
          <w:color w:val="231F20"/>
        </w:rPr>
        <w:t xml:space="preserve">; </w:t>
      </w:r>
      <w:r w:rsidR="00834614">
        <w:rPr>
          <w:color w:val="231F20"/>
        </w:rPr>
        <w:t xml:space="preserve">Daniel </w:t>
      </w:r>
      <w:r w:rsidR="00D71F16" w:rsidRPr="00DD59E4">
        <w:rPr>
          <w:color w:val="231F20"/>
        </w:rPr>
        <w:t xml:space="preserve">Shuman </w:t>
      </w:r>
      <w:r w:rsidR="00834614">
        <w:rPr>
          <w:color w:val="231F20"/>
        </w:rPr>
        <w:t>&amp; Anthony</w:t>
      </w:r>
      <w:r w:rsidR="00D71F16" w:rsidRPr="00DD59E4">
        <w:rPr>
          <w:color w:val="231F20"/>
        </w:rPr>
        <w:t xml:space="preserve"> Champagne</w:t>
      </w:r>
      <w:r w:rsidR="00834614">
        <w:rPr>
          <w:color w:val="231F20"/>
        </w:rPr>
        <w:t>,</w:t>
      </w:r>
      <w:r w:rsidR="00D71F16" w:rsidRPr="00DD59E4">
        <w:rPr>
          <w:color w:val="231F20"/>
        </w:rPr>
        <w:t xml:space="preserve"> </w:t>
      </w:r>
      <w:r w:rsidR="00B85915" w:rsidRPr="00B85915">
        <w:rPr>
          <w:i/>
          <w:color w:val="231F20"/>
        </w:rPr>
        <w:t xml:space="preserve">Removing the </w:t>
      </w:r>
      <w:r w:rsidR="000F2B04">
        <w:rPr>
          <w:i/>
          <w:color w:val="231F20"/>
        </w:rPr>
        <w:t>P</w:t>
      </w:r>
      <w:r w:rsidR="000F2B04" w:rsidRPr="00B85915">
        <w:rPr>
          <w:i/>
          <w:color w:val="231F20"/>
        </w:rPr>
        <w:t>eople</w:t>
      </w:r>
      <w:r w:rsidR="000F2B04" w:rsidRPr="00075EF6">
        <w:rPr>
          <w:i/>
          <w:iCs/>
          <w:color w:val="231F20"/>
        </w:rPr>
        <w:t xml:space="preserve"> </w:t>
      </w:r>
      <w:r w:rsidR="00B85915" w:rsidRPr="00B85915">
        <w:rPr>
          <w:i/>
          <w:color w:val="231F20"/>
        </w:rPr>
        <w:t xml:space="preserve">from the </w:t>
      </w:r>
      <w:r w:rsidR="000F2B04">
        <w:rPr>
          <w:i/>
          <w:color w:val="231F20"/>
        </w:rPr>
        <w:t>L</w:t>
      </w:r>
      <w:r w:rsidR="000F2B04" w:rsidRPr="00B85915">
        <w:rPr>
          <w:i/>
          <w:color w:val="231F20"/>
        </w:rPr>
        <w:t xml:space="preserve">egal </w:t>
      </w:r>
      <w:r w:rsidR="000F2B04">
        <w:rPr>
          <w:i/>
          <w:color w:val="231F20"/>
        </w:rPr>
        <w:t>P</w:t>
      </w:r>
      <w:r w:rsidR="000F2B04" w:rsidRPr="00B85915">
        <w:rPr>
          <w:i/>
          <w:color w:val="231F20"/>
        </w:rPr>
        <w:t>rocess</w:t>
      </w:r>
      <w:r w:rsidR="00B85915" w:rsidRPr="00B85915">
        <w:rPr>
          <w:i/>
          <w:color w:val="231F20"/>
        </w:rPr>
        <w:t xml:space="preserve">: The </w:t>
      </w:r>
      <w:r w:rsidR="000C16E5">
        <w:rPr>
          <w:i/>
          <w:color w:val="231F20"/>
        </w:rPr>
        <w:t>R</w:t>
      </w:r>
      <w:r w:rsidR="00B85915" w:rsidRPr="00B85915">
        <w:rPr>
          <w:i/>
          <w:color w:val="231F20"/>
        </w:rPr>
        <w:t xml:space="preserve">hetoric and </w:t>
      </w:r>
      <w:r w:rsidR="000F2B04">
        <w:rPr>
          <w:i/>
          <w:color w:val="231F20"/>
        </w:rPr>
        <w:t>R</w:t>
      </w:r>
      <w:r w:rsidR="000F2B04" w:rsidRPr="00B85915">
        <w:rPr>
          <w:i/>
          <w:color w:val="231F20"/>
        </w:rPr>
        <w:t xml:space="preserve">esearch </w:t>
      </w:r>
      <w:r w:rsidR="00B85915" w:rsidRPr="00B85915">
        <w:rPr>
          <w:i/>
          <w:color w:val="231F20"/>
        </w:rPr>
        <w:t>on</w:t>
      </w:r>
      <w:r w:rsidR="00DD59E4" w:rsidRPr="00075EF6">
        <w:rPr>
          <w:i/>
          <w:iCs/>
          <w:color w:val="231F20"/>
        </w:rPr>
        <w:t xml:space="preserve"> </w:t>
      </w:r>
      <w:r w:rsidR="000F2B04">
        <w:rPr>
          <w:i/>
          <w:color w:val="231F20"/>
        </w:rPr>
        <w:t>J</w:t>
      </w:r>
      <w:r w:rsidR="000F2B04" w:rsidRPr="00B85915">
        <w:rPr>
          <w:i/>
          <w:color w:val="231F20"/>
        </w:rPr>
        <w:t xml:space="preserve">udicial </w:t>
      </w:r>
      <w:r w:rsidR="000F2B04">
        <w:rPr>
          <w:i/>
          <w:color w:val="231F20"/>
        </w:rPr>
        <w:t>S</w:t>
      </w:r>
      <w:r w:rsidR="000F2B04" w:rsidRPr="00B85915">
        <w:rPr>
          <w:i/>
          <w:color w:val="231F20"/>
        </w:rPr>
        <w:t xml:space="preserve">election </w:t>
      </w:r>
      <w:r w:rsidR="00B85915" w:rsidRPr="00B85915">
        <w:rPr>
          <w:i/>
          <w:color w:val="231F20"/>
        </w:rPr>
        <w:t xml:space="preserve">and </w:t>
      </w:r>
      <w:r w:rsidR="000F2B04">
        <w:rPr>
          <w:i/>
          <w:color w:val="231F20"/>
        </w:rPr>
        <w:t>J</w:t>
      </w:r>
      <w:r w:rsidR="00B85915" w:rsidRPr="00B85915">
        <w:rPr>
          <w:i/>
          <w:color w:val="231F20"/>
        </w:rPr>
        <w:t>uries</w:t>
      </w:r>
      <w:r w:rsidR="00075EF6">
        <w:rPr>
          <w:color w:val="231F20"/>
        </w:rPr>
        <w:t>,</w:t>
      </w:r>
      <w:r w:rsidR="00D71F16" w:rsidRPr="00DD59E4">
        <w:rPr>
          <w:color w:val="231F20"/>
        </w:rPr>
        <w:t xml:space="preserve"> </w:t>
      </w:r>
      <w:r w:rsidR="00075EF6">
        <w:rPr>
          <w:color w:val="231F20"/>
        </w:rPr>
        <w:t xml:space="preserve">3 </w:t>
      </w:r>
      <w:r w:rsidR="00B85915" w:rsidRPr="00B85915">
        <w:rPr>
          <w:iCs/>
          <w:color w:val="231F20"/>
        </w:rPr>
        <w:t>Psychol</w:t>
      </w:r>
      <w:r w:rsidR="00075EF6">
        <w:rPr>
          <w:iCs/>
          <w:color w:val="231F20"/>
        </w:rPr>
        <w:t>.</w:t>
      </w:r>
      <w:r w:rsidR="00B85915" w:rsidRPr="00B85915">
        <w:rPr>
          <w:iCs/>
          <w:color w:val="231F20"/>
        </w:rPr>
        <w:t xml:space="preserve"> Pub</w:t>
      </w:r>
      <w:r w:rsidR="00075EF6">
        <w:rPr>
          <w:iCs/>
          <w:color w:val="231F20"/>
        </w:rPr>
        <w:t>.</w:t>
      </w:r>
      <w:r w:rsidR="00B85915" w:rsidRPr="00B85915">
        <w:rPr>
          <w:iCs/>
          <w:color w:val="231F20"/>
        </w:rPr>
        <w:t xml:space="preserve"> Pol</w:t>
      </w:r>
      <w:r w:rsidR="00075EF6">
        <w:rPr>
          <w:iCs/>
          <w:color w:val="231F20"/>
        </w:rPr>
        <w:t>’</w:t>
      </w:r>
      <w:r w:rsidR="00B85915" w:rsidRPr="00B85915">
        <w:rPr>
          <w:iCs/>
          <w:color w:val="231F20"/>
        </w:rPr>
        <w:t>y</w:t>
      </w:r>
      <w:r w:rsidR="00075EF6">
        <w:rPr>
          <w:iCs/>
          <w:color w:val="231F20"/>
        </w:rPr>
        <w:t xml:space="preserve"> &amp;</w:t>
      </w:r>
      <w:r w:rsidR="00B85915" w:rsidRPr="00B85915">
        <w:rPr>
          <w:iCs/>
          <w:color w:val="231F20"/>
        </w:rPr>
        <w:t xml:space="preserve"> L</w:t>
      </w:r>
      <w:r w:rsidR="00D71F16" w:rsidRPr="00DD59E4">
        <w:rPr>
          <w:color w:val="231F20"/>
        </w:rPr>
        <w:t>.</w:t>
      </w:r>
      <w:r w:rsidR="00DD59E4">
        <w:rPr>
          <w:i/>
          <w:iCs/>
          <w:color w:val="231F20"/>
        </w:rPr>
        <w:t xml:space="preserve"> </w:t>
      </w:r>
      <w:r w:rsidR="00D71F16" w:rsidRPr="00DD59E4">
        <w:rPr>
          <w:color w:val="231F20"/>
        </w:rPr>
        <w:t>242–58</w:t>
      </w:r>
      <w:r w:rsidR="00075EF6">
        <w:rPr>
          <w:color w:val="231F20"/>
        </w:rPr>
        <w:t xml:space="preserve"> (1997) </w:t>
      </w:r>
      <w:r w:rsidR="00DD59E4" w:rsidRPr="00DD59E4">
        <w:rPr>
          <w:color w:val="231F20"/>
        </w:rPr>
        <w:t>(</w:t>
      </w:r>
      <w:r w:rsidR="00665F45">
        <w:rPr>
          <w:color w:val="231F20"/>
        </w:rPr>
        <w:t>authors</w:t>
      </w:r>
      <w:r w:rsidR="00D71F16" w:rsidRPr="00DD59E4">
        <w:rPr>
          <w:color w:val="231F20"/>
        </w:rPr>
        <w:t xml:space="preserve"> interviewed lawyers, testifying experts, and jurors about how the juries </w:t>
      </w:r>
      <w:r w:rsidR="00DD59E4">
        <w:rPr>
          <w:color w:val="231F20"/>
        </w:rPr>
        <w:t xml:space="preserve">responded to expert testimony </w:t>
      </w:r>
      <w:r w:rsidR="00D71F16" w:rsidRPr="00DD59E4">
        <w:rPr>
          <w:color w:val="231F20"/>
        </w:rPr>
        <w:t>presented in large samples of trials</w:t>
      </w:r>
      <w:r w:rsidR="00DD59E4" w:rsidRPr="00DD59E4">
        <w:rPr>
          <w:color w:val="231F20"/>
        </w:rPr>
        <w:t>)</w:t>
      </w:r>
      <w:r w:rsidR="007B4ECB">
        <w:rPr>
          <w:color w:val="231F20"/>
        </w:rPr>
        <w:t>.</w:t>
      </w:r>
    </w:p>
    <w:p w14:paraId="64BB152B" w14:textId="3B61BC0A" w:rsidR="00D94988" w:rsidRDefault="005D0BE5" w:rsidP="00DD59E4">
      <w:pPr>
        <w:spacing w:line="480" w:lineRule="auto"/>
        <w:jc w:val="both"/>
      </w:pPr>
      <w:r>
        <w:tab/>
      </w:r>
      <w:r w:rsidR="00D94988">
        <w:t>The media</w:t>
      </w:r>
      <w:r w:rsidR="00FF28D2">
        <w:t xml:space="preserve">, which will not be regulated by </w:t>
      </w:r>
      <w:r w:rsidR="00977852">
        <w:t xml:space="preserve">MCAO’s </w:t>
      </w:r>
      <w:r w:rsidR="00FF28D2">
        <w:t xml:space="preserve">proposed </w:t>
      </w:r>
      <w:r w:rsidR="00A06BDB">
        <w:t>modifications</w:t>
      </w:r>
      <w:r w:rsidR="00FF28D2">
        <w:t>,</w:t>
      </w:r>
      <w:r w:rsidR="00D94988">
        <w:t xml:space="preserve"> </w:t>
      </w:r>
      <w:r>
        <w:t xml:space="preserve">also </w:t>
      </w:r>
      <w:r w:rsidR="00D94988">
        <w:t xml:space="preserve">frequently contacts jurors after high-profile trials and </w:t>
      </w:r>
      <w:r w:rsidR="00A06BDB">
        <w:t>questions them without any limitation as to scope or propriety</w:t>
      </w:r>
      <w:r w:rsidR="00D94988">
        <w:t xml:space="preserve">. Jurors are free to </w:t>
      </w:r>
      <w:r w:rsidR="00A06BDB">
        <w:t>answer questions</w:t>
      </w:r>
      <w:r w:rsidR="00D94988">
        <w:t xml:space="preserve"> and many have done so. For example, </w:t>
      </w:r>
      <w:r w:rsidR="00665F45">
        <w:t xml:space="preserve">in </w:t>
      </w:r>
      <w:r w:rsidR="00D94988">
        <w:t>the high-profile cases of George Zimmerman and Jodi Arias</w:t>
      </w:r>
      <w:r w:rsidR="00665F45">
        <w:t>,</w:t>
      </w:r>
      <w:r w:rsidR="00D94988">
        <w:t xml:space="preserve"> </w:t>
      </w:r>
      <w:r w:rsidR="00A06BDB">
        <w:t>some jurors</w:t>
      </w:r>
      <w:r w:rsidR="00D94988">
        <w:t xml:space="preserve"> </w:t>
      </w:r>
      <w:r w:rsidR="00665F45">
        <w:t>we</w:t>
      </w:r>
      <w:r w:rsidR="00D94988">
        <w:t xml:space="preserve">re eager to </w:t>
      </w:r>
      <w:r w:rsidR="00A06BDB">
        <w:t>talk</w:t>
      </w:r>
      <w:r w:rsidR="00D94988">
        <w:t xml:space="preserve"> about their experience</w:t>
      </w:r>
      <w:r w:rsidR="00A06BDB">
        <w:t>s</w:t>
      </w:r>
      <w:r w:rsidR="00D94988">
        <w:t xml:space="preserve">. Those who chose not to speak have clearly shown </w:t>
      </w:r>
      <w:r w:rsidR="00237289">
        <w:t>their</w:t>
      </w:r>
      <w:r w:rsidR="00D94988">
        <w:t xml:space="preserve"> ab</w:t>
      </w:r>
      <w:r w:rsidR="004C743C">
        <w:t xml:space="preserve">ility to refuse such requests. </w:t>
      </w:r>
      <w:r w:rsidR="00D94988">
        <w:t>Certainly</w:t>
      </w:r>
      <w:r w:rsidR="000C16E5">
        <w:t>,</w:t>
      </w:r>
      <w:r w:rsidR="00D94988">
        <w:t xml:space="preserve"> media </w:t>
      </w:r>
      <w:r w:rsidR="00D94988">
        <w:lastRenderedPageBreak/>
        <w:t>contacts, likely from multiple media sources</w:t>
      </w:r>
      <w:r w:rsidR="00D279C6">
        <w:t>,</w:t>
      </w:r>
      <w:r w:rsidR="00D94988">
        <w:t xml:space="preserve"> </w:t>
      </w:r>
      <w:r w:rsidR="00237289">
        <w:t>are at least as</w:t>
      </w:r>
      <w:r w:rsidR="00D94988">
        <w:t xml:space="preserve"> intrusive </w:t>
      </w:r>
      <w:r w:rsidR="00237289">
        <w:t>as</w:t>
      </w:r>
      <w:r w:rsidR="00D94988">
        <w:t xml:space="preserve"> </w:t>
      </w:r>
      <w:r w:rsidR="00D279C6">
        <w:t>contact</w:t>
      </w:r>
      <w:r w:rsidR="00237289">
        <w:t>s</w:t>
      </w:r>
      <w:r w:rsidR="00D279C6">
        <w:t xml:space="preserve"> by</w:t>
      </w:r>
      <w:r w:rsidR="00D94988">
        <w:t xml:space="preserve"> a defense </w:t>
      </w:r>
      <w:r w:rsidR="00237289">
        <w:t>lawyer</w:t>
      </w:r>
      <w:r w:rsidR="00D279C6">
        <w:t xml:space="preserve"> or investigator</w:t>
      </w:r>
      <w:r w:rsidR="00D94988">
        <w:t>.</w:t>
      </w:r>
    </w:p>
    <w:p w14:paraId="6B145AC0" w14:textId="6E8A8987" w:rsidR="004C743C" w:rsidRPr="003933B3" w:rsidRDefault="004C743C" w:rsidP="004C743C">
      <w:pPr>
        <w:spacing w:line="480" w:lineRule="auto"/>
        <w:jc w:val="both"/>
      </w:pPr>
      <w:r>
        <w:tab/>
      </w:r>
      <w:r w:rsidRPr="00DD59E4">
        <w:t xml:space="preserve">Thus, </w:t>
      </w:r>
      <w:r>
        <w:t xml:space="preserve">MCAO offers not a single instance of a defense representative having harassed a juror. But MCAO’s proposed “solution” will </w:t>
      </w:r>
      <w:r w:rsidRPr="00000252">
        <w:t>impede fundamental rights</w:t>
      </w:r>
      <w:r>
        <w:t xml:space="preserve"> of defendants and obligations of defense counsel to investigate potential claims</w:t>
      </w:r>
      <w:r w:rsidRPr="00000252">
        <w:t>.</w:t>
      </w:r>
      <w:r>
        <w:t xml:space="preserve"> In light of the foregoing, it is unsurprising that this Court has twice before rejected MCAO’s similar proposal five years ago. It is similarly unsurprising that the Arizona Legislature rejected a similar statutory proposal last year.</w:t>
      </w:r>
    </w:p>
    <w:p w14:paraId="534C2C80" w14:textId="70C56123" w:rsidR="00237289" w:rsidRPr="00237289" w:rsidRDefault="00237289" w:rsidP="004C743C">
      <w:pPr>
        <w:pStyle w:val="ListParagraph"/>
        <w:numPr>
          <w:ilvl w:val="0"/>
          <w:numId w:val="3"/>
        </w:numPr>
        <w:spacing w:line="480" w:lineRule="auto"/>
        <w:jc w:val="both"/>
        <w:rPr>
          <w:b/>
        </w:rPr>
      </w:pPr>
      <w:r>
        <w:rPr>
          <w:b/>
          <w:u w:val="single"/>
        </w:rPr>
        <w:t>MCAO committed the only know harassment of a juror.</w:t>
      </w:r>
    </w:p>
    <w:p w14:paraId="782810B9" w14:textId="211D0363" w:rsidR="0008321E" w:rsidRDefault="00536AB9">
      <w:pPr>
        <w:spacing w:line="480" w:lineRule="auto"/>
        <w:jc w:val="both"/>
      </w:pPr>
      <w:r>
        <w:tab/>
      </w:r>
      <w:r w:rsidRPr="00237289">
        <w:t xml:space="preserve">Ironically, the only </w:t>
      </w:r>
      <w:r w:rsidR="004C743C">
        <w:t xml:space="preserve">known </w:t>
      </w:r>
      <w:r w:rsidR="00237289">
        <w:t>allegation</w:t>
      </w:r>
      <w:r w:rsidR="004E600A" w:rsidRPr="00237289">
        <w:t xml:space="preserve"> of </w:t>
      </w:r>
      <w:r w:rsidR="004C743C">
        <w:t xml:space="preserve">confirmed </w:t>
      </w:r>
      <w:r w:rsidR="004E600A" w:rsidRPr="00237289">
        <w:t xml:space="preserve">juror harassment </w:t>
      </w:r>
      <w:r w:rsidR="004C743C">
        <w:t>wa</w:t>
      </w:r>
      <w:r w:rsidR="00237289">
        <w:t>s</w:t>
      </w:r>
      <w:r w:rsidR="004E600A" w:rsidRPr="00237289">
        <w:t xml:space="preserve"> </w:t>
      </w:r>
      <w:r w:rsidR="004C743C">
        <w:t xml:space="preserve">committed not by a defense attorney but by </w:t>
      </w:r>
      <w:r w:rsidR="00FF5E32" w:rsidRPr="00237289">
        <w:t>MCAO</w:t>
      </w:r>
      <w:r w:rsidR="004E600A" w:rsidRPr="00237289">
        <w:t xml:space="preserve">’s </w:t>
      </w:r>
      <w:r w:rsidR="00E83969">
        <w:t>best known</w:t>
      </w:r>
      <w:r w:rsidR="004E600A" w:rsidRPr="00237289">
        <w:t xml:space="preserve"> death penalty prosecutor, Juan Martinez. </w:t>
      </w:r>
      <w:r w:rsidR="00980626" w:rsidRPr="00237289">
        <w:t xml:space="preserve">That </w:t>
      </w:r>
      <w:r w:rsidR="004C743C">
        <w:t xml:space="preserve">misconduct, is documented in Case </w:t>
      </w:r>
      <w:r w:rsidR="00977852">
        <w:t xml:space="preserve">No. PDJ 2019-9008, </w:t>
      </w:r>
      <w:r w:rsidR="00980626" w:rsidRPr="00237289">
        <w:t xml:space="preserve">among other </w:t>
      </w:r>
      <w:r w:rsidR="00FF5E32" w:rsidRPr="00237289">
        <w:t>allegations</w:t>
      </w:r>
      <w:r w:rsidR="00980626" w:rsidRPr="00237289">
        <w:t>, accuses Mr. Martinez of revealing the identity of the lone holdout juror in the Jod</w:t>
      </w:r>
      <w:r w:rsidR="00E83969">
        <w:t>i</w:t>
      </w:r>
      <w:r w:rsidR="00980626" w:rsidRPr="00237289">
        <w:t xml:space="preserve"> Arias </w:t>
      </w:r>
      <w:r w:rsidR="00E83969">
        <w:t>trial</w:t>
      </w:r>
      <w:r w:rsidR="00980626" w:rsidRPr="00237289">
        <w:t xml:space="preserve">. </w:t>
      </w:r>
      <w:hyperlink r:id="rId11" w:history="1">
        <w:r w:rsidR="000D5F5E" w:rsidRPr="000D5F5E">
          <w:rPr>
            <w:color w:val="0000FF"/>
            <w:u w:val="single"/>
          </w:rPr>
          <w:t>https://www.abc15.com/news/region-phoenix-metro/central-phoenix/arizona-state-bar-files-formal-complaint-against-arias-prosecutor-juan-martinez</w:t>
        </w:r>
      </w:hyperlink>
      <w:r w:rsidR="000D5F5E">
        <w:t>.</w:t>
      </w:r>
      <w:r w:rsidR="00665F45">
        <w:t xml:space="preserve"> This Court accepted jurisdiction of the State Bar’s petition for special action in</w:t>
      </w:r>
      <w:r w:rsidR="00584AAA">
        <w:t xml:space="preserve"> No. CV-20-0035-SA. Weeks ago, t</w:t>
      </w:r>
      <w:r w:rsidR="004C743C">
        <w:t xml:space="preserve">he MCAO </w:t>
      </w:r>
      <w:r w:rsidR="00584AAA">
        <w:t>announced its intent to terminate</w:t>
      </w:r>
      <w:r w:rsidR="004C743C">
        <w:t xml:space="preserve"> Mr. Martinez</w:t>
      </w:r>
      <w:r w:rsidR="00584AAA">
        <w:t>’s employment</w:t>
      </w:r>
      <w:r w:rsidR="004C743C">
        <w:t>.</w:t>
      </w:r>
      <w:r w:rsidR="00584AAA">
        <w:t xml:space="preserve"> </w:t>
      </w:r>
      <w:hyperlink r:id="rId12" w:history="1">
        <w:r w:rsidR="00584AAA" w:rsidRPr="005E21DA">
          <w:rPr>
            <w:rStyle w:val="Hyperlink"/>
          </w:rPr>
          <w:t>https://www.azcentral.com/story/news/local/arizona/2020/03/13/maricopa-county-attorney-fire-jodi-arias-prosecutor-juan-martinez/5047645002/</w:t>
        </w:r>
      </w:hyperlink>
      <w:r w:rsidR="00584AAA">
        <w:t>.</w:t>
      </w:r>
    </w:p>
    <w:p w14:paraId="5DEA86C0" w14:textId="546028BB" w:rsidR="00E84B24" w:rsidRPr="00E83969" w:rsidRDefault="00E83969" w:rsidP="004C743C">
      <w:pPr>
        <w:pStyle w:val="ListParagraph"/>
        <w:numPr>
          <w:ilvl w:val="0"/>
          <w:numId w:val="3"/>
        </w:numPr>
        <w:spacing w:after="240" w:line="240" w:lineRule="auto"/>
        <w:jc w:val="both"/>
        <w:rPr>
          <w:b/>
          <w:u w:val="single"/>
        </w:rPr>
      </w:pPr>
      <w:r>
        <w:rPr>
          <w:b/>
          <w:u w:val="single"/>
        </w:rPr>
        <w:lastRenderedPageBreak/>
        <w:t xml:space="preserve">The </w:t>
      </w:r>
      <w:r w:rsidR="00870A00" w:rsidRPr="001F087D">
        <w:rPr>
          <w:b/>
          <w:u w:val="single"/>
        </w:rPr>
        <w:t xml:space="preserve">Constitution </w:t>
      </w:r>
      <w:r w:rsidR="000F2B04">
        <w:rPr>
          <w:b/>
          <w:u w:val="single"/>
        </w:rPr>
        <w:t>requires that a remedy be provided for every r</w:t>
      </w:r>
      <w:r w:rsidR="00870A00" w:rsidRPr="001F087D">
        <w:rPr>
          <w:b/>
          <w:u w:val="single"/>
        </w:rPr>
        <w:t>ight</w:t>
      </w:r>
      <w:r w:rsidR="00BA07AF">
        <w:rPr>
          <w:b/>
          <w:u w:val="single"/>
        </w:rPr>
        <w:t>.</w:t>
      </w:r>
    </w:p>
    <w:p w14:paraId="09406BCA" w14:textId="6E33C91A" w:rsidR="00EE7CA3" w:rsidRDefault="00E84B24">
      <w:pPr>
        <w:spacing w:line="480" w:lineRule="auto"/>
        <w:ind w:firstLine="630"/>
        <w:jc w:val="both"/>
      </w:pPr>
      <w:r w:rsidRPr="001F087D">
        <w:t>Juror misconduct include</w:t>
      </w:r>
      <w:r w:rsidR="001F3662">
        <w:t>s</w:t>
      </w:r>
      <w:r w:rsidRPr="001F087D">
        <w:t xml:space="preserve"> the reception of extrinsic evidence, deciding the verdict by lot, </w:t>
      </w:r>
      <w:r w:rsidR="00E83969">
        <w:t>answering questions</w:t>
      </w:r>
      <w:r w:rsidRPr="001F087D">
        <w:t xml:space="preserve"> </w:t>
      </w:r>
      <w:r w:rsidR="00E83969">
        <w:t>dis</w:t>
      </w:r>
      <w:r w:rsidRPr="001F087D">
        <w:t xml:space="preserve">honestly during voir dire, bribery, vote pledging, intoxication, and conversing before the verdict with any interested party about the outcome of the case. </w:t>
      </w:r>
      <w:r w:rsidR="001F3662">
        <w:t>Rule</w:t>
      </w:r>
      <w:r w:rsidRPr="001F087D">
        <w:t xml:space="preserve"> 24.1</w:t>
      </w:r>
      <w:r w:rsidR="001F3662">
        <w:t>(c)</w:t>
      </w:r>
      <w:r w:rsidRPr="001F087D">
        <w:t>(3)</w:t>
      </w:r>
      <w:r w:rsidR="001F087D">
        <w:t>.</w:t>
      </w:r>
      <w:r w:rsidRPr="001F087D">
        <w:t xml:space="preserve"> Additionally, </w:t>
      </w:r>
      <w:r w:rsidR="00D279C6">
        <w:t xml:space="preserve">a </w:t>
      </w:r>
      <w:r w:rsidRPr="001F087D">
        <w:t>new trial may be ordered if “[f</w:t>
      </w:r>
      <w:r w:rsidRPr="001F087D">
        <w:rPr>
          <w:u w:val="single"/>
        </w:rPr>
        <w:t>]</w:t>
      </w:r>
      <w:r w:rsidRPr="001F087D">
        <w:t>or any other reason not due to the defendant</w:t>
      </w:r>
      <w:r w:rsidR="00D279C6">
        <w:t>’</w:t>
      </w:r>
      <w:r w:rsidRPr="001F087D">
        <w:t xml:space="preserve">s own fault the defendant has not received a fair and impartial trial or </w:t>
      </w:r>
      <w:r w:rsidR="001F3662">
        <w:t>phase of trial</w:t>
      </w:r>
      <w:r w:rsidRPr="001F087D">
        <w:t>.</w:t>
      </w:r>
      <w:r w:rsidR="00FF28D2" w:rsidRPr="001F087D">
        <w:t>”</w:t>
      </w:r>
      <w:r w:rsidRPr="001F087D">
        <w:t xml:space="preserve"> </w:t>
      </w:r>
      <w:r w:rsidR="001F3662">
        <w:t>Rule</w:t>
      </w:r>
      <w:r w:rsidRPr="001F087D">
        <w:t xml:space="preserve"> 24.1</w:t>
      </w:r>
      <w:r w:rsidR="001F3662">
        <w:t>(c)</w:t>
      </w:r>
      <w:r w:rsidR="00BA07AF">
        <w:t xml:space="preserve">(5). </w:t>
      </w:r>
      <w:r w:rsidRPr="001F087D">
        <w:t xml:space="preserve">Similarly, grounds for relief under Rule 32.1 include that the conviction or sentence was in violation of the Arizona or United States Constitution. </w:t>
      </w:r>
      <w:r w:rsidR="001F3662">
        <w:t>Rule</w:t>
      </w:r>
      <w:r w:rsidRPr="001F087D">
        <w:t xml:space="preserve"> 32.1</w:t>
      </w:r>
      <w:r w:rsidR="001F3662">
        <w:t>(a).</w:t>
      </w:r>
    </w:p>
    <w:p w14:paraId="0773D76A" w14:textId="42108198" w:rsidR="00274A2A" w:rsidRPr="001F087D" w:rsidRDefault="00FF28D2">
      <w:pPr>
        <w:spacing w:line="480" w:lineRule="auto"/>
        <w:jc w:val="both"/>
      </w:pPr>
      <w:r w:rsidRPr="001F087D">
        <w:tab/>
      </w:r>
      <w:r w:rsidR="000E25D0" w:rsidRPr="001F087D">
        <w:t>It is a long-held principle in American jurisprudence t</w:t>
      </w:r>
      <w:r w:rsidR="00584AAA">
        <w:t>hat a right must have a remedy.</w:t>
      </w:r>
      <w:r w:rsidR="000E25D0" w:rsidRPr="001F087D">
        <w:t xml:space="preserve"> </w:t>
      </w:r>
      <w:r w:rsidR="000E25D0" w:rsidRPr="001F087D">
        <w:rPr>
          <w:i/>
        </w:rPr>
        <w:t>Marbury v. Madison</w:t>
      </w:r>
      <w:r w:rsidR="00DE6EF2" w:rsidRPr="00DE6EF2">
        <w:t>,</w:t>
      </w:r>
      <w:r w:rsidR="000E25D0" w:rsidRPr="001F087D">
        <w:rPr>
          <w:i/>
        </w:rPr>
        <w:t xml:space="preserve"> </w:t>
      </w:r>
      <w:r w:rsidR="000E25D0" w:rsidRPr="001F087D">
        <w:t>5 U.S. 137, 146 (1803) (“It is a settled and invariable principle, that every right, when withheld, must have a remedy.”)</w:t>
      </w:r>
      <w:r w:rsidR="00B46103" w:rsidRPr="001F087D">
        <w:t xml:space="preserve">; </w:t>
      </w:r>
      <w:r w:rsidR="00B46103" w:rsidRPr="001F087D">
        <w:rPr>
          <w:i/>
        </w:rPr>
        <w:t>State v. Rosengren</w:t>
      </w:r>
      <w:r w:rsidR="00B46103" w:rsidRPr="001F087D">
        <w:t>, 199 Ariz. 112, 122</w:t>
      </w:r>
      <w:r w:rsidR="00977852">
        <w:t xml:space="preserve"> ¶ </w:t>
      </w:r>
      <w:r w:rsidR="007C0BB7">
        <w:t>32</w:t>
      </w:r>
      <w:r w:rsidR="00B46103" w:rsidRPr="001F087D">
        <w:t xml:space="preserve"> (App. 2000)</w:t>
      </w:r>
      <w:r w:rsidR="00D279C6">
        <w:t xml:space="preserve"> </w:t>
      </w:r>
      <w:r w:rsidR="00B46103" w:rsidRPr="001F087D">
        <w:t>(“[T]he remedy for violation of crucial constitutional rights must not render such rights hollow or illusory.”)</w:t>
      </w:r>
      <w:r w:rsidR="00D279C6">
        <w:t>.</w:t>
      </w:r>
    </w:p>
    <w:p w14:paraId="79A3F943" w14:textId="274437C0" w:rsidR="00785721" w:rsidRPr="001F3662" w:rsidRDefault="000E25D0" w:rsidP="00696A86">
      <w:pPr>
        <w:spacing w:line="480" w:lineRule="auto"/>
        <w:ind w:firstLine="720"/>
        <w:jc w:val="both"/>
      </w:pPr>
      <w:r w:rsidRPr="001F087D">
        <w:t xml:space="preserve">The </w:t>
      </w:r>
      <w:r w:rsidR="009037A7" w:rsidRPr="001F087D">
        <w:t xml:space="preserve">rights to petition for </w:t>
      </w:r>
      <w:r w:rsidR="00CE1CDE">
        <w:t xml:space="preserve">a </w:t>
      </w:r>
      <w:r w:rsidR="009037A7" w:rsidRPr="001F087D">
        <w:t>new trial and for post-conviction relief give effect to those constitutional rights that protect the right to not be denied life, liberty, and prope</w:t>
      </w:r>
      <w:r w:rsidR="00944C3C">
        <w:t>rty without due process of law.</w:t>
      </w:r>
      <w:r w:rsidR="009037A7" w:rsidRPr="001F087D">
        <w:t xml:space="preserve"> </w:t>
      </w:r>
      <w:r w:rsidR="00CE1CDE">
        <w:t>MCAO’s proposal</w:t>
      </w:r>
      <w:r w:rsidR="00E84B24" w:rsidRPr="001F087D">
        <w:t xml:space="preserve"> would effectively gut the remedies of motion</w:t>
      </w:r>
      <w:r w:rsidR="00D279C6">
        <w:t>s</w:t>
      </w:r>
      <w:r w:rsidR="00E84B24" w:rsidRPr="001F087D">
        <w:t xml:space="preserve"> for new trial and petitions for </w:t>
      </w:r>
      <w:r w:rsidR="00FF28D2" w:rsidRPr="001F087D">
        <w:t>p</w:t>
      </w:r>
      <w:r w:rsidR="00E84B24" w:rsidRPr="001F087D">
        <w:t>ost-</w:t>
      </w:r>
      <w:r w:rsidR="00FF28D2" w:rsidRPr="001F087D">
        <w:t>c</w:t>
      </w:r>
      <w:r w:rsidR="00E84B24" w:rsidRPr="001F087D">
        <w:t xml:space="preserve">onviction relief under Rule 32.1, by creating an </w:t>
      </w:r>
      <w:r w:rsidRPr="001F087D">
        <w:t xml:space="preserve">unreasonable and often </w:t>
      </w:r>
      <w:r w:rsidR="00E84B24" w:rsidRPr="001F087D">
        <w:t xml:space="preserve">impossible standard </w:t>
      </w:r>
      <w:r w:rsidRPr="001F087D">
        <w:t>to meet before being given the ability to fully investigate the issues.</w:t>
      </w:r>
    </w:p>
    <w:p w14:paraId="229E71AF" w14:textId="52B9DE4F" w:rsidR="004D3005" w:rsidRDefault="00CE1CDE" w:rsidP="004C743C">
      <w:pPr>
        <w:pStyle w:val="ListParagraph"/>
        <w:numPr>
          <w:ilvl w:val="0"/>
          <w:numId w:val="3"/>
        </w:numPr>
        <w:spacing w:after="240" w:line="240" w:lineRule="auto"/>
        <w:jc w:val="both"/>
        <w:rPr>
          <w:b/>
          <w:u w:val="single"/>
        </w:rPr>
      </w:pPr>
      <w:r>
        <w:rPr>
          <w:b/>
          <w:u w:val="single"/>
        </w:rPr>
        <w:lastRenderedPageBreak/>
        <w:t>MCAO’s proposal</w:t>
      </w:r>
      <w:r w:rsidR="004D3005" w:rsidRPr="004D3005">
        <w:rPr>
          <w:b/>
          <w:u w:val="single"/>
        </w:rPr>
        <w:t xml:space="preserve"> would </w:t>
      </w:r>
      <w:r w:rsidR="004D3005">
        <w:rPr>
          <w:b/>
          <w:u w:val="single"/>
        </w:rPr>
        <w:t xml:space="preserve">uniquely suppress </w:t>
      </w:r>
      <w:r w:rsidR="001F3662">
        <w:rPr>
          <w:b/>
          <w:u w:val="single"/>
        </w:rPr>
        <w:t>defenses lawyers’</w:t>
      </w:r>
      <w:r w:rsidR="004D3005">
        <w:rPr>
          <w:b/>
          <w:u w:val="single"/>
        </w:rPr>
        <w:t xml:space="preserve"> free speech rights.</w:t>
      </w:r>
    </w:p>
    <w:p w14:paraId="337C182C" w14:textId="77777777" w:rsidR="00E0202A" w:rsidRDefault="00E0202A" w:rsidP="00E0202A">
      <w:pPr>
        <w:pStyle w:val="ListParagraph"/>
        <w:spacing w:line="240" w:lineRule="auto"/>
        <w:jc w:val="both"/>
        <w:rPr>
          <w:b/>
          <w:u w:val="single"/>
        </w:rPr>
      </w:pPr>
    </w:p>
    <w:p w14:paraId="3AB82268" w14:textId="0C476D55" w:rsidR="0011586C" w:rsidRPr="0011586C" w:rsidRDefault="00DD59E4" w:rsidP="0011586C">
      <w:pPr>
        <w:spacing w:line="480" w:lineRule="auto"/>
        <w:ind w:firstLine="720"/>
        <w:jc w:val="both"/>
      </w:pPr>
      <w:r>
        <w:t xml:space="preserve">Defense </w:t>
      </w:r>
      <w:r w:rsidR="001F3662">
        <w:t>lawyers</w:t>
      </w:r>
      <w:r>
        <w:t xml:space="preserve">, </w:t>
      </w:r>
      <w:r w:rsidR="001F3662">
        <w:t>like</w:t>
      </w:r>
      <w:r>
        <w:t xml:space="preserve"> every other person, possess the right to free speech under the Arizona a</w:t>
      </w:r>
      <w:r w:rsidR="00944C3C">
        <w:t>nd United States Constitutions.</w:t>
      </w:r>
      <w:r>
        <w:t xml:space="preserve"> </w:t>
      </w:r>
      <w:r w:rsidR="00EE6669">
        <w:t xml:space="preserve">U.S. Const. </w:t>
      </w:r>
      <w:r w:rsidR="00D279C6">
        <w:t>a</w:t>
      </w:r>
      <w:r w:rsidR="00EE6669">
        <w:t xml:space="preserve">mend. I; </w:t>
      </w:r>
      <w:r w:rsidR="00944C3C" w:rsidRPr="00944C3C">
        <w:rPr>
          <w:i/>
        </w:rPr>
        <w:t>see also</w:t>
      </w:r>
      <w:r w:rsidR="00944C3C">
        <w:t xml:space="preserve"> </w:t>
      </w:r>
      <w:r w:rsidR="00EE6669">
        <w:t xml:space="preserve">Ariz. Const. art. </w:t>
      </w:r>
      <w:r>
        <w:t xml:space="preserve">2, </w:t>
      </w:r>
      <w:r w:rsidRPr="00696A86">
        <w:t>§</w:t>
      </w:r>
      <w:r w:rsidR="00EE6669" w:rsidRPr="00696A86">
        <w:t xml:space="preserve"> </w:t>
      </w:r>
      <w:r w:rsidR="00944C3C">
        <w:t>6 (“E</w:t>
      </w:r>
      <w:r w:rsidR="00944C3C" w:rsidRPr="00944C3C">
        <w:t>very person may freely speak, write, and publish on all subjects, being responsible for the abuse of that right</w:t>
      </w:r>
      <w:r w:rsidR="00944C3C">
        <w:t>.</w:t>
      </w:r>
      <w:r w:rsidR="00944C3C" w:rsidRPr="00944C3C">
        <w:t>”</w:t>
      </w:r>
      <w:r w:rsidR="00944C3C">
        <w:t>).</w:t>
      </w:r>
      <w:r>
        <w:t xml:space="preserve"> </w:t>
      </w:r>
      <w:r w:rsidR="0011586C" w:rsidRPr="0011586C">
        <w:t xml:space="preserve">The Supreme Court has repeatedly held, “Any system of prior restraints of expression comes to this Court bearing a heavy presumption against its constitutional validity.” </w:t>
      </w:r>
      <w:r w:rsidR="0011586C" w:rsidRPr="0011586C">
        <w:rPr>
          <w:i/>
        </w:rPr>
        <w:t>Bantam Books v. Sullivan</w:t>
      </w:r>
      <w:r w:rsidR="0011586C" w:rsidRPr="0011586C">
        <w:t xml:space="preserve">, 372 U.S. 58, 70 (1963); </w:t>
      </w:r>
      <w:r w:rsidR="0011586C" w:rsidRPr="0011586C">
        <w:rPr>
          <w:i/>
        </w:rPr>
        <w:t xml:space="preserve">see also New York Times Co. v. </w:t>
      </w:r>
      <w:r w:rsidR="007C0BB7">
        <w:rPr>
          <w:i/>
        </w:rPr>
        <w:t>United States</w:t>
      </w:r>
      <w:r w:rsidR="0011586C" w:rsidRPr="0011586C">
        <w:t xml:space="preserve">, 403 U.S. 713, 714 (1971); </w:t>
      </w:r>
      <w:r w:rsidR="0011586C" w:rsidRPr="0011586C">
        <w:rPr>
          <w:i/>
        </w:rPr>
        <w:t>Carroll v. Princess Anne</w:t>
      </w:r>
      <w:r w:rsidR="0011586C" w:rsidRPr="0011586C">
        <w:t xml:space="preserve">, 393 U.S. 175, 181 (1968). State actions that deter free association must be justified by a “compelling” state interest. </w:t>
      </w:r>
      <w:r w:rsidR="0011586C" w:rsidRPr="0011586C">
        <w:rPr>
          <w:i/>
        </w:rPr>
        <w:t>NAACP v. Alabama</w:t>
      </w:r>
      <w:r w:rsidR="0011586C" w:rsidRPr="0011586C">
        <w:t xml:space="preserve">, 357 U.S. 449, 460-61 (1958). </w:t>
      </w:r>
    </w:p>
    <w:p w14:paraId="450CC221" w14:textId="6FF8B7A6" w:rsidR="004D3005" w:rsidRDefault="00944C3C" w:rsidP="00D94988">
      <w:pPr>
        <w:spacing w:line="480" w:lineRule="auto"/>
        <w:ind w:firstLine="720"/>
        <w:jc w:val="both"/>
      </w:pPr>
      <w:r>
        <w:t>Article 2, section 6 of the</w:t>
      </w:r>
      <w:r w:rsidR="00DD59E4">
        <w:t xml:space="preserve"> Arizona Constitution</w:t>
      </w:r>
      <w:r>
        <w:t xml:space="preserve"> provides </w:t>
      </w:r>
      <w:r w:rsidR="00DD59E4">
        <w:t>even more rigorous</w:t>
      </w:r>
      <w:r>
        <w:t xml:space="preserve"> protection</w:t>
      </w:r>
      <w:r w:rsidR="00DD59E4">
        <w:t xml:space="preserve"> than the </w:t>
      </w:r>
      <w:r>
        <w:t>First Amendment.</w:t>
      </w:r>
      <w:r w:rsidR="00DD59E4">
        <w:t xml:space="preserve"> </w:t>
      </w:r>
      <w:r w:rsidR="00DD59E4" w:rsidRPr="00D94988">
        <w:rPr>
          <w:i/>
        </w:rPr>
        <w:t>Coleman v. City of Mesa</w:t>
      </w:r>
      <w:r w:rsidR="00EE6669">
        <w:t>,</w:t>
      </w:r>
      <w:r w:rsidR="00DD59E4" w:rsidRPr="00DD59E4">
        <w:t xml:space="preserve"> 230 Ariz. 352</w:t>
      </w:r>
      <w:r w:rsidR="00EE6669">
        <w:t xml:space="preserve"> </w:t>
      </w:r>
      <w:r w:rsidR="00EE6669" w:rsidRPr="00DD59E4">
        <w:t>(2012)</w:t>
      </w:r>
      <w:r>
        <w:t xml:space="preserve">. It requires that people may only be punished for exercising free speech upon “abuse of that right.” </w:t>
      </w:r>
      <w:r w:rsidRPr="00944C3C">
        <w:rPr>
          <w:i/>
        </w:rPr>
        <w:t xml:space="preserve">Brush &amp; Nib </w:t>
      </w:r>
      <w:r>
        <w:rPr>
          <w:i/>
        </w:rPr>
        <w:t xml:space="preserve">Studio, LC </w:t>
      </w:r>
      <w:r w:rsidRPr="00944C3C">
        <w:rPr>
          <w:i/>
        </w:rPr>
        <w:t>v. City of Phoenix</w:t>
      </w:r>
      <w:r>
        <w:t>, 247 Ariz. 269</w:t>
      </w:r>
      <w:r w:rsidR="00BA07AF">
        <w:t>, 281-82 ¶¶ 45-46</w:t>
      </w:r>
      <w:r>
        <w:t xml:space="preserve"> (2019).</w:t>
      </w:r>
      <w:r w:rsidR="00D94988">
        <w:t xml:space="preserve"> </w:t>
      </w:r>
      <w:r w:rsidR="00BA07AF">
        <w:t>The language of this right is “majestic in its sweep,” and “</w:t>
      </w:r>
      <w:r w:rsidR="00BA07AF" w:rsidRPr="00BA07AF">
        <w:t>is a categorical guarantee of the individual right to freely speak, write, and publish, subject only to constraint for the abuse of that right</w:t>
      </w:r>
      <w:r w:rsidR="00BA07AF">
        <w:t xml:space="preserve">.” </w:t>
      </w:r>
      <w:r w:rsidR="00BA07AF" w:rsidRPr="00BA07AF">
        <w:rPr>
          <w:i/>
        </w:rPr>
        <w:t>Id</w:t>
      </w:r>
      <w:r w:rsidR="00BA07AF">
        <w:t xml:space="preserve">. at 306 ¶ 169, 307 ¶ 174 (Bolick, J., concurring). </w:t>
      </w:r>
      <w:r w:rsidR="00DD59E4">
        <w:t>Any prior restraint on free speech is “heavily” p</w:t>
      </w:r>
      <w:r>
        <w:t>resumed to be unconstitutional.</w:t>
      </w:r>
      <w:r w:rsidR="00DD59E4">
        <w:t xml:space="preserve"> </w:t>
      </w:r>
      <w:r w:rsidR="00DD59E4">
        <w:rPr>
          <w:i/>
        </w:rPr>
        <w:t xml:space="preserve">See </w:t>
      </w:r>
      <w:r w:rsidR="00DD59E4" w:rsidRPr="00DD59E4">
        <w:rPr>
          <w:i/>
        </w:rPr>
        <w:t>State v. Book-Cellar, Inc.</w:t>
      </w:r>
      <w:r w:rsidR="00EE6669">
        <w:t>,</w:t>
      </w:r>
      <w:r w:rsidR="00DD59E4" w:rsidRPr="00DD59E4">
        <w:t xml:space="preserve"> </w:t>
      </w:r>
      <w:r w:rsidR="00DD59E4">
        <w:t>139 Ariz. 525</w:t>
      </w:r>
      <w:r w:rsidR="00DD59E4" w:rsidRPr="00DD59E4">
        <w:t xml:space="preserve"> (App. 1984</w:t>
      </w:r>
      <w:r w:rsidR="00FF28D2">
        <w:t>)</w:t>
      </w:r>
      <w:r w:rsidR="00DD59E4">
        <w:t>.</w:t>
      </w:r>
      <w:r>
        <w:t xml:space="preserve"> </w:t>
      </w:r>
      <w:r w:rsidR="00DD59E4">
        <w:t>T</w:t>
      </w:r>
      <w:r w:rsidR="00E0202A" w:rsidRPr="00E0202A">
        <w:t xml:space="preserve">he </w:t>
      </w:r>
      <w:r w:rsidR="00E0202A" w:rsidRPr="00E0202A">
        <w:lastRenderedPageBreak/>
        <w:t>proposed rule would c</w:t>
      </w:r>
      <w:r w:rsidR="00575883">
        <w:t>reate a unique class of persons</w:t>
      </w:r>
      <w:r>
        <w:t>—</w:t>
      </w:r>
      <w:r w:rsidR="00575883">
        <w:t>parties to a case</w:t>
      </w:r>
      <w:r>
        <w:t>—</w:t>
      </w:r>
      <w:r w:rsidR="00E0202A" w:rsidRPr="00E0202A">
        <w:t>who are n</w:t>
      </w:r>
      <w:r>
        <w:t>ot permitted to talk to jurors.</w:t>
      </w:r>
      <w:r w:rsidR="00E0202A" w:rsidRPr="00E0202A">
        <w:t xml:space="preserve"> </w:t>
      </w:r>
      <w:r w:rsidR="00575883">
        <w:t>Meanwhile, m</w:t>
      </w:r>
      <w:r w:rsidR="00D94988">
        <w:t>embers of academia and the media</w:t>
      </w:r>
      <w:r w:rsidR="00BA07AF">
        <w:t xml:space="preserve"> who</w:t>
      </w:r>
      <w:r w:rsidR="00D94988">
        <w:t xml:space="preserve"> have an interest in interviewing jur</w:t>
      </w:r>
      <w:r>
        <w:t>ors are</w:t>
      </w:r>
      <w:r w:rsidR="00BA07AF">
        <w:t xml:space="preserve"> freely</w:t>
      </w:r>
      <w:r>
        <w:t xml:space="preserve"> permitted to do so.</w:t>
      </w:r>
      <w:r w:rsidR="00D94988">
        <w:t xml:space="preserve"> To prevent </w:t>
      </w:r>
      <w:r w:rsidR="00575883">
        <w:t>defense</w:t>
      </w:r>
      <w:r w:rsidR="00D94988">
        <w:t xml:space="preserve"> counsel from doing so does not even meet a rational</w:t>
      </w:r>
      <w:r w:rsidR="002E5573">
        <w:t>-</w:t>
      </w:r>
      <w:r w:rsidR="00D94988">
        <w:t xml:space="preserve">basis </w:t>
      </w:r>
      <w:r w:rsidR="002E5573">
        <w:t>standard</w:t>
      </w:r>
      <w:r w:rsidR="00BA07AF">
        <w:t>, much less strict scrutiny</w:t>
      </w:r>
      <w:r w:rsidR="00D94988">
        <w:t>.</w:t>
      </w:r>
    </w:p>
    <w:p w14:paraId="1580375E" w14:textId="789A59DF" w:rsidR="00785721" w:rsidRDefault="0008321E" w:rsidP="007F091F">
      <w:pPr>
        <w:spacing w:line="480" w:lineRule="auto"/>
        <w:jc w:val="both"/>
      </w:pPr>
      <w:r>
        <w:tab/>
      </w:r>
      <w:r w:rsidR="00785721" w:rsidRPr="001F087D">
        <w:t>Any journalist, blogger</w:t>
      </w:r>
      <w:r w:rsidR="002E5573">
        <w:t>,</w:t>
      </w:r>
      <w:r w:rsidR="00785721" w:rsidRPr="001F087D">
        <w:t xml:space="preserve"> or mere curiosity</w:t>
      </w:r>
      <w:r w:rsidR="002E5573">
        <w:t>-</w:t>
      </w:r>
      <w:r w:rsidR="00785721" w:rsidRPr="001F087D">
        <w:t xml:space="preserve">seeker can contact any former juror at will without fear of sanction. Only post-conviction lawyers, officers of this Court and charged with investigating “every claim” for relief under the Constitution and Rule 32, need fear. They alone </w:t>
      </w:r>
      <w:r w:rsidR="002E5573">
        <w:t>would be</w:t>
      </w:r>
      <w:r w:rsidR="002E5573" w:rsidRPr="001F087D">
        <w:t xml:space="preserve"> </w:t>
      </w:r>
      <w:r w:rsidR="00785721" w:rsidRPr="001F087D">
        <w:t xml:space="preserve">enjoined from discharging their duties to their clients. </w:t>
      </w:r>
      <w:r w:rsidR="00CE1CDE">
        <w:t>MCAO’s proposal</w:t>
      </w:r>
      <w:r w:rsidR="00785721" w:rsidRPr="001F087D">
        <w:t xml:space="preserve"> cannot co-exist in the same universe with R</w:t>
      </w:r>
      <w:r w:rsidR="002E5573">
        <w:t>ules</w:t>
      </w:r>
      <w:r w:rsidR="00785721" w:rsidRPr="001F087D">
        <w:t xml:space="preserve"> 6.8 and 32, </w:t>
      </w:r>
      <w:r w:rsidR="002E5573">
        <w:t xml:space="preserve">the ethical rules governing </w:t>
      </w:r>
      <w:r w:rsidR="00C47D87">
        <w:t>lawyers</w:t>
      </w:r>
      <w:r w:rsidR="002E5573">
        <w:t xml:space="preserve">, </w:t>
      </w:r>
      <w:r w:rsidR="00785721" w:rsidRPr="001F087D">
        <w:t>and the First and Sixth Amendments.</w:t>
      </w:r>
      <w:r w:rsidR="00785721">
        <w:t xml:space="preserve"> </w:t>
      </w:r>
    </w:p>
    <w:p w14:paraId="724282CD" w14:textId="7ED6664B" w:rsidR="00277D78" w:rsidRPr="00277D78" w:rsidRDefault="00277D78" w:rsidP="004C743C">
      <w:pPr>
        <w:pStyle w:val="ListParagraph"/>
        <w:numPr>
          <w:ilvl w:val="0"/>
          <w:numId w:val="3"/>
        </w:numPr>
        <w:spacing w:line="480" w:lineRule="auto"/>
        <w:jc w:val="both"/>
        <w:rPr>
          <w:b/>
        </w:rPr>
      </w:pPr>
      <w:r>
        <w:rPr>
          <w:b/>
          <w:u w:val="single"/>
        </w:rPr>
        <w:t>Conclusion</w:t>
      </w:r>
    </w:p>
    <w:p w14:paraId="1F74D6BF" w14:textId="6F0C76C4" w:rsidR="00277D78" w:rsidRDefault="00343018" w:rsidP="00343018">
      <w:pPr>
        <w:pStyle w:val="ListParagraph"/>
        <w:spacing w:line="480" w:lineRule="auto"/>
        <w:ind w:left="0"/>
        <w:jc w:val="both"/>
      </w:pPr>
      <w:r>
        <w:tab/>
      </w:r>
      <w:r w:rsidR="007C0BB7">
        <w:t>Not everyone likes</w:t>
      </w:r>
      <w:r>
        <w:t xml:space="preserve"> being summoned from their daily routines to decide the liberty or life of another</w:t>
      </w:r>
      <w:r w:rsidR="007C0BB7">
        <w:t xml:space="preserve">, and </w:t>
      </w:r>
      <w:r>
        <w:t xml:space="preserve">some jurors </w:t>
      </w:r>
      <w:r w:rsidR="007C0BB7">
        <w:t xml:space="preserve">are </w:t>
      </w:r>
      <w:r>
        <w:t>annoyed when a defense lawyer or investigator appears at their door and asks to speak with them about their case</w:t>
      </w:r>
      <w:r w:rsidR="007C0BB7">
        <w:t>.</w:t>
      </w:r>
      <w:r>
        <w:t xml:space="preserve"> But </w:t>
      </w:r>
      <w:r w:rsidR="00B4131A">
        <w:t>our state and federal constitutions create a system that imposes these small burdens on the many to protect the fundamental rights of the few who</w:t>
      </w:r>
      <w:r w:rsidR="00665F45">
        <w:t>,</w:t>
      </w:r>
      <w:r w:rsidR="00B4131A">
        <w:t xml:space="preserve"> rightly or wrongly</w:t>
      </w:r>
      <w:r w:rsidR="00665F45">
        <w:t>, are</w:t>
      </w:r>
      <w:r w:rsidR="00B4131A">
        <w:t xml:space="preserve"> targeted by government.</w:t>
      </w:r>
    </w:p>
    <w:p w14:paraId="7AE2C178" w14:textId="7FC49DAD" w:rsidR="00B4131A" w:rsidRPr="00343018" w:rsidRDefault="00B4131A" w:rsidP="00343018">
      <w:pPr>
        <w:pStyle w:val="ListParagraph"/>
        <w:spacing w:line="480" w:lineRule="auto"/>
        <w:ind w:left="0"/>
        <w:jc w:val="both"/>
      </w:pPr>
      <w:r>
        <w:tab/>
        <w:t xml:space="preserve">It </w:t>
      </w:r>
      <w:r w:rsidR="007C0BB7">
        <w:t>thwarts</w:t>
      </w:r>
      <w:r>
        <w:t xml:space="preserve"> the interests of justice to suggest to jurors at their discharge that they have the right to avoid a minor disturbance days or years in the future</w:t>
      </w:r>
      <w:r w:rsidR="00BA07AF">
        <w:t>.</w:t>
      </w:r>
      <w:r w:rsidR="000D1929">
        <w:t xml:space="preserve"> If justice </w:t>
      </w:r>
      <w:r w:rsidR="000D1929">
        <w:lastRenderedPageBreak/>
        <w:t>is to be served, judges should</w:t>
      </w:r>
      <w:r w:rsidR="007C0BB7">
        <w:t>, if anything,</w:t>
      </w:r>
      <w:r w:rsidR="000D1929">
        <w:t xml:space="preserve"> encourage jurors to answer questions about their service that may be posed by lawye</w:t>
      </w:r>
      <w:r w:rsidR="00BA07AF">
        <w:t>rs, investigators or academics.</w:t>
      </w:r>
      <w:r w:rsidR="000D1929">
        <w:t xml:space="preserve"> Justice flourishes in the light of day, not in darkness. </w:t>
      </w:r>
      <w:r w:rsidR="007C0BB7">
        <w:t>The current advice provided by trial judges, however, is sufficient; jurors are advised that they may choose to speak with anyone they want, or not.</w:t>
      </w:r>
    </w:p>
    <w:p w14:paraId="72D8E0A5" w14:textId="7AC15D6C" w:rsidR="00DC38DE" w:rsidRDefault="00DC38DE" w:rsidP="00785721">
      <w:pPr>
        <w:spacing w:line="480" w:lineRule="auto"/>
        <w:ind w:firstLine="720"/>
        <w:jc w:val="both"/>
      </w:pPr>
      <w:r>
        <w:t xml:space="preserve">For </w:t>
      </w:r>
      <w:r w:rsidR="005057CD">
        <w:t>the</w:t>
      </w:r>
      <w:r>
        <w:t xml:space="preserve"> reasons</w:t>
      </w:r>
      <w:r w:rsidR="005057CD">
        <w:t xml:space="preserve"> set forth above</w:t>
      </w:r>
      <w:r>
        <w:t>, AACJ</w:t>
      </w:r>
      <w:r w:rsidR="00CE1CDE">
        <w:t>,</w:t>
      </w:r>
      <w:r w:rsidR="0011586C">
        <w:t xml:space="preserve"> ACRP</w:t>
      </w:r>
      <w:r>
        <w:t xml:space="preserve"> </w:t>
      </w:r>
      <w:r w:rsidR="00CE1CDE">
        <w:t xml:space="preserve">and MCPD </w:t>
      </w:r>
      <w:r>
        <w:t>respectfully request this Court</w:t>
      </w:r>
      <w:r w:rsidR="00BA07AF">
        <w:t>, once again, to</w:t>
      </w:r>
      <w:r>
        <w:t xml:space="preserve"> </w:t>
      </w:r>
      <w:r w:rsidR="00042C2E">
        <w:t>deny</w:t>
      </w:r>
      <w:r w:rsidR="00FE0479">
        <w:t xml:space="preserve"> </w:t>
      </w:r>
      <w:r w:rsidR="00CE1CDE">
        <w:t xml:space="preserve">MCAO’s </w:t>
      </w:r>
      <w:r w:rsidR="00B4131A">
        <w:t>petition.</w:t>
      </w:r>
    </w:p>
    <w:p w14:paraId="796FC19B" w14:textId="20C6C392" w:rsidR="00DC38DE" w:rsidRPr="0014499B" w:rsidRDefault="00DC38DE" w:rsidP="007F091F">
      <w:pPr>
        <w:spacing w:line="480" w:lineRule="auto"/>
        <w:ind w:left="720" w:firstLine="720"/>
        <w:jc w:val="both"/>
      </w:pPr>
      <w:r w:rsidRPr="0014499B">
        <w:t xml:space="preserve">DATED:  </w:t>
      </w:r>
      <w:r w:rsidR="00BA07AF">
        <w:t>May 1</w:t>
      </w:r>
      <w:r w:rsidR="0004248C">
        <w:t>, 2020.</w:t>
      </w:r>
      <w:bookmarkStart w:id="2" w:name="_GoBack"/>
      <w:bookmarkEnd w:id="2"/>
    </w:p>
    <w:p w14:paraId="757E966A" w14:textId="77777777" w:rsidR="00F83BF1" w:rsidRPr="00342232" w:rsidRDefault="00F83BF1" w:rsidP="00F83BF1">
      <w:pPr>
        <w:spacing w:line="240" w:lineRule="auto"/>
      </w:pPr>
    </w:p>
    <w:p w14:paraId="65D75C93" w14:textId="77777777" w:rsidR="00F83BF1" w:rsidRPr="00342232" w:rsidRDefault="00F83BF1" w:rsidP="00DC38DE">
      <w:pPr>
        <w:spacing w:line="240" w:lineRule="auto"/>
      </w:pPr>
    </w:p>
    <w:p w14:paraId="120764C6" w14:textId="77777777" w:rsidR="0011586C" w:rsidRDefault="0011586C" w:rsidP="00DC38DE">
      <w:pPr>
        <w:spacing w:line="240" w:lineRule="auto"/>
      </w:pPr>
      <w:r>
        <w:t>ARIZONA CAPITAL REPRESENTATION PROJECT</w:t>
      </w:r>
    </w:p>
    <w:p w14:paraId="40B1AC96" w14:textId="77777777" w:rsidR="0011586C" w:rsidRDefault="0011586C" w:rsidP="00DC38DE">
      <w:pPr>
        <w:spacing w:line="240" w:lineRule="auto"/>
      </w:pPr>
    </w:p>
    <w:p w14:paraId="7B36DA38" w14:textId="77777777" w:rsidR="0011586C" w:rsidRDefault="0011586C" w:rsidP="00DC38DE">
      <w:pPr>
        <w:spacing w:line="240" w:lineRule="auto"/>
      </w:pPr>
    </w:p>
    <w:p w14:paraId="025E8D7C" w14:textId="77777777" w:rsidR="0011586C" w:rsidRDefault="0011586C" w:rsidP="00DC38DE">
      <w:pPr>
        <w:spacing w:line="240" w:lineRule="auto"/>
      </w:pPr>
    </w:p>
    <w:p w14:paraId="00667A55" w14:textId="04130CE8" w:rsidR="0011586C" w:rsidRPr="00342232" w:rsidRDefault="0011586C" w:rsidP="0011586C">
      <w:pPr>
        <w:spacing w:line="240" w:lineRule="auto"/>
      </w:pPr>
      <w:r w:rsidRPr="00342232">
        <w:t xml:space="preserve">By </w:t>
      </w:r>
      <w:r w:rsidRPr="00342232">
        <w:rPr>
          <w:u w:val="single"/>
        </w:rPr>
        <w:tab/>
        <w:t>/s/</w:t>
      </w:r>
      <w:r w:rsidR="00BA07AF">
        <w:rPr>
          <w:i/>
          <w:u w:val="single"/>
        </w:rPr>
        <w:t xml:space="preserve"> David J. Euchner, for</w:t>
      </w:r>
      <w:r w:rsidRPr="00342232">
        <w:rPr>
          <w:u w:val="single"/>
        </w:rPr>
        <w:tab/>
      </w:r>
      <w:r w:rsidRPr="00342232">
        <w:rPr>
          <w:u w:val="single"/>
        </w:rPr>
        <w:tab/>
      </w:r>
      <w:r w:rsidRPr="00342232">
        <w:t xml:space="preserve"> </w:t>
      </w:r>
      <w:r w:rsidRPr="00342232">
        <w:tab/>
      </w:r>
    </w:p>
    <w:p w14:paraId="766FCFC4" w14:textId="77777777" w:rsidR="0011586C" w:rsidRDefault="0011586C" w:rsidP="00DC38DE">
      <w:pPr>
        <w:spacing w:line="240" w:lineRule="auto"/>
      </w:pPr>
      <w:r>
        <w:tab/>
        <w:t>Natman Schaye</w:t>
      </w:r>
    </w:p>
    <w:p w14:paraId="3A828E94" w14:textId="359CBC29" w:rsidR="0011586C" w:rsidRDefault="0011586C" w:rsidP="00DC38DE">
      <w:pPr>
        <w:spacing w:line="240" w:lineRule="auto"/>
      </w:pPr>
    </w:p>
    <w:p w14:paraId="525821C5" w14:textId="7ADE9B85" w:rsidR="00980626" w:rsidRPr="00F252E5" w:rsidRDefault="00980626" w:rsidP="00980626">
      <w:pPr>
        <w:spacing w:line="240" w:lineRule="auto"/>
      </w:pPr>
      <w:r w:rsidRPr="00F252E5">
        <w:t>MARICOPA COUNTY OFFICE OF THE PUBLIC DEFENDER</w:t>
      </w:r>
    </w:p>
    <w:p w14:paraId="1A145211" w14:textId="77777777" w:rsidR="00980626" w:rsidRPr="00F252E5" w:rsidRDefault="00980626" w:rsidP="00980626">
      <w:pPr>
        <w:spacing w:line="240" w:lineRule="auto"/>
      </w:pPr>
    </w:p>
    <w:p w14:paraId="189D254E" w14:textId="77777777" w:rsidR="00980626" w:rsidRPr="00F252E5" w:rsidRDefault="00980626" w:rsidP="00980626">
      <w:pPr>
        <w:spacing w:line="240" w:lineRule="auto"/>
      </w:pPr>
    </w:p>
    <w:p w14:paraId="60374793" w14:textId="77777777" w:rsidR="00BA07AF" w:rsidRPr="00342232" w:rsidRDefault="00BA07AF" w:rsidP="00BA07AF">
      <w:pPr>
        <w:spacing w:line="240" w:lineRule="auto"/>
      </w:pPr>
      <w:r w:rsidRPr="00342232">
        <w:t xml:space="preserve">By </w:t>
      </w:r>
      <w:r w:rsidRPr="00342232">
        <w:rPr>
          <w:u w:val="single"/>
        </w:rPr>
        <w:tab/>
        <w:t>/s/</w:t>
      </w:r>
      <w:r>
        <w:rPr>
          <w:i/>
          <w:u w:val="single"/>
        </w:rPr>
        <w:t xml:space="preserve"> David J. Euchner, for</w:t>
      </w:r>
      <w:r w:rsidRPr="00342232">
        <w:rPr>
          <w:u w:val="single"/>
        </w:rPr>
        <w:tab/>
      </w:r>
      <w:r w:rsidRPr="00342232">
        <w:rPr>
          <w:u w:val="single"/>
        </w:rPr>
        <w:tab/>
      </w:r>
      <w:r w:rsidRPr="00342232">
        <w:t xml:space="preserve"> </w:t>
      </w:r>
      <w:r w:rsidRPr="00342232">
        <w:tab/>
      </w:r>
    </w:p>
    <w:p w14:paraId="03590DA7" w14:textId="45D55ECE" w:rsidR="00980626" w:rsidRPr="00F252E5" w:rsidRDefault="00980626" w:rsidP="00980626">
      <w:pPr>
        <w:spacing w:line="240" w:lineRule="auto"/>
      </w:pPr>
      <w:r w:rsidRPr="00F252E5">
        <w:tab/>
        <w:t>John Canby</w:t>
      </w:r>
    </w:p>
    <w:p w14:paraId="0A6D7EB0" w14:textId="77777777" w:rsidR="00980626" w:rsidRPr="00FF5E32" w:rsidRDefault="00980626" w:rsidP="00980626">
      <w:pPr>
        <w:spacing w:line="240" w:lineRule="auto"/>
        <w:rPr>
          <w:color w:val="FF0000"/>
        </w:rPr>
      </w:pPr>
    </w:p>
    <w:p w14:paraId="1853872A" w14:textId="77777777" w:rsidR="007C0BB7" w:rsidRPr="00342232" w:rsidRDefault="007C0BB7" w:rsidP="007C0BB7">
      <w:pPr>
        <w:spacing w:line="240" w:lineRule="auto"/>
      </w:pPr>
      <w:r w:rsidRPr="00342232">
        <w:t>ARIZONA ATTORNEYS FOR CRIMINAL JUSTICE</w:t>
      </w:r>
    </w:p>
    <w:p w14:paraId="57750B88" w14:textId="77777777" w:rsidR="007C0BB7" w:rsidRPr="00342232" w:rsidRDefault="007C0BB7" w:rsidP="007C0BB7">
      <w:pPr>
        <w:spacing w:line="240" w:lineRule="auto"/>
      </w:pPr>
    </w:p>
    <w:p w14:paraId="40483FDD" w14:textId="77777777" w:rsidR="007C0BB7" w:rsidRPr="00342232" w:rsidRDefault="007C0BB7" w:rsidP="007C0BB7">
      <w:pPr>
        <w:spacing w:line="240" w:lineRule="auto"/>
      </w:pPr>
    </w:p>
    <w:p w14:paraId="2EC6EADC" w14:textId="595CCF59" w:rsidR="007C0BB7" w:rsidRPr="00342232" w:rsidRDefault="007C0BB7" w:rsidP="007C0BB7">
      <w:pPr>
        <w:spacing w:line="240" w:lineRule="auto"/>
      </w:pPr>
      <w:r w:rsidRPr="00342232">
        <w:t xml:space="preserve">By </w:t>
      </w:r>
      <w:r w:rsidRPr="00342232">
        <w:rPr>
          <w:u w:val="single"/>
        </w:rPr>
        <w:tab/>
        <w:t>/s/</w:t>
      </w:r>
      <w:r w:rsidR="00F252E5">
        <w:rPr>
          <w:i/>
          <w:u w:val="single"/>
        </w:rPr>
        <w:t>David J. Euchner</w:t>
      </w:r>
      <w:r w:rsidRPr="00342232">
        <w:rPr>
          <w:u w:val="single"/>
        </w:rPr>
        <w:tab/>
      </w:r>
      <w:r w:rsidRPr="00342232">
        <w:rPr>
          <w:u w:val="single"/>
        </w:rPr>
        <w:tab/>
      </w:r>
      <w:r w:rsidRPr="00342232">
        <w:rPr>
          <w:u w:val="single"/>
        </w:rPr>
        <w:tab/>
      </w:r>
      <w:r w:rsidRPr="00342232">
        <w:rPr>
          <w:u w:val="single"/>
        </w:rPr>
        <w:tab/>
      </w:r>
      <w:r w:rsidRPr="00342232">
        <w:rPr>
          <w:u w:val="single"/>
        </w:rPr>
        <w:tab/>
      </w:r>
      <w:r w:rsidRPr="00342232">
        <w:t xml:space="preserve"> </w:t>
      </w:r>
      <w:r w:rsidRPr="00342232">
        <w:tab/>
      </w:r>
    </w:p>
    <w:p w14:paraId="202CD124" w14:textId="2B77FF18" w:rsidR="007C0BB7" w:rsidRPr="00342232" w:rsidRDefault="007C0BB7" w:rsidP="007C0BB7">
      <w:pPr>
        <w:spacing w:line="240" w:lineRule="auto"/>
        <w:ind w:firstLine="720"/>
      </w:pPr>
      <w:r>
        <w:t>David J. Euchner</w:t>
      </w:r>
    </w:p>
    <w:p w14:paraId="72601609" w14:textId="77777777" w:rsidR="007C0BB7" w:rsidRPr="00342232" w:rsidRDefault="007C0BB7" w:rsidP="007C0BB7">
      <w:pPr>
        <w:spacing w:line="240" w:lineRule="auto"/>
      </w:pPr>
    </w:p>
    <w:p w14:paraId="58EB2EA2" w14:textId="5168F077" w:rsidR="00CE1CDE" w:rsidRDefault="00CE1CDE" w:rsidP="00DC38DE">
      <w:pPr>
        <w:spacing w:line="240" w:lineRule="auto"/>
      </w:pPr>
    </w:p>
    <w:p w14:paraId="41DDE97C" w14:textId="77777777" w:rsidR="00CE1CDE" w:rsidRDefault="00CE1CDE" w:rsidP="00DC38DE">
      <w:pPr>
        <w:spacing w:line="240" w:lineRule="auto"/>
      </w:pPr>
    </w:p>
    <w:p w14:paraId="0753BF69" w14:textId="77777777" w:rsidR="00665F45" w:rsidRDefault="00665F45">
      <w:pPr>
        <w:spacing w:line="240" w:lineRule="auto"/>
      </w:pPr>
      <w:r>
        <w:br w:type="page"/>
      </w:r>
    </w:p>
    <w:p w14:paraId="3DA4A180" w14:textId="7C48939C" w:rsidR="00DC38DE" w:rsidRPr="00342232" w:rsidRDefault="00DC38DE" w:rsidP="00DC38DE">
      <w:pPr>
        <w:spacing w:line="240" w:lineRule="auto"/>
      </w:pPr>
      <w:r w:rsidRPr="00342232">
        <w:lastRenderedPageBreak/>
        <w:t>This comment e-filed this date with:</w:t>
      </w:r>
    </w:p>
    <w:p w14:paraId="6FD48E41" w14:textId="77777777" w:rsidR="00DC38DE" w:rsidRPr="00342232" w:rsidRDefault="00DC38DE" w:rsidP="00DC38DE">
      <w:pPr>
        <w:spacing w:line="240" w:lineRule="auto"/>
      </w:pPr>
    </w:p>
    <w:p w14:paraId="48623CE3" w14:textId="77777777" w:rsidR="00DC38DE" w:rsidRPr="00342232" w:rsidRDefault="00DC38DE" w:rsidP="00DC38DE">
      <w:pPr>
        <w:spacing w:line="240" w:lineRule="auto"/>
      </w:pPr>
      <w:r w:rsidRPr="00342232">
        <w:t xml:space="preserve">Supreme Court of </w:t>
      </w:r>
      <w:smartTag w:uri="urn:schemas-microsoft-com:office:smarttags" w:element="place">
        <w:smartTag w:uri="urn:schemas-microsoft-com:office:smarttags" w:element="State">
          <w:r w:rsidRPr="00342232">
            <w:t>Arizona</w:t>
          </w:r>
        </w:smartTag>
      </w:smartTag>
    </w:p>
    <w:p w14:paraId="7BC6B23E" w14:textId="77777777" w:rsidR="00DC38DE" w:rsidRPr="00342232" w:rsidRDefault="00DC38DE" w:rsidP="00DC38DE">
      <w:pPr>
        <w:spacing w:line="240" w:lineRule="auto"/>
      </w:pPr>
      <w:r w:rsidRPr="00342232">
        <w:t xml:space="preserve">1501 </w:t>
      </w:r>
      <w:smartTag w:uri="urn:schemas-microsoft-com:office:smarttags" w:element="place">
        <w:r w:rsidRPr="00342232">
          <w:t>West Jefferson</w:t>
        </w:r>
      </w:smartTag>
    </w:p>
    <w:p w14:paraId="10B0F64D" w14:textId="77777777" w:rsidR="00DC38DE" w:rsidRPr="00342232" w:rsidRDefault="00DC38DE" w:rsidP="00DC38DE">
      <w:pPr>
        <w:spacing w:line="240" w:lineRule="auto"/>
      </w:pPr>
      <w:smartTag w:uri="urn:schemas-microsoft-com:office:smarttags" w:element="place">
        <w:smartTag w:uri="urn:schemas-microsoft-com:office:smarttags" w:element="City">
          <w:r w:rsidRPr="00342232">
            <w:t>Phoenix</w:t>
          </w:r>
        </w:smartTag>
        <w:r w:rsidRPr="00342232">
          <w:t xml:space="preserve">, </w:t>
        </w:r>
        <w:smartTag w:uri="urn:schemas-microsoft-com:office:smarttags" w:element="State">
          <w:r w:rsidRPr="00342232">
            <w:t>AZ</w:t>
          </w:r>
        </w:smartTag>
        <w:r w:rsidRPr="00342232">
          <w:t xml:space="preserve"> </w:t>
        </w:r>
        <w:smartTag w:uri="urn:schemas-microsoft-com:office:smarttags" w:element="PostalCode">
          <w:r w:rsidRPr="00342232">
            <w:t>85007-3329</w:t>
          </w:r>
        </w:smartTag>
      </w:smartTag>
    </w:p>
    <w:p w14:paraId="6FE5B286" w14:textId="3EB419C5" w:rsidR="00DC38DE" w:rsidRDefault="00DC38DE" w:rsidP="00DC38DE">
      <w:pPr>
        <w:spacing w:line="240" w:lineRule="auto"/>
      </w:pPr>
    </w:p>
    <w:p w14:paraId="66FFBF4E" w14:textId="77777777" w:rsidR="00665F45" w:rsidRPr="0014499B" w:rsidRDefault="00665F45" w:rsidP="00665F45">
      <w:pPr>
        <w:spacing w:line="240" w:lineRule="auto"/>
      </w:pPr>
      <w:r w:rsidRPr="0014499B">
        <w:t>Cop</w:t>
      </w:r>
      <w:r>
        <w:t>y</w:t>
      </w:r>
      <w:r w:rsidRPr="0014499B">
        <w:t xml:space="preserve"> of this Comment</w:t>
      </w:r>
    </w:p>
    <w:p w14:paraId="7C5B12C9" w14:textId="77777777" w:rsidR="00665F45" w:rsidRPr="0014499B" w:rsidRDefault="00665F45" w:rsidP="00665F45">
      <w:pPr>
        <w:spacing w:line="240" w:lineRule="auto"/>
      </w:pPr>
      <w:r>
        <w:t>Electronically mailed</w:t>
      </w:r>
      <w:r w:rsidRPr="0014499B">
        <w:t xml:space="preserve"> this </w:t>
      </w:r>
      <w:r w:rsidRPr="000A06FE">
        <w:t>date</w:t>
      </w:r>
      <w:r w:rsidRPr="0014499B">
        <w:t xml:space="preserve"> to:</w:t>
      </w:r>
    </w:p>
    <w:p w14:paraId="4CECA819" w14:textId="77777777" w:rsidR="00665F45" w:rsidRPr="0014499B" w:rsidRDefault="00665F45" w:rsidP="00665F45">
      <w:pPr>
        <w:spacing w:line="240" w:lineRule="auto"/>
      </w:pPr>
    </w:p>
    <w:p w14:paraId="1E4D674C" w14:textId="779D98BC" w:rsidR="00665F45" w:rsidRDefault="00665F45" w:rsidP="00DC38DE">
      <w:pPr>
        <w:spacing w:line="240" w:lineRule="auto"/>
      </w:pPr>
      <w:r>
        <w:t>Kenneth N. Vick</w:t>
      </w:r>
    </w:p>
    <w:p w14:paraId="41026841" w14:textId="5CE2AFCD" w:rsidR="00665F45" w:rsidRDefault="00665F45" w:rsidP="00DC38DE">
      <w:pPr>
        <w:spacing w:line="240" w:lineRule="auto"/>
      </w:pPr>
      <w:r>
        <w:t>Chief Deputy Maricopa County Attorney</w:t>
      </w:r>
    </w:p>
    <w:p w14:paraId="60BB9DCB" w14:textId="3CE357EC" w:rsidR="00665F45" w:rsidRPr="00342232" w:rsidRDefault="00025086" w:rsidP="00DC38DE">
      <w:pPr>
        <w:spacing w:line="240" w:lineRule="auto"/>
      </w:pPr>
      <w:hyperlink r:id="rId13" w:history="1">
        <w:r w:rsidR="00665F45" w:rsidRPr="00EC41FA">
          <w:rPr>
            <w:rStyle w:val="Hyperlink"/>
          </w:rPr>
          <w:t>mcaomod@mcao.maricopa.gov</w:t>
        </w:r>
      </w:hyperlink>
      <w:r w:rsidR="00665F45">
        <w:t xml:space="preserve"> </w:t>
      </w:r>
    </w:p>
    <w:p w14:paraId="59FEB49E" w14:textId="77777777" w:rsidR="00DC38DE" w:rsidRDefault="00DC38DE" w:rsidP="00DC38DE">
      <w:pPr>
        <w:spacing w:line="240" w:lineRule="auto"/>
      </w:pPr>
    </w:p>
    <w:p w14:paraId="1B63E7A5" w14:textId="19CC649A" w:rsidR="004D72A3" w:rsidRDefault="004D72A3" w:rsidP="00DC38DE">
      <w:pPr>
        <w:spacing w:line="240" w:lineRule="auto"/>
      </w:pPr>
    </w:p>
    <w:sectPr w:rsidR="004D72A3" w:rsidSect="00F54AAE">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1F206" w14:textId="77777777" w:rsidR="00025086" w:rsidRDefault="00025086">
      <w:r>
        <w:separator/>
      </w:r>
    </w:p>
  </w:endnote>
  <w:endnote w:type="continuationSeparator" w:id="0">
    <w:p w14:paraId="3D963991" w14:textId="77777777" w:rsidR="00025086" w:rsidRDefault="0002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D2BA4" w14:textId="77777777" w:rsidR="00F46458" w:rsidRDefault="00F46458"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6FFC3B" w14:textId="77777777" w:rsidR="00F46458" w:rsidRDefault="00F46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4F380" w14:textId="67B8D65A" w:rsidR="00F46458" w:rsidRDefault="00F46458"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2ED6">
      <w:rPr>
        <w:rStyle w:val="PageNumber"/>
        <w:noProof/>
      </w:rPr>
      <w:t>21</w:t>
    </w:r>
    <w:r>
      <w:rPr>
        <w:rStyle w:val="PageNumber"/>
      </w:rPr>
      <w:fldChar w:fldCharType="end"/>
    </w:r>
  </w:p>
  <w:p w14:paraId="57DE65F7" w14:textId="77777777" w:rsidR="00F46458" w:rsidRDefault="00F46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E79D5" w14:textId="77777777" w:rsidR="00025086" w:rsidRDefault="00025086">
      <w:r>
        <w:separator/>
      </w:r>
    </w:p>
  </w:footnote>
  <w:footnote w:type="continuationSeparator" w:id="0">
    <w:p w14:paraId="09EF84D8" w14:textId="77777777" w:rsidR="00025086" w:rsidRDefault="00025086">
      <w:r>
        <w:continuationSeparator/>
      </w:r>
    </w:p>
  </w:footnote>
  <w:footnote w:id="1">
    <w:p w14:paraId="20ED52A5" w14:textId="77777777" w:rsidR="008063D7" w:rsidRDefault="008063D7" w:rsidP="008063D7">
      <w:pPr>
        <w:pStyle w:val="FootnoteText"/>
        <w:spacing w:line="240" w:lineRule="auto"/>
        <w:jc w:val="both"/>
        <w:rPr>
          <w:sz w:val="28"/>
        </w:rPr>
      </w:pPr>
      <w:r w:rsidRPr="00CD6A76">
        <w:rPr>
          <w:rStyle w:val="FootnoteReference"/>
          <w:sz w:val="28"/>
        </w:rPr>
        <w:footnoteRef/>
      </w:r>
      <w:r w:rsidRPr="00CD6A76">
        <w:rPr>
          <w:sz w:val="28"/>
        </w:rPr>
        <w:t xml:space="preserve"> </w:t>
      </w:r>
      <w:r>
        <w:rPr>
          <w:sz w:val="28"/>
        </w:rPr>
        <w:t xml:space="preserve">MCAO acknowledges its petition R-19-0008 (filed Jan. 8, 2019), which, in addition to Rule 22.5, also sought to amend Rules 18.5 and 32.1. That petition was denied. However, it does not similarly acknowledge its other efforts to accomplish this goal. </w:t>
      </w:r>
      <w:r w:rsidRPr="00F86F51">
        <w:rPr>
          <w:i/>
          <w:sz w:val="28"/>
        </w:rPr>
        <w:t>See</w:t>
      </w:r>
      <w:r>
        <w:rPr>
          <w:sz w:val="28"/>
        </w:rPr>
        <w:t xml:space="preserve"> R-14-0008 (petition filed Jan. 10, 2014) (seeking to add new Rule 23.5 to prohibit post-trial juror contact). </w:t>
      </w:r>
    </w:p>
    <w:p w14:paraId="4812B9BD" w14:textId="4351E184" w:rsidR="008063D7" w:rsidRPr="00CD6A76" w:rsidRDefault="008063D7" w:rsidP="008063D7">
      <w:pPr>
        <w:pStyle w:val="FootnoteText"/>
        <w:spacing w:line="240" w:lineRule="auto"/>
        <w:ind w:firstLine="720"/>
        <w:jc w:val="both"/>
        <w:rPr>
          <w:sz w:val="28"/>
        </w:rPr>
      </w:pPr>
      <w:r>
        <w:rPr>
          <w:sz w:val="28"/>
        </w:rPr>
        <w:t>In 2019, the Arizona Senate passed S.B. 1313, a bill sponsored by Sen. Eddie Farnsworth, but the bill was held in the House of Representatives</w:t>
      </w:r>
      <w:r w:rsidR="00177DDC">
        <w:rPr>
          <w:sz w:val="28"/>
        </w:rPr>
        <w:t xml:space="preserve"> and did not pass</w:t>
      </w:r>
      <w:r>
        <w:rPr>
          <w:sz w:val="28"/>
        </w:rPr>
        <w:t xml:space="preserve">. </w:t>
      </w:r>
      <w:hyperlink r:id="rId1" w:history="1">
        <w:r w:rsidRPr="005E21DA">
          <w:rPr>
            <w:rStyle w:val="Hyperlink"/>
            <w:sz w:val="28"/>
          </w:rPr>
          <w:t>https://apps.azleg.gov/BillStatus/BillOverview/71933</w:t>
        </w:r>
      </w:hyperlink>
      <w:r>
        <w:rPr>
          <w:sz w:val="28"/>
        </w:rPr>
        <w:t xml:space="preserve"> (last visited April 28, 2020).</w:t>
      </w:r>
    </w:p>
  </w:footnote>
  <w:footnote w:id="2">
    <w:p w14:paraId="2983495C" w14:textId="1809FEAD" w:rsidR="00F46458" w:rsidRPr="00FF5E32" w:rsidRDefault="00F46458" w:rsidP="00CB5BD0">
      <w:pPr>
        <w:pStyle w:val="FootnoteText"/>
        <w:spacing w:line="240" w:lineRule="auto"/>
        <w:jc w:val="both"/>
        <w:rPr>
          <w:sz w:val="28"/>
        </w:rPr>
      </w:pPr>
      <w:r w:rsidRPr="00696A86">
        <w:rPr>
          <w:rStyle w:val="FootnoteReference"/>
          <w:sz w:val="28"/>
        </w:rPr>
        <w:footnoteRef/>
      </w:r>
      <w:r w:rsidRPr="00CB5BD0">
        <w:rPr>
          <w:sz w:val="28"/>
        </w:rPr>
        <w:t xml:space="preserve"> “Because claims of juror misconduct can be raised on post-trial motion under Rule 24, [a defendant] generally is precluded from raising them in a petition for post-conviction relief.” </w:t>
      </w:r>
      <w:r w:rsidRPr="00CB5BD0">
        <w:rPr>
          <w:i/>
          <w:sz w:val="28"/>
        </w:rPr>
        <w:t>State v. Kolmann</w:t>
      </w:r>
      <w:r w:rsidRPr="00CB5BD0">
        <w:rPr>
          <w:sz w:val="28"/>
        </w:rPr>
        <w:t>, 239 Ariz. 157, 163 ¶ 25 (2016).</w:t>
      </w:r>
      <w:r>
        <w:rPr>
          <w:sz w:val="28"/>
        </w:rPr>
        <w:t xml:space="preserve"> </w:t>
      </w:r>
      <w:r w:rsidRPr="00CB5BD0">
        <w:rPr>
          <w:i/>
          <w:sz w:val="28"/>
        </w:rPr>
        <w:t>Kolmann</w:t>
      </w:r>
      <w:r>
        <w:rPr>
          <w:sz w:val="28"/>
        </w:rPr>
        <w:t xml:space="preserve"> does not contradict </w:t>
      </w:r>
      <w:r w:rsidRPr="00CB5BD0">
        <w:rPr>
          <w:i/>
          <w:sz w:val="28"/>
        </w:rPr>
        <w:t>Fitzgerald</w:t>
      </w:r>
      <w:r>
        <w:rPr>
          <w:sz w:val="28"/>
        </w:rPr>
        <w:t xml:space="preserve"> or other authorities, however, because </w:t>
      </w:r>
      <w:r w:rsidRPr="00CB5BD0">
        <w:rPr>
          <w:sz w:val="28"/>
        </w:rPr>
        <w:t>Kolmann</w:t>
      </w:r>
      <w:r>
        <w:rPr>
          <w:sz w:val="28"/>
        </w:rPr>
        <w:t xml:space="preserve"> raised his claim of juror misconduct as one of ineffective assistance of counsel and as a stand-alone claim, and not as one of newly-discovered facts under Rule 32.1(e). </w:t>
      </w:r>
      <w:r w:rsidRPr="00CB5BD0">
        <w:rPr>
          <w:i/>
          <w:sz w:val="28"/>
        </w:rPr>
        <w:t>Kolmann</w:t>
      </w:r>
      <w:r w:rsidRPr="00CB5BD0">
        <w:rPr>
          <w:sz w:val="28"/>
        </w:rPr>
        <w:t>, 239 Ariz</w:t>
      </w:r>
      <w:r>
        <w:rPr>
          <w:sz w:val="28"/>
        </w:rPr>
        <w:t xml:space="preserve">. at 160 ¶ 6. This Court did acknowledge, however, that the facts described in Kolmann constitute jury misconduct under Rule 24.1(c)(3) and that such evidence of misconduct is not inadmissible under Rule 24.1(d). </w:t>
      </w:r>
      <w:r w:rsidRPr="00066783">
        <w:rPr>
          <w:i/>
          <w:sz w:val="28"/>
        </w:rPr>
        <w:t>Id</w:t>
      </w:r>
      <w:r>
        <w:rPr>
          <w:sz w:val="28"/>
        </w:rPr>
        <w:t>. at 163 ¶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680FD6"/>
    <w:multiLevelType w:val="hybridMultilevel"/>
    <w:tmpl w:val="FF32A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3142F"/>
    <w:multiLevelType w:val="hybridMultilevel"/>
    <w:tmpl w:val="57F00652"/>
    <w:lvl w:ilvl="0" w:tplc="C37A9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43132D"/>
    <w:multiLevelType w:val="hybridMultilevel"/>
    <w:tmpl w:val="42C4BF84"/>
    <w:lvl w:ilvl="0" w:tplc="0409000F">
      <w:start w:val="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A2160"/>
    <w:multiLevelType w:val="hybridMultilevel"/>
    <w:tmpl w:val="1CCAE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C27D0"/>
    <w:multiLevelType w:val="hybridMultilevel"/>
    <w:tmpl w:val="DEF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0252"/>
    <w:rsid w:val="00003247"/>
    <w:rsid w:val="00010757"/>
    <w:rsid w:val="000170EA"/>
    <w:rsid w:val="00025086"/>
    <w:rsid w:val="00030DFC"/>
    <w:rsid w:val="000347CF"/>
    <w:rsid w:val="00036CF2"/>
    <w:rsid w:val="0004248C"/>
    <w:rsid w:val="00042C2E"/>
    <w:rsid w:val="0004305F"/>
    <w:rsid w:val="000479F9"/>
    <w:rsid w:val="000539C9"/>
    <w:rsid w:val="00053F59"/>
    <w:rsid w:val="00057960"/>
    <w:rsid w:val="00066783"/>
    <w:rsid w:val="00067B4D"/>
    <w:rsid w:val="000759BB"/>
    <w:rsid w:val="00075EF6"/>
    <w:rsid w:val="00076CBE"/>
    <w:rsid w:val="0008321E"/>
    <w:rsid w:val="00092D1D"/>
    <w:rsid w:val="00094AC3"/>
    <w:rsid w:val="000A3157"/>
    <w:rsid w:val="000B1D0D"/>
    <w:rsid w:val="000B3D5C"/>
    <w:rsid w:val="000C16E5"/>
    <w:rsid w:val="000D1929"/>
    <w:rsid w:val="000D5F5E"/>
    <w:rsid w:val="000E25D0"/>
    <w:rsid w:val="000E309A"/>
    <w:rsid w:val="000E4659"/>
    <w:rsid w:val="000E7FAC"/>
    <w:rsid w:val="000F15A3"/>
    <w:rsid w:val="000F2B04"/>
    <w:rsid w:val="000F39D6"/>
    <w:rsid w:val="000F4B6A"/>
    <w:rsid w:val="00104C2D"/>
    <w:rsid w:val="00105DEB"/>
    <w:rsid w:val="00107DC5"/>
    <w:rsid w:val="0011586C"/>
    <w:rsid w:val="001241F1"/>
    <w:rsid w:val="00124DD4"/>
    <w:rsid w:val="00125A1E"/>
    <w:rsid w:val="001269D9"/>
    <w:rsid w:val="00132861"/>
    <w:rsid w:val="00141C61"/>
    <w:rsid w:val="001468D0"/>
    <w:rsid w:val="001516C5"/>
    <w:rsid w:val="00171EA4"/>
    <w:rsid w:val="00175B0A"/>
    <w:rsid w:val="00177DDC"/>
    <w:rsid w:val="00186903"/>
    <w:rsid w:val="001921F6"/>
    <w:rsid w:val="001B5B0E"/>
    <w:rsid w:val="001C02C6"/>
    <w:rsid w:val="001C30CE"/>
    <w:rsid w:val="001C60A4"/>
    <w:rsid w:val="001D02F5"/>
    <w:rsid w:val="001D7FC4"/>
    <w:rsid w:val="001E0466"/>
    <w:rsid w:val="001E05F0"/>
    <w:rsid w:val="001F087D"/>
    <w:rsid w:val="001F3662"/>
    <w:rsid w:val="00203346"/>
    <w:rsid w:val="00205E43"/>
    <w:rsid w:val="002155A2"/>
    <w:rsid w:val="00226BAE"/>
    <w:rsid w:val="00231484"/>
    <w:rsid w:val="00235C89"/>
    <w:rsid w:val="00237289"/>
    <w:rsid w:val="0024513B"/>
    <w:rsid w:val="00255BB3"/>
    <w:rsid w:val="00274A2A"/>
    <w:rsid w:val="00277D78"/>
    <w:rsid w:val="00284E5B"/>
    <w:rsid w:val="00285283"/>
    <w:rsid w:val="002A3420"/>
    <w:rsid w:val="002C03E2"/>
    <w:rsid w:val="002C0EDD"/>
    <w:rsid w:val="002C5034"/>
    <w:rsid w:val="002D3CF5"/>
    <w:rsid w:val="002D428C"/>
    <w:rsid w:val="002E545E"/>
    <w:rsid w:val="002E5573"/>
    <w:rsid w:val="002E7F5D"/>
    <w:rsid w:val="002F1FBD"/>
    <w:rsid w:val="002F587D"/>
    <w:rsid w:val="003055A7"/>
    <w:rsid w:val="00307338"/>
    <w:rsid w:val="00311552"/>
    <w:rsid w:val="00342232"/>
    <w:rsid w:val="00343018"/>
    <w:rsid w:val="003605DE"/>
    <w:rsid w:val="003744F3"/>
    <w:rsid w:val="00376665"/>
    <w:rsid w:val="00380B0B"/>
    <w:rsid w:val="00386826"/>
    <w:rsid w:val="00387BE6"/>
    <w:rsid w:val="003933B3"/>
    <w:rsid w:val="003A2343"/>
    <w:rsid w:val="003A63AE"/>
    <w:rsid w:val="003B2B82"/>
    <w:rsid w:val="003C15EA"/>
    <w:rsid w:val="003C6246"/>
    <w:rsid w:val="003D0216"/>
    <w:rsid w:val="003E1901"/>
    <w:rsid w:val="003E1F26"/>
    <w:rsid w:val="003E5927"/>
    <w:rsid w:val="003F2C52"/>
    <w:rsid w:val="003F366C"/>
    <w:rsid w:val="00407228"/>
    <w:rsid w:val="00412084"/>
    <w:rsid w:val="0041282A"/>
    <w:rsid w:val="00431929"/>
    <w:rsid w:val="004434F1"/>
    <w:rsid w:val="00444EDB"/>
    <w:rsid w:val="00445EC6"/>
    <w:rsid w:val="00447669"/>
    <w:rsid w:val="00451495"/>
    <w:rsid w:val="00451F00"/>
    <w:rsid w:val="00453801"/>
    <w:rsid w:val="004570ED"/>
    <w:rsid w:val="00460ED0"/>
    <w:rsid w:val="00465B53"/>
    <w:rsid w:val="00473113"/>
    <w:rsid w:val="0048435C"/>
    <w:rsid w:val="00485FAA"/>
    <w:rsid w:val="00487F49"/>
    <w:rsid w:val="00493A61"/>
    <w:rsid w:val="004940B2"/>
    <w:rsid w:val="004A124E"/>
    <w:rsid w:val="004A2A47"/>
    <w:rsid w:val="004B3410"/>
    <w:rsid w:val="004B6919"/>
    <w:rsid w:val="004C7133"/>
    <w:rsid w:val="004C743C"/>
    <w:rsid w:val="004D3005"/>
    <w:rsid w:val="004D72A3"/>
    <w:rsid w:val="004E600A"/>
    <w:rsid w:val="004E66AE"/>
    <w:rsid w:val="004E6839"/>
    <w:rsid w:val="004F16A7"/>
    <w:rsid w:val="004F27C6"/>
    <w:rsid w:val="004F37E6"/>
    <w:rsid w:val="004F3B51"/>
    <w:rsid w:val="005007C6"/>
    <w:rsid w:val="0050135E"/>
    <w:rsid w:val="00502211"/>
    <w:rsid w:val="005057CD"/>
    <w:rsid w:val="005123E4"/>
    <w:rsid w:val="00512EB9"/>
    <w:rsid w:val="00520D53"/>
    <w:rsid w:val="00535FEA"/>
    <w:rsid w:val="00536AB9"/>
    <w:rsid w:val="00553515"/>
    <w:rsid w:val="0055600F"/>
    <w:rsid w:val="00556A2D"/>
    <w:rsid w:val="0055782D"/>
    <w:rsid w:val="00561FC4"/>
    <w:rsid w:val="00564B9C"/>
    <w:rsid w:val="00572E4B"/>
    <w:rsid w:val="00575058"/>
    <w:rsid w:val="00575883"/>
    <w:rsid w:val="00581732"/>
    <w:rsid w:val="00584AAA"/>
    <w:rsid w:val="00587EF9"/>
    <w:rsid w:val="005924A7"/>
    <w:rsid w:val="0059629B"/>
    <w:rsid w:val="005A2AA2"/>
    <w:rsid w:val="005A3F39"/>
    <w:rsid w:val="005A78B5"/>
    <w:rsid w:val="005B0C4F"/>
    <w:rsid w:val="005B485B"/>
    <w:rsid w:val="005B53BE"/>
    <w:rsid w:val="005B6B42"/>
    <w:rsid w:val="005B7899"/>
    <w:rsid w:val="005C109B"/>
    <w:rsid w:val="005D0BE5"/>
    <w:rsid w:val="005E14D9"/>
    <w:rsid w:val="005E2372"/>
    <w:rsid w:val="005F0195"/>
    <w:rsid w:val="005F4669"/>
    <w:rsid w:val="005F6D81"/>
    <w:rsid w:val="00603D28"/>
    <w:rsid w:val="006040D6"/>
    <w:rsid w:val="006114B6"/>
    <w:rsid w:val="00617CD9"/>
    <w:rsid w:val="006207F9"/>
    <w:rsid w:val="00627DBE"/>
    <w:rsid w:val="00635786"/>
    <w:rsid w:val="006378F2"/>
    <w:rsid w:val="00656061"/>
    <w:rsid w:val="00664D81"/>
    <w:rsid w:val="00665F45"/>
    <w:rsid w:val="0067350A"/>
    <w:rsid w:val="00674178"/>
    <w:rsid w:val="006774C5"/>
    <w:rsid w:val="00696A86"/>
    <w:rsid w:val="006C0F08"/>
    <w:rsid w:val="006C2808"/>
    <w:rsid w:val="006C5B68"/>
    <w:rsid w:val="006C648E"/>
    <w:rsid w:val="006D0085"/>
    <w:rsid w:val="006D4397"/>
    <w:rsid w:val="006D5869"/>
    <w:rsid w:val="006E34AB"/>
    <w:rsid w:val="006E7C92"/>
    <w:rsid w:val="006F020D"/>
    <w:rsid w:val="006F16FB"/>
    <w:rsid w:val="006F5562"/>
    <w:rsid w:val="006F594D"/>
    <w:rsid w:val="00701CE7"/>
    <w:rsid w:val="0070604A"/>
    <w:rsid w:val="00713F48"/>
    <w:rsid w:val="00716FF7"/>
    <w:rsid w:val="00720596"/>
    <w:rsid w:val="00725028"/>
    <w:rsid w:val="00746FCD"/>
    <w:rsid w:val="00760549"/>
    <w:rsid w:val="007615D3"/>
    <w:rsid w:val="007626EF"/>
    <w:rsid w:val="00764591"/>
    <w:rsid w:val="0076670D"/>
    <w:rsid w:val="007669E7"/>
    <w:rsid w:val="00771CEB"/>
    <w:rsid w:val="00781317"/>
    <w:rsid w:val="0078270D"/>
    <w:rsid w:val="00785721"/>
    <w:rsid w:val="00787905"/>
    <w:rsid w:val="00794743"/>
    <w:rsid w:val="007973A8"/>
    <w:rsid w:val="007B4B94"/>
    <w:rsid w:val="007B4ECB"/>
    <w:rsid w:val="007C0BB7"/>
    <w:rsid w:val="007C12E3"/>
    <w:rsid w:val="007C17AC"/>
    <w:rsid w:val="007D2D04"/>
    <w:rsid w:val="007D65F4"/>
    <w:rsid w:val="007F091F"/>
    <w:rsid w:val="007F35A8"/>
    <w:rsid w:val="007F78B2"/>
    <w:rsid w:val="00801F68"/>
    <w:rsid w:val="008063D7"/>
    <w:rsid w:val="00807A9C"/>
    <w:rsid w:val="0081392B"/>
    <w:rsid w:val="0081534B"/>
    <w:rsid w:val="00823358"/>
    <w:rsid w:val="008272AA"/>
    <w:rsid w:val="00834614"/>
    <w:rsid w:val="00837F9E"/>
    <w:rsid w:val="00841AB1"/>
    <w:rsid w:val="008425DB"/>
    <w:rsid w:val="0084624A"/>
    <w:rsid w:val="00850E1C"/>
    <w:rsid w:val="0085287F"/>
    <w:rsid w:val="0085755C"/>
    <w:rsid w:val="008579E3"/>
    <w:rsid w:val="00865CF0"/>
    <w:rsid w:val="00870A00"/>
    <w:rsid w:val="00876503"/>
    <w:rsid w:val="00876BB3"/>
    <w:rsid w:val="00876C65"/>
    <w:rsid w:val="00896316"/>
    <w:rsid w:val="008A0573"/>
    <w:rsid w:val="008A05D5"/>
    <w:rsid w:val="008B3751"/>
    <w:rsid w:val="008B7D55"/>
    <w:rsid w:val="008C0D65"/>
    <w:rsid w:val="008C682F"/>
    <w:rsid w:val="008D3474"/>
    <w:rsid w:val="008D575C"/>
    <w:rsid w:val="008E04BA"/>
    <w:rsid w:val="00900131"/>
    <w:rsid w:val="009037A7"/>
    <w:rsid w:val="009049C6"/>
    <w:rsid w:val="00905437"/>
    <w:rsid w:val="00920DD5"/>
    <w:rsid w:val="00923420"/>
    <w:rsid w:val="00924225"/>
    <w:rsid w:val="00932151"/>
    <w:rsid w:val="00936450"/>
    <w:rsid w:val="009370AD"/>
    <w:rsid w:val="0093721A"/>
    <w:rsid w:val="00944C3C"/>
    <w:rsid w:val="00956F98"/>
    <w:rsid w:val="00960792"/>
    <w:rsid w:val="00977852"/>
    <w:rsid w:val="00980626"/>
    <w:rsid w:val="009815B4"/>
    <w:rsid w:val="009875D5"/>
    <w:rsid w:val="009925B6"/>
    <w:rsid w:val="009A1439"/>
    <w:rsid w:val="009A3A63"/>
    <w:rsid w:val="009B5920"/>
    <w:rsid w:val="009C525E"/>
    <w:rsid w:val="009D129C"/>
    <w:rsid w:val="009E00F4"/>
    <w:rsid w:val="009E2FB3"/>
    <w:rsid w:val="009E343C"/>
    <w:rsid w:val="009F0CE6"/>
    <w:rsid w:val="00A00B20"/>
    <w:rsid w:val="00A0443C"/>
    <w:rsid w:val="00A06BDB"/>
    <w:rsid w:val="00A204A8"/>
    <w:rsid w:val="00A214EF"/>
    <w:rsid w:val="00A27A5D"/>
    <w:rsid w:val="00A32E1E"/>
    <w:rsid w:val="00A42EAA"/>
    <w:rsid w:val="00A513FB"/>
    <w:rsid w:val="00A56029"/>
    <w:rsid w:val="00A66D19"/>
    <w:rsid w:val="00A84299"/>
    <w:rsid w:val="00A86C90"/>
    <w:rsid w:val="00AB177B"/>
    <w:rsid w:val="00AC1296"/>
    <w:rsid w:val="00AC2190"/>
    <w:rsid w:val="00AD0B3D"/>
    <w:rsid w:val="00AD43A6"/>
    <w:rsid w:val="00AF2160"/>
    <w:rsid w:val="00B22094"/>
    <w:rsid w:val="00B3746B"/>
    <w:rsid w:val="00B40EF1"/>
    <w:rsid w:val="00B4131A"/>
    <w:rsid w:val="00B43E0F"/>
    <w:rsid w:val="00B46103"/>
    <w:rsid w:val="00B54D9F"/>
    <w:rsid w:val="00B64BFD"/>
    <w:rsid w:val="00B72EC6"/>
    <w:rsid w:val="00B77663"/>
    <w:rsid w:val="00B854D3"/>
    <w:rsid w:val="00B85915"/>
    <w:rsid w:val="00B90C53"/>
    <w:rsid w:val="00BA07AF"/>
    <w:rsid w:val="00BA7D16"/>
    <w:rsid w:val="00BB1D01"/>
    <w:rsid w:val="00BB2149"/>
    <w:rsid w:val="00BD1411"/>
    <w:rsid w:val="00BD671D"/>
    <w:rsid w:val="00BE1C39"/>
    <w:rsid w:val="00BF0102"/>
    <w:rsid w:val="00BF6973"/>
    <w:rsid w:val="00C047E6"/>
    <w:rsid w:val="00C10845"/>
    <w:rsid w:val="00C1246C"/>
    <w:rsid w:val="00C24E2D"/>
    <w:rsid w:val="00C3108B"/>
    <w:rsid w:val="00C37271"/>
    <w:rsid w:val="00C40941"/>
    <w:rsid w:val="00C4373A"/>
    <w:rsid w:val="00C44C00"/>
    <w:rsid w:val="00C44CA0"/>
    <w:rsid w:val="00C47D87"/>
    <w:rsid w:val="00C516BC"/>
    <w:rsid w:val="00C61742"/>
    <w:rsid w:val="00C71726"/>
    <w:rsid w:val="00C73EF0"/>
    <w:rsid w:val="00C823D6"/>
    <w:rsid w:val="00C838EB"/>
    <w:rsid w:val="00C85A70"/>
    <w:rsid w:val="00C86967"/>
    <w:rsid w:val="00C928B5"/>
    <w:rsid w:val="00C97315"/>
    <w:rsid w:val="00CA009E"/>
    <w:rsid w:val="00CA1604"/>
    <w:rsid w:val="00CA18B8"/>
    <w:rsid w:val="00CB17EA"/>
    <w:rsid w:val="00CB5BD0"/>
    <w:rsid w:val="00CC16F3"/>
    <w:rsid w:val="00CC3610"/>
    <w:rsid w:val="00CC4DFF"/>
    <w:rsid w:val="00CD45E7"/>
    <w:rsid w:val="00CE08E0"/>
    <w:rsid w:val="00CE1CDE"/>
    <w:rsid w:val="00CF2C86"/>
    <w:rsid w:val="00D118F2"/>
    <w:rsid w:val="00D145C4"/>
    <w:rsid w:val="00D201BD"/>
    <w:rsid w:val="00D26ED2"/>
    <w:rsid w:val="00D279C6"/>
    <w:rsid w:val="00D46600"/>
    <w:rsid w:val="00D569DB"/>
    <w:rsid w:val="00D65136"/>
    <w:rsid w:val="00D71F16"/>
    <w:rsid w:val="00D752FC"/>
    <w:rsid w:val="00D77E36"/>
    <w:rsid w:val="00D94226"/>
    <w:rsid w:val="00D94988"/>
    <w:rsid w:val="00D94D24"/>
    <w:rsid w:val="00D95EA8"/>
    <w:rsid w:val="00DA2BE7"/>
    <w:rsid w:val="00DA7969"/>
    <w:rsid w:val="00DB048B"/>
    <w:rsid w:val="00DB0932"/>
    <w:rsid w:val="00DB2614"/>
    <w:rsid w:val="00DB3C6C"/>
    <w:rsid w:val="00DC38DE"/>
    <w:rsid w:val="00DD2025"/>
    <w:rsid w:val="00DD59E4"/>
    <w:rsid w:val="00DD6FEA"/>
    <w:rsid w:val="00DE6EF2"/>
    <w:rsid w:val="00DF0282"/>
    <w:rsid w:val="00DF6693"/>
    <w:rsid w:val="00E0202A"/>
    <w:rsid w:val="00E16B5B"/>
    <w:rsid w:val="00E21F2B"/>
    <w:rsid w:val="00E279B4"/>
    <w:rsid w:val="00E30560"/>
    <w:rsid w:val="00E33388"/>
    <w:rsid w:val="00E34337"/>
    <w:rsid w:val="00E3640D"/>
    <w:rsid w:val="00E379BB"/>
    <w:rsid w:val="00E45F50"/>
    <w:rsid w:val="00E65244"/>
    <w:rsid w:val="00E82BBA"/>
    <w:rsid w:val="00E833FA"/>
    <w:rsid w:val="00E83969"/>
    <w:rsid w:val="00E84532"/>
    <w:rsid w:val="00E84B24"/>
    <w:rsid w:val="00E92880"/>
    <w:rsid w:val="00EA3FB7"/>
    <w:rsid w:val="00EA4303"/>
    <w:rsid w:val="00EB4C5D"/>
    <w:rsid w:val="00EC6233"/>
    <w:rsid w:val="00EC6E63"/>
    <w:rsid w:val="00ED2ED6"/>
    <w:rsid w:val="00EE05C5"/>
    <w:rsid w:val="00EE6669"/>
    <w:rsid w:val="00EE6ADE"/>
    <w:rsid w:val="00EE7CA3"/>
    <w:rsid w:val="00EF5061"/>
    <w:rsid w:val="00F03F5F"/>
    <w:rsid w:val="00F05072"/>
    <w:rsid w:val="00F0712C"/>
    <w:rsid w:val="00F16ADA"/>
    <w:rsid w:val="00F23A9F"/>
    <w:rsid w:val="00F252E5"/>
    <w:rsid w:val="00F306C9"/>
    <w:rsid w:val="00F33A8F"/>
    <w:rsid w:val="00F43AF4"/>
    <w:rsid w:val="00F46458"/>
    <w:rsid w:val="00F4743E"/>
    <w:rsid w:val="00F52198"/>
    <w:rsid w:val="00F53F36"/>
    <w:rsid w:val="00F54AAE"/>
    <w:rsid w:val="00F57189"/>
    <w:rsid w:val="00F65738"/>
    <w:rsid w:val="00F65C1C"/>
    <w:rsid w:val="00F70D9D"/>
    <w:rsid w:val="00F72E82"/>
    <w:rsid w:val="00F74E60"/>
    <w:rsid w:val="00F760DD"/>
    <w:rsid w:val="00F81718"/>
    <w:rsid w:val="00F82A1D"/>
    <w:rsid w:val="00F83BF1"/>
    <w:rsid w:val="00F83D96"/>
    <w:rsid w:val="00F869AF"/>
    <w:rsid w:val="00F86F51"/>
    <w:rsid w:val="00F95520"/>
    <w:rsid w:val="00FA3DAA"/>
    <w:rsid w:val="00FA61DF"/>
    <w:rsid w:val="00FB0718"/>
    <w:rsid w:val="00FB276E"/>
    <w:rsid w:val="00FB756E"/>
    <w:rsid w:val="00FB7683"/>
    <w:rsid w:val="00FC098B"/>
    <w:rsid w:val="00FC0BB6"/>
    <w:rsid w:val="00FC51B3"/>
    <w:rsid w:val="00FD7015"/>
    <w:rsid w:val="00FE0479"/>
    <w:rsid w:val="00FE79F6"/>
    <w:rsid w:val="00FF0BFD"/>
    <w:rsid w:val="00FF28D2"/>
    <w:rsid w:val="00FF3F3A"/>
    <w:rsid w:val="00FF5D0A"/>
    <w:rsid w:val="00FF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EDD274F"/>
  <w15:docId w15:val="{45137DCD-33E9-436A-8A04-BB15107F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paragraph" w:styleId="ListParagraph">
    <w:name w:val="List Paragraph"/>
    <w:basedOn w:val="Normal"/>
    <w:uiPriority w:val="34"/>
    <w:qFormat/>
    <w:rsid w:val="004A124E"/>
    <w:pPr>
      <w:ind w:left="720"/>
      <w:contextualSpacing/>
    </w:pPr>
  </w:style>
  <w:style w:type="paragraph" w:styleId="Header">
    <w:name w:val="header"/>
    <w:basedOn w:val="Normal"/>
    <w:link w:val="HeaderChar"/>
    <w:rsid w:val="00FB7683"/>
    <w:pPr>
      <w:tabs>
        <w:tab w:val="center" w:pos="4680"/>
        <w:tab w:val="right" w:pos="9360"/>
      </w:tabs>
      <w:spacing w:line="240" w:lineRule="auto"/>
    </w:pPr>
  </w:style>
  <w:style w:type="character" w:customStyle="1" w:styleId="HeaderChar">
    <w:name w:val="Header Char"/>
    <w:basedOn w:val="DefaultParagraphFont"/>
    <w:link w:val="Header"/>
    <w:rsid w:val="00FB7683"/>
    <w:rPr>
      <w:rFonts w:ascii="Courier New" w:hAnsi="Courier New"/>
      <w:sz w:val="18"/>
    </w:rPr>
  </w:style>
  <w:style w:type="character" w:styleId="CommentReference">
    <w:name w:val="annotation reference"/>
    <w:basedOn w:val="DefaultParagraphFont"/>
    <w:rsid w:val="00124DD4"/>
    <w:rPr>
      <w:sz w:val="16"/>
      <w:szCs w:val="16"/>
    </w:rPr>
  </w:style>
  <w:style w:type="paragraph" w:styleId="CommentText">
    <w:name w:val="annotation text"/>
    <w:basedOn w:val="Normal"/>
    <w:link w:val="CommentTextChar"/>
    <w:rsid w:val="00124DD4"/>
    <w:pPr>
      <w:spacing w:line="240" w:lineRule="auto"/>
    </w:pPr>
    <w:rPr>
      <w:sz w:val="20"/>
    </w:rPr>
  </w:style>
  <w:style w:type="character" w:customStyle="1" w:styleId="CommentTextChar">
    <w:name w:val="Comment Text Char"/>
    <w:basedOn w:val="DefaultParagraphFont"/>
    <w:link w:val="CommentText"/>
    <w:rsid w:val="00124DD4"/>
    <w:rPr>
      <w:rFonts w:ascii="Courier New" w:hAnsi="Courier New"/>
    </w:rPr>
  </w:style>
  <w:style w:type="paragraph" w:styleId="CommentSubject">
    <w:name w:val="annotation subject"/>
    <w:basedOn w:val="CommentText"/>
    <w:next w:val="CommentText"/>
    <w:link w:val="CommentSubjectChar"/>
    <w:rsid w:val="00124DD4"/>
    <w:rPr>
      <w:b/>
      <w:bCs/>
    </w:rPr>
  </w:style>
  <w:style w:type="character" w:customStyle="1" w:styleId="CommentSubjectChar">
    <w:name w:val="Comment Subject Char"/>
    <w:basedOn w:val="CommentTextChar"/>
    <w:link w:val="CommentSubject"/>
    <w:rsid w:val="00124DD4"/>
    <w:rPr>
      <w:rFonts w:ascii="Courier New" w:hAnsi="Courier New"/>
      <w:b/>
      <w:bCs/>
    </w:rPr>
  </w:style>
  <w:style w:type="character" w:styleId="Strong">
    <w:name w:val="Strong"/>
    <w:basedOn w:val="DefaultParagraphFont"/>
    <w:uiPriority w:val="22"/>
    <w:qFormat/>
    <w:rsid w:val="00E84B24"/>
    <w:rPr>
      <w:b/>
      <w:bCs/>
    </w:rPr>
  </w:style>
  <w:style w:type="paragraph" w:styleId="NormalWeb">
    <w:name w:val="Normal (Web)"/>
    <w:basedOn w:val="Normal"/>
    <w:uiPriority w:val="99"/>
    <w:rsid w:val="000E309A"/>
    <w:pPr>
      <w:spacing w:beforeLines="1" w:line="240" w:lineRule="auto"/>
    </w:pPr>
    <w:rPr>
      <w:rFonts w:ascii="Times" w:eastAsia="Cambria" w:hAnsi="Times"/>
      <w:sz w:val="20"/>
      <w:lang w:val="en-GB"/>
    </w:rPr>
  </w:style>
  <w:style w:type="character" w:customStyle="1" w:styleId="UnresolvedMention1">
    <w:name w:val="Unresolved Mention1"/>
    <w:basedOn w:val="DefaultParagraphFont"/>
    <w:uiPriority w:val="99"/>
    <w:semiHidden/>
    <w:unhideWhenUsed/>
    <w:rsid w:val="008D3474"/>
    <w:rPr>
      <w:color w:val="605E5C"/>
      <w:shd w:val="clear" w:color="auto" w:fill="E1DFDD"/>
    </w:rPr>
  </w:style>
  <w:style w:type="character" w:customStyle="1" w:styleId="costarpage">
    <w:name w:val="co_starpage"/>
    <w:basedOn w:val="DefaultParagraphFont"/>
    <w:rsid w:val="008D3474"/>
  </w:style>
  <w:style w:type="character" w:styleId="Emphasis">
    <w:name w:val="Emphasis"/>
    <w:basedOn w:val="DefaultParagraphFont"/>
    <w:uiPriority w:val="20"/>
    <w:qFormat/>
    <w:rsid w:val="008D3474"/>
    <w:rPr>
      <w:i/>
      <w:iCs/>
    </w:rPr>
  </w:style>
  <w:style w:type="paragraph" w:styleId="Revision">
    <w:name w:val="Revision"/>
    <w:hidden/>
    <w:uiPriority w:val="99"/>
    <w:semiHidden/>
    <w:rsid w:val="00572E4B"/>
  </w:style>
  <w:style w:type="paragraph" w:customStyle="1" w:styleId="author">
    <w:name w:val="author"/>
    <w:basedOn w:val="Normal"/>
    <w:rsid w:val="00277D78"/>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14113">
      <w:bodyDiv w:val="1"/>
      <w:marLeft w:val="0"/>
      <w:marRight w:val="0"/>
      <w:marTop w:val="0"/>
      <w:marBottom w:val="0"/>
      <w:divBdr>
        <w:top w:val="none" w:sz="0" w:space="0" w:color="auto"/>
        <w:left w:val="none" w:sz="0" w:space="0" w:color="auto"/>
        <w:bottom w:val="none" w:sz="0" w:space="0" w:color="auto"/>
        <w:right w:val="none" w:sz="0" w:space="0" w:color="auto"/>
      </w:divBdr>
    </w:div>
    <w:div w:id="352918886">
      <w:bodyDiv w:val="1"/>
      <w:marLeft w:val="0"/>
      <w:marRight w:val="0"/>
      <w:marTop w:val="0"/>
      <w:marBottom w:val="0"/>
      <w:divBdr>
        <w:top w:val="none" w:sz="0" w:space="0" w:color="auto"/>
        <w:left w:val="none" w:sz="0" w:space="0" w:color="auto"/>
        <w:bottom w:val="none" w:sz="0" w:space="0" w:color="auto"/>
        <w:right w:val="none" w:sz="0" w:space="0" w:color="auto"/>
      </w:divBdr>
      <w:divsChild>
        <w:div w:id="1764574056">
          <w:marLeft w:val="0"/>
          <w:marRight w:val="0"/>
          <w:marTop w:val="0"/>
          <w:marBottom w:val="0"/>
          <w:divBdr>
            <w:top w:val="none" w:sz="0" w:space="0" w:color="auto"/>
            <w:left w:val="none" w:sz="0" w:space="0" w:color="auto"/>
            <w:bottom w:val="none" w:sz="0" w:space="0" w:color="auto"/>
            <w:right w:val="none" w:sz="0" w:space="0" w:color="auto"/>
          </w:divBdr>
          <w:divsChild>
            <w:div w:id="271859906">
              <w:marLeft w:val="0"/>
              <w:marRight w:val="0"/>
              <w:marTop w:val="240"/>
              <w:marBottom w:val="0"/>
              <w:divBdr>
                <w:top w:val="none" w:sz="0" w:space="0" w:color="auto"/>
                <w:left w:val="none" w:sz="0" w:space="0" w:color="auto"/>
                <w:bottom w:val="none" w:sz="0" w:space="0" w:color="auto"/>
                <w:right w:val="none" w:sz="0" w:space="0" w:color="auto"/>
              </w:divBdr>
              <w:divsChild>
                <w:div w:id="17630211">
                  <w:marLeft w:val="0"/>
                  <w:marRight w:val="0"/>
                  <w:marTop w:val="240"/>
                  <w:marBottom w:val="0"/>
                  <w:divBdr>
                    <w:top w:val="none" w:sz="0" w:space="0" w:color="auto"/>
                    <w:left w:val="none" w:sz="0" w:space="0" w:color="auto"/>
                    <w:bottom w:val="none" w:sz="0" w:space="0" w:color="auto"/>
                    <w:right w:val="none" w:sz="0" w:space="0" w:color="auto"/>
                  </w:divBdr>
                  <w:divsChild>
                    <w:div w:id="467162198">
                      <w:marLeft w:val="0"/>
                      <w:marRight w:val="0"/>
                      <w:marTop w:val="0"/>
                      <w:marBottom w:val="0"/>
                      <w:divBdr>
                        <w:top w:val="none" w:sz="0" w:space="0" w:color="auto"/>
                        <w:left w:val="none" w:sz="0" w:space="0" w:color="auto"/>
                        <w:bottom w:val="none" w:sz="0" w:space="0" w:color="auto"/>
                        <w:right w:val="none" w:sz="0" w:space="0" w:color="auto"/>
                      </w:divBdr>
                      <w:divsChild>
                        <w:div w:id="14965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23835">
                  <w:marLeft w:val="0"/>
                  <w:marRight w:val="0"/>
                  <w:marTop w:val="240"/>
                  <w:marBottom w:val="0"/>
                  <w:divBdr>
                    <w:top w:val="none" w:sz="0" w:space="0" w:color="auto"/>
                    <w:left w:val="none" w:sz="0" w:space="0" w:color="auto"/>
                    <w:bottom w:val="none" w:sz="0" w:space="0" w:color="auto"/>
                    <w:right w:val="none" w:sz="0" w:space="0" w:color="auto"/>
                  </w:divBdr>
                  <w:divsChild>
                    <w:div w:id="1802072263">
                      <w:marLeft w:val="0"/>
                      <w:marRight w:val="0"/>
                      <w:marTop w:val="0"/>
                      <w:marBottom w:val="0"/>
                      <w:divBdr>
                        <w:top w:val="none" w:sz="0" w:space="0" w:color="auto"/>
                        <w:left w:val="none" w:sz="0" w:space="0" w:color="auto"/>
                        <w:bottom w:val="none" w:sz="0" w:space="0" w:color="auto"/>
                        <w:right w:val="none" w:sz="0" w:space="0" w:color="auto"/>
                      </w:divBdr>
                      <w:divsChild>
                        <w:div w:id="4031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3215">
                  <w:marLeft w:val="0"/>
                  <w:marRight w:val="0"/>
                  <w:marTop w:val="0"/>
                  <w:marBottom w:val="0"/>
                  <w:divBdr>
                    <w:top w:val="none" w:sz="0" w:space="0" w:color="auto"/>
                    <w:left w:val="none" w:sz="0" w:space="0" w:color="auto"/>
                    <w:bottom w:val="none" w:sz="0" w:space="0" w:color="auto"/>
                    <w:right w:val="none" w:sz="0" w:space="0" w:color="auto"/>
                  </w:divBdr>
                  <w:divsChild>
                    <w:div w:id="1008099907">
                      <w:marLeft w:val="0"/>
                      <w:marRight w:val="0"/>
                      <w:marTop w:val="0"/>
                      <w:marBottom w:val="0"/>
                      <w:divBdr>
                        <w:top w:val="none" w:sz="0" w:space="0" w:color="auto"/>
                        <w:left w:val="none" w:sz="0" w:space="0" w:color="auto"/>
                        <w:bottom w:val="none" w:sz="0" w:space="0" w:color="auto"/>
                        <w:right w:val="none" w:sz="0" w:space="0" w:color="auto"/>
                      </w:divBdr>
                    </w:div>
                  </w:divsChild>
                </w:div>
                <w:div w:id="1580557765">
                  <w:marLeft w:val="0"/>
                  <w:marRight w:val="0"/>
                  <w:marTop w:val="240"/>
                  <w:marBottom w:val="0"/>
                  <w:divBdr>
                    <w:top w:val="none" w:sz="0" w:space="0" w:color="auto"/>
                    <w:left w:val="none" w:sz="0" w:space="0" w:color="auto"/>
                    <w:bottom w:val="none" w:sz="0" w:space="0" w:color="auto"/>
                    <w:right w:val="none" w:sz="0" w:space="0" w:color="auto"/>
                  </w:divBdr>
                  <w:divsChild>
                    <w:div w:id="171914438">
                      <w:marLeft w:val="0"/>
                      <w:marRight w:val="0"/>
                      <w:marTop w:val="240"/>
                      <w:marBottom w:val="0"/>
                      <w:divBdr>
                        <w:top w:val="none" w:sz="0" w:space="0" w:color="auto"/>
                        <w:left w:val="none" w:sz="0" w:space="0" w:color="auto"/>
                        <w:bottom w:val="none" w:sz="0" w:space="0" w:color="auto"/>
                        <w:right w:val="none" w:sz="0" w:space="0" w:color="auto"/>
                      </w:divBdr>
                      <w:divsChild>
                        <w:div w:id="2133359311">
                          <w:marLeft w:val="0"/>
                          <w:marRight w:val="0"/>
                          <w:marTop w:val="0"/>
                          <w:marBottom w:val="0"/>
                          <w:divBdr>
                            <w:top w:val="none" w:sz="0" w:space="0" w:color="auto"/>
                            <w:left w:val="none" w:sz="0" w:space="0" w:color="auto"/>
                            <w:bottom w:val="none" w:sz="0" w:space="0" w:color="auto"/>
                            <w:right w:val="none" w:sz="0" w:space="0" w:color="auto"/>
                          </w:divBdr>
                          <w:divsChild>
                            <w:div w:id="4183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1303">
                      <w:marLeft w:val="0"/>
                      <w:marRight w:val="0"/>
                      <w:marTop w:val="240"/>
                      <w:marBottom w:val="0"/>
                      <w:divBdr>
                        <w:top w:val="none" w:sz="0" w:space="0" w:color="auto"/>
                        <w:left w:val="none" w:sz="0" w:space="0" w:color="auto"/>
                        <w:bottom w:val="none" w:sz="0" w:space="0" w:color="auto"/>
                        <w:right w:val="none" w:sz="0" w:space="0" w:color="auto"/>
                      </w:divBdr>
                      <w:divsChild>
                        <w:div w:id="249388409">
                          <w:marLeft w:val="0"/>
                          <w:marRight w:val="0"/>
                          <w:marTop w:val="0"/>
                          <w:marBottom w:val="0"/>
                          <w:divBdr>
                            <w:top w:val="none" w:sz="0" w:space="0" w:color="auto"/>
                            <w:left w:val="none" w:sz="0" w:space="0" w:color="auto"/>
                            <w:bottom w:val="none" w:sz="0" w:space="0" w:color="auto"/>
                            <w:right w:val="none" w:sz="0" w:space="0" w:color="auto"/>
                          </w:divBdr>
                          <w:divsChild>
                            <w:div w:id="12201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4043">
                      <w:marLeft w:val="0"/>
                      <w:marRight w:val="0"/>
                      <w:marTop w:val="240"/>
                      <w:marBottom w:val="0"/>
                      <w:divBdr>
                        <w:top w:val="none" w:sz="0" w:space="0" w:color="auto"/>
                        <w:left w:val="none" w:sz="0" w:space="0" w:color="auto"/>
                        <w:bottom w:val="none" w:sz="0" w:space="0" w:color="auto"/>
                        <w:right w:val="none" w:sz="0" w:space="0" w:color="auto"/>
                      </w:divBdr>
                      <w:divsChild>
                        <w:div w:id="1935355921">
                          <w:marLeft w:val="0"/>
                          <w:marRight w:val="0"/>
                          <w:marTop w:val="0"/>
                          <w:marBottom w:val="0"/>
                          <w:divBdr>
                            <w:top w:val="none" w:sz="0" w:space="0" w:color="auto"/>
                            <w:left w:val="none" w:sz="0" w:space="0" w:color="auto"/>
                            <w:bottom w:val="none" w:sz="0" w:space="0" w:color="auto"/>
                            <w:right w:val="none" w:sz="0" w:space="0" w:color="auto"/>
                          </w:divBdr>
                          <w:divsChild>
                            <w:div w:id="8302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2983">
                      <w:marLeft w:val="0"/>
                      <w:marRight w:val="0"/>
                      <w:marTop w:val="240"/>
                      <w:marBottom w:val="0"/>
                      <w:divBdr>
                        <w:top w:val="none" w:sz="0" w:space="0" w:color="auto"/>
                        <w:left w:val="none" w:sz="0" w:space="0" w:color="auto"/>
                        <w:bottom w:val="none" w:sz="0" w:space="0" w:color="auto"/>
                        <w:right w:val="none" w:sz="0" w:space="0" w:color="auto"/>
                      </w:divBdr>
                      <w:divsChild>
                        <w:div w:id="1375928895">
                          <w:marLeft w:val="0"/>
                          <w:marRight w:val="0"/>
                          <w:marTop w:val="0"/>
                          <w:marBottom w:val="0"/>
                          <w:divBdr>
                            <w:top w:val="none" w:sz="0" w:space="0" w:color="auto"/>
                            <w:left w:val="none" w:sz="0" w:space="0" w:color="auto"/>
                            <w:bottom w:val="none" w:sz="0" w:space="0" w:color="auto"/>
                            <w:right w:val="none" w:sz="0" w:space="0" w:color="auto"/>
                          </w:divBdr>
                          <w:divsChild>
                            <w:div w:id="570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4850">
                      <w:marLeft w:val="0"/>
                      <w:marRight w:val="0"/>
                      <w:marTop w:val="0"/>
                      <w:marBottom w:val="0"/>
                      <w:divBdr>
                        <w:top w:val="none" w:sz="0" w:space="0" w:color="auto"/>
                        <w:left w:val="none" w:sz="0" w:space="0" w:color="auto"/>
                        <w:bottom w:val="none" w:sz="0" w:space="0" w:color="auto"/>
                        <w:right w:val="none" w:sz="0" w:space="0" w:color="auto"/>
                      </w:divBdr>
                      <w:divsChild>
                        <w:div w:id="276522860">
                          <w:marLeft w:val="0"/>
                          <w:marRight w:val="0"/>
                          <w:marTop w:val="0"/>
                          <w:marBottom w:val="0"/>
                          <w:divBdr>
                            <w:top w:val="none" w:sz="0" w:space="0" w:color="auto"/>
                            <w:left w:val="none" w:sz="0" w:space="0" w:color="auto"/>
                            <w:bottom w:val="none" w:sz="0" w:space="0" w:color="auto"/>
                            <w:right w:val="none" w:sz="0" w:space="0" w:color="auto"/>
                          </w:divBdr>
                        </w:div>
                      </w:divsChild>
                    </w:div>
                    <w:div w:id="1679699086">
                      <w:marLeft w:val="0"/>
                      <w:marRight w:val="0"/>
                      <w:marTop w:val="240"/>
                      <w:marBottom w:val="0"/>
                      <w:divBdr>
                        <w:top w:val="none" w:sz="0" w:space="0" w:color="auto"/>
                        <w:left w:val="none" w:sz="0" w:space="0" w:color="auto"/>
                        <w:bottom w:val="none" w:sz="0" w:space="0" w:color="auto"/>
                        <w:right w:val="none" w:sz="0" w:space="0" w:color="auto"/>
                      </w:divBdr>
                      <w:divsChild>
                        <w:div w:id="277183606">
                          <w:marLeft w:val="0"/>
                          <w:marRight w:val="0"/>
                          <w:marTop w:val="0"/>
                          <w:marBottom w:val="0"/>
                          <w:divBdr>
                            <w:top w:val="none" w:sz="0" w:space="0" w:color="auto"/>
                            <w:left w:val="none" w:sz="0" w:space="0" w:color="auto"/>
                            <w:bottom w:val="none" w:sz="0" w:space="0" w:color="auto"/>
                            <w:right w:val="none" w:sz="0" w:space="0" w:color="auto"/>
                          </w:divBdr>
                          <w:divsChild>
                            <w:div w:id="19903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68926">
                      <w:marLeft w:val="0"/>
                      <w:marRight w:val="0"/>
                      <w:marTop w:val="240"/>
                      <w:marBottom w:val="0"/>
                      <w:divBdr>
                        <w:top w:val="none" w:sz="0" w:space="0" w:color="auto"/>
                        <w:left w:val="none" w:sz="0" w:space="0" w:color="auto"/>
                        <w:bottom w:val="none" w:sz="0" w:space="0" w:color="auto"/>
                        <w:right w:val="none" w:sz="0" w:space="0" w:color="auto"/>
                      </w:divBdr>
                      <w:divsChild>
                        <w:div w:id="814957662">
                          <w:marLeft w:val="0"/>
                          <w:marRight w:val="0"/>
                          <w:marTop w:val="0"/>
                          <w:marBottom w:val="0"/>
                          <w:divBdr>
                            <w:top w:val="none" w:sz="0" w:space="0" w:color="auto"/>
                            <w:left w:val="none" w:sz="0" w:space="0" w:color="auto"/>
                            <w:bottom w:val="none" w:sz="0" w:space="0" w:color="auto"/>
                            <w:right w:val="none" w:sz="0" w:space="0" w:color="auto"/>
                          </w:divBdr>
                          <w:divsChild>
                            <w:div w:id="20294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8362">
                  <w:marLeft w:val="0"/>
                  <w:marRight w:val="0"/>
                  <w:marTop w:val="240"/>
                  <w:marBottom w:val="0"/>
                  <w:divBdr>
                    <w:top w:val="none" w:sz="0" w:space="0" w:color="auto"/>
                    <w:left w:val="none" w:sz="0" w:space="0" w:color="auto"/>
                    <w:bottom w:val="none" w:sz="0" w:space="0" w:color="auto"/>
                    <w:right w:val="none" w:sz="0" w:space="0" w:color="auto"/>
                  </w:divBdr>
                  <w:divsChild>
                    <w:div w:id="1550219412">
                      <w:marLeft w:val="0"/>
                      <w:marRight w:val="0"/>
                      <w:marTop w:val="0"/>
                      <w:marBottom w:val="0"/>
                      <w:divBdr>
                        <w:top w:val="none" w:sz="0" w:space="0" w:color="auto"/>
                        <w:left w:val="none" w:sz="0" w:space="0" w:color="auto"/>
                        <w:bottom w:val="none" w:sz="0" w:space="0" w:color="auto"/>
                        <w:right w:val="none" w:sz="0" w:space="0" w:color="auto"/>
                      </w:divBdr>
                      <w:divsChild>
                        <w:div w:id="15006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37578">
                  <w:marLeft w:val="0"/>
                  <w:marRight w:val="0"/>
                  <w:marTop w:val="240"/>
                  <w:marBottom w:val="0"/>
                  <w:divBdr>
                    <w:top w:val="none" w:sz="0" w:space="0" w:color="auto"/>
                    <w:left w:val="none" w:sz="0" w:space="0" w:color="auto"/>
                    <w:bottom w:val="none" w:sz="0" w:space="0" w:color="auto"/>
                    <w:right w:val="none" w:sz="0" w:space="0" w:color="auto"/>
                  </w:divBdr>
                  <w:divsChild>
                    <w:div w:id="2038849082">
                      <w:marLeft w:val="0"/>
                      <w:marRight w:val="0"/>
                      <w:marTop w:val="0"/>
                      <w:marBottom w:val="0"/>
                      <w:divBdr>
                        <w:top w:val="none" w:sz="0" w:space="0" w:color="auto"/>
                        <w:left w:val="none" w:sz="0" w:space="0" w:color="auto"/>
                        <w:bottom w:val="none" w:sz="0" w:space="0" w:color="auto"/>
                        <w:right w:val="none" w:sz="0" w:space="0" w:color="auto"/>
                      </w:divBdr>
                      <w:divsChild>
                        <w:div w:id="19219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59827">
              <w:marLeft w:val="0"/>
              <w:marRight w:val="0"/>
              <w:marTop w:val="0"/>
              <w:marBottom w:val="0"/>
              <w:divBdr>
                <w:top w:val="none" w:sz="0" w:space="0" w:color="auto"/>
                <w:left w:val="none" w:sz="0" w:space="0" w:color="auto"/>
                <w:bottom w:val="none" w:sz="0" w:space="0" w:color="auto"/>
                <w:right w:val="none" w:sz="0" w:space="0" w:color="auto"/>
              </w:divBdr>
            </w:div>
            <w:div w:id="2123842106">
              <w:marLeft w:val="0"/>
              <w:marRight w:val="0"/>
              <w:marTop w:val="240"/>
              <w:marBottom w:val="0"/>
              <w:divBdr>
                <w:top w:val="none" w:sz="0" w:space="0" w:color="auto"/>
                <w:left w:val="none" w:sz="0" w:space="0" w:color="auto"/>
                <w:bottom w:val="none" w:sz="0" w:space="0" w:color="auto"/>
                <w:right w:val="none" w:sz="0" w:space="0" w:color="auto"/>
              </w:divBdr>
              <w:divsChild>
                <w:div w:id="821309079">
                  <w:marLeft w:val="0"/>
                  <w:marRight w:val="0"/>
                  <w:marTop w:val="0"/>
                  <w:marBottom w:val="0"/>
                  <w:divBdr>
                    <w:top w:val="none" w:sz="0" w:space="0" w:color="auto"/>
                    <w:left w:val="none" w:sz="0" w:space="0" w:color="auto"/>
                    <w:bottom w:val="none" w:sz="0" w:space="0" w:color="auto"/>
                    <w:right w:val="none" w:sz="0" w:space="0" w:color="auto"/>
                  </w:divBdr>
                  <w:divsChild>
                    <w:div w:id="16487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21205">
      <w:bodyDiv w:val="1"/>
      <w:marLeft w:val="0"/>
      <w:marRight w:val="0"/>
      <w:marTop w:val="0"/>
      <w:marBottom w:val="0"/>
      <w:divBdr>
        <w:top w:val="none" w:sz="0" w:space="0" w:color="auto"/>
        <w:left w:val="none" w:sz="0" w:space="0" w:color="auto"/>
        <w:bottom w:val="none" w:sz="0" w:space="0" w:color="auto"/>
        <w:right w:val="none" w:sz="0" w:space="0" w:color="auto"/>
      </w:divBdr>
    </w:div>
    <w:div w:id="971667508">
      <w:bodyDiv w:val="1"/>
      <w:marLeft w:val="0"/>
      <w:marRight w:val="0"/>
      <w:marTop w:val="0"/>
      <w:marBottom w:val="0"/>
      <w:divBdr>
        <w:top w:val="none" w:sz="0" w:space="0" w:color="auto"/>
        <w:left w:val="none" w:sz="0" w:space="0" w:color="auto"/>
        <w:bottom w:val="none" w:sz="0" w:space="0" w:color="auto"/>
        <w:right w:val="none" w:sz="0" w:space="0" w:color="auto"/>
      </w:divBdr>
    </w:div>
    <w:div w:id="1186670017">
      <w:bodyDiv w:val="1"/>
      <w:marLeft w:val="0"/>
      <w:marRight w:val="0"/>
      <w:marTop w:val="0"/>
      <w:marBottom w:val="0"/>
      <w:divBdr>
        <w:top w:val="none" w:sz="0" w:space="0" w:color="auto"/>
        <w:left w:val="none" w:sz="0" w:space="0" w:color="auto"/>
        <w:bottom w:val="none" w:sz="0" w:space="0" w:color="auto"/>
        <w:right w:val="none" w:sz="0" w:space="0" w:color="auto"/>
      </w:divBdr>
    </w:div>
    <w:div w:id="1448964965">
      <w:bodyDiv w:val="1"/>
      <w:marLeft w:val="0"/>
      <w:marRight w:val="0"/>
      <w:marTop w:val="0"/>
      <w:marBottom w:val="0"/>
      <w:divBdr>
        <w:top w:val="none" w:sz="0" w:space="0" w:color="auto"/>
        <w:left w:val="none" w:sz="0" w:space="0" w:color="auto"/>
        <w:bottom w:val="none" w:sz="0" w:space="0" w:color="auto"/>
        <w:right w:val="none" w:sz="0" w:space="0" w:color="auto"/>
      </w:divBdr>
    </w:div>
    <w:div w:id="17608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man@azcapitalproject.org" TargetMode="External"/><Relationship Id="rId13" Type="http://schemas.openxmlformats.org/officeDocument/2006/relationships/hyperlink" Target="mailto:mcaomod@mcao.maric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zcentral.com/story/news/local/arizona/2020/03/13/maricopa-county-attorney-fire-jodi-arias-prosecutor-juan-martinez/50476450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c15.com/news/region-phoenix-metro/central-phoenix/arizona-state-bar-files-formal-complaint-against-arias-prosecutor-juan-martine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Euchner@pima.gov" TargetMode="External"/><Relationship Id="rId4" Type="http://schemas.openxmlformats.org/officeDocument/2006/relationships/settings" Target="settings.xml"/><Relationship Id="rId9" Type="http://schemas.openxmlformats.org/officeDocument/2006/relationships/hyperlink" Target="mailto:John.Canby@maricopa.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pps.azleg.gov/BillStatus/BillOverview/719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6ACCD-A1BC-4087-948B-931BFF96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23</Pages>
  <Words>5023</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33590</CharactersWithSpaces>
  <SharedDoc>false</SharedDoc>
  <HyperlinkBase/>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dc:creator>
  <cp:keywords/>
  <dc:description/>
  <cp:lastModifiedBy>David Euchner</cp:lastModifiedBy>
  <cp:revision>13</cp:revision>
  <cp:lastPrinted>2020-05-04T21:47:00Z</cp:lastPrinted>
  <dcterms:created xsi:type="dcterms:W3CDTF">2020-04-27T20:36:00Z</dcterms:created>
  <dcterms:modified xsi:type="dcterms:W3CDTF">2020-05-04T21:47:00Z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oFAAc7krgLHoShUds2Xk5b++P3kzzh7ztoDt7DctAsjjpXP85/UWIAg0VZCPBNHWcCKj60we5LPJEB/F
8nozSCgpYEWTfORLe60USaNVyS5b2uiRJr+VHH1ho3+W5vyGeFuCnjenv3h7OhjF8nozSCgpYEWT
fORLe60USaNVyS5b2uiRJr+VHH1ho8L0izjGNFWecGOew47sdVikOb2oQssUoZfH/WZUp6LfC1OB
APdmnu2m4Qmbxz7Sh</vt:lpwstr>
  </property>
  <property fmtid="{D5CDD505-2E9C-101B-9397-08002B2CF9AE}" pid="3" name="MAIL_MSG_ID2">
    <vt:lpwstr>6ySac0viDmhScNJVWofiN8K9q3ZhAprguVzbGD4hsA3225tKGQG8SE0WQma
wab3qAnaOrJBOWgLPxeFB8Sc78ru6ycj7UV4GzkcH0W8f2Yf</vt:lpwstr>
  </property>
  <property fmtid="{D5CDD505-2E9C-101B-9397-08002B2CF9AE}" pid="4" name="RESPONSE_SENDER_NAME">
    <vt:lpwstr>sAAAGYoQX4c3X/Ik5tzIJCpN8TViVN4bXH+7PGgszmrA04E=</vt:lpwstr>
  </property>
  <property fmtid="{D5CDD505-2E9C-101B-9397-08002B2CF9AE}" pid="5" name="EMAIL_OWNER_ADDRESS">
    <vt:lpwstr>4AAA9mrMv1QjWAt2jctZXc7Xp1tokjj15tZ1FF4RxQUb09J87TuUXfNC6Q==</vt:lpwstr>
  </property>
</Properties>
</file>