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E7375F">
        <w:trPr>
          <w:cantSplit/>
          <w:trHeight w:val="1863"/>
        </w:trPr>
        <w:tc>
          <w:tcPr>
            <w:tcW w:w="4836" w:type="dxa"/>
          </w:tcPr>
          <w:p w14:paraId="3B92AF78"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056261EB"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A532740"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5315828A"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7B3DBC20" w14:textId="0593B27C" w:rsidR="00E7375F" w:rsidRPr="00735659" w:rsidRDefault="00352347" w:rsidP="00735659">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tbl>
    <w:bookmarkEnd w:id="0"/>
    <w:p w14:paraId="15ADD3BB" w14:textId="1A854423" w:rsidR="00E7375F" w:rsidRPr="006F63FD" w:rsidRDefault="000F7A7F" w:rsidP="00E7375F">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BEB47B6" w:rsidR="00357F4D" w:rsidRPr="007464E1" w:rsidRDefault="00E67511" w:rsidP="007464E1">
            <w:pPr>
              <w:pStyle w:val="Caption"/>
              <w:spacing w:before="240" w:line="260" w:lineRule="exact"/>
              <w:rPr>
                <w:b/>
                <w:sz w:val="28"/>
                <w:szCs w:val="28"/>
              </w:rPr>
            </w:pPr>
            <w:r w:rsidRPr="00732169">
              <w:rPr>
                <w:b/>
                <w:sz w:val="28"/>
                <w:szCs w:val="28"/>
              </w:rPr>
              <w:t xml:space="preserve">PETITION TO </w:t>
            </w:r>
            <w:r w:rsidR="007464E1">
              <w:rPr>
                <w:b/>
                <w:sz w:val="28"/>
                <w:szCs w:val="28"/>
              </w:rPr>
              <w:t>PERMANENTLY ADOPT RULES FOR THE FAST TRIAL AND ALTERNATIVE RESOLUTION PROGRAM (“FASTAR”)</w:t>
            </w:r>
            <w:r w:rsidR="007464E1">
              <w:rPr>
                <w:b/>
                <w:sz w:val="28"/>
                <w:szCs w:val="28"/>
              </w:rPr>
              <w:br/>
            </w:r>
          </w:p>
        </w:tc>
        <w:tc>
          <w:tcPr>
            <w:tcW w:w="4524" w:type="dxa"/>
            <w:tcBorders>
              <w:top w:val="nil"/>
              <w:left w:val="single" w:sz="4" w:space="0" w:color="auto"/>
            </w:tcBorders>
            <w:shd w:val="clear" w:color="auto" w:fill="auto"/>
          </w:tcPr>
          <w:p w14:paraId="35CED5CB" w14:textId="4B8DFCE2"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7464E1">
              <w:rPr>
                <w:sz w:val="28"/>
                <w:szCs w:val="28"/>
              </w:rPr>
              <w:t>0012</w:t>
            </w:r>
          </w:p>
          <w:p w14:paraId="57E1364E" w14:textId="77777777" w:rsidR="007464E1" w:rsidRDefault="007464E1"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4C6B9FE0" w:rsidR="00357F4D" w:rsidRPr="007464E1" w:rsidRDefault="007464E1"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Pr="00E7375F" w:rsidRDefault="004331B2" w:rsidP="006338C1">
      <w:pPr>
        <w:pStyle w:val="Body"/>
        <w:widowControl w:val="0"/>
        <w:ind w:firstLine="720"/>
        <w:jc w:val="both"/>
        <w:rPr>
          <w:sz w:val="16"/>
          <w:szCs w:val="16"/>
        </w:rPr>
      </w:pPr>
    </w:p>
    <w:p w14:paraId="5AD58AD1" w14:textId="77777777" w:rsidR="00F959E1" w:rsidRDefault="00F959E1" w:rsidP="00F959E1">
      <w:pPr>
        <w:pStyle w:val="Body"/>
        <w:widowControl w:val="0"/>
        <w:spacing w:line="480" w:lineRule="auto"/>
        <w:ind w:firstLine="720"/>
        <w:jc w:val="both"/>
        <w:rPr>
          <w:sz w:val="28"/>
          <w:szCs w:val="28"/>
        </w:rPr>
      </w:pPr>
      <w:r w:rsidRPr="007B7449">
        <w:rPr>
          <w:sz w:val="28"/>
          <w:szCs w:val="28"/>
        </w:rPr>
        <w:t>Pursuant to Rule 28(</w:t>
      </w:r>
      <w:r>
        <w:rPr>
          <w:sz w:val="28"/>
          <w:szCs w:val="28"/>
        </w:rPr>
        <w:t>e</w:t>
      </w:r>
      <w:r w:rsidRPr="007B7449">
        <w:rPr>
          <w:sz w:val="28"/>
          <w:szCs w:val="28"/>
        </w:rPr>
        <w:t xml:space="preserve">) of the Arizona Rules of Supreme Court, the State Bar of Arizona (the “State Bar”) hereby </w:t>
      </w:r>
      <w:r>
        <w:rPr>
          <w:sz w:val="28"/>
          <w:szCs w:val="28"/>
        </w:rPr>
        <w:t xml:space="preserve">submits the following as its comment to the above-captioned Petition.   </w:t>
      </w:r>
      <w:r w:rsidRPr="006F63FD">
        <w:rPr>
          <w:sz w:val="28"/>
          <w:szCs w:val="28"/>
        </w:rPr>
        <w:t xml:space="preserve"> </w:t>
      </w:r>
    </w:p>
    <w:p w14:paraId="4D3B6225" w14:textId="77777777" w:rsidR="00F959E1" w:rsidRDefault="00F959E1" w:rsidP="00F959E1">
      <w:pPr>
        <w:pStyle w:val="BodyText"/>
        <w:spacing w:line="480" w:lineRule="auto"/>
        <w:ind w:firstLine="540"/>
        <w:jc w:val="both"/>
        <w:rPr>
          <w:sz w:val="28"/>
          <w:szCs w:val="28"/>
        </w:rPr>
      </w:pPr>
      <w:r>
        <w:rPr>
          <w:sz w:val="28"/>
          <w:szCs w:val="28"/>
        </w:rPr>
        <w:t xml:space="preserve">The State Bar of Arizona is encouraged by the progress of the FASTAR pilot program in Pima County.  Data from the program’s first two years indicates an increase of jury trials with a significantly decreased time from case initiation to disposition.  This initial data indicates that the FASTAR program has promise to achieve its objectives of increasing access to the jury trial system, while still providing for efficient, streamlined resolution of lower-dollar cases.  </w:t>
      </w:r>
    </w:p>
    <w:p w14:paraId="7A3106B2" w14:textId="77777777" w:rsidR="00F959E1" w:rsidRDefault="00F959E1" w:rsidP="00F959E1">
      <w:pPr>
        <w:pStyle w:val="BodyText"/>
        <w:spacing w:line="480" w:lineRule="auto"/>
        <w:ind w:firstLine="540"/>
        <w:jc w:val="both"/>
        <w:rPr>
          <w:sz w:val="28"/>
          <w:szCs w:val="28"/>
        </w:rPr>
      </w:pPr>
      <w:r>
        <w:rPr>
          <w:sz w:val="28"/>
          <w:szCs w:val="28"/>
        </w:rPr>
        <w:lastRenderedPageBreak/>
        <w:t xml:space="preserve">Because the FASTAR program has only been in effect for two full years, however, the State Bar does not at this time endorse the proposed permanent adoption of the FASTAR rules.  Instead, the State Bar recommends that the Court extend the current pilot program for an additional three years through an administrative order.  At the same time, the State Bar recommends that the Court adopt the Petitioner’s other proposed modifications to the FASTAR rules (with one proposed change, discussed below). Among other things, the Petitioners’ proposed modifications would permit other counties to implement the FASTAR program, which will provide valuable feedback that can be taken into account in formulating a permanent set of FASTAR rules following the conclusion of the proposed extended pilot program. </w:t>
      </w:r>
    </w:p>
    <w:p w14:paraId="45DAD206" w14:textId="77777777" w:rsidR="00F959E1" w:rsidRPr="00123B37" w:rsidRDefault="00F959E1" w:rsidP="00F959E1">
      <w:pPr>
        <w:pStyle w:val="PleadingPhL2"/>
        <w:spacing w:line="480" w:lineRule="auto"/>
        <w:ind w:left="0" w:firstLine="0"/>
      </w:pPr>
      <w:r>
        <w:t>BACKGROUND</w:t>
      </w:r>
    </w:p>
    <w:p w14:paraId="76B817A7" w14:textId="77777777" w:rsidR="00F959E1" w:rsidRPr="001336C3" w:rsidRDefault="00F959E1" w:rsidP="00F959E1">
      <w:pPr>
        <w:pStyle w:val="BodyText"/>
        <w:spacing w:line="480" w:lineRule="auto"/>
        <w:ind w:firstLine="540"/>
        <w:jc w:val="both"/>
        <w:rPr>
          <w:sz w:val="28"/>
          <w:szCs w:val="28"/>
        </w:rPr>
      </w:pPr>
      <w:r>
        <w:rPr>
          <w:sz w:val="28"/>
          <w:szCs w:val="28"/>
        </w:rPr>
        <w:t xml:space="preserve">In 2017, based on the recommendation of the Committee on Civil Justice Reform, the Court established a “pilot program in Pima County under which plaintiffs can opt for a short trial in court instead of compulsory arbitration.”  </w:t>
      </w:r>
      <w:r>
        <w:rPr>
          <w:i/>
          <w:iCs/>
          <w:sz w:val="28"/>
          <w:szCs w:val="28"/>
        </w:rPr>
        <w:t xml:space="preserve">See </w:t>
      </w:r>
      <w:r>
        <w:rPr>
          <w:sz w:val="28"/>
          <w:szCs w:val="28"/>
        </w:rPr>
        <w:t xml:space="preserve">Admin. Order 2017-116 (Oct. 26, 2017).  The pilot program, called the “Fast Trial and Alternative Resolution Program” or “FASTAR,” was for three years and is currently set to expire on October 31, 2020.  </w:t>
      </w:r>
    </w:p>
    <w:p w14:paraId="0F705BF4" w14:textId="77777777" w:rsidR="00F959E1" w:rsidRDefault="00F959E1" w:rsidP="00F959E1">
      <w:pPr>
        <w:pStyle w:val="BodyText"/>
        <w:spacing w:line="480" w:lineRule="auto"/>
        <w:ind w:firstLine="540"/>
        <w:jc w:val="both"/>
        <w:rPr>
          <w:sz w:val="28"/>
          <w:szCs w:val="28"/>
        </w:rPr>
      </w:pPr>
      <w:r>
        <w:rPr>
          <w:sz w:val="28"/>
          <w:szCs w:val="28"/>
        </w:rPr>
        <w:lastRenderedPageBreak/>
        <w:t>Under the FASTAR rules, a plaintiff suing only for monetary damages and only amounts less than $50,000 may opt for either (1) a fast trial before a judge or jury or (2) arbitration.  Before the pilot program, such cases were subject to compulsory arbitration.  Under the pilot program, the choice is plaintiff’s to make.  FASTAR 103.  A party may appeal a final judgment from a FASTAR trial to the court of appeals.  FASTAR 118(d).  If a plaintiff chooses arbitration via FASTAR’s “Alternative Resolution” rather than a trial, then the plaintiff may not appeal the arbitrator’s decision, but other parties may appeal to the superior court.  FASTAR 126(a)(2).  If appealed, the parties are entitled to a trial de novo on all issues determined by the arbitrator.  FASTAR 126(d).</w:t>
      </w:r>
    </w:p>
    <w:p w14:paraId="648463E6" w14:textId="77777777" w:rsidR="00F959E1" w:rsidRDefault="00F959E1" w:rsidP="00F959E1">
      <w:pPr>
        <w:pStyle w:val="BodyText"/>
        <w:spacing w:line="480" w:lineRule="auto"/>
        <w:ind w:firstLine="540"/>
        <w:jc w:val="both"/>
        <w:rPr>
          <w:sz w:val="28"/>
          <w:szCs w:val="28"/>
        </w:rPr>
      </w:pPr>
      <w:r>
        <w:rPr>
          <w:sz w:val="28"/>
          <w:szCs w:val="28"/>
        </w:rPr>
        <w:t xml:space="preserve">During the three-year pilot, the superior court and the Administrative Office of Courts were required to monitor the program and submit an annual progress report.  </w:t>
      </w:r>
      <w:r>
        <w:rPr>
          <w:i/>
          <w:iCs/>
          <w:sz w:val="28"/>
          <w:szCs w:val="28"/>
        </w:rPr>
        <w:t>Id</w:t>
      </w:r>
      <w:r>
        <w:rPr>
          <w:sz w:val="28"/>
          <w:szCs w:val="28"/>
        </w:rPr>
        <w:t xml:space="preserve">.  The first of three reports was issued on March 4, 2019, and is attached as </w:t>
      </w:r>
      <w:r>
        <w:rPr>
          <w:b/>
          <w:bCs/>
          <w:sz w:val="28"/>
          <w:szCs w:val="28"/>
        </w:rPr>
        <w:t>Exhibit A</w:t>
      </w:r>
      <w:r>
        <w:rPr>
          <w:sz w:val="28"/>
          <w:szCs w:val="28"/>
        </w:rPr>
        <w:t xml:space="preserve">.  The second report was issued on December 12, 2019, and is attached as </w:t>
      </w:r>
      <w:r w:rsidRPr="001336C3">
        <w:rPr>
          <w:b/>
          <w:bCs/>
          <w:sz w:val="28"/>
          <w:szCs w:val="28"/>
        </w:rPr>
        <w:t>Exhibit B</w:t>
      </w:r>
      <w:r>
        <w:rPr>
          <w:b/>
          <w:bCs/>
          <w:sz w:val="28"/>
          <w:szCs w:val="28"/>
        </w:rPr>
        <w:t>.</w:t>
      </w:r>
      <w:r>
        <w:rPr>
          <w:sz w:val="28"/>
          <w:szCs w:val="28"/>
        </w:rPr>
        <w:t xml:space="preserve">  Because the program is currently in its third year, the third report is not yet available.  The reports disclose that:</w:t>
      </w:r>
    </w:p>
    <w:p w14:paraId="45F95A9A" w14:textId="77777777" w:rsidR="00F959E1" w:rsidRDefault="00F959E1" w:rsidP="00FB1D14">
      <w:pPr>
        <w:pStyle w:val="BodyText"/>
        <w:widowControl w:val="0"/>
        <w:numPr>
          <w:ilvl w:val="0"/>
          <w:numId w:val="18"/>
        </w:numPr>
        <w:spacing w:after="0" w:line="240" w:lineRule="auto"/>
        <w:ind w:left="1170" w:right="1170" w:hanging="450"/>
        <w:jc w:val="both"/>
        <w:rPr>
          <w:sz w:val="28"/>
          <w:szCs w:val="28"/>
        </w:rPr>
      </w:pPr>
      <w:r>
        <w:rPr>
          <w:sz w:val="28"/>
          <w:szCs w:val="28"/>
        </w:rPr>
        <w:t>plaintiffs chose the “Fast Trial” option in approximately 43% of eligible cases in year 1 and in 40.2% of eligible cases in year 2;</w:t>
      </w:r>
    </w:p>
    <w:p w14:paraId="0A159CF1" w14:textId="77777777" w:rsidR="00F959E1" w:rsidRDefault="00F959E1" w:rsidP="00FB1D14">
      <w:pPr>
        <w:pStyle w:val="BodyText"/>
        <w:widowControl w:val="0"/>
        <w:numPr>
          <w:ilvl w:val="0"/>
          <w:numId w:val="18"/>
        </w:numPr>
        <w:spacing w:after="0" w:line="240" w:lineRule="auto"/>
        <w:ind w:left="1170" w:right="1170" w:hanging="450"/>
        <w:jc w:val="both"/>
        <w:rPr>
          <w:sz w:val="28"/>
          <w:szCs w:val="28"/>
        </w:rPr>
      </w:pPr>
      <w:r>
        <w:rPr>
          <w:sz w:val="28"/>
          <w:szCs w:val="28"/>
        </w:rPr>
        <w:t>on average, a case’s time to disposition shrunk from approximately 8 months pre-FASTAR to approximately 5 months;</w:t>
      </w:r>
    </w:p>
    <w:p w14:paraId="7A32789A" w14:textId="77777777" w:rsidR="00F959E1" w:rsidRDefault="00F959E1" w:rsidP="00FB1D14">
      <w:pPr>
        <w:pStyle w:val="BodyText"/>
        <w:widowControl w:val="0"/>
        <w:numPr>
          <w:ilvl w:val="0"/>
          <w:numId w:val="18"/>
        </w:numPr>
        <w:spacing w:after="0" w:line="240" w:lineRule="auto"/>
        <w:ind w:left="1170" w:right="1170" w:hanging="450"/>
        <w:jc w:val="both"/>
        <w:rPr>
          <w:sz w:val="28"/>
          <w:szCs w:val="28"/>
        </w:rPr>
      </w:pPr>
      <w:r>
        <w:rPr>
          <w:sz w:val="28"/>
          <w:szCs w:val="28"/>
        </w:rPr>
        <w:t>there were 5 FASTAR trials during year 1 and 15 FASTAR trials during year 2;</w:t>
      </w:r>
    </w:p>
    <w:p w14:paraId="7D49AED7" w14:textId="4B66AC37" w:rsidR="00F959E1" w:rsidRDefault="00F959E1" w:rsidP="00E7375F">
      <w:pPr>
        <w:pStyle w:val="BodyText"/>
        <w:widowControl w:val="0"/>
        <w:numPr>
          <w:ilvl w:val="0"/>
          <w:numId w:val="18"/>
        </w:numPr>
        <w:spacing w:after="0" w:line="360" w:lineRule="auto"/>
        <w:ind w:left="1170" w:right="1170" w:hanging="450"/>
        <w:jc w:val="both"/>
        <w:rPr>
          <w:sz w:val="28"/>
          <w:szCs w:val="28"/>
        </w:rPr>
      </w:pPr>
      <w:r>
        <w:rPr>
          <w:sz w:val="28"/>
          <w:szCs w:val="28"/>
        </w:rPr>
        <w:t>there was 1 appeal from a FASTAR trial.</w:t>
      </w:r>
    </w:p>
    <w:p w14:paraId="0EC57AE6" w14:textId="77777777" w:rsidR="00F959E1" w:rsidRDefault="00F959E1" w:rsidP="00E7375F">
      <w:pPr>
        <w:pStyle w:val="BodyText"/>
        <w:spacing w:line="480" w:lineRule="auto"/>
        <w:jc w:val="both"/>
        <w:rPr>
          <w:sz w:val="28"/>
          <w:szCs w:val="28"/>
        </w:rPr>
      </w:pPr>
      <w:r>
        <w:rPr>
          <w:b/>
          <w:bCs/>
          <w:sz w:val="28"/>
          <w:szCs w:val="28"/>
        </w:rPr>
        <w:t xml:space="preserve">Ex. B </w:t>
      </w:r>
      <w:r>
        <w:rPr>
          <w:sz w:val="28"/>
          <w:szCs w:val="28"/>
        </w:rPr>
        <w:t xml:space="preserve">at 3-4.  The reports also note that there is a case pending before the Arizona Supreme Court challenging the FASTAR program.  </w:t>
      </w:r>
      <w:r>
        <w:rPr>
          <w:b/>
          <w:bCs/>
          <w:sz w:val="28"/>
          <w:szCs w:val="28"/>
        </w:rPr>
        <w:t xml:space="preserve">Ex. B </w:t>
      </w:r>
      <w:r>
        <w:rPr>
          <w:sz w:val="28"/>
          <w:szCs w:val="28"/>
        </w:rPr>
        <w:t xml:space="preserve">at 4; </w:t>
      </w:r>
      <w:r>
        <w:rPr>
          <w:i/>
          <w:iCs/>
          <w:sz w:val="28"/>
          <w:szCs w:val="28"/>
        </w:rPr>
        <w:t>see Duff v. Lee</w:t>
      </w:r>
      <w:r>
        <w:rPr>
          <w:sz w:val="28"/>
          <w:szCs w:val="28"/>
        </w:rPr>
        <w:t xml:space="preserve">, 246 Ariz. 418, 439 P.3d 1199 (App. 2019), </w:t>
      </w:r>
      <w:r>
        <w:rPr>
          <w:i/>
          <w:iCs/>
          <w:sz w:val="28"/>
          <w:szCs w:val="28"/>
        </w:rPr>
        <w:t>review granted Duff v. Lee</w:t>
      </w:r>
      <w:r>
        <w:rPr>
          <w:sz w:val="28"/>
          <w:szCs w:val="28"/>
        </w:rPr>
        <w:t>, Case No. CV-19-0128-PR.  Oral argument was held on February 18, 2020, but the case remains under consideration by the Court (as of Apr. 24, 2020).  Among other things, the case challenges that the FASTAR program conflicts with A.R.S. § 12-133, which states that the “superior court, by rule of court, shall . . . [r]equire arbitration” in cases seeking monetary damages of less than certain threshold amounts.</w:t>
      </w:r>
    </w:p>
    <w:p w14:paraId="490888B8" w14:textId="77777777" w:rsidR="00F959E1" w:rsidRDefault="00F959E1" w:rsidP="00F959E1">
      <w:pPr>
        <w:pStyle w:val="BodyText"/>
        <w:spacing w:line="480" w:lineRule="auto"/>
        <w:ind w:firstLine="540"/>
        <w:jc w:val="both"/>
        <w:rPr>
          <w:sz w:val="28"/>
          <w:szCs w:val="28"/>
        </w:rPr>
      </w:pPr>
      <w:r>
        <w:rPr>
          <w:sz w:val="28"/>
          <w:szCs w:val="28"/>
        </w:rPr>
        <w:t xml:space="preserve">In both reports, “there are no recommendations now for changes to the FASTAR program.”  </w:t>
      </w:r>
      <w:r>
        <w:rPr>
          <w:b/>
          <w:bCs/>
          <w:sz w:val="28"/>
          <w:szCs w:val="28"/>
        </w:rPr>
        <w:t xml:space="preserve">Ex. B </w:t>
      </w:r>
      <w:r>
        <w:rPr>
          <w:sz w:val="28"/>
          <w:szCs w:val="28"/>
        </w:rPr>
        <w:t>at 4.  The December 2019 report states that the “data continues to be promising” due to the decrease in time to disposition, the significant number of cases in the Fast Trial track, and the low rate of appeals.</w:t>
      </w:r>
    </w:p>
    <w:p w14:paraId="6771D967" w14:textId="77777777" w:rsidR="00F959E1" w:rsidRDefault="00F959E1" w:rsidP="00F959E1">
      <w:pPr>
        <w:pStyle w:val="PleadingPhL2"/>
        <w:spacing w:line="480" w:lineRule="auto"/>
        <w:ind w:left="0" w:firstLine="0"/>
      </w:pPr>
      <w:r>
        <w:t>the petition</w:t>
      </w:r>
    </w:p>
    <w:p w14:paraId="15AE271A" w14:textId="77777777" w:rsidR="00F959E1" w:rsidRDefault="00F959E1" w:rsidP="00F959E1">
      <w:pPr>
        <w:pStyle w:val="BodyText"/>
        <w:spacing w:line="480" w:lineRule="auto"/>
        <w:ind w:firstLine="540"/>
        <w:jc w:val="both"/>
        <w:rPr>
          <w:sz w:val="28"/>
          <w:szCs w:val="28"/>
        </w:rPr>
      </w:pPr>
      <w:r>
        <w:rPr>
          <w:sz w:val="28"/>
          <w:szCs w:val="28"/>
        </w:rPr>
        <w:t xml:space="preserve">In Petition R-20-0012, the Presiding Judge of Pima County Superior Court (Judge Kyle Bryson) asks the Court to permanently adopt the FASTAR rules, based on Pima County’s positive experience with the pilot program. The Petitioner also requests that the FASTAR rules be amended so that they are available for use in every county’s superior court if the superior court decides to “establish[] a program for a fast trial with an alternative resolution option.”  Petition at 5.  As Petitioner explains, “[t]his modification would allow any of Arizona’s 15 counties to establish a permanent FASTAR program by local rule, administrative order, or policy.”  </w:t>
      </w:r>
      <w:r>
        <w:rPr>
          <w:i/>
          <w:iCs/>
          <w:sz w:val="28"/>
          <w:szCs w:val="28"/>
        </w:rPr>
        <w:t>Id</w:t>
      </w:r>
      <w:r>
        <w:rPr>
          <w:sz w:val="28"/>
          <w:szCs w:val="28"/>
        </w:rPr>
        <w:t xml:space="preserve">. </w:t>
      </w:r>
    </w:p>
    <w:p w14:paraId="551ECC63" w14:textId="77777777" w:rsidR="00F959E1" w:rsidRPr="001336C3" w:rsidRDefault="00F959E1" w:rsidP="00F959E1">
      <w:pPr>
        <w:pStyle w:val="BodyText"/>
        <w:spacing w:line="480" w:lineRule="auto"/>
        <w:ind w:firstLine="540"/>
        <w:jc w:val="both"/>
        <w:rPr>
          <w:sz w:val="28"/>
          <w:szCs w:val="28"/>
        </w:rPr>
      </w:pPr>
      <w:r>
        <w:rPr>
          <w:sz w:val="28"/>
          <w:szCs w:val="28"/>
        </w:rPr>
        <w:t xml:space="preserve">In addition to making the rules permanent and allowing for expansion to other counties, the Petition proposes various other substantive and non-substantive amendments to the rules.  </w:t>
      </w:r>
      <w:r>
        <w:rPr>
          <w:i/>
          <w:iCs/>
          <w:sz w:val="28"/>
          <w:szCs w:val="28"/>
        </w:rPr>
        <w:t xml:space="preserve">See </w:t>
      </w:r>
      <w:r>
        <w:rPr>
          <w:sz w:val="28"/>
          <w:szCs w:val="28"/>
        </w:rPr>
        <w:t>Petition at 5-18 (describing rules and proposed changes).</w:t>
      </w:r>
    </w:p>
    <w:p w14:paraId="1993D7CC" w14:textId="77777777" w:rsidR="00F959E1" w:rsidRDefault="00F959E1" w:rsidP="00F959E1">
      <w:pPr>
        <w:pStyle w:val="BodyText"/>
        <w:spacing w:line="480" w:lineRule="auto"/>
        <w:ind w:firstLine="540"/>
        <w:jc w:val="both"/>
        <w:rPr>
          <w:sz w:val="28"/>
          <w:szCs w:val="28"/>
        </w:rPr>
      </w:pPr>
      <w:r>
        <w:rPr>
          <w:sz w:val="28"/>
          <w:szCs w:val="28"/>
        </w:rPr>
        <w:t>The Petition explains that the FASTAR program allows plaintiffs their day in court but “eliminates the need for an expensive trial de novo following an arbitration, provides trial experience for attorneys, and underscores the historic and cultural role of juries in the American justice system.”  Petition at 4.</w:t>
      </w:r>
    </w:p>
    <w:p w14:paraId="27288BF1" w14:textId="6D824B66" w:rsidR="00FB1D14" w:rsidRPr="00FB1D14" w:rsidRDefault="00F959E1" w:rsidP="00FB1D14">
      <w:pPr>
        <w:pStyle w:val="PleadingPhL2"/>
      </w:pPr>
      <w:r>
        <w:t>the state bar recommends that the pilot program be extended and that petitioner’s proposed changes be implemented through administrative order, rather than as a permanent rule</w:t>
      </w:r>
    </w:p>
    <w:p w14:paraId="090AD620" w14:textId="45E66B02" w:rsidR="00F959E1" w:rsidRDefault="00F959E1" w:rsidP="00F959E1">
      <w:pPr>
        <w:pStyle w:val="PleadingPhL3"/>
      </w:pPr>
      <w:r>
        <w:t>The Pilot Program Should Be Extended By Administrative Order For An Additional Three-Year Period.</w:t>
      </w:r>
    </w:p>
    <w:p w14:paraId="7CC4A3EA" w14:textId="77777777" w:rsidR="00F959E1" w:rsidRPr="00F959E1" w:rsidRDefault="00F959E1" w:rsidP="00F959E1">
      <w:pPr>
        <w:pStyle w:val="BodyText"/>
        <w:rPr>
          <w:lang w:eastAsia="zh-CN"/>
        </w:rPr>
      </w:pPr>
    </w:p>
    <w:p w14:paraId="7FC54710" w14:textId="77777777" w:rsidR="00F959E1" w:rsidRDefault="00F959E1" w:rsidP="00F959E1">
      <w:pPr>
        <w:pStyle w:val="BodyText"/>
        <w:spacing w:line="480" w:lineRule="auto"/>
        <w:ind w:firstLine="540"/>
        <w:jc w:val="both"/>
        <w:rPr>
          <w:sz w:val="28"/>
          <w:szCs w:val="28"/>
        </w:rPr>
      </w:pPr>
      <w:r>
        <w:rPr>
          <w:sz w:val="28"/>
          <w:szCs w:val="28"/>
        </w:rPr>
        <w:t xml:space="preserve">The State Bar is supportive of the FASTAR program and its goals, and shares in Petitioner’s view that the results so far are promising. This initial data shows that the FASTAR program is achieving some of its objectives.  The State Bar believes, however, that it is premature to permanently adopt the program.  Instead, the State Bar recommends that the pilot program be extended for an additional three years, with certain modifications as proposed by Petitioner--including that the pilot program be expanded to allow other counties to participate. </w:t>
      </w:r>
    </w:p>
    <w:p w14:paraId="3FCA8F28" w14:textId="77777777" w:rsidR="007464E1" w:rsidRDefault="00F959E1" w:rsidP="007464E1">
      <w:pPr>
        <w:pStyle w:val="BodyText"/>
        <w:spacing w:line="480" w:lineRule="auto"/>
        <w:ind w:firstLine="540"/>
        <w:jc w:val="both"/>
        <w:rPr>
          <w:sz w:val="28"/>
          <w:szCs w:val="28"/>
        </w:rPr>
      </w:pPr>
      <w:r>
        <w:rPr>
          <w:sz w:val="28"/>
          <w:szCs w:val="28"/>
        </w:rPr>
        <w:t xml:space="preserve">The FASTAR pilot program still has nearly another year of its initial three years of experience and data to gather -- but it will be a year with skewed data due to pandemic limitations.  The progress reports filed with the Arizona Judicial Council for the program’s first two years show promising but limited data concerning use of court resources, case-type, litigant satisfaction, and other measurements of the program’s goals.  The only information on litigant experience is “Anecdotal Information” contained in the initial report to the Arizona Judicial Council (Exhibit A), stating that “[c]omments from lawyers about the FASTAR system have been split,” and noting: (i) concerns from  personal injury plaintiffs’ lawyers about the cost of securing the testimony of treating physicians; and (ii) concerns about a plaintiff’s inability to appeal an arbitrator’s decision under the Alternative Resolution Track.  </w:t>
      </w:r>
      <w:r>
        <w:rPr>
          <w:i/>
          <w:sz w:val="28"/>
          <w:szCs w:val="28"/>
        </w:rPr>
        <w:t xml:space="preserve">See </w:t>
      </w:r>
      <w:r>
        <w:rPr>
          <w:sz w:val="28"/>
          <w:szCs w:val="28"/>
        </w:rPr>
        <w:t>Exhibit A, at pp. 3-4.</w:t>
      </w:r>
      <w:r>
        <w:rPr>
          <w:rStyle w:val="FootnoteReference"/>
          <w:sz w:val="28"/>
          <w:szCs w:val="28"/>
        </w:rPr>
        <w:footnoteReference w:id="1"/>
      </w:r>
    </w:p>
    <w:p w14:paraId="28C8BBD3" w14:textId="2C2B2C46" w:rsidR="00F959E1" w:rsidRDefault="00F959E1" w:rsidP="007464E1">
      <w:pPr>
        <w:pStyle w:val="BodyText"/>
        <w:spacing w:line="480" w:lineRule="auto"/>
        <w:ind w:firstLine="540"/>
        <w:jc w:val="both"/>
        <w:rPr>
          <w:sz w:val="28"/>
          <w:szCs w:val="28"/>
        </w:rPr>
      </w:pPr>
      <w:r>
        <w:rPr>
          <w:sz w:val="28"/>
          <w:szCs w:val="28"/>
        </w:rPr>
        <w:t>It also appears from the available data that the use of the Fast Trial option has not been selected as often in tort motor vehicle cases as in other types of cases, such</w:t>
      </w:r>
      <w:r w:rsidR="00E7375F">
        <w:rPr>
          <w:sz w:val="28"/>
          <w:szCs w:val="28"/>
        </w:rPr>
        <w:t xml:space="preserve"> </w:t>
      </w:r>
      <w:r>
        <w:rPr>
          <w:sz w:val="28"/>
          <w:szCs w:val="28"/>
        </w:rPr>
        <w:t xml:space="preserve">as contract/debt collection cases.  Statistics from Pima County show, for example, that since the program’s inception, approximately 73% of motor-vehicle tort case plaintiffs have selected the Alternative Resolution option rather than the Fast Trial option, compared with approximately 49% of contract cases, 50% of non-motor-vehicle tort cases, and 19% of unclassified civil cases.  Thus, the FASTAR program is not currently appealing to a large category of litigants, i.e., those in low-dollar value motor-vehicle tort cases, that it was intended to attract.  This disparity suggests that additional study is warranted to determine if other rule modifications should be made to expand the use of the program in tort cases. </w:t>
      </w:r>
    </w:p>
    <w:p w14:paraId="37DA47F3" w14:textId="77777777" w:rsidR="00F959E1" w:rsidRDefault="00F959E1" w:rsidP="00F959E1">
      <w:pPr>
        <w:pStyle w:val="BodyText"/>
        <w:spacing w:line="480" w:lineRule="auto"/>
        <w:ind w:firstLine="540"/>
        <w:jc w:val="both"/>
        <w:rPr>
          <w:sz w:val="28"/>
          <w:szCs w:val="28"/>
        </w:rPr>
      </w:pPr>
      <w:r>
        <w:rPr>
          <w:sz w:val="28"/>
          <w:szCs w:val="28"/>
        </w:rPr>
        <w:t>Additionally, the State Bar is informed that Maricopa County is currently evaluating implementation of the FASTAR program, and that other smaller counties (Yuma and Yavapai) are also considering doing so.  The State Bar urges the Court to encourage other counties to implement the FASTAR pilot program because it would be useful to gain additional information from the experience of counties both larger and smaller than Pima County, before the FASTAR rules are adopted on a permanent basis. For example, there is a concern that the program’s increased reliance on courts for trials may present unique challenges in a larger county such as Maricopa.  Additional data over a longer period of time would allow the Court and stakeholders to better evaluate the benefits and costs of the program, including its feasibility in other counties with varying geographic realities and divisions of the superior court.  Thus, any extension of the pilot program as proposed by the State Bar should include Petitioner’s proposed modifications to the FASTAR rules to permit other counties to participate.  The Court also should continue to require periodic reporting to the Arizona Judicial Council, from all jurisdictions implementing the pilot program.</w:t>
      </w:r>
    </w:p>
    <w:p w14:paraId="4C06F4E4" w14:textId="77777777" w:rsidR="00F959E1" w:rsidRDefault="00F959E1" w:rsidP="00F959E1">
      <w:pPr>
        <w:pStyle w:val="BodyText"/>
        <w:spacing w:line="480" w:lineRule="auto"/>
        <w:ind w:firstLine="540"/>
        <w:jc w:val="both"/>
        <w:rPr>
          <w:sz w:val="28"/>
          <w:szCs w:val="28"/>
        </w:rPr>
      </w:pPr>
      <w:r>
        <w:rPr>
          <w:sz w:val="28"/>
          <w:szCs w:val="28"/>
        </w:rPr>
        <w:t xml:space="preserve">Finally, the pending </w:t>
      </w:r>
      <w:r>
        <w:rPr>
          <w:i/>
          <w:iCs/>
          <w:sz w:val="28"/>
          <w:szCs w:val="28"/>
        </w:rPr>
        <w:t xml:space="preserve">Duff v. Lee </w:t>
      </w:r>
      <w:r>
        <w:rPr>
          <w:sz w:val="28"/>
          <w:szCs w:val="28"/>
        </w:rPr>
        <w:t xml:space="preserve">matter leaves the FASTAR program under a cloud of uncertainty.  That case should be resolved before the Court considers permanent changes to the program.  </w:t>
      </w:r>
    </w:p>
    <w:p w14:paraId="2B064940" w14:textId="0F4E31EE" w:rsidR="00E7375F" w:rsidRDefault="00F959E1" w:rsidP="00E7375F">
      <w:pPr>
        <w:pStyle w:val="BodyText"/>
        <w:spacing w:line="480" w:lineRule="auto"/>
        <w:ind w:firstLine="540"/>
        <w:jc w:val="both"/>
        <w:rPr>
          <w:sz w:val="28"/>
          <w:szCs w:val="28"/>
        </w:rPr>
      </w:pPr>
      <w:r>
        <w:rPr>
          <w:sz w:val="28"/>
          <w:szCs w:val="28"/>
        </w:rPr>
        <w:t>Taking all of the foregoing into account, the State Bar believes that extending the pilot program for an additional three years will allow more flexibility to modify the applicable rules to address gaps and other issues with the program’s implementation as its use expands to other counties.  This is preferable to adopting the rule permanently at this time, which would make it more difficult to adjust as additional data and experience is gained.</w:t>
      </w:r>
    </w:p>
    <w:p w14:paraId="3D0693C5" w14:textId="2E792C60" w:rsidR="00F959E1" w:rsidRDefault="00F959E1" w:rsidP="00F959E1">
      <w:pPr>
        <w:pStyle w:val="PleadingPhL3"/>
      </w:pPr>
      <w:r>
        <w:t>Petitioner’s Proposed Modifications Should be Adopted, With One Proposed Change.</w:t>
      </w:r>
    </w:p>
    <w:p w14:paraId="79A83DA8" w14:textId="77777777" w:rsidR="00FB1D14" w:rsidRPr="00FB1D14" w:rsidRDefault="00FB1D14" w:rsidP="00FB1D14">
      <w:pPr>
        <w:pStyle w:val="BodyText"/>
        <w:rPr>
          <w:lang w:eastAsia="zh-CN"/>
        </w:rPr>
      </w:pPr>
    </w:p>
    <w:p w14:paraId="31845038" w14:textId="77777777" w:rsidR="00F959E1" w:rsidRDefault="00F959E1" w:rsidP="00F959E1">
      <w:pPr>
        <w:pStyle w:val="BodyText"/>
        <w:spacing w:line="480" w:lineRule="auto"/>
        <w:ind w:firstLine="540"/>
        <w:jc w:val="both"/>
        <w:rPr>
          <w:sz w:val="28"/>
          <w:szCs w:val="28"/>
        </w:rPr>
      </w:pPr>
      <w:r>
        <w:rPr>
          <w:sz w:val="28"/>
          <w:szCs w:val="28"/>
        </w:rPr>
        <w:t>The Petition proposes several modifications to existing FASTAR rules.  With one minor exception, the State Bar agrees that the proposed changes should be adopted, either as part of the extended pilot program as supported by the State Bar, or in any permanent rule that the Court may adopt.</w:t>
      </w:r>
    </w:p>
    <w:p w14:paraId="7D68F712" w14:textId="3EDB76E2" w:rsidR="00E7375F" w:rsidRDefault="00F959E1" w:rsidP="00E7375F">
      <w:pPr>
        <w:pStyle w:val="BodyText"/>
        <w:spacing w:line="480" w:lineRule="auto"/>
        <w:ind w:firstLine="540"/>
        <w:jc w:val="both"/>
        <w:rPr>
          <w:sz w:val="28"/>
          <w:szCs w:val="28"/>
        </w:rPr>
      </w:pPr>
      <w:r>
        <w:rPr>
          <w:sz w:val="28"/>
          <w:szCs w:val="28"/>
        </w:rPr>
        <w:t>The State Bar proposes one modification to Petitioner’s proposed changes, as follows.  Petitioner proposes adding a new section (d) to Rule 102, titled “Exceptions,” which provides that: “If extraordinary case characteristics indicate that an otherwise eligible case is not suitable for FASTAR, a party for good cause shown may request the court under Civil Rule 26.2 to assign the case to a different tier.”  However, FASTAR eligibility is not expressly tied to Rule 26.2’s tiering system. The objective of the Petition would be better served if a new section (d) to Rule 102 instead read as follows:  “If extraordinary case characteristics indicate that an eligible case is not suitable for FASTAR, a party for good cause shown may request the court to exclude the case from the FASTAR program and allow it to proceed under the Arizona Rules of Civil Procedure applicable to non-FASTAR cases.”  This language more clearly implements the Petition’s stated intent of providing a “safety valve” that allows the court to remove a case from the FASTAR program.</w:t>
      </w:r>
    </w:p>
    <w:p w14:paraId="57938286" w14:textId="66299EAD" w:rsidR="00F959E1" w:rsidRDefault="00F959E1" w:rsidP="00F959E1">
      <w:pPr>
        <w:pStyle w:val="PleadingPhL3"/>
      </w:pPr>
      <w:r>
        <w:t>If the Court Permanently Adopts the FASTAR Rules, It Should Do So as Part of the Arizona Rules of Civil Procedure.</w:t>
      </w:r>
    </w:p>
    <w:p w14:paraId="65B94736" w14:textId="77777777" w:rsidR="00F959E1" w:rsidRPr="00F959E1" w:rsidRDefault="00F959E1" w:rsidP="00F959E1">
      <w:pPr>
        <w:pStyle w:val="BodyText"/>
        <w:rPr>
          <w:lang w:eastAsia="zh-CN"/>
        </w:rPr>
      </w:pPr>
    </w:p>
    <w:p w14:paraId="51032C1D" w14:textId="77777777" w:rsidR="00F959E1" w:rsidRPr="005F5017" w:rsidRDefault="00F959E1" w:rsidP="00F959E1">
      <w:pPr>
        <w:pStyle w:val="BodyText"/>
        <w:spacing w:line="480" w:lineRule="auto"/>
        <w:ind w:firstLine="540"/>
        <w:jc w:val="both"/>
        <w:rPr>
          <w:sz w:val="28"/>
          <w:szCs w:val="28"/>
        </w:rPr>
      </w:pPr>
      <w:r>
        <w:rPr>
          <w:sz w:val="28"/>
          <w:szCs w:val="28"/>
        </w:rPr>
        <w:t>Finally, if the Court grants the Petition and adopts the FASTAR rules on a permanent basis, it should do so through amendments to the Arizona Rules of Civil Procedure rather than by administrative order. This approach would be similar to that taken in Ariz. R. Civ. P. 8.1, which implements the commercial court program and expressly provides that the rule only applies in those counties that have elected to establish a commercial court.  If the Court elects to permanently adopt the FASTAR rules as part of the Arizona Rules of Civil Procedure, some additional modifications would be needed to conform them with existing rules, including Rules 72 through 77 governing mandatory arbitration.</w:t>
      </w:r>
    </w:p>
    <w:p w14:paraId="01C041C9" w14:textId="77777777" w:rsidR="00F959E1" w:rsidRDefault="00F959E1" w:rsidP="00F959E1">
      <w:pPr>
        <w:pStyle w:val="PleadingPhL1"/>
        <w:tabs>
          <w:tab w:val="clear" w:pos="720"/>
        </w:tabs>
        <w:spacing w:line="480" w:lineRule="auto"/>
      </w:pPr>
      <w:r>
        <w:t>CONCLUSION</w:t>
      </w:r>
    </w:p>
    <w:p w14:paraId="5D02FE20" w14:textId="2B34F21F" w:rsidR="000F7A7F" w:rsidRPr="00E7375F" w:rsidRDefault="00F959E1" w:rsidP="00E7375F">
      <w:pPr>
        <w:pStyle w:val="BodyText"/>
        <w:spacing w:line="480" w:lineRule="auto"/>
        <w:ind w:firstLine="540"/>
        <w:jc w:val="both"/>
        <w:rPr>
          <w:sz w:val="28"/>
          <w:szCs w:val="28"/>
          <w:lang w:eastAsia="zh-CN"/>
        </w:rPr>
      </w:pPr>
      <w:r>
        <w:rPr>
          <w:sz w:val="28"/>
          <w:szCs w:val="28"/>
        </w:rPr>
        <w:t>For the stated reasons, the State Bar recommends that the Court withhold adoption of the FASTAR program at this time. It should, instead, extend and broaden the pilot program for an additional three years to allow further study.  Additionally, whether or not the Court adopts the rules on a permanent basis, it should amend them as proposed by Petitioner, with the one modification suggested by the State Bar in this comment.</w:t>
      </w:r>
    </w:p>
    <w:p w14:paraId="4F7EF671" w14:textId="77777777" w:rsidR="00E7375F" w:rsidRDefault="00E7375F" w:rsidP="00E7375F">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54C11E1F" w14:textId="77777777" w:rsidR="00E7375F" w:rsidRDefault="00E7375F" w:rsidP="00E7375F">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0FAD79A2" w14:textId="77777777" w:rsidR="00E7375F" w:rsidRDefault="00E7375F" w:rsidP="00E7375F">
      <w:pPr>
        <w:widowControl w:val="0"/>
        <w:spacing w:line="240" w:lineRule="auto"/>
        <w:ind w:right="4140"/>
        <w:rPr>
          <w:sz w:val="28"/>
          <w:szCs w:val="28"/>
        </w:rPr>
      </w:pPr>
    </w:p>
    <w:p w14:paraId="20607655" w14:textId="77777777" w:rsidR="00E7375F" w:rsidRDefault="00E7375F" w:rsidP="00E7375F">
      <w:pPr>
        <w:widowControl w:val="0"/>
        <w:spacing w:line="240" w:lineRule="auto"/>
        <w:ind w:right="4140"/>
        <w:rPr>
          <w:sz w:val="28"/>
          <w:szCs w:val="28"/>
        </w:rPr>
      </w:pPr>
      <w:bookmarkStart w:id="2" w:name="_GoBack"/>
      <w:bookmarkEnd w:id="2"/>
      <w:r>
        <w:rPr>
          <w:sz w:val="28"/>
          <w:szCs w:val="28"/>
        </w:rPr>
        <w:t>Electronic copy filed with the</w:t>
      </w:r>
    </w:p>
    <w:p w14:paraId="2FA85CAB" w14:textId="77777777" w:rsidR="00E7375F" w:rsidRDefault="00E7375F" w:rsidP="00E7375F">
      <w:pPr>
        <w:spacing w:line="240" w:lineRule="auto"/>
        <w:ind w:right="4140"/>
        <w:rPr>
          <w:sz w:val="28"/>
          <w:szCs w:val="28"/>
        </w:rPr>
      </w:pPr>
      <w:r>
        <w:rPr>
          <w:sz w:val="28"/>
          <w:szCs w:val="28"/>
        </w:rPr>
        <w:t>Clerk of the Supreme Court of Arizona</w:t>
      </w:r>
    </w:p>
    <w:p w14:paraId="68F7D207" w14:textId="77777777" w:rsidR="00E7375F" w:rsidRDefault="00E7375F" w:rsidP="00E7375F">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06414272" w14:textId="77777777" w:rsidR="00E7375F" w:rsidRDefault="00E7375F" w:rsidP="00E7375F">
      <w:pPr>
        <w:spacing w:line="240" w:lineRule="auto"/>
        <w:ind w:right="4572"/>
        <w:rPr>
          <w:sz w:val="28"/>
          <w:szCs w:val="28"/>
        </w:rPr>
      </w:pPr>
    </w:p>
    <w:p w14:paraId="109EB21C" w14:textId="77777777" w:rsidR="00E7375F" w:rsidRDefault="00E7375F" w:rsidP="00E7375F">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 w:id="1">
    <w:p w14:paraId="22D2F7EF" w14:textId="77777777" w:rsidR="00F959E1" w:rsidRPr="00F959E1" w:rsidRDefault="00F959E1" w:rsidP="00F959E1">
      <w:pPr>
        <w:pStyle w:val="FootnoteText"/>
        <w:ind w:firstLine="360"/>
        <w:jc w:val="both"/>
        <w:rPr>
          <w:sz w:val="28"/>
          <w:szCs w:val="28"/>
        </w:rPr>
      </w:pPr>
      <w:r w:rsidRPr="00F959E1">
        <w:rPr>
          <w:rStyle w:val="FootnoteReference"/>
          <w:sz w:val="28"/>
          <w:szCs w:val="28"/>
        </w:rPr>
        <w:footnoteRef/>
      </w:r>
      <w:r w:rsidRPr="00F959E1">
        <w:rPr>
          <w:sz w:val="28"/>
          <w:szCs w:val="28"/>
        </w:rPr>
        <w:t xml:space="preserve"> This type of information may be forthcoming through the Comment process from the Pima County Bar Association or other litigants who have participated in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F66"/>
    <w:multiLevelType w:val="multilevel"/>
    <w:tmpl w:val="5E50773C"/>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sz w:val="28"/>
        <w:u w:val="none"/>
      </w:rPr>
    </w:lvl>
    <w:lvl w:ilvl="1">
      <w:start w:val="1"/>
      <w:numFmt w:val="upperRoman"/>
      <w:pStyle w:val="PleadingPhL2"/>
      <w:lvlText w:val="%2."/>
      <w:lvlJc w:val="left"/>
      <w:pPr>
        <w:tabs>
          <w:tab w:val="num" w:pos="720"/>
        </w:tabs>
        <w:ind w:left="720" w:hanging="720"/>
      </w:pPr>
      <w:rPr>
        <w:i w:val="0"/>
        <w:caps/>
        <w:smallCaps w:val="0"/>
        <w:sz w:val="28"/>
        <w:u w:val="none"/>
      </w:rPr>
    </w:lvl>
    <w:lvl w:ilvl="2">
      <w:start w:val="1"/>
      <w:numFmt w:val="upperLetter"/>
      <w:pStyle w:val="PleadingPhL3"/>
      <w:lvlText w:val="%3."/>
      <w:lvlJc w:val="left"/>
      <w:pPr>
        <w:tabs>
          <w:tab w:val="num" w:pos="1440"/>
        </w:tabs>
        <w:ind w:left="1440" w:hanging="720"/>
      </w:pPr>
      <w:rPr>
        <w:i w:val="0"/>
        <w:caps w:val="0"/>
        <w:sz w:val="28"/>
        <w:u w:val="none"/>
      </w:rPr>
    </w:lvl>
    <w:lvl w:ilvl="3">
      <w:start w:val="1"/>
      <w:numFmt w:val="decimal"/>
      <w:pStyle w:val="PleadingPhL4"/>
      <w:lvlText w:val="%4."/>
      <w:lvlJc w:val="left"/>
      <w:pPr>
        <w:tabs>
          <w:tab w:val="num" w:pos="2160"/>
        </w:tabs>
        <w:ind w:left="2160" w:hanging="720"/>
      </w:pPr>
      <w:rPr>
        <w:i w:val="0"/>
        <w:caps w:val="0"/>
        <w:sz w:val="28"/>
        <w:u w:val="none"/>
      </w:rPr>
    </w:lvl>
    <w:lvl w:ilvl="4">
      <w:start w:val="1"/>
      <w:numFmt w:val="lowerLetter"/>
      <w:pStyle w:val="PleadingPhL5"/>
      <w:lvlText w:val="%5."/>
      <w:lvlJc w:val="left"/>
      <w:pPr>
        <w:tabs>
          <w:tab w:val="num" w:pos="2880"/>
        </w:tabs>
        <w:ind w:left="2880" w:hanging="720"/>
      </w:pPr>
      <w:rPr>
        <w:i w:val="0"/>
        <w:caps w:val="0"/>
        <w:sz w:val="28"/>
        <w:u w:val="none"/>
      </w:rPr>
    </w:lvl>
    <w:lvl w:ilvl="5">
      <w:start w:val="1"/>
      <w:numFmt w:val="lowerRoman"/>
      <w:pStyle w:val="PleadingPhL6"/>
      <w:lvlText w:val="(%6)"/>
      <w:lvlJc w:val="left"/>
      <w:pPr>
        <w:tabs>
          <w:tab w:val="num" w:pos="3600"/>
        </w:tabs>
        <w:ind w:left="3600" w:hanging="720"/>
      </w:pPr>
      <w:rPr>
        <w:i w:val="0"/>
        <w:caps w:val="0"/>
        <w:sz w:val="28"/>
        <w:u w:val="none"/>
      </w:rPr>
    </w:lvl>
    <w:lvl w:ilvl="6">
      <w:start w:val="1"/>
      <w:numFmt w:val="lowerLetter"/>
      <w:pStyle w:val="PleadingPhL7"/>
      <w:lvlText w:val="(%7)"/>
      <w:lvlJc w:val="left"/>
      <w:pPr>
        <w:tabs>
          <w:tab w:val="num" w:pos="4320"/>
        </w:tabs>
        <w:ind w:left="4320" w:hanging="720"/>
      </w:pPr>
      <w:rPr>
        <w:i w:val="0"/>
        <w:caps w:val="0"/>
        <w:sz w:val="28"/>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06C16"/>
    <w:multiLevelType w:val="hybridMultilevel"/>
    <w:tmpl w:val="B77A508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8615C"/>
    <w:multiLevelType w:val="hybridMultilevel"/>
    <w:tmpl w:val="85347AAE"/>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06A699A"/>
    <w:multiLevelType w:val="hybridMultilevel"/>
    <w:tmpl w:val="FEAE0D0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5"/>
  </w:num>
  <w:num w:numId="3">
    <w:abstractNumId w:val="1"/>
  </w:num>
  <w:num w:numId="4">
    <w:abstractNumId w:val="5"/>
  </w:num>
  <w:num w:numId="5">
    <w:abstractNumId w:val="8"/>
  </w:num>
  <w:num w:numId="6">
    <w:abstractNumId w:val="9"/>
  </w:num>
  <w:num w:numId="7">
    <w:abstractNumId w:val="2"/>
  </w:num>
  <w:num w:numId="8">
    <w:abstractNumId w:val="17"/>
  </w:num>
  <w:num w:numId="9">
    <w:abstractNumId w:val="10"/>
  </w:num>
  <w:num w:numId="10">
    <w:abstractNumId w:val="13"/>
  </w:num>
  <w:num w:numId="11">
    <w:abstractNumId w:val="12"/>
  </w:num>
  <w:num w:numId="12">
    <w:abstractNumId w:val="6"/>
  </w:num>
  <w:num w:numId="13">
    <w:abstractNumId w:val="3"/>
  </w:num>
  <w:num w:numId="14">
    <w:abstractNumId w:val="4"/>
  </w:num>
  <w:num w:numId="15">
    <w:abstractNumId w:val="7"/>
  </w:num>
  <w:num w:numId="16">
    <w:abstractNumId w:val="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464E1"/>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7375F"/>
    <w:rsid w:val="00E81026"/>
    <w:rsid w:val="00E82D0F"/>
    <w:rsid w:val="00E950B5"/>
    <w:rsid w:val="00F05879"/>
    <w:rsid w:val="00F06F5B"/>
    <w:rsid w:val="00F2485D"/>
    <w:rsid w:val="00F33926"/>
    <w:rsid w:val="00F60C61"/>
    <w:rsid w:val="00F64B52"/>
    <w:rsid w:val="00F850BE"/>
    <w:rsid w:val="00F959E1"/>
    <w:rsid w:val="00FB1D14"/>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link w:val="PleadingPhL1Char"/>
    <w:rsid w:val="00F959E1"/>
    <w:pPr>
      <w:keepNext/>
      <w:numPr>
        <w:numId w:val="16"/>
      </w:numPr>
      <w:spacing w:before="240" w:after="0" w:line="240" w:lineRule="exact"/>
      <w:jc w:val="center"/>
      <w:outlineLvl w:val="0"/>
    </w:pPr>
    <w:rPr>
      <w:b/>
      <w:sz w:val="28"/>
      <w:lang w:eastAsia="zh-CN"/>
    </w:rPr>
  </w:style>
  <w:style w:type="character" w:customStyle="1" w:styleId="PleadingPhL1Char">
    <w:name w:val="PleadingPh_L1 Char"/>
    <w:basedOn w:val="DefaultParagraphFont"/>
    <w:link w:val="PleadingPhL1"/>
    <w:rsid w:val="00F959E1"/>
    <w:rPr>
      <w:b/>
      <w:sz w:val="28"/>
      <w:lang w:eastAsia="zh-CN"/>
    </w:rPr>
  </w:style>
  <w:style w:type="paragraph" w:customStyle="1" w:styleId="PleadingPhL2">
    <w:name w:val="PleadingPh_L2"/>
    <w:basedOn w:val="BodyText"/>
    <w:next w:val="BodyText"/>
    <w:link w:val="PleadingPhL2Char"/>
    <w:rsid w:val="00F959E1"/>
    <w:pPr>
      <w:keepNext/>
      <w:numPr>
        <w:ilvl w:val="1"/>
        <w:numId w:val="16"/>
      </w:numPr>
      <w:spacing w:before="240" w:after="0" w:line="240" w:lineRule="exact"/>
      <w:outlineLvl w:val="1"/>
    </w:pPr>
    <w:rPr>
      <w:b/>
      <w:caps/>
      <w:sz w:val="28"/>
      <w:lang w:eastAsia="zh-CN"/>
    </w:rPr>
  </w:style>
  <w:style w:type="character" w:customStyle="1" w:styleId="PleadingPhL2Char">
    <w:name w:val="PleadingPh_L2 Char"/>
    <w:basedOn w:val="DefaultParagraphFont"/>
    <w:link w:val="PleadingPhL2"/>
    <w:rsid w:val="00F959E1"/>
    <w:rPr>
      <w:b/>
      <w:caps/>
      <w:sz w:val="28"/>
      <w:lang w:eastAsia="zh-CN"/>
    </w:rPr>
  </w:style>
  <w:style w:type="paragraph" w:customStyle="1" w:styleId="PleadingPhL3">
    <w:name w:val="PleadingPh_L3"/>
    <w:basedOn w:val="BodyText"/>
    <w:next w:val="BodyText"/>
    <w:link w:val="PleadingPhL3Char"/>
    <w:rsid w:val="00F959E1"/>
    <w:pPr>
      <w:keepNext/>
      <w:numPr>
        <w:ilvl w:val="2"/>
        <w:numId w:val="16"/>
      </w:numPr>
      <w:spacing w:before="240" w:after="0" w:line="240" w:lineRule="exact"/>
      <w:outlineLvl w:val="2"/>
    </w:pPr>
    <w:rPr>
      <w:b/>
      <w:sz w:val="28"/>
      <w:lang w:eastAsia="zh-CN"/>
    </w:rPr>
  </w:style>
  <w:style w:type="character" w:customStyle="1" w:styleId="PleadingPhL3Char">
    <w:name w:val="PleadingPh_L3 Char"/>
    <w:basedOn w:val="DefaultParagraphFont"/>
    <w:link w:val="PleadingPhL3"/>
    <w:rsid w:val="00F959E1"/>
    <w:rPr>
      <w:b/>
      <w:sz w:val="28"/>
      <w:lang w:eastAsia="zh-CN"/>
    </w:rPr>
  </w:style>
  <w:style w:type="paragraph" w:customStyle="1" w:styleId="PleadingPhL4">
    <w:name w:val="PleadingPh_L4"/>
    <w:basedOn w:val="BodyText"/>
    <w:next w:val="BodyText"/>
    <w:rsid w:val="00F959E1"/>
    <w:pPr>
      <w:keepNext/>
      <w:numPr>
        <w:ilvl w:val="3"/>
        <w:numId w:val="16"/>
      </w:numPr>
      <w:spacing w:before="240" w:after="0" w:line="240" w:lineRule="exact"/>
      <w:outlineLvl w:val="3"/>
    </w:pPr>
    <w:rPr>
      <w:b/>
      <w:sz w:val="28"/>
      <w:lang w:eastAsia="zh-CN"/>
    </w:rPr>
  </w:style>
  <w:style w:type="paragraph" w:customStyle="1" w:styleId="PleadingPhL5">
    <w:name w:val="PleadingPh_L5"/>
    <w:basedOn w:val="BodyText"/>
    <w:next w:val="BodyText"/>
    <w:rsid w:val="00F959E1"/>
    <w:pPr>
      <w:keepNext/>
      <w:numPr>
        <w:ilvl w:val="4"/>
        <w:numId w:val="16"/>
      </w:numPr>
      <w:spacing w:before="240" w:after="0" w:line="240" w:lineRule="exact"/>
      <w:outlineLvl w:val="4"/>
    </w:pPr>
    <w:rPr>
      <w:b/>
      <w:sz w:val="28"/>
      <w:lang w:eastAsia="zh-CN"/>
    </w:rPr>
  </w:style>
  <w:style w:type="paragraph" w:customStyle="1" w:styleId="PleadingPhL6">
    <w:name w:val="PleadingPh_L6"/>
    <w:basedOn w:val="BodyText"/>
    <w:next w:val="BodyText"/>
    <w:rsid w:val="00F959E1"/>
    <w:pPr>
      <w:keepNext/>
      <w:numPr>
        <w:ilvl w:val="5"/>
        <w:numId w:val="16"/>
      </w:numPr>
      <w:spacing w:before="240" w:after="0" w:line="240" w:lineRule="exact"/>
      <w:outlineLvl w:val="5"/>
    </w:pPr>
    <w:rPr>
      <w:b/>
      <w:sz w:val="28"/>
      <w:lang w:eastAsia="zh-CN"/>
    </w:rPr>
  </w:style>
  <w:style w:type="paragraph" w:customStyle="1" w:styleId="PleadingPhL7">
    <w:name w:val="PleadingPh_L7"/>
    <w:basedOn w:val="Normal"/>
    <w:next w:val="BodyText"/>
    <w:rsid w:val="00F959E1"/>
    <w:pPr>
      <w:keepNext/>
      <w:numPr>
        <w:ilvl w:val="6"/>
        <w:numId w:val="16"/>
      </w:numPr>
      <w:spacing w:before="240" w:line="240" w:lineRule="exact"/>
      <w:outlineLvl w:val="6"/>
    </w:pPr>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4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2A16-D583-4BCF-BDA8-00D1D840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8</TotalTime>
  <Pages>11</Pages>
  <Words>2165</Words>
  <Characters>11466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2020-04-30T21:09:00Z</dcterms:created>
  <dcterms:modified xsi:type="dcterms:W3CDTF">2020-05-01T19:25:00Z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