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tbl>
    <w:bookmarkEnd w:id="0"/>
    <w:p w14:paraId="4D35831B" w14:textId="18F37F33" w:rsidR="00693A8A" w:rsidRPr="000F7A7F" w:rsidRDefault="00693A8A" w:rsidP="00735659">
      <w:pPr>
        <w:pStyle w:val="Court"/>
        <w:spacing w:line="508" w:lineRule="exact"/>
        <w:jc w:val="left"/>
        <w:rPr>
          <w:b/>
        </w:rPr>
      </w:pPr>
      <w:r>
        <w:rPr>
          <w:b/>
        </w:rPr>
        <w:br/>
      </w:r>
    </w:p>
    <w:p w14:paraId="25693B34" w14:textId="17ECA8B8"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r w:rsidR="00693A8A">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CD3B61A" w:rsidR="00357F4D" w:rsidRPr="003A5AD5" w:rsidRDefault="00E67511" w:rsidP="003A5AD5">
            <w:pPr>
              <w:pStyle w:val="Caption"/>
              <w:spacing w:before="240" w:line="260" w:lineRule="exact"/>
              <w:rPr>
                <w:b/>
                <w:sz w:val="28"/>
                <w:szCs w:val="28"/>
              </w:rPr>
            </w:pPr>
            <w:r w:rsidRPr="00732169">
              <w:rPr>
                <w:b/>
                <w:sz w:val="28"/>
                <w:szCs w:val="28"/>
              </w:rPr>
              <w:t xml:space="preserve">PETITION TO </w:t>
            </w:r>
            <w:r w:rsidR="003A5AD5">
              <w:rPr>
                <w:b/>
                <w:sz w:val="28"/>
                <w:szCs w:val="28"/>
              </w:rPr>
              <w:t>AMEND THE ARIZONA RULES OF CRIMINAL PROCEDURE</w:t>
            </w:r>
          </w:p>
        </w:tc>
        <w:tc>
          <w:tcPr>
            <w:tcW w:w="4524" w:type="dxa"/>
            <w:tcBorders>
              <w:top w:val="nil"/>
              <w:left w:val="single" w:sz="4" w:space="0" w:color="auto"/>
            </w:tcBorders>
            <w:shd w:val="clear" w:color="auto" w:fill="auto"/>
          </w:tcPr>
          <w:p w14:paraId="35CED5CB" w14:textId="64A7098F"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3A5AD5">
              <w:rPr>
                <w:sz w:val="28"/>
                <w:szCs w:val="28"/>
              </w:rPr>
              <w:t>0031</w:t>
            </w:r>
          </w:p>
          <w:p w14:paraId="26507AF3" w14:textId="77777777" w:rsidR="003A5AD5" w:rsidRDefault="003A5AD5" w:rsidP="000F7A7F">
            <w:pPr>
              <w:pStyle w:val="Caption"/>
              <w:tabs>
                <w:tab w:val="left" w:pos="1238"/>
              </w:tabs>
              <w:spacing w:line="260" w:lineRule="exact"/>
              <w:ind w:right="115"/>
              <w:jc w:val="center"/>
              <w:rPr>
                <w:b/>
                <w:sz w:val="28"/>
                <w:szCs w:val="28"/>
              </w:rPr>
            </w:pPr>
            <w:r>
              <w:rPr>
                <w:b/>
                <w:sz w:val="28"/>
                <w:szCs w:val="28"/>
              </w:rPr>
              <w:t xml:space="preserve">COMMENT OF </w:t>
            </w:r>
          </w:p>
          <w:p w14:paraId="5AEC962D" w14:textId="08AE6B21" w:rsidR="00357F4D" w:rsidRPr="003A5AD5" w:rsidRDefault="003A5AD5"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6DF8C9D1" w14:textId="78C900FB" w:rsidR="003A5AD5" w:rsidRDefault="003A5AD5" w:rsidP="003A5AD5">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The analysis and details for this Comment are substantially the product of the State Bar’s Criminal Practice and Procedure Committee, composed of a balance of prosecution and defense practitioners, and judicial members. </w:t>
      </w:r>
    </w:p>
    <w:p w14:paraId="7C634D4F" w14:textId="72D02F35" w:rsidR="003A5AD5" w:rsidRDefault="003A5AD5" w:rsidP="003A5AD5">
      <w:pPr>
        <w:pStyle w:val="Body"/>
        <w:widowControl w:val="0"/>
        <w:spacing w:line="480" w:lineRule="auto"/>
        <w:ind w:firstLine="720"/>
        <w:jc w:val="both"/>
        <w:rPr>
          <w:spacing w:val="-3"/>
          <w:sz w:val="28"/>
          <w:szCs w:val="28"/>
        </w:rPr>
      </w:pPr>
      <w:r>
        <w:rPr>
          <w:spacing w:val="-3"/>
          <w:sz w:val="28"/>
          <w:szCs w:val="28"/>
        </w:rPr>
        <w:t xml:space="preserve">The Petition </w:t>
      </w:r>
      <w:r w:rsidRPr="00750BD4">
        <w:rPr>
          <w:spacing w:val="-3"/>
          <w:sz w:val="28"/>
          <w:szCs w:val="28"/>
        </w:rPr>
        <w:t xml:space="preserve">seeks to modify a </w:t>
      </w:r>
      <w:r>
        <w:rPr>
          <w:spacing w:val="-3"/>
          <w:sz w:val="28"/>
          <w:szCs w:val="28"/>
        </w:rPr>
        <w:t xml:space="preserve">vast </w:t>
      </w:r>
      <w:r w:rsidRPr="00750BD4">
        <w:rPr>
          <w:spacing w:val="-3"/>
          <w:sz w:val="28"/>
          <w:szCs w:val="28"/>
        </w:rPr>
        <w:t xml:space="preserve">majority of the Arizona Rules of Criminal Procedure to insert </w:t>
      </w:r>
      <w:r>
        <w:rPr>
          <w:spacing w:val="-3"/>
          <w:sz w:val="28"/>
          <w:szCs w:val="28"/>
        </w:rPr>
        <w:t>v</w:t>
      </w:r>
      <w:r w:rsidRPr="00750BD4">
        <w:rPr>
          <w:spacing w:val="-3"/>
          <w:sz w:val="28"/>
          <w:szCs w:val="28"/>
        </w:rPr>
        <w:t xml:space="preserve">ictim rights into most of the rules, while </w:t>
      </w:r>
      <w:r>
        <w:rPr>
          <w:spacing w:val="-3"/>
          <w:sz w:val="28"/>
          <w:szCs w:val="28"/>
        </w:rPr>
        <w:t xml:space="preserve">simultaneously </w:t>
      </w:r>
      <w:r w:rsidRPr="00750BD4">
        <w:rPr>
          <w:spacing w:val="-3"/>
          <w:sz w:val="28"/>
          <w:szCs w:val="28"/>
        </w:rPr>
        <w:t>maintaining Rule 39 which contains these rights.  This is the third such petition</w:t>
      </w:r>
      <w:r>
        <w:rPr>
          <w:spacing w:val="-3"/>
          <w:sz w:val="28"/>
          <w:szCs w:val="28"/>
        </w:rPr>
        <w:t xml:space="preserve"> </w:t>
      </w:r>
      <w:r>
        <w:rPr>
          <w:spacing w:val="-3"/>
          <w:sz w:val="28"/>
          <w:szCs w:val="28"/>
        </w:rPr>
        <w:lastRenderedPageBreak/>
        <w:t xml:space="preserve">submitted by </w:t>
      </w:r>
      <w:r w:rsidRPr="00750BD4">
        <w:rPr>
          <w:spacing w:val="-3"/>
          <w:sz w:val="28"/>
          <w:szCs w:val="28"/>
        </w:rPr>
        <w:t xml:space="preserve">Arizona Voice for Crime Victims in </w:t>
      </w:r>
      <w:r>
        <w:rPr>
          <w:spacing w:val="-3"/>
          <w:sz w:val="28"/>
          <w:szCs w:val="28"/>
        </w:rPr>
        <w:t>as many</w:t>
      </w:r>
      <w:r w:rsidRPr="00750BD4">
        <w:rPr>
          <w:spacing w:val="-3"/>
          <w:sz w:val="28"/>
          <w:szCs w:val="28"/>
        </w:rPr>
        <w:t xml:space="preserve"> years; its former</w:t>
      </w:r>
      <w:r>
        <w:rPr>
          <w:spacing w:val="-3"/>
          <w:sz w:val="28"/>
          <w:szCs w:val="28"/>
        </w:rPr>
        <w:t>,</w:t>
      </w:r>
      <w:r w:rsidRPr="00750BD4">
        <w:rPr>
          <w:spacing w:val="-3"/>
          <w:sz w:val="28"/>
          <w:szCs w:val="28"/>
        </w:rPr>
        <w:t xml:space="preserve"> similar petitions have been </w:t>
      </w:r>
      <w:r w:rsidR="00075E51">
        <w:rPr>
          <w:spacing w:val="-3"/>
          <w:sz w:val="28"/>
          <w:szCs w:val="28"/>
        </w:rPr>
        <w:t>denied</w:t>
      </w:r>
      <w:r w:rsidRPr="00750BD4">
        <w:rPr>
          <w:spacing w:val="-3"/>
          <w:sz w:val="28"/>
          <w:szCs w:val="28"/>
        </w:rPr>
        <w:t>. (R-18-001; R-19-0016)</w:t>
      </w:r>
      <w:r>
        <w:rPr>
          <w:spacing w:val="-3"/>
          <w:sz w:val="28"/>
          <w:szCs w:val="28"/>
        </w:rPr>
        <w:t>.</w:t>
      </w:r>
      <w:r w:rsidRPr="00750BD4">
        <w:rPr>
          <w:spacing w:val="-3"/>
          <w:sz w:val="28"/>
          <w:szCs w:val="28"/>
        </w:rPr>
        <w:t xml:space="preserve">  </w:t>
      </w:r>
    </w:p>
    <w:p w14:paraId="0899CF9B" w14:textId="77777777" w:rsidR="003A5AD5" w:rsidRDefault="003A5AD5" w:rsidP="003A5AD5">
      <w:pPr>
        <w:pStyle w:val="Body"/>
        <w:widowControl w:val="0"/>
        <w:spacing w:line="480" w:lineRule="auto"/>
        <w:ind w:firstLine="720"/>
        <w:jc w:val="both"/>
        <w:rPr>
          <w:spacing w:val="-3"/>
          <w:sz w:val="28"/>
          <w:szCs w:val="28"/>
        </w:rPr>
      </w:pPr>
      <w:r w:rsidRPr="00750BD4">
        <w:rPr>
          <w:spacing w:val="-3"/>
          <w:sz w:val="28"/>
          <w:szCs w:val="28"/>
        </w:rPr>
        <w:t>Rule 39 sets forth the rights granted to crime victims as codified in the Victim’s Bill of Rights set forth in the Arizona Constitution, article 2, section 2.1 (“VBR”) and A.R.S. 13-4401 et. seq., known as the Victim Rights Implementation Act (“VIRA”).</w:t>
      </w:r>
    </w:p>
    <w:p w14:paraId="0FBE232F" w14:textId="77777777" w:rsidR="003A5AD5" w:rsidRDefault="003A5AD5" w:rsidP="003A5AD5">
      <w:pPr>
        <w:pStyle w:val="Body"/>
        <w:widowControl w:val="0"/>
        <w:spacing w:line="480" w:lineRule="auto"/>
        <w:ind w:firstLine="720"/>
        <w:jc w:val="both"/>
        <w:rPr>
          <w:sz w:val="28"/>
          <w:szCs w:val="28"/>
        </w:rPr>
      </w:pPr>
      <w:r w:rsidRPr="00750BD4">
        <w:rPr>
          <w:spacing w:val="-3"/>
          <w:sz w:val="28"/>
          <w:szCs w:val="28"/>
        </w:rPr>
        <w:t>Decisions of the Arizona Supreme Court have made clear that victim rights must be narrowly construed to deal only with procedural rules pertaining to victims</w:t>
      </w:r>
      <w:r>
        <w:rPr>
          <w:spacing w:val="-3"/>
          <w:sz w:val="28"/>
          <w:szCs w:val="28"/>
        </w:rPr>
        <w:t>.</w:t>
      </w:r>
      <w:r w:rsidRPr="00750BD4">
        <w:rPr>
          <w:spacing w:val="-3"/>
          <w:sz w:val="28"/>
          <w:szCs w:val="28"/>
        </w:rPr>
        <w:t xml:space="preserve"> </w:t>
      </w:r>
      <w:r w:rsidRPr="00750BD4">
        <w:rPr>
          <w:i/>
          <w:iCs/>
          <w:spacing w:val="-3"/>
          <w:sz w:val="28"/>
          <w:szCs w:val="28"/>
        </w:rPr>
        <w:t xml:space="preserve">Slayton v. Shumway, </w:t>
      </w:r>
      <w:r w:rsidRPr="00750BD4">
        <w:rPr>
          <w:spacing w:val="-3"/>
          <w:sz w:val="28"/>
          <w:szCs w:val="28"/>
        </w:rPr>
        <w:t>166 Ariz. 87 (1990)</w:t>
      </w:r>
      <w:r>
        <w:rPr>
          <w:spacing w:val="-3"/>
          <w:sz w:val="28"/>
          <w:szCs w:val="28"/>
        </w:rPr>
        <w:t>.</w:t>
      </w:r>
      <w:r w:rsidRPr="00750BD4">
        <w:rPr>
          <w:spacing w:val="-3"/>
          <w:sz w:val="28"/>
          <w:szCs w:val="28"/>
        </w:rPr>
        <w:t xml:space="preserve"> </w:t>
      </w:r>
      <w:r>
        <w:rPr>
          <w:spacing w:val="-3"/>
          <w:sz w:val="28"/>
          <w:szCs w:val="28"/>
        </w:rPr>
        <w:t xml:space="preserve"> This</w:t>
      </w:r>
      <w:r w:rsidRPr="00750BD4">
        <w:rPr>
          <w:spacing w:val="-3"/>
          <w:sz w:val="28"/>
          <w:szCs w:val="28"/>
        </w:rPr>
        <w:t xml:space="preserve"> means those rules that “define, implement, preserve and protect </w:t>
      </w:r>
      <w:r w:rsidRPr="00750BD4">
        <w:rPr>
          <w:i/>
          <w:iCs/>
          <w:spacing w:val="-3"/>
          <w:sz w:val="28"/>
          <w:szCs w:val="28"/>
        </w:rPr>
        <w:t>the specific</w:t>
      </w:r>
      <w:r w:rsidRPr="00750BD4">
        <w:rPr>
          <w:spacing w:val="-3"/>
          <w:sz w:val="28"/>
          <w:szCs w:val="28"/>
        </w:rPr>
        <w:t xml:space="preserve"> rights </w:t>
      </w:r>
      <w:r w:rsidRPr="00750BD4">
        <w:rPr>
          <w:i/>
          <w:iCs/>
          <w:spacing w:val="-3"/>
          <w:sz w:val="28"/>
          <w:szCs w:val="28"/>
        </w:rPr>
        <w:t>unique</w:t>
      </w:r>
      <w:r w:rsidRPr="00750BD4">
        <w:rPr>
          <w:spacing w:val="-3"/>
          <w:sz w:val="28"/>
          <w:szCs w:val="28"/>
        </w:rPr>
        <w:t xml:space="preserve"> and </w:t>
      </w:r>
      <w:r w:rsidRPr="00750BD4">
        <w:rPr>
          <w:i/>
          <w:iCs/>
          <w:spacing w:val="-3"/>
          <w:sz w:val="28"/>
          <w:szCs w:val="28"/>
        </w:rPr>
        <w:t>peculiar</w:t>
      </w:r>
      <w:r w:rsidRPr="00750BD4">
        <w:rPr>
          <w:spacing w:val="-3"/>
          <w:sz w:val="28"/>
          <w:szCs w:val="28"/>
        </w:rPr>
        <w:t xml:space="preserve"> to crime victims as guaranteed and </w:t>
      </w:r>
      <w:r w:rsidRPr="00750BD4">
        <w:rPr>
          <w:i/>
          <w:iCs/>
          <w:spacing w:val="-3"/>
          <w:sz w:val="28"/>
          <w:szCs w:val="28"/>
        </w:rPr>
        <w:t>created by</w:t>
      </w:r>
      <w:r w:rsidRPr="00750BD4">
        <w:rPr>
          <w:spacing w:val="-3"/>
          <w:sz w:val="28"/>
          <w:szCs w:val="28"/>
        </w:rPr>
        <w:t xml:space="preserve"> the VBR.”  </w:t>
      </w:r>
      <w:r w:rsidRPr="00750BD4">
        <w:rPr>
          <w:i/>
          <w:iCs/>
          <w:spacing w:val="-3"/>
          <w:sz w:val="28"/>
          <w:szCs w:val="28"/>
        </w:rPr>
        <w:t xml:space="preserve">State v. Brown, </w:t>
      </w:r>
      <w:r w:rsidRPr="00750BD4">
        <w:rPr>
          <w:spacing w:val="-3"/>
          <w:sz w:val="28"/>
          <w:szCs w:val="28"/>
        </w:rPr>
        <w:t xml:space="preserve">194 Ariz. 340, 343 (1999); </w:t>
      </w:r>
      <w:r w:rsidRPr="00750BD4">
        <w:rPr>
          <w:i/>
          <w:iCs/>
          <w:spacing w:val="-3"/>
          <w:sz w:val="28"/>
          <w:szCs w:val="28"/>
        </w:rPr>
        <w:t xml:space="preserve">Champlin v. </w:t>
      </w:r>
      <w:proofErr w:type="spellStart"/>
      <w:r w:rsidRPr="00750BD4">
        <w:rPr>
          <w:i/>
          <w:iCs/>
          <w:spacing w:val="-3"/>
          <w:sz w:val="28"/>
          <w:szCs w:val="28"/>
        </w:rPr>
        <w:t>Sargeant</w:t>
      </w:r>
      <w:proofErr w:type="spellEnd"/>
      <w:r w:rsidRPr="00750BD4">
        <w:rPr>
          <w:i/>
          <w:iCs/>
          <w:spacing w:val="-3"/>
          <w:sz w:val="28"/>
          <w:szCs w:val="28"/>
        </w:rPr>
        <w:t xml:space="preserve">, </w:t>
      </w:r>
      <w:r w:rsidRPr="00750BD4">
        <w:rPr>
          <w:spacing w:val="-3"/>
          <w:sz w:val="28"/>
          <w:szCs w:val="28"/>
        </w:rPr>
        <w:t>192 Ariz. 371, 373 n. 2 (1998)</w:t>
      </w:r>
      <w:r>
        <w:rPr>
          <w:spacing w:val="-3"/>
          <w:sz w:val="28"/>
          <w:szCs w:val="28"/>
        </w:rPr>
        <w:t xml:space="preserve"> </w:t>
      </w:r>
      <w:r w:rsidRPr="00750BD4">
        <w:rPr>
          <w:spacing w:val="-3"/>
          <w:sz w:val="28"/>
          <w:szCs w:val="28"/>
        </w:rPr>
        <w:t xml:space="preserve">(rulemaking power under VBR “extends only so far as necessary to protect rights </w:t>
      </w:r>
      <w:r w:rsidRPr="00750BD4">
        <w:rPr>
          <w:i/>
          <w:iCs/>
          <w:spacing w:val="-3"/>
          <w:sz w:val="28"/>
          <w:szCs w:val="28"/>
        </w:rPr>
        <w:t>created by</w:t>
      </w:r>
      <w:r w:rsidRPr="00750BD4">
        <w:rPr>
          <w:sz w:val="28"/>
          <w:szCs w:val="28"/>
        </w:rPr>
        <w:t xml:space="preserve"> the [VBR] and not beyond.”); </w:t>
      </w:r>
      <w:r w:rsidRPr="00750BD4">
        <w:rPr>
          <w:i/>
          <w:iCs/>
          <w:sz w:val="28"/>
          <w:szCs w:val="28"/>
        </w:rPr>
        <w:t xml:space="preserve">State v. Hansen, </w:t>
      </w:r>
      <w:r w:rsidRPr="00750BD4">
        <w:rPr>
          <w:sz w:val="28"/>
          <w:szCs w:val="28"/>
        </w:rPr>
        <w:t>25 Ariz. 287, 290 (2007)</w:t>
      </w:r>
      <w:r>
        <w:rPr>
          <w:sz w:val="28"/>
          <w:szCs w:val="28"/>
        </w:rPr>
        <w:t xml:space="preserve"> </w:t>
      </w:r>
      <w:r w:rsidRPr="00750BD4">
        <w:rPr>
          <w:sz w:val="28"/>
          <w:szCs w:val="28"/>
        </w:rPr>
        <w:t xml:space="preserve">(same).  </w:t>
      </w:r>
    </w:p>
    <w:p w14:paraId="0C588C8E" w14:textId="5D536C3B" w:rsidR="003A5AD5" w:rsidRDefault="003A5AD5" w:rsidP="003A5AD5">
      <w:pPr>
        <w:pStyle w:val="Body"/>
        <w:widowControl w:val="0"/>
        <w:spacing w:line="480" w:lineRule="auto"/>
        <w:ind w:firstLine="720"/>
        <w:jc w:val="both"/>
        <w:rPr>
          <w:sz w:val="28"/>
          <w:szCs w:val="28"/>
        </w:rPr>
      </w:pPr>
      <w:r w:rsidRPr="00750BD4">
        <w:rPr>
          <w:sz w:val="28"/>
          <w:szCs w:val="28"/>
        </w:rPr>
        <w:t xml:space="preserve">Like </w:t>
      </w:r>
      <w:r>
        <w:rPr>
          <w:sz w:val="28"/>
          <w:szCs w:val="28"/>
        </w:rPr>
        <w:t>the prior</w:t>
      </w:r>
      <w:r w:rsidRPr="00750BD4">
        <w:rPr>
          <w:sz w:val="28"/>
          <w:szCs w:val="28"/>
        </w:rPr>
        <w:t xml:space="preserve"> petitions, the instant Petition w</w:t>
      </w:r>
      <w:r>
        <w:rPr>
          <w:sz w:val="28"/>
          <w:szCs w:val="28"/>
        </w:rPr>
        <w:t>ill</w:t>
      </w:r>
      <w:r w:rsidRPr="00750BD4">
        <w:rPr>
          <w:sz w:val="28"/>
          <w:szCs w:val="28"/>
        </w:rPr>
        <w:t xml:space="preserve"> effectively expand victim rights to procedural rules which neither pertain to nor directly implicate specific rights unique and peculiar to victims created by VBR.  As Petitioner states, the goal of the proposed rule changes is to make “</w:t>
      </w:r>
      <w:r w:rsidRPr="00750BD4">
        <w:rPr>
          <w:i/>
          <w:iCs/>
          <w:sz w:val="28"/>
          <w:szCs w:val="28"/>
        </w:rPr>
        <w:t>all rules</w:t>
      </w:r>
      <w:r w:rsidRPr="00750BD4">
        <w:rPr>
          <w:sz w:val="28"/>
          <w:szCs w:val="28"/>
        </w:rPr>
        <w:t xml:space="preserve"> governing criminal procedure” protect victim rights to be heard and to participate in criminal proceedings.  </w:t>
      </w:r>
      <w:r>
        <w:rPr>
          <w:sz w:val="28"/>
          <w:szCs w:val="28"/>
        </w:rPr>
        <w:t>(Petition at 5).  This</w:t>
      </w:r>
      <w:r w:rsidRPr="00750BD4">
        <w:rPr>
          <w:sz w:val="28"/>
          <w:szCs w:val="28"/>
        </w:rPr>
        <w:t xml:space="preserve"> </w:t>
      </w:r>
      <w:r>
        <w:rPr>
          <w:sz w:val="28"/>
          <w:szCs w:val="28"/>
        </w:rPr>
        <w:t>aim</w:t>
      </w:r>
      <w:r w:rsidRPr="00750BD4">
        <w:rPr>
          <w:sz w:val="28"/>
          <w:szCs w:val="28"/>
        </w:rPr>
        <w:t xml:space="preserve"> </w:t>
      </w:r>
      <w:r>
        <w:rPr>
          <w:sz w:val="28"/>
          <w:szCs w:val="28"/>
        </w:rPr>
        <w:t>is inconsistent with</w:t>
      </w:r>
      <w:r w:rsidRPr="00750BD4">
        <w:rPr>
          <w:sz w:val="28"/>
          <w:szCs w:val="28"/>
        </w:rPr>
        <w:t xml:space="preserve"> the narrow construction given victim rights </w:t>
      </w:r>
      <w:r>
        <w:rPr>
          <w:sz w:val="28"/>
          <w:szCs w:val="28"/>
        </w:rPr>
        <w:t>as it seeks to</w:t>
      </w:r>
      <w:r w:rsidRPr="00750BD4">
        <w:rPr>
          <w:sz w:val="28"/>
          <w:szCs w:val="28"/>
        </w:rPr>
        <w:t xml:space="preserve"> elevate crime victims to the status of party in a criminal proceeding—which </w:t>
      </w:r>
      <w:r w:rsidRPr="00750BD4">
        <w:rPr>
          <w:sz w:val="28"/>
          <w:szCs w:val="28"/>
        </w:rPr>
        <w:lastRenderedPageBreak/>
        <w:t xml:space="preserve">crime victims are not.  </w:t>
      </w:r>
      <w:r w:rsidRPr="00750BD4">
        <w:rPr>
          <w:i/>
          <w:iCs/>
          <w:sz w:val="28"/>
          <w:szCs w:val="28"/>
        </w:rPr>
        <w:t xml:space="preserve">Lindsay R. v. Cohen, </w:t>
      </w:r>
      <w:r w:rsidRPr="00750BD4">
        <w:rPr>
          <w:sz w:val="28"/>
          <w:szCs w:val="28"/>
        </w:rPr>
        <w:t>236 Ariz. 565 (App.</w:t>
      </w:r>
      <w:r>
        <w:rPr>
          <w:sz w:val="28"/>
          <w:szCs w:val="28"/>
        </w:rPr>
        <w:t xml:space="preserve"> </w:t>
      </w:r>
      <w:r w:rsidRPr="00750BD4">
        <w:rPr>
          <w:sz w:val="28"/>
          <w:szCs w:val="28"/>
        </w:rPr>
        <w:t>2015)</w:t>
      </w:r>
      <w:r>
        <w:rPr>
          <w:sz w:val="28"/>
          <w:szCs w:val="28"/>
        </w:rPr>
        <w:t xml:space="preserve"> </w:t>
      </w:r>
      <w:r w:rsidRPr="00750BD4">
        <w:rPr>
          <w:sz w:val="28"/>
          <w:szCs w:val="28"/>
        </w:rPr>
        <w:t>(VBR did not make victims parties).  Moreover, Petitioner</w:t>
      </w:r>
      <w:r>
        <w:rPr>
          <w:sz w:val="28"/>
          <w:szCs w:val="28"/>
        </w:rPr>
        <w:t xml:space="preserve"> relies </w:t>
      </w:r>
      <w:r w:rsidRPr="00750BD4">
        <w:rPr>
          <w:sz w:val="28"/>
          <w:szCs w:val="28"/>
        </w:rPr>
        <w:t>on VBR’s general aims of affording victims “due process</w:t>
      </w:r>
      <w:r>
        <w:rPr>
          <w:sz w:val="28"/>
          <w:szCs w:val="28"/>
        </w:rPr>
        <w:t>,</w:t>
      </w:r>
      <w:r w:rsidRPr="00750BD4">
        <w:rPr>
          <w:sz w:val="28"/>
          <w:szCs w:val="28"/>
        </w:rPr>
        <w:t xml:space="preserve">” as well as its </w:t>
      </w:r>
      <w:r>
        <w:rPr>
          <w:sz w:val="28"/>
          <w:szCs w:val="28"/>
        </w:rPr>
        <w:t>requirement</w:t>
      </w:r>
      <w:r w:rsidRPr="00750BD4">
        <w:rPr>
          <w:sz w:val="28"/>
          <w:szCs w:val="28"/>
        </w:rPr>
        <w:t xml:space="preserve"> that victims be “treated with fairness, dignity and respect</w:t>
      </w:r>
      <w:r>
        <w:rPr>
          <w:sz w:val="28"/>
          <w:szCs w:val="28"/>
        </w:rPr>
        <w:t>,</w:t>
      </w:r>
      <w:r w:rsidRPr="00750BD4">
        <w:rPr>
          <w:sz w:val="28"/>
          <w:szCs w:val="28"/>
        </w:rPr>
        <w:t xml:space="preserve">” </w:t>
      </w:r>
      <w:r>
        <w:rPr>
          <w:sz w:val="28"/>
          <w:szCs w:val="28"/>
        </w:rPr>
        <w:t xml:space="preserve">but these </w:t>
      </w:r>
      <w:r w:rsidRPr="00750BD4">
        <w:rPr>
          <w:sz w:val="28"/>
          <w:szCs w:val="28"/>
        </w:rPr>
        <w:t xml:space="preserve">are not rights “created by” VBR.  Due process is a right similarly afforded criminal defendants by the federal and state constitutions, while the right to be “treated with fairness, respect and dignity” is afforded </w:t>
      </w:r>
      <w:r w:rsidRPr="00750BD4">
        <w:rPr>
          <w:i/>
          <w:iCs/>
          <w:sz w:val="28"/>
          <w:szCs w:val="28"/>
        </w:rPr>
        <w:t>all</w:t>
      </w:r>
      <w:r w:rsidRPr="00750BD4">
        <w:rPr>
          <w:sz w:val="28"/>
          <w:szCs w:val="28"/>
        </w:rPr>
        <w:t xml:space="preserve"> participants in the civil and criminal process.  </w:t>
      </w:r>
      <w:r w:rsidRPr="00750BD4">
        <w:rPr>
          <w:i/>
          <w:iCs/>
          <w:sz w:val="28"/>
          <w:szCs w:val="28"/>
        </w:rPr>
        <w:t xml:space="preserve">See </w:t>
      </w:r>
      <w:r>
        <w:rPr>
          <w:i/>
          <w:iCs/>
          <w:sz w:val="28"/>
          <w:szCs w:val="28"/>
        </w:rPr>
        <w:t xml:space="preserve">Ariz. </w:t>
      </w:r>
      <w:r w:rsidRPr="005E737F">
        <w:rPr>
          <w:i/>
          <w:sz w:val="28"/>
          <w:szCs w:val="28"/>
        </w:rPr>
        <w:t>R.</w:t>
      </w:r>
      <w:r>
        <w:rPr>
          <w:i/>
          <w:sz w:val="28"/>
          <w:szCs w:val="28"/>
        </w:rPr>
        <w:t xml:space="preserve"> </w:t>
      </w:r>
      <w:r w:rsidRPr="005E737F">
        <w:rPr>
          <w:i/>
          <w:sz w:val="28"/>
          <w:szCs w:val="28"/>
        </w:rPr>
        <w:t>Sup.</w:t>
      </w:r>
      <w:r>
        <w:rPr>
          <w:i/>
          <w:sz w:val="28"/>
          <w:szCs w:val="28"/>
        </w:rPr>
        <w:t xml:space="preserve"> </w:t>
      </w:r>
      <w:r w:rsidRPr="005E737F">
        <w:rPr>
          <w:i/>
          <w:sz w:val="28"/>
          <w:szCs w:val="28"/>
        </w:rPr>
        <w:t>Ct., Rule 81, Canon 2, Rule 2.2</w:t>
      </w:r>
      <w:r w:rsidRPr="00750BD4">
        <w:rPr>
          <w:sz w:val="28"/>
          <w:szCs w:val="28"/>
        </w:rPr>
        <w:t xml:space="preserve"> (“Impartiality and Fairness”); </w:t>
      </w:r>
      <w:r w:rsidRPr="005E737F">
        <w:rPr>
          <w:i/>
          <w:sz w:val="28"/>
          <w:szCs w:val="28"/>
        </w:rPr>
        <w:t>Rule 2.8(B)</w:t>
      </w:r>
      <w:r w:rsidRPr="00750BD4">
        <w:rPr>
          <w:sz w:val="28"/>
          <w:szCs w:val="28"/>
        </w:rPr>
        <w:t>(“Decorum, Demeanor…”).  Both such rights pre-</w:t>
      </w:r>
      <w:r>
        <w:rPr>
          <w:sz w:val="28"/>
          <w:szCs w:val="28"/>
        </w:rPr>
        <w:t>date</w:t>
      </w:r>
      <w:r w:rsidRPr="00750BD4">
        <w:rPr>
          <w:sz w:val="28"/>
          <w:szCs w:val="28"/>
        </w:rPr>
        <w:t xml:space="preserve"> the VBR.   </w:t>
      </w:r>
    </w:p>
    <w:p w14:paraId="470C90D1" w14:textId="5237834F" w:rsidR="003A5AD5" w:rsidRDefault="003A5AD5" w:rsidP="003A5AD5">
      <w:pPr>
        <w:pStyle w:val="Body"/>
        <w:widowControl w:val="0"/>
        <w:spacing w:line="480" w:lineRule="auto"/>
        <w:ind w:firstLine="720"/>
        <w:jc w:val="both"/>
        <w:rPr>
          <w:i/>
          <w:sz w:val="28"/>
          <w:szCs w:val="28"/>
        </w:rPr>
      </w:pPr>
      <w:r w:rsidRPr="00750BD4">
        <w:rPr>
          <w:sz w:val="28"/>
          <w:szCs w:val="28"/>
        </w:rPr>
        <w:t xml:space="preserve">Rule 39 of the Arizona Rules of Criminal Procedure sets forth </w:t>
      </w:r>
      <w:r w:rsidRPr="00750BD4">
        <w:rPr>
          <w:i/>
          <w:iCs/>
          <w:sz w:val="28"/>
          <w:szCs w:val="28"/>
        </w:rPr>
        <w:t>all</w:t>
      </w:r>
      <w:r w:rsidRPr="00750BD4">
        <w:rPr>
          <w:sz w:val="28"/>
          <w:szCs w:val="28"/>
        </w:rPr>
        <w:t xml:space="preserve"> rights afforded crime victims on matters unique and peculiar to them.  Of course, trial courts are bound by and must follow the provisions of that rule.  Although Petitioner sets forth five cases in which it claims victim rights were violated by the trial court, whether violation</w:t>
      </w:r>
      <w:r>
        <w:rPr>
          <w:sz w:val="28"/>
          <w:szCs w:val="28"/>
        </w:rPr>
        <w:t>s</w:t>
      </w:r>
      <w:r w:rsidRPr="00750BD4">
        <w:rPr>
          <w:sz w:val="28"/>
          <w:szCs w:val="28"/>
        </w:rPr>
        <w:t xml:space="preserve"> actually occurred in the matters described is </w:t>
      </w:r>
      <w:r>
        <w:rPr>
          <w:sz w:val="28"/>
          <w:szCs w:val="28"/>
        </w:rPr>
        <w:t>not established</w:t>
      </w:r>
      <w:r w:rsidRPr="00750BD4">
        <w:rPr>
          <w:sz w:val="28"/>
          <w:szCs w:val="28"/>
        </w:rPr>
        <w:t xml:space="preserve">.  Even assuming </w:t>
      </w:r>
      <w:r>
        <w:rPr>
          <w:sz w:val="28"/>
          <w:szCs w:val="28"/>
        </w:rPr>
        <w:t>the facts as stated</w:t>
      </w:r>
      <w:r w:rsidRPr="00750BD4">
        <w:rPr>
          <w:sz w:val="28"/>
          <w:szCs w:val="28"/>
        </w:rPr>
        <w:t xml:space="preserve">, every victim has “standing to seek an order, [or] to bring a special action…seeking to enforce any right or to challenge an order denying any right guaranteed to victims.”  </w:t>
      </w:r>
      <w:r w:rsidRPr="005E737F">
        <w:rPr>
          <w:i/>
          <w:sz w:val="28"/>
          <w:szCs w:val="28"/>
        </w:rPr>
        <w:t xml:space="preserve">A.R.S. </w:t>
      </w:r>
      <w:r w:rsidRPr="00FC26BA">
        <w:rPr>
          <w:rFonts w:eastAsia="Calibri"/>
          <w:i/>
          <w:sz w:val="28"/>
          <w:szCs w:val="28"/>
        </w:rPr>
        <w:t>§</w:t>
      </w:r>
      <w:r w:rsidRPr="005E737F">
        <w:rPr>
          <w:i/>
          <w:sz w:val="28"/>
          <w:szCs w:val="28"/>
        </w:rPr>
        <w:t>13-4437(A)</w:t>
      </w:r>
      <w:r>
        <w:rPr>
          <w:i/>
          <w:sz w:val="28"/>
          <w:szCs w:val="28"/>
        </w:rPr>
        <w:t>.</w:t>
      </w:r>
    </w:p>
    <w:p w14:paraId="335B09DD" w14:textId="77777777" w:rsidR="003A5AD5" w:rsidRPr="003A5AD5" w:rsidRDefault="003A5AD5" w:rsidP="001A096A">
      <w:pPr>
        <w:pStyle w:val="Body"/>
        <w:widowControl w:val="0"/>
        <w:spacing w:line="480" w:lineRule="auto"/>
        <w:ind w:firstLine="0"/>
        <w:jc w:val="both"/>
        <w:rPr>
          <w:rStyle w:val="BodyTextChar"/>
          <w:i/>
          <w:spacing w:val="-3"/>
          <w:sz w:val="28"/>
          <w:szCs w:val="28"/>
        </w:rPr>
      </w:pPr>
    </w:p>
    <w:p w14:paraId="133C097F" w14:textId="77777777" w:rsidR="00693A8A" w:rsidRDefault="00693A8A" w:rsidP="003A5AD5">
      <w:pPr>
        <w:pStyle w:val="Body"/>
        <w:widowControl w:val="0"/>
        <w:spacing w:line="480" w:lineRule="auto"/>
        <w:ind w:firstLine="0"/>
        <w:jc w:val="center"/>
        <w:rPr>
          <w:rStyle w:val="BodyTextChar"/>
          <w:b/>
          <w:sz w:val="28"/>
          <w:szCs w:val="28"/>
        </w:rPr>
      </w:pPr>
    </w:p>
    <w:p w14:paraId="4F6076C4" w14:textId="77777777" w:rsidR="00693A8A" w:rsidRDefault="00693A8A" w:rsidP="003A5AD5">
      <w:pPr>
        <w:pStyle w:val="Body"/>
        <w:widowControl w:val="0"/>
        <w:spacing w:line="480" w:lineRule="auto"/>
        <w:ind w:firstLine="0"/>
        <w:jc w:val="center"/>
        <w:rPr>
          <w:rStyle w:val="BodyTextChar"/>
          <w:b/>
          <w:sz w:val="28"/>
          <w:szCs w:val="28"/>
        </w:rPr>
      </w:pPr>
    </w:p>
    <w:p w14:paraId="481C8282" w14:textId="014501BE" w:rsidR="003A5AD5" w:rsidRPr="006F63FD" w:rsidRDefault="003A5AD5" w:rsidP="003A5AD5">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79D6C495" w14:textId="77777777" w:rsidR="00654EC5" w:rsidRDefault="00654EC5" w:rsidP="00654EC5">
      <w:pPr>
        <w:spacing w:line="480" w:lineRule="auto"/>
        <w:ind w:firstLine="720"/>
        <w:jc w:val="both"/>
        <w:rPr>
          <w:sz w:val="28"/>
          <w:szCs w:val="28"/>
        </w:rPr>
      </w:pPr>
      <w:r>
        <w:rPr>
          <w:sz w:val="28"/>
          <w:szCs w:val="28"/>
        </w:rPr>
        <w:t xml:space="preserve">For the reasons stated above, the State Bar of Arizona respectfully requests that this Petition be denied. </w:t>
      </w:r>
    </w:p>
    <w:p w14:paraId="5D02FE20" w14:textId="77777777" w:rsidR="000F7A7F" w:rsidRPr="000F7A7F" w:rsidRDefault="000F7A7F" w:rsidP="000F7C13">
      <w:pPr>
        <w:pStyle w:val="Body"/>
        <w:widowControl w:val="0"/>
        <w:tabs>
          <w:tab w:val="left" w:pos="720"/>
        </w:tabs>
        <w:ind w:firstLine="0"/>
        <w:rPr>
          <w:szCs w:val="26"/>
        </w:rPr>
      </w:pPr>
    </w:p>
    <w:p w14:paraId="354F4294" w14:textId="77777777" w:rsidR="009742B1" w:rsidRDefault="009742B1" w:rsidP="009742B1">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3CB9FE9C" w14:textId="77777777" w:rsidR="009742B1" w:rsidRDefault="009742B1" w:rsidP="009742B1">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46696E27" w14:textId="77777777" w:rsidR="009742B1" w:rsidRDefault="009742B1" w:rsidP="009742B1">
      <w:pPr>
        <w:widowControl w:val="0"/>
        <w:spacing w:line="240" w:lineRule="auto"/>
        <w:ind w:right="4140"/>
        <w:rPr>
          <w:sz w:val="28"/>
          <w:szCs w:val="28"/>
        </w:rPr>
      </w:pPr>
    </w:p>
    <w:p w14:paraId="55B3B2F2" w14:textId="77777777" w:rsidR="009742B1" w:rsidRDefault="009742B1" w:rsidP="009742B1">
      <w:pPr>
        <w:widowControl w:val="0"/>
        <w:spacing w:line="240" w:lineRule="auto"/>
        <w:ind w:right="4140"/>
        <w:rPr>
          <w:sz w:val="28"/>
          <w:szCs w:val="28"/>
        </w:rPr>
      </w:pPr>
    </w:p>
    <w:p w14:paraId="69E4D384" w14:textId="77777777" w:rsidR="009742B1" w:rsidRDefault="009742B1" w:rsidP="009742B1">
      <w:pPr>
        <w:widowControl w:val="0"/>
        <w:spacing w:line="240" w:lineRule="auto"/>
        <w:ind w:right="4140"/>
        <w:rPr>
          <w:sz w:val="28"/>
          <w:szCs w:val="28"/>
        </w:rPr>
      </w:pPr>
      <w:r>
        <w:rPr>
          <w:sz w:val="28"/>
          <w:szCs w:val="28"/>
        </w:rPr>
        <w:t>Electronic copy filed with the</w:t>
      </w:r>
    </w:p>
    <w:p w14:paraId="0A93547C" w14:textId="77777777" w:rsidR="009742B1" w:rsidRDefault="009742B1" w:rsidP="009742B1">
      <w:pPr>
        <w:spacing w:line="240" w:lineRule="auto"/>
        <w:ind w:right="4140"/>
        <w:rPr>
          <w:sz w:val="28"/>
          <w:szCs w:val="28"/>
        </w:rPr>
      </w:pPr>
      <w:r>
        <w:rPr>
          <w:sz w:val="28"/>
          <w:szCs w:val="28"/>
        </w:rPr>
        <w:t>Clerk of the Supreme Court of Arizona</w:t>
      </w:r>
    </w:p>
    <w:p w14:paraId="511CD13E" w14:textId="77777777" w:rsidR="009742B1" w:rsidRDefault="009742B1" w:rsidP="009742B1">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59941A34" w14:textId="77777777" w:rsidR="009742B1" w:rsidRDefault="009742B1" w:rsidP="009742B1">
      <w:pPr>
        <w:spacing w:line="240" w:lineRule="auto"/>
        <w:ind w:right="4572"/>
        <w:rPr>
          <w:sz w:val="28"/>
          <w:szCs w:val="28"/>
        </w:rPr>
      </w:pPr>
    </w:p>
    <w:p w14:paraId="21BE1F33" w14:textId="77777777" w:rsidR="009742B1" w:rsidRDefault="009742B1" w:rsidP="009742B1">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0F7A7F" w:rsidRDefault="00494BDF" w:rsidP="000C48A9">
      <w:pPr>
        <w:pStyle w:val="Body"/>
        <w:widowControl w:val="0"/>
        <w:ind w:firstLine="0"/>
        <w:jc w:val="both"/>
        <w:rPr>
          <w:szCs w:val="26"/>
        </w:rPr>
      </w:pPr>
      <w:bookmarkStart w:id="2" w:name="_GoBack"/>
      <w:bookmarkEnd w:id="2"/>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32D3E" w14:textId="77777777" w:rsidR="00CE0128" w:rsidRDefault="00CE0128">
      <w:r>
        <w:separator/>
      </w:r>
    </w:p>
  </w:endnote>
  <w:endnote w:type="continuationSeparator" w:id="0">
    <w:p w14:paraId="04925B25" w14:textId="77777777" w:rsidR="00CE0128" w:rsidRDefault="00CE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500B9" w14:textId="77777777" w:rsidR="00CE0128" w:rsidRDefault="00CE0128">
      <w:r>
        <w:separator/>
      </w:r>
    </w:p>
  </w:footnote>
  <w:footnote w:type="continuationSeparator" w:id="0">
    <w:p w14:paraId="5558D270" w14:textId="77777777" w:rsidR="00CE0128" w:rsidRDefault="00CE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5E51"/>
    <w:rsid w:val="0008003D"/>
    <w:rsid w:val="000917C0"/>
    <w:rsid w:val="000A1D6B"/>
    <w:rsid w:val="000C48A9"/>
    <w:rsid w:val="000E0C27"/>
    <w:rsid w:val="000F7A7F"/>
    <w:rsid w:val="000F7C13"/>
    <w:rsid w:val="00135326"/>
    <w:rsid w:val="001A096A"/>
    <w:rsid w:val="001A2520"/>
    <w:rsid w:val="001F591C"/>
    <w:rsid w:val="00207336"/>
    <w:rsid w:val="00274D6A"/>
    <w:rsid w:val="00352347"/>
    <w:rsid w:val="003566D6"/>
    <w:rsid w:val="00357F4D"/>
    <w:rsid w:val="003617D1"/>
    <w:rsid w:val="00377199"/>
    <w:rsid w:val="003A28AC"/>
    <w:rsid w:val="003A5AD5"/>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54EC5"/>
    <w:rsid w:val="00665CCF"/>
    <w:rsid w:val="006666D1"/>
    <w:rsid w:val="006721EC"/>
    <w:rsid w:val="006766BF"/>
    <w:rsid w:val="00692391"/>
    <w:rsid w:val="006932BA"/>
    <w:rsid w:val="00693A8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40BA7"/>
    <w:rsid w:val="00951416"/>
    <w:rsid w:val="00954A5E"/>
    <w:rsid w:val="00960D21"/>
    <w:rsid w:val="009742B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CE0128"/>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57458">
      <w:bodyDiv w:val="1"/>
      <w:marLeft w:val="0"/>
      <w:marRight w:val="0"/>
      <w:marTop w:val="0"/>
      <w:marBottom w:val="0"/>
      <w:divBdr>
        <w:top w:val="none" w:sz="0" w:space="0" w:color="auto"/>
        <w:left w:val="none" w:sz="0" w:space="0" w:color="auto"/>
        <w:bottom w:val="none" w:sz="0" w:space="0" w:color="auto"/>
        <w:right w:val="none" w:sz="0" w:space="0" w:color="auto"/>
      </w:divBdr>
    </w:div>
    <w:div w:id="5309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2F77-7D29-4148-9716-58E1D530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4</Pages>
  <Words>687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2020-04-30T21:57:00Z</dcterms:created>
  <dcterms:modified xsi:type="dcterms:W3CDTF">2020-05-01T18:46:00Z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