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117DCDFB" w14:textId="047A5DEA" w:rsidR="00D20932" w:rsidRPr="006F63FD" w:rsidRDefault="000F7A7F" w:rsidP="00D20932">
      <w:pPr>
        <w:pStyle w:val="Court"/>
        <w:spacing w:line="240" w:lineRule="auto"/>
        <w:rPr>
          <w:b/>
          <w:sz w:val="28"/>
          <w:szCs w:val="28"/>
        </w:rPr>
      </w:pPr>
      <w:r w:rsidRPr="006F63FD">
        <w:rPr>
          <w:b/>
          <w:sz w:val="28"/>
          <w:szCs w:val="28"/>
        </w:rPr>
        <w:t>IN THE SUPREME COURT</w:t>
      </w:r>
      <w:r w:rsidRPr="006F63FD">
        <w:rPr>
          <w:b/>
          <w:sz w:val="28"/>
          <w:szCs w:val="28"/>
        </w:rPr>
        <w:br/>
        <w:t>STATE OF ARIZONA</w:t>
      </w:r>
      <w:r w:rsidR="00D20932">
        <w:rPr>
          <w:b/>
          <w:sz w:val="28"/>
          <w:szCs w:val="28"/>
        </w:rPr>
        <w:br/>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537FA033" w:rsidR="00357F4D" w:rsidRPr="00D20932" w:rsidRDefault="00E67511" w:rsidP="00D20932">
            <w:pPr>
              <w:pStyle w:val="Caption"/>
              <w:spacing w:before="240" w:line="260" w:lineRule="exact"/>
              <w:rPr>
                <w:b/>
                <w:sz w:val="28"/>
                <w:szCs w:val="28"/>
              </w:rPr>
            </w:pPr>
            <w:r w:rsidRPr="00732169">
              <w:rPr>
                <w:b/>
                <w:sz w:val="28"/>
                <w:szCs w:val="28"/>
              </w:rPr>
              <w:t xml:space="preserve">PETITION TO </w:t>
            </w:r>
            <w:r w:rsidR="00D20932">
              <w:rPr>
                <w:b/>
                <w:sz w:val="28"/>
                <w:szCs w:val="28"/>
              </w:rPr>
              <w:t>AMEND RULES 3.2, 4.1, 41, AND FORMS 2(a) AND 2(b) OF THE ARIZONA RULES OF CRIMINAL PROCEDURE</w:t>
            </w:r>
            <w:r w:rsidR="00D20932">
              <w:rPr>
                <w:b/>
                <w:sz w:val="28"/>
                <w:szCs w:val="28"/>
              </w:rPr>
              <w:br/>
            </w:r>
          </w:p>
        </w:tc>
        <w:tc>
          <w:tcPr>
            <w:tcW w:w="4524" w:type="dxa"/>
            <w:tcBorders>
              <w:top w:val="nil"/>
              <w:left w:val="single" w:sz="4" w:space="0" w:color="auto"/>
            </w:tcBorders>
            <w:shd w:val="clear" w:color="auto" w:fill="auto"/>
          </w:tcPr>
          <w:p w14:paraId="35CED5CB" w14:textId="54F7AA69"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20</w:t>
            </w:r>
            <w:r w:rsidR="00F850BE">
              <w:rPr>
                <w:sz w:val="28"/>
                <w:szCs w:val="28"/>
              </w:rPr>
              <w:t>-</w:t>
            </w:r>
            <w:r w:rsidR="00D20932">
              <w:rPr>
                <w:sz w:val="28"/>
                <w:szCs w:val="28"/>
              </w:rPr>
              <w:t>0004</w:t>
            </w:r>
          </w:p>
          <w:p w14:paraId="72D1938C" w14:textId="77777777" w:rsidR="00D20932" w:rsidRDefault="00D20932" w:rsidP="000F7A7F">
            <w:pPr>
              <w:pStyle w:val="Caption"/>
              <w:tabs>
                <w:tab w:val="left" w:pos="1238"/>
              </w:tabs>
              <w:spacing w:line="260" w:lineRule="exact"/>
              <w:ind w:right="115"/>
              <w:jc w:val="center"/>
              <w:rPr>
                <w:b/>
                <w:sz w:val="28"/>
                <w:szCs w:val="28"/>
              </w:rPr>
            </w:pPr>
            <w:r>
              <w:rPr>
                <w:b/>
                <w:sz w:val="28"/>
                <w:szCs w:val="28"/>
              </w:rPr>
              <w:t xml:space="preserve">COMMENT OF </w:t>
            </w:r>
          </w:p>
          <w:p w14:paraId="5AEC962D" w14:textId="2C05BA87" w:rsidR="00357F4D" w:rsidRPr="00D20932" w:rsidRDefault="00D20932" w:rsidP="000F7A7F">
            <w:pPr>
              <w:pStyle w:val="Caption"/>
              <w:tabs>
                <w:tab w:val="left" w:pos="1238"/>
              </w:tabs>
              <w:spacing w:line="260" w:lineRule="exact"/>
              <w:ind w:right="115"/>
              <w:jc w:val="center"/>
              <w:rPr>
                <w:b/>
                <w:sz w:val="28"/>
                <w:szCs w:val="28"/>
              </w:rPr>
            </w:pPr>
            <w:r>
              <w:rPr>
                <w:b/>
                <w:sz w:val="28"/>
                <w:szCs w:val="28"/>
              </w:rPr>
              <w:t>THE STATE BAR OF ARIZONA</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70A0F2B7" w14:textId="77777777" w:rsidR="00684C8D" w:rsidRDefault="00D20932" w:rsidP="00D20932">
      <w:pPr>
        <w:pStyle w:val="Body"/>
        <w:widowControl w:val="0"/>
        <w:spacing w:line="480" w:lineRule="auto"/>
        <w:ind w:firstLine="720"/>
        <w:jc w:val="both"/>
        <w:rPr>
          <w:sz w:val="28"/>
          <w:szCs w:val="28"/>
        </w:rPr>
      </w:pPr>
      <w:r w:rsidRPr="007B7449">
        <w:rPr>
          <w:sz w:val="28"/>
          <w:szCs w:val="28"/>
        </w:rPr>
        <w:t>Pursuant to Rule 28(</w:t>
      </w:r>
      <w:r>
        <w:rPr>
          <w:sz w:val="28"/>
          <w:szCs w:val="28"/>
        </w:rPr>
        <w:t>e</w:t>
      </w:r>
      <w:r w:rsidRPr="007B7449">
        <w:rPr>
          <w:sz w:val="28"/>
          <w:szCs w:val="28"/>
        </w:rPr>
        <w:t xml:space="preserve">) of the Arizona Rules of Supreme Court, the State Bar of Arizona (the “State Bar”) hereby </w:t>
      </w:r>
      <w:r>
        <w:rPr>
          <w:sz w:val="28"/>
          <w:szCs w:val="28"/>
        </w:rPr>
        <w:t xml:space="preserve">submits the following as its comment to the above-captioned Petition. </w:t>
      </w:r>
      <w:r w:rsidR="00684C8D">
        <w:rPr>
          <w:sz w:val="28"/>
          <w:szCs w:val="28"/>
        </w:rPr>
        <w:t xml:space="preserve">The analysis and details for this Comment are substantially the product of the State Bar’s Criminal Practice and Procedure Committee, composed of a balance of prosecution and defense practitioners, and judicial members. </w:t>
      </w:r>
    </w:p>
    <w:p w14:paraId="74CAB38E" w14:textId="12981D19" w:rsidR="00D20932" w:rsidRDefault="00D20932" w:rsidP="00D20932">
      <w:pPr>
        <w:pStyle w:val="Body"/>
        <w:widowControl w:val="0"/>
        <w:spacing w:line="480" w:lineRule="auto"/>
        <w:ind w:firstLine="720"/>
        <w:jc w:val="both"/>
        <w:rPr>
          <w:spacing w:val="-3"/>
          <w:sz w:val="28"/>
          <w:szCs w:val="28"/>
        </w:rPr>
      </w:pPr>
      <w:r w:rsidRPr="000939EB">
        <w:rPr>
          <w:sz w:val="28"/>
          <w:szCs w:val="28"/>
        </w:rPr>
        <w:t xml:space="preserve">The Petition </w:t>
      </w:r>
      <w:r w:rsidRPr="000939EB">
        <w:rPr>
          <w:spacing w:val="-3"/>
          <w:sz w:val="28"/>
          <w:szCs w:val="28"/>
        </w:rPr>
        <w:t xml:space="preserve">seeks to amend the Rules of Criminal Procedure and their related forms to prohibit an arrestee from posting the </w:t>
      </w:r>
      <w:r>
        <w:rPr>
          <w:spacing w:val="-3"/>
          <w:sz w:val="28"/>
          <w:szCs w:val="28"/>
        </w:rPr>
        <w:t xml:space="preserve">arrest warrant </w:t>
      </w:r>
      <w:r w:rsidRPr="000939EB">
        <w:rPr>
          <w:spacing w:val="-3"/>
          <w:sz w:val="28"/>
          <w:szCs w:val="28"/>
        </w:rPr>
        <w:t xml:space="preserve">bond </w:t>
      </w:r>
      <w:r w:rsidRPr="000939EB">
        <w:rPr>
          <w:i/>
          <w:iCs/>
          <w:spacing w:val="-3"/>
          <w:sz w:val="28"/>
          <w:szCs w:val="28"/>
        </w:rPr>
        <w:t>prior to</w:t>
      </w:r>
      <w:r w:rsidRPr="000939EB">
        <w:rPr>
          <w:spacing w:val="-3"/>
          <w:sz w:val="28"/>
          <w:szCs w:val="28"/>
        </w:rPr>
        <w:t xml:space="preserve"> the </w:t>
      </w:r>
      <w:r>
        <w:rPr>
          <w:spacing w:val="-3"/>
          <w:sz w:val="28"/>
          <w:szCs w:val="28"/>
        </w:rPr>
        <w:t>i</w:t>
      </w:r>
      <w:r w:rsidRPr="000939EB">
        <w:rPr>
          <w:spacing w:val="-3"/>
          <w:sz w:val="28"/>
          <w:szCs w:val="28"/>
        </w:rPr>
        <w:t xml:space="preserve">nitial </w:t>
      </w:r>
      <w:r>
        <w:rPr>
          <w:spacing w:val="-3"/>
          <w:sz w:val="28"/>
          <w:szCs w:val="28"/>
        </w:rPr>
        <w:t>a</w:t>
      </w:r>
      <w:r w:rsidRPr="000939EB">
        <w:rPr>
          <w:spacing w:val="-3"/>
          <w:sz w:val="28"/>
          <w:szCs w:val="28"/>
        </w:rPr>
        <w:t>ppearance</w:t>
      </w:r>
      <w:r>
        <w:rPr>
          <w:spacing w:val="-3"/>
          <w:sz w:val="28"/>
          <w:szCs w:val="28"/>
        </w:rPr>
        <w:t xml:space="preserve"> (IA)</w:t>
      </w:r>
      <w:r w:rsidRPr="000939EB">
        <w:rPr>
          <w:spacing w:val="-3"/>
          <w:sz w:val="28"/>
          <w:szCs w:val="28"/>
        </w:rPr>
        <w:t>.</w:t>
      </w:r>
    </w:p>
    <w:p w14:paraId="1F574E31" w14:textId="77777777" w:rsidR="00D20932" w:rsidRDefault="00D20932" w:rsidP="00D20932">
      <w:pPr>
        <w:pStyle w:val="Body"/>
        <w:widowControl w:val="0"/>
        <w:spacing w:line="480" w:lineRule="auto"/>
        <w:ind w:firstLine="720"/>
        <w:jc w:val="both"/>
        <w:rPr>
          <w:spacing w:val="-3"/>
          <w:sz w:val="28"/>
          <w:szCs w:val="28"/>
        </w:rPr>
      </w:pPr>
      <w:r w:rsidRPr="000939EB">
        <w:rPr>
          <w:spacing w:val="-3"/>
          <w:sz w:val="28"/>
          <w:szCs w:val="28"/>
        </w:rPr>
        <w:lastRenderedPageBreak/>
        <w:t xml:space="preserve">The Petition acknowledges that </w:t>
      </w:r>
      <w:r>
        <w:rPr>
          <w:spacing w:val="-3"/>
          <w:sz w:val="28"/>
          <w:szCs w:val="28"/>
        </w:rPr>
        <w:t xml:space="preserve">the </w:t>
      </w:r>
      <w:r w:rsidRPr="000939EB">
        <w:rPr>
          <w:spacing w:val="-3"/>
          <w:sz w:val="28"/>
          <w:szCs w:val="28"/>
        </w:rPr>
        <w:t xml:space="preserve">magistrate issuing </w:t>
      </w:r>
      <w:r>
        <w:rPr>
          <w:spacing w:val="-3"/>
          <w:sz w:val="28"/>
          <w:szCs w:val="28"/>
        </w:rPr>
        <w:t xml:space="preserve">an </w:t>
      </w:r>
      <w:r w:rsidRPr="000939EB">
        <w:rPr>
          <w:spacing w:val="-3"/>
          <w:sz w:val="28"/>
          <w:szCs w:val="28"/>
        </w:rPr>
        <w:t xml:space="preserve">arrest warrant in </w:t>
      </w:r>
      <w:r>
        <w:rPr>
          <w:spacing w:val="-3"/>
          <w:sz w:val="28"/>
          <w:szCs w:val="28"/>
        </w:rPr>
        <w:t xml:space="preserve">a </w:t>
      </w:r>
      <w:r w:rsidRPr="000939EB">
        <w:rPr>
          <w:spacing w:val="-3"/>
          <w:sz w:val="28"/>
          <w:szCs w:val="28"/>
        </w:rPr>
        <w:t xml:space="preserve">felony case “might have more information concerning an individual defendant’s circumstances than an </w:t>
      </w:r>
      <w:r>
        <w:rPr>
          <w:spacing w:val="-3"/>
          <w:sz w:val="28"/>
          <w:szCs w:val="28"/>
        </w:rPr>
        <w:t>I</w:t>
      </w:r>
      <w:r w:rsidRPr="000939EB">
        <w:rPr>
          <w:spacing w:val="-3"/>
          <w:sz w:val="28"/>
          <w:szCs w:val="28"/>
        </w:rPr>
        <w:t xml:space="preserve">nitial Appearance magistrate [who possesses] only scant information, and therefore could more knowledgably propose the type and amount of a bond” necessary to secure the arrestee’s future court appearances—including </w:t>
      </w:r>
      <w:r>
        <w:rPr>
          <w:spacing w:val="-3"/>
          <w:sz w:val="28"/>
          <w:szCs w:val="28"/>
        </w:rPr>
        <w:t>the</w:t>
      </w:r>
      <w:r w:rsidRPr="000939EB">
        <w:rPr>
          <w:spacing w:val="-3"/>
          <w:sz w:val="28"/>
          <w:szCs w:val="28"/>
        </w:rPr>
        <w:t xml:space="preserve"> </w:t>
      </w:r>
      <w:r>
        <w:rPr>
          <w:spacing w:val="-3"/>
          <w:sz w:val="28"/>
          <w:szCs w:val="28"/>
        </w:rPr>
        <w:t>IA</w:t>
      </w:r>
      <w:r w:rsidRPr="000939EB">
        <w:rPr>
          <w:spacing w:val="-3"/>
          <w:sz w:val="28"/>
          <w:szCs w:val="28"/>
        </w:rPr>
        <w:t xml:space="preserve">. </w:t>
      </w:r>
      <w:r>
        <w:rPr>
          <w:spacing w:val="-3"/>
          <w:sz w:val="28"/>
          <w:szCs w:val="28"/>
        </w:rPr>
        <w:t xml:space="preserve">(Petition at 5). </w:t>
      </w:r>
      <w:r w:rsidRPr="000939EB">
        <w:rPr>
          <w:spacing w:val="-3"/>
          <w:sz w:val="28"/>
          <w:szCs w:val="28"/>
        </w:rPr>
        <w:t xml:space="preserve">Nonetheless, the Petition avers that local Sheriff’s Offices have implemented the practice of holding arrested persons in custody—“even if he/she posts bond prior to the warrant-arrest </w:t>
      </w:r>
      <w:r>
        <w:rPr>
          <w:spacing w:val="-3"/>
          <w:sz w:val="28"/>
          <w:szCs w:val="28"/>
        </w:rPr>
        <w:t>IA”</w:t>
      </w:r>
      <w:r w:rsidRPr="000939EB">
        <w:rPr>
          <w:spacing w:val="-3"/>
          <w:sz w:val="28"/>
          <w:szCs w:val="28"/>
        </w:rPr>
        <w:t xml:space="preserve"> before the court. </w:t>
      </w:r>
      <w:r>
        <w:rPr>
          <w:spacing w:val="-3"/>
          <w:sz w:val="28"/>
          <w:szCs w:val="28"/>
        </w:rPr>
        <w:t>(</w:t>
      </w:r>
      <w:r>
        <w:rPr>
          <w:i/>
          <w:spacing w:val="-3"/>
          <w:sz w:val="28"/>
          <w:szCs w:val="28"/>
        </w:rPr>
        <w:t xml:space="preserve">Id. </w:t>
      </w:r>
      <w:r>
        <w:rPr>
          <w:spacing w:val="-3"/>
          <w:sz w:val="28"/>
          <w:szCs w:val="28"/>
        </w:rPr>
        <w:t xml:space="preserve">at 3). </w:t>
      </w:r>
      <w:r w:rsidRPr="000939EB">
        <w:rPr>
          <w:spacing w:val="-3"/>
          <w:sz w:val="28"/>
          <w:szCs w:val="28"/>
        </w:rPr>
        <w:t xml:space="preserve">Petitioner contends the Rules of Criminal Procedure should be amended to </w:t>
      </w:r>
      <w:r>
        <w:rPr>
          <w:spacing w:val="-3"/>
          <w:sz w:val="28"/>
          <w:szCs w:val="28"/>
        </w:rPr>
        <w:t>approve</w:t>
      </w:r>
      <w:r w:rsidRPr="000939EB">
        <w:rPr>
          <w:spacing w:val="-3"/>
          <w:sz w:val="28"/>
          <w:szCs w:val="28"/>
        </w:rPr>
        <w:t xml:space="preserve"> this practice. </w:t>
      </w:r>
      <w:r>
        <w:rPr>
          <w:spacing w:val="-3"/>
          <w:sz w:val="28"/>
          <w:szCs w:val="28"/>
        </w:rPr>
        <w:t>The proposed procedure, however, violates an individual’s liberty interest, which is protected by the federal and Arizona constitutions.</w:t>
      </w:r>
    </w:p>
    <w:p w14:paraId="735F6E29" w14:textId="77777777" w:rsidR="00D20932" w:rsidRDefault="00D20932" w:rsidP="00D20932">
      <w:pPr>
        <w:pStyle w:val="Body"/>
        <w:widowControl w:val="0"/>
        <w:spacing w:line="480" w:lineRule="auto"/>
        <w:ind w:firstLine="720"/>
        <w:jc w:val="both"/>
        <w:rPr>
          <w:spacing w:val="-3"/>
          <w:sz w:val="28"/>
          <w:szCs w:val="28"/>
        </w:rPr>
      </w:pPr>
      <w:r w:rsidRPr="00A07F0C">
        <w:rPr>
          <w:spacing w:val="-3"/>
          <w:sz w:val="28"/>
          <w:szCs w:val="28"/>
        </w:rPr>
        <w:t xml:space="preserve">“No right is held more sacred, or is more carefully guarded, by the common law, than the right of every individual to the possession and control of his own person, free from all restraint or interference of others, unless by clear and unquestionable authority of law.” </w:t>
      </w:r>
      <w:r w:rsidRPr="00A07F0C">
        <w:rPr>
          <w:i/>
          <w:iCs/>
          <w:spacing w:val="-3"/>
          <w:sz w:val="28"/>
          <w:szCs w:val="28"/>
        </w:rPr>
        <w:t xml:space="preserve">Simpson v. Miller, </w:t>
      </w:r>
      <w:r w:rsidRPr="00A07F0C">
        <w:rPr>
          <w:spacing w:val="-3"/>
          <w:sz w:val="28"/>
          <w:szCs w:val="28"/>
        </w:rPr>
        <w:t xml:space="preserve">241 Ariz. 341, 345 (2017), quoting </w:t>
      </w:r>
      <w:r w:rsidRPr="00A07F0C">
        <w:rPr>
          <w:i/>
          <w:iCs/>
          <w:spacing w:val="-3"/>
          <w:sz w:val="28"/>
          <w:szCs w:val="28"/>
        </w:rPr>
        <w:t xml:space="preserve">Rasmussen by Mitchell v. Fleming, </w:t>
      </w:r>
      <w:r w:rsidRPr="00A07F0C">
        <w:rPr>
          <w:spacing w:val="-3"/>
          <w:sz w:val="28"/>
          <w:szCs w:val="28"/>
        </w:rPr>
        <w:t xml:space="preserve">154 Ariz. 207, 215-16 (1987), </w:t>
      </w:r>
      <w:r w:rsidRPr="00A07F0C">
        <w:rPr>
          <w:i/>
          <w:iCs/>
          <w:spacing w:val="-3"/>
          <w:sz w:val="28"/>
          <w:szCs w:val="28"/>
        </w:rPr>
        <w:t xml:space="preserve">Union Pac. Ry. Co. v. Botsford, </w:t>
      </w:r>
      <w:r w:rsidRPr="00A07F0C">
        <w:rPr>
          <w:spacing w:val="-3"/>
          <w:sz w:val="28"/>
          <w:szCs w:val="28"/>
        </w:rPr>
        <w:t>141 U.S. 250, 251 (1891). “Thus, ‘[</w:t>
      </w:r>
      <w:proofErr w:type="spellStart"/>
      <w:r w:rsidRPr="00A07F0C">
        <w:rPr>
          <w:spacing w:val="-3"/>
          <w:sz w:val="28"/>
          <w:szCs w:val="28"/>
        </w:rPr>
        <w:t>i</w:t>
      </w:r>
      <w:proofErr w:type="spellEnd"/>
      <w:r w:rsidRPr="00A07F0C">
        <w:rPr>
          <w:spacing w:val="-3"/>
          <w:sz w:val="28"/>
          <w:szCs w:val="28"/>
        </w:rPr>
        <w:t>]n our society liberty is the norm, and detention prior to trial</w:t>
      </w:r>
      <w:r>
        <w:rPr>
          <w:spacing w:val="-3"/>
          <w:sz w:val="28"/>
          <w:szCs w:val="28"/>
        </w:rPr>
        <w:t xml:space="preserve"> . . . </w:t>
      </w:r>
      <w:r w:rsidRPr="00A07F0C">
        <w:rPr>
          <w:spacing w:val="-3"/>
          <w:sz w:val="28"/>
          <w:szCs w:val="28"/>
        </w:rPr>
        <w:t xml:space="preserve">is the carefully limited exception.’”  </w:t>
      </w:r>
      <w:r w:rsidRPr="00A07F0C">
        <w:rPr>
          <w:i/>
          <w:iCs/>
          <w:spacing w:val="-3"/>
          <w:sz w:val="28"/>
          <w:szCs w:val="28"/>
        </w:rPr>
        <w:t xml:space="preserve">Simpson, supra., </w:t>
      </w:r>
      <w:r w:rsidRPr="00A07F0C">
        <w:rPr>
          <w:spacing w:val="-3"/>
          <w:sz w:val="28"/>
          <w:szCs w:val="28"/>
        </w:rPr>
        <w:t xml:space="preserve">quoting </w:t>
      </w:r>
      <w:r w:rsidRPr="00A07F0C">
        <w:rPr>
          <w:i/>
          <w:iCs/>
          <w:spacing w:val="-3"/>
          <w:sz w:val="28"/>
          <w:szCs w:val="28"/>
        </w:rPr>
        <w:t xml:space="preserve">United States v. Salerno, </w:t>
      </w:r>
      <w:r w:rsidRPr="00A07F0C">
        <w:rPr>
          <w:spacing w:val="-3"/>
          <w:sz w:val="28"/>
          <w:szCs w:val="28"/>
        </w:rPr>
        <w:t>481 U.S. 739, 755 (1987).</w:t>
      </w:r>
      <w:r>
        <w:rPr>
          <w:spacing w:val="-3"/>
          <w:sz w:val="28"/>
          <w:szCs w:val="28"/>
        </w:rPr>
        <w:t xml:space="preserve">  </w:t>
      </w:r>
    </w:p>
    <w:p w14:paraId="2F121C39" w14:textId="77777777" w:rsidR="00D20932" w:rsidRDefault="00D20932" w:rsidP="00D20932">
      <w:pPr>
        <w:pStyle w:val="Body"/>
        <w:widowControl w:val="0"/>
        <w:spacing w:line="480" w:lineRule="auto"/>
        <w:ind w:firstLine="720"/>
        <w:jc w:val="both"/>
        <w:rPr>
          <w:spacing w:val="-3"/>
          <w:sz w:val="28"/>
          <w:szCs w:val="28"/>
        </w:rPr>
      </w:pPr>
      <w:r w:rsidRPr="00A07F0C">
        <w:rPr>
          <w:spacing w:val="-3"/>
          <w:sz w:val="28"/>
          <w:szCs w:val="28"/>
        </w:rPr>
        <w:lastRenderedPageBreak/>
        <w:t>“The United States Supreme Court has characterized the right to be free from bodily restraint as ‘fundamental</w:t>
      </w:r>
      <w:r>
        <w:rPr>
          <w:spacing w:val="-3"/>
          <w:sz w:val="28"/>
          <w:szCs w:val="28"/>
        </w:rPr>
        <w:t>.</w:t>
      </w:r>
      <w:r w:rsidRPr="00A07F0C">
        <w:rPr>
          <w:spacing w:val="-3"/>
          <w:sz w:val="28"/>
          <w:szCs w:val="28"/>
        </w:rPr>
        <w:t xml:space="preserve">’” </w:t>
      </w:r>
      <w:r w:rsidRPr="00A07F0C">
        <w:rPr>
          <w:i/>
          <w:iCs/>
          <w:spacing w:val="-3"/>
          <w:sz w:val="28"/>
          <w:szCs w:val="28"/>
        </w:rPr>
        <w:t xml:space="preserve">Simpson, supra., </w:t>
      </w:r>
      <w:r w:rsidRPr="00A07F0C">
        <w:rPr>
          <w:spacing w:val="-3"/>
          <w:sz w:val="28"/>
          <w:szCs w:val="28"/>
        </w:rPr>
        <w:t>at 347. “[D]</w:t>
      </w:r>
      <w:proofErr w:type="spellStart"/>
      <w:r w:rsidRPr="00A07F0C">
        <w:rPr>
          <w:spacing w:val="-3"/>
          <w:sz w:val="28"/>
          <w:szCs w:val="28"/>
        </w:rPr>
        <w:t>etention</w:t>
      </w:r>
      <w:proofErr w:type="spellEnd"/>
      <w:r w:rsidRPr="00A07F0C">
        <w:rPr>
          <w:spacing w:val="-3"/>
          <w:sz w:val="28"/>
          <w:szCs w:val="28"/>
        </w:rPr>
        <w:t xml:space="preserve"> requires a case-specific inquiry.” </w:t>
      </w:r>
      <w:r>
        <w:rPr>
          <w:i/>
          <w:iCs/>
          <w:spacing w:val="-3"/>
          <w:sz w:val="28"/>
          <w:szCs w:val="28"/>
        </w:rPr>
        <w:t>Id.</w:t>
      </w:r>
      <w:r w:rsidRPr="00A07F0C">
        <w:rPr>
          <w:i/>
          <w:iCs/>
          <w:spacing w:val="-3"/>
          <w:sz w:val="28"/>
          <w:szCs w:val="28"/>
        </w:rPr>
        <w:t xml:space="preserve"> </w:t>
      </w:r>
      <w:r w:rsidRPr="00A07F0C">
        <w:rPr>
          <w:spacing w:val="-3"/>
          <w:sz w:val="28"/>
          <w:szCs w:val="28"/>
        </w:rPr>
        <w:t xml:space="preserve">at 349. The magistrate issuing a felony arrest warrant establishes a bond congruent with </w:t>
      </w:r>
      <w:r>
        <w:rPr>
          <w:spacing w:val="-3"/>
          <w:sz w:val="28"/>
          <w:szCs w:val="28"/>
        </w:rPr>
        <w:t>a</w:t>
      </w:r>
      <w:r w:rsidRPr="00A07F0C">
        <w:rPr>
          <w:spacing w:val="-3"/>
          <w:sz w:val="28"/>
          <w:szCs w:val="28"/>
        </w:rPr>
        <w:t xml:space="preserve"> case-specific inquiry. The Petition would relegate the magistrate’s determination of bond to one of merely “a recommendation”—subject to enforcement or modification only </w:t>
      </w:r>
      <w:r w:rsidRPr="00A07F0C">
        <w:rPr>
          <w:i/>
          <w:iCs/>
          <w:spacing w:val="-3"/>
          <w:sz w:val="28"/>
          <w:szCs w:val="28"/>
        </w:rPr>
        <w:t>after</w:t>
      </w:r>
      <w:r w:rsidRPr="00A07F0C">
        <w:rPr>
          <w:sz w:val="28"/>
          <w:szCs w:val="28"/>
        </w:rPr>
        <w:t xml:space="preserve"> an arrestee is jailed and brought before </w:t>
      </w:r>
      <w:r>
        <w:rPr>
          <w:sz w:val="28"/>
          <w:szCs w:val="28"/>
        </w:rPr>
        <w:t>the</w:t>
      </w:r>
      <w:r w:rsidRPr="00A07F0C">
        <w:rPr>
          <w:sz w:val="28"/>
          <w:szCs w:val="28"/>
        </w:rPr>
        <w:t xml:space="preserve"> </w:t>
      </w:r>
      <w:r>
        <w:rPr>
          <w:sz w:val="28"/>
          <w:szCs w:val="28"/>
        </w:rPr>
        <w:t xml:space="preserve">IA </w:t>
      </w:r>
      <w:r w:rsidRPr="00A07F0C">
        <w:rPr>
          <w:sz w:val="28"/>
          <w:szCs w:val="28"/>
        </w:rPr>
        <w:t xml:space="preserve">judge.  </w:t>
      </w:r>
      <w:r w:rsidRPr="00A07F0C">
        <w:rPr>
          <w:spacing w:val="-3"/>
          <w:sz w:val="28"/>
          <w:szCs w:val="28"/>
        </w:rPr>
        <w:t xml:space="preserve"> </w:t>
      </w:r>
    </w:p>
    <w:p w14:paraId="64D17DF6" w14:textId="77777777" w:rsidR="00D20932" w:rsidRDefault="00D20932" w:rsidP="00D20932">
      <w:pPr>
        <w:pStyle w:val="Body"/>
        <w:widowControl w:val="0"/>
        <w:spacing w:line="480" w:lineRule="auto"/>
        <w:ind w:firstLine="720"/>
        <w:jc w:val="both"/>
        <w:rPr>
          <w:sz w:val="28"/>
          <w:szCs w:val="28"/>
        </w:rPr>
      </w:pPr>
      <w:r w:rsidRPr="00A07F0C">
        <w:rPr>
          <w:spacing w:val="-3"/>
          <w:sz w:val="28"/>
          <w:szCs w:val="28"/>
        </w:rPr>
        <w:t xml:space="preserve">Regulatory procedures which operate to automatically deny bond in all felony cases, or which have the effect of denying bond after </w:t>
      </w:r>
      <w:r w:rsidRPr="00A07F0C">
        <w:rPr>
          <w:i/>
          <w:iCs/>
          <w:spacing w:val="-3"/>
          <w:sz w:val="28"/>
          <w:szCs w:val="28"/>
        </w:rPr>
        <w:t xml:space="preserve">the previously set bond amount is posted, </w:t>
      </w:r>
      <w:r w:rsidRPr="00A07F0C">
        <w:rPr>
          <w:spacing w:val="-3"/>
          <w:sz w:val="28"/>
          <w:szCs w:val="28"/>
        </w:rPr>
        <w:t xml:space="preserve">are unconstitutional. </w:t>
      </w:r>
      <w:r w:rsidRPr="00A07F0C">
        <w:rPr>
          <w:i/>
          <w:iCs/>
          <w:spacing w:val="-3"/>
          <w:sz w:val="28"/>
          <w:szCs w:val="28"/>
        </w:rPr>
        <w:t>Cf. Simpson, supra.</w:t>
      </w:r>
      <w:r w:rsidRPr="00A07F0C">
        <w:rPr>
          <w:spacing w:val="-3"/>
          <w:sz w:val="28"/>
          <w:szCs w:val="28"/>
        </w:rPr>
        <w:t xml:space="preserve"> at 349-350</w:t>
      </w:r>
      <w:r w:rsidRPr="00A07F0C">
        <w:rPr>
          <w:sz w:val="28"/>
          <w:szCs w:val="28"/>
        </w:rPr>
        <w:t xml:space="preserve"> (Arizona Constitution and statute categorically denying bail for all persons charged with sexual conduct with a minor </w:t>
      </w:r>
      <w:r>
        <w:rPr>
          <w:sz w:val="28"/>
          <w:szCs w:val="28"/>
        </w:rPr>
        <w:t xml:space="preserve">held </w:t>
      </w:r>
      <w:r w:rsidRPr="00A07F0C">
        <w:rPr>
          <w:sz w:val="28"/>
          <w:szCs w:val="28"/>
        </w:rPr>
        <w:t>unconstitutional)</w:t>
      </w:r>
      <w:r>
        <w:rPr>
          <w:sz w:val="28"/>
          <w:szCs w:val="28"/>
        </w:rPr>
        <w:t>.</w:t>
      </w:r>
      <w:r w:rsidRPr="00A07F0C">
        <w:rPr>
          <w:sz w:val="28"/>
          <w:szCs w:val="28"/>
        </w:rPr>
        <w:t xml:space="preserve"> Bond or bail for a felony may only be denied under the provisions and procedure </w:t>
      </w:r>
      <w:r>
        <w:rPr>
          <w:sz w:val="28"/>
          <w:szCs w:val="28"/>
        </w:rPr>
        <w:t>outlined</w:t>
      </w:r>
      <w:r w:rsidRPr="00A07F0C">
        <w:rPr>
          <w:sz w:val="28"/>
          <w:szCs w:val="28"/>
        </w:rPr>
        <w:t xml:space="preserve"> in A.R.S. </w:t>
      </w:r>
      <w:r w:rsidRPr="00D326A4">
        <w:rPr>
          <w:color w:val="000000"/>
          <w:sz w:val="28"/>
          <w:szCs w:val="28"/>
        </w:rPr>
        <w:t>§</w:t>
      </w:r>
      <w:r w:rsidRPr="00A07F0C">
        <w:rPr>
          <w:sz w:val="28"/>
          <w:szCs w:val="28"/>
        </w:rPr>
        <w:t xml:space="preserve">13-3961(D), which requires a motion </w:t>
      </w:r>
      <w:r w:rsidRPr="002579FD">
        <w:rPr>
          <w:sz w:val="28"/>
          <w:szCs w:val="28"/>
        </w:rPr>
        <w:t>by the state</w:t>
      </w:r>
      <w:r w:rsidRPr="00A07F0C">
        <w:rPr>
          <w:sz w:val="28"/>
          <w:szCs w:val="28"/>
        </w:rPr>
        <w:t xml:space="preserve"> and implicitly includes the accused’s Sixth Amendment right to assistance of counsel in challenging that motion.  </w:t>
      </w:r>
      <w:r w:rsidRPr="00A07F0C">
        <w:rPr>
          <w:i/>
          <w:iCs/>
          <w:sz w:val="28"/>
          <w:szCs w:val="28"/>
        </w:rPr>
        <w:t xml:space="preserve">Accord </w:t>
      </w:r>
      <w:r w:rsidRPr="00D726C0">
        <w:rPr>
          <w:i/>
          <w:sz w:val="28"/>
          <w:szCs w:val="28"/>
        </w:rPr>
        <w:t>Rule 7.1, Ariz.</w:t>
      </w:r>
      <w:r>
        <w:rPr>
          <w:i/>
          <w:sz w:val="28"/>
          <w:szCs w:val="28"/>
        </w:rPr>
        <w:t xml:space="preserve"> </w:t>
      </w:r>
      <w:r w:rsidRPr="00D726C0">
        <w:rPr>
          <w:i/>
          <w:sz w:val="28"/>
          <w:szCs w:val="28"/>
        </w:rPr>
        <w:t>R.</w:t>
      </w:r>
      <w:r>
        <w:rPr>
          <w:i/>
          <w:sz w:val="28"/>
          <w:szCs w:val="28"/>
        </w:rPr>
        <w:t xml:space="preserve"> </w:t>
      </w:r>
      <w:r w:rsidRPr="00D726C0">
        <w:rPr>
          <w:i/>
          <w:sz w:val="28"/>
          <w:szCs w:val="28"/>
        </w:rPr>
        <w:t>Crim.</w:t>
      </w:r>
      <w:r>
        <w:rPr>
          <w:i/>
          <w:sz w:val="28"/>
          <w:szCs w:val="28"/>
        </w:rPr>
        <w:t xml:space="preserve"> </w:t>
      </w:r>
      <w:r w:rsidRPr="00D726C0">
        <w:rPr>
          <w:i/>
          <w:sz w:val="28"/>
          <w:szCs w:val="28"/>
        </w:rPr>
        <w:t>P.</w:t>
      </w:r>
      <w:r w:rsidRPr="00A07F0C">
        <w:rPr>
          <w:sz w:val="28"/>
          <w:szCs w:val="28"/>
        </w:rPr>
        <w:t xml:space="preserve"> (governing release and bond)</w:t>
      </w:r>
      <w:r>
        <w:rPr>
          <w:sz w:val="28"/>
          <w:szCs w:val="28"/>
        </w:rPr>
        <w:t>.</w:t>
      </w:r>
    </w:p>
    <w:p w14:paraId="53DA3C9A" w14:textId="77777777" w:rsidR="00D20932" w:rsidRDefault="00D20932" w:rsidP="00D20932">
      <w:pPr>
        <w:pStyle w:val="Body"/>
        <w:widowControl w:val="0"/>
        <w:spacing w:line="480" w:lineRule="auto"/>
        <w:ind w:firstLine="720"/>
        <w:jc w:val="both"/>
        <w:rPr>
          <w:sz w:val="28"/>
          <w:szCs w:val="28"/>
        </w:rPr>
      </w:pPr>
      <w:r w:rsidRPr="00A07F0C">
        <w:rPr>
          <w:sz w:val="28"/>
          <w:szCs w:val="28"/>
        </w:rPr>
        <w:t xml:space="preserve">An accused felon’s liberty interests are protected by the posting of the bond set in the arrest warrant; the state’s interest in compelling those accused of felony offenses to appear in court are similarly protected. Once bond is posted, the accused’s </w:t>
      </w:r>
      <w:r>
        <w:rPr>
          <w:sz w:val="28"/>
          <w:szCs w:val="28"/>
        </w:rPr>
        <w:t>scheduled IA</w:t>
      </w:r>
      <w:r w:rsidRPr="00A07F0C">
        <w:rPr>
          <w:sz w:val="28"/>
          <w:szCs w:val="28"/>
        </w:rPr>
        <w:t xml:space="preserve"> provides no </w:t>
      </w:r>
      <w:r>
        <w:rPr>
          <w:sz w:val="28"/>
          <w:szCs w:val="28"/>
        </w:rPr>
        <w:t xml:space="preserve">independent </w:t>
      </w:r>
      <w:r w:rsidRPr="00A07F0C">
        <w:rPr>
          <w:sz w:val="28"/>
          <w:szCs w:val="28"/>
        </w:rPr>
        <w:t xml:space="preserve">justification </w:t>
      </w:r>
      <w:r>
        <w:rPr>
          <w:sz w:val="28"/>
          <w:szCs w:val="28"/>
        </w:rPr>
        <w:t xml:space="preserve">to </w:t>
      </w:r>
      <w:r w:rsidRPr="00A07F0C">
        <w:rPr>
          <w:sz w:val="28"/>
          <w:szCs w:val="28"/>
        </w:rPr>
        <w:t xml:space="preserve">increase the previously set, posted bond amount. However, other facts might be brought to the IA </w:t>
      </w:r>
      <w:r>
        <w:rPr>
          <w:sz w:val="28"/>
          <w:szCs w:val="28"/>
        </w:rPr>
        <w:t>Court</w:t>
      </w:r>
      <w:r w:rsidRPr="00A07F0C">
        <w:rPr>
          <w:sz w:val="28"/>
          <w:szCs w:val="28"/>
        </w:rPr>
        <w:t xml:space="preserve">’s attention warranting a change in the previously set bond or release conditions. Where such articulable facts or circumstances come to light, the IA officer </w:t>
      </w:r>
      <w:r>
        <w:rPr>
          <w:sz w:val="28"/>
          <w:szCs w:val="28"/>
        </w:rPr>
        <w:t>has</w:t>
      </w:r>
      <w:r w:rsidRPr="00A07F0C">
        <w:rPr>
          <w:sz w:val="28"/>
          <w:szCs w:val="28"/>
        </w:rPr>
        <w:t xml:space="preserve"> the discretion to modify the bond amount or any other release condition—whether the accused is in custody or not—provided the accused is afforded counsel. </w:t>
      </w:r>
      <w:r w:rsidRPr="00A07F0C">
        <w:rPr>
          <w:i/>
          <w:iCs/>
          <w:sz w:val="28"/>
          <w:szCs w:val="28"/>
        </w:rPr>
        <w:t xml:space="preserve">See Kirby v. Illinois, </w:t>
      </w:r>
      <w:r w:rsidRPr="00A07F0C">
        <w:rPr>
          <w:sz w:val="28"/>
          <w:szCs w:val="28"/>
        </w:rPr>
        <w:t>406 U.S. 682, 688-89 (1972)</w:t>
      </w:r>
      <w:r>
        <w:rPr>
          <w:sz w:val="28"/>
          <w:szCs w:val="28"/>
        </w:rPr>
        <w:t xml:space="preserve"> </w:t>
      </w:r>
      <w:r w:rsidRPr="00A07F0C">
        <w:rPr>
          <w:sz w:val="28"/>
          <w:szCs w:val="28"/>
        </w:rPr>
        <w:t xml:space="preserve">(right to counsel attaches at or after initiation of adversary judicial criminal proceeding). </w:t>
      </w:r>
      <w:r>
        <w:rPr>
          <w:sz w:val="28"/>
          <w:szCs w:val="28"/>
        </w:rPr>
        <w:t>Conversely</w:t>
      </w:r>
      <w:r w:rsidRPr="00A07F0C">
        <w:rPr>
          <w:sz w:val="28"/>
          <w:szCs w:val="28"/>
        </w:rPr>
        <w:t>, w</w:t>
      </w:r>
      <w:r>
        <w:rPr>
          <w:sz w:val="28"/>
          <w:szCs w:val="28"/>
        </w:rPr>
        <w:t>h</w:t>
      </w:r>
      <w:r w:rsidRPr="00A07F0C">
        <w:rPr>
          <w:sz w:val="28"/>
          <w:szCs w:val="28"/>
        </w:rPr>
        <w:t xml:space="preserve">ere an accused felon fails to appear, the IA </w:t>
      </w:r>
      <w:r>
        <w:rPr>
          <w:sz w:val="28"/>
          <w:szCs w:val="28"/>
        </w:rPr>
        <w:t>judge</w:t>
      </w:r>
      <w:r w:rsidRPr="00A07F0C">
        <w:rPr>
          <w:sz w:val="28"/>
          <w:szCs w:val="28"/>
        </w:rPr>
        <w:t xml:space="preserve"> may justifiably </w:t>
      </w:r>
      <w:proofErr w:type="spellStart"/>
      <w:r w:rsidRPr="00A07F0C">
        <w:rPr>
          <w:i/>
          <w:iCs/>
          <w:sz w:val="28"/>
          <w:szCs w:val="28"/>
        </w:rPr>
        <w:t>sua</w:t>
      </w:r>
      <w:proofErr w:type="spellEnd"/>
      <w:r w:rsidRPr="00A07F0C">
        <w:rPr>
          <w:i/>
          <w:iCs/>
          <w:sz w:val="28"/>
          <w:szCs w:val="28"/>
        </w:rPr>
        <w:t xml:space="preserve"> sponte</w:t>
      </w:r>
      <w:r w:rsidRPr="00A07F0C">
        <w:rPr>
          <w:sz w:val="28"/>
          <w:szCs w:val="28"/>
        </w:rPr>
        <w:t xml:space="preserve"> modify the conditions of his/her release.   </w:t>
      </w:r>
    </w:p>
    <w:p w14:paraId="7653D1E9" w14:textId="77777777" w:rsidR="00D20932" w:rsidRDefault="00D20932" w:rsidP="00D20932">
      <w:pPr>
        <w:pStyle w:val="Body"/>
        <w:widowControl w:val="0"/>
        <w:spacing w:line="480" w:lineRule="auto"/>
        <w:ind w:firstLine="720"/>
        <w:jc w:val="both"/>
        <w:rPr>
          <w:sz w:val="28"/>
          <w:szCs w:val="28"/>
        </w:rPr>
      </w:pPr>
      <w:r>
        <w:rPr>
          <w:sz w:val="28"/>
          <w:szCs w:val="28"/>
        </w:rPr>
        <w:t>Consequently</w:t>
      </w:r>
      <w:r w:rsidRPr="00A07F0C">
        <w:rPr>
          <w:sz w:val="28"/>
          <w:szCs w:val="28"/>
        </w:rPr>
        <w:t xml:space="preserve">, automatically holding an arrestee without bond—regardless of the duration </w:t>
      </w:r>
      <w:r>
        <w:rPr>
          <w:sz w:val="28"/>
          <w:szCs w:val="28"/>
        </w:rPr>
        <w:t>or purpose</w:t>
      </w:r>
      <w:r w:rsidRPr="00A07F0C">
        <w:rPr>
          <w:sz w:val="28"/>
          <w:szCs w:val="28"/>
        </w:rPr>
        <w:t xml:space="preserve">—is unconstitutional.  </w:t>
      </w:r>
    </w:p>
    <w:p w14:paraId="08A8BC0D" w14:textId="77777777" w:rsidR="00D20932" w:rsidRDefault="00D20932" w:rsidP="00D20932">
      <w:pPr>
        <w:pStyle w:val="Body"/>
        <w:widowControl w:val="0"/>
        <w:spacing w:line="480" w:lineRule="auto"/>
        <w:ind w:firstLine="720"/>
        <w:jc w:val="both"/>
        <w:rPr>
          <w:sz w:val="28"/>
          <w:szCs w:val="28"/>
        </w:rPr>
      </w:pPr>
      <w:r w:rsidRPr="00A07F0C">
        <w:rPr>
          <w:sz w:val="28"/>
          <w:szCs w:val="28"/>
        </w:rPr>
        <w:t>Other reasons exist to explain why the proposed modifications are untenable.  The implementation of the rules var</w:t>
      </w:r>
      <w:r>
        <w:rPr>
          <w:sz w:val="28"/>
          <w:szCs w:val="28"/>
        </w:rPr>
        <w:t>ies by</w:t>
      </w:r>
      <w:r w:rsidRPr="00A07F0C">
        <w:rPr>
          <w:sz w:val="28"/>
          <w:szCs w:val="28"/>
        </w:rPr>
        <w:t xml:space="preserve"> locality. Often failure to appear warrants issue from Superior Court without a bond amount. A bond is set at the initial appearance on the failure to appear warrant.  If Defendant posts the bond</w:t>
      </w:r>
      <w:r>
        <w:rPr>
          <w:sz w:val="28"/>
          <w:szCs w:val="28"/>
        </w:rPr>
        <w:t>,</w:t>
      </w:r>
      <w:r w:rsidRPr="00A07F0C">
        <w:rPr>
          <w:sz w:val="28"/>
          <w:szCs w:val="28"/>
        </w:rPr>
        <w:t xml:space="preserve"> </w:t>
      </w:r>
      <w:r>
        <w:rPr>
          <w:sz w:val="28"/>
          <w:szCs w:val="28"/>
        </w:rPr>
        <w:t>he/she</w:t>
      </w:r>
      <w:r w:rsidRPr="00A07F0C">
        <w:rPr>
          <w:sz w:val="28"/>
          <w:szCs w:val="28"/>
        </w:rPr>
        <w:t xml:space="preserve"> will be released. But in th</w:t>
      </w:r>
      <w:r>
        <w:rPr>
          <w:sz w:val="28"/>
          <w:szCs w:val="28"/>
        </w:rPr>
        <w:t>e</w:t>
      </w:r>
      <w:r w:rsidRPr="00A07F0C">
        <w:rPr>
          <w:sz w:val="28"/>
          <w:szCs w:val="28"/>
        </w:rPr>
        <w:t xml:space="preserve"> case </w:t>
      </w:r>
      <w:r>
        <w:rPr>
          <w:sz w:val="28"/>
          <w:szCs w:val="28"/>
        </w:rPr>
        <w:t xml:space="preserve">at hand, </w:t>
      </w:r>
      <w:r w:rsidRPr="00A07F0C">
        <w:rPr>
          <w:sz w:val="28"/>
          <w:szCs w:val="28"/>
        </w:rPr>
        <w:t xml:space="preserve">Defendant is seen and a bond is set. </w:t>
      </w:r>
    </w:p>
    <w:p w14:paraId="4C43017C" w14:textId="77777777" w:rsidR="00D20932" w:rsidRDefault="00D20932" w:rsidP="00D20932">
      <w:pPr>
        <w:pStyle w:val="Body"/>
        <w:widowControl w:val="0"/>
        <w:spacing w:line="480" w:lineRule="auto"/>
        <w:ind w:firstLine="720"/>
        <w:jc w:val="both"/>
        <w:rPr>
          <w:sz w:val="28"/>
          <w:szCs w:val="28"/>
        </w:rPr>
      </w:pPr>
      <w:r>
        <w:rPr>
          <w:sz w:val="28"/>
          <w:szCs w:val="28"/>
        </w:rPr>
        <w:t>In</w:t>
      </w:r>
      <w:r w:rsidRPr="00A07F0C">
        <w:rPr>
          <w:sz w:val="28"/>
          <w:szCs w:val="28"/>
        </w:rPr>
        <w:t xml:space="preserve"> misdemeanor </w:t>
      </w:r>
      <w:r>
        <w:rPr>
          <w:sz w:val="28"/>
          <w:szCs w:val="28"/>
        </w:rPr>
        <w:t>IAs</w:t>
      </w:r>
      <w:r w:rsidRPr="00A07F0C">
        <w:rPr>
          <w:sz w:val="28"/>
          <w:szCs w:val="28"/>
        </w:rPr>
        <w:t xml:space="preserve"> it is </w:t>
      </w:r>
      <w:r>
        <w:rPr>
          <w:sz w:val="28"/>
          <w:szCs w:val="28"/>
        </w:rPr>
        <w:t xml:space="preserve">generally </w:t>
      </w:r>
      <w:r w:rsidRPr="00A07F0C">
        <w:rPr>
          <w:sz w:val="28"/>
          <w:szCs w:val="28"/>
        </w:rPr>
        <w:t xml:space="preserve">known that if Defendant has a $2999 bond, that trial judge </w:t>
      </w:r>
      <w:r>
        <w:rPr>
          <w:sz w:val="28"/>
          <w:szCs w:val="28"/>
        </w:rPr>
        <w:t>will require that amount</w:t>
      </w:r>
      <w:r w:rsidRPr="00A07F0C">
        <w:rPr>
          <w:sz w:val="28"/>
          <w:szCs w:val="28"/>
        </w:rPr>
        <w:t>.</w:t>
      </w:r>
      <w:r>
        <w:rPr>
          <w:sz w:val="28"/>
          <w:szCs w:val="28"/>
        </w:rPr>
        <w:t xml:space="preserve"> Often,</w:t>
      </w:r>
      <w:r w:rsidRPr="00A07F0C">
        <w:rPr>
          <w:sz w:val="28"/>
          <w:szCs w:val="28"/>
        </w:rPr>
        <w:t xml:space="preserve"> a bond amount will correspond to the fine amount for a particular misdemeanor offense.  </w:t>
      </w:r>
    </w:p>
    <w:p w14:paraId="419CC5D1" w14:textId="77777777" w:rsidR="00D20932" w:rsidRPr="0091578C" w:rsidRDefault="00D20932" w:rsidP="00D20932">
      <w:pPr>
        <w:pStyle w:val="Body"/>
        <w:widowControl w:val="0"/>
        <w:spacing w:line="480" w:lineRule="auto"/>
        <w:ind w:firstLine="720"/>
        <w:jc w:val="both"/>
        <w:rPr>
          <w:rStyle w:val="BodyTextChar"/>
          <w:spacing w:val="-3"/>
          <w:sz w:val="28"/>
          <w:szCs w:val="28"/>
        </w:rPr>
      </w:pPr>
      <w:r>
        <w:rPr>
          <w:sz w:val="28"/>
          <w:szCs w:val="28"/>
        </w:rPr>
        <w:t>T</w:t>
      </w:r>
      <w:r w:rsidRPr="00A07F0C">
        <w:rPr>
          <w:sz w:val="28"/>
          <w:szCs w:val="28"/>
        </w:rPr>
        <w:t>he rules regarding release presume a certain order of events</w:t>
      </w:r>
      <w:r>
        <w:rPr>
          <w:sz w:val="28"/>
          <w:szCs w:val="28"/>
        </w:rPr>
        <w:t xml:space="preserve"> - </w:t>
      </w:r>
      <w:r w:rsidRPr="00A07F0C">
        <w:rPr>
          <w:sz w:val="28"/>
          <w:szCs w:val="28"/>
        </w:rPr>
        <w:t xml:space="preserve">arrest or summons, initial appearance, release conditions and perhaps a bond set, then payment of </w:t>
      </w:r>
      <w:r>
        <w:rPr>
          <w:sz w:val="28"/>
          <w:szCs w:val="28"/>
        </w:rPr>
        <w:t>the</w:t>
      </w:r>
      <w:r w:rsidRPr="00A07F0C">
        <w:rPr>
          <w:sz w:val="28"/>
          <w:szCs w:val="28"/>
        </w:rPr>
        <w:t xml:space="preserve"> bond. </w:t>
      </w:r>
      <w:r>
        <w:rPr>
          <w:sz w:val="28"/>
          <w:szCs w:val="28"/>
        </w:rPr>
        <w:t xml:space="preserve"> </w:t>
      </w:r>
      <w:r w:rsidRPr="00A07F0C">
        <w:rPr>
          <w:sz w:val="28"/>
          <w:szCs w:val="28"/>
        </w:rPr>
        <w:t xml:space="preserve">But they do not preclude the payment of a bond and release </w:t>
      </w:r>
      <w:r>
        <w:rPr>
          <w:sz w:val="28"/>
          <w:szCs w:val="28"/>
        </w:rPr>
        <w:t>upon payment</w:t>
      </w:r>
      <w:r w:rsidRPr="00A07F0C">
        <w:rPr>
          <w:sz w:val="28"/>
          <w:szCs w:val="28"/>
        </w:rPr>
        <w:t xml:space="preserve">, </w:t>
      </w:r>
      <w:r>
        <w:rPr>
          <w:sz w:val="28"/>
          <w:szCs w:val="28"/>
        </w:rPr>
        <w:t>nor may they</w:t>
      </w:r>
      <w:r w:rsidRPr="00A07F0C">
        <w:rPr>
          <w:sz w:val="28"/>
          <w:szCs w:val="28"/>
        </w:rPr>
        <w:t xml:space="preserve">. </w:t>
      </w:r>
    </w:p>
    <w:p w14:paraId="365DBF9D" w14:textId="77777777" w:rsidR="00D20932" w:rsidRPr="006F63FD" w:rsidRDefault="00D20932" w:rsidP="00D20932">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599AF762" w14:textId="77777777" w:rsidR="00D94F3B" w:rsidRDefault="00D94F3B" w:rsidP="00D94F3B">
      <w:pPr>
        <w:spacing w:line="480" w:lineRule="auto"/>
        <w:ind w:firstLine="720"/>
        <w:jc w:val="both"/>
        <w:rPr>
          <w:sz w:val="28"/>
          <w:szCs w:val="28"/>
        </w:rPr>
      </w:pPr>
      <w:r>
        <w:rPr>
          <w:sz w:val="28"/>
          <w:szCs w:val="28"/>
        </w:rPr>
        <w:t xml:space="preserve">For the reasons stated above, the State Bar of Arizona respectfully requests that this Petition be denied. </w:t>
      </w:r>
    </w:p>
    <w:p w14:paraId="5D02FE20" w14:textId="77777777" w:rsidR="000F7A7F" w:rsidRPr="000F7A7F" w:rsidRDefault="000F7A7F" w:rsidP="000F7C13">
      <w:pPr>
        <w:pStyle w:val="Body"/>
        <w:widowControl w:val="0"/>
        <w:tabs>
          <w:tab w:val="left" w:pos="720"/>
        </w:tabs>
        <w:ind w:firstLine="0"/>
        <w:rPr>
          <w:szCs w:val="26"/>
        </w:rPr>
      </w:pPr>
    </w:p>
    <w:p w14:paraId="4D8B5ECD" w14:textId="77777777" w:rsidR="00610E3E" w:rsidRDefault="00610E3E" w:rsidP="00610E3E">
      <w:pPr>
        <w:pStyle w:val="Body"/>
        <w:widowControl w:val="0"/>
        <w:tabs>
          <w:tab w:val="left" w:pos="720"/>
        </w:tabs>
        <w:spacing w:line="480" w:lineRule="auto"/>
        <w:ind w:firstLine="0"/>
        <w:jc w:val="both"/>
        <w:rPr>
          <w:spacing w:val="-3"/>
          <w:sz w:val="28"/>
          <w:szCs w:val="28"/>
        </w:rPr>
      </w:pPr>
      <w:r>
        <w:rPr>
          <w:spacing w:val="-3"/>
          <w:sz w:val="28"/>
          <w:szCs w:val="28"/>
        </w:rPr>
        <w:tab/>
      </w:r>
      <w:r>
        <w:rPr>
          <w:sz w:val="28"/>
          <w:szCs w:val="28"/>
        </w:rPr>
        <w:t>RESPECTFULLY SUBMITTED this 1</w:t>
      </w:r>
      <w:r>
        <w:rPr>
          <w:sz w:val="28"/>
          <w:szCs w:val="28"/>
          <w:vertAlign w:val="superscript"/>
        </w:rPr>
        <w:t>st</w:t>
      </w:r>
      <w:r>
        <w:rPr>
          <w:sz w:val="28"/>
          <w:szCs w:val="28"/>
        </w:rPr>
        <w:t xml:space="preserve"> day of May, 2020.</w:t>
      </w:r>
    </w:p>
    <w:p w14:paraId="76C0AD12" w14:textId="77777777" w:rsidR="00610E3E" w:rsidRDefault="00610E3E" w:rsidP="00610E3E">
      <w:pPr>
        <w:pStyle w:val="Body"/>
        <w:widowControl w:val="0"/>
        <w:tabs>
          <w:tab w:val="left" w:pos="720"/>
          <w:tab w:val="center" w:pos="4680"/>
          <w:tab w:val="right" w:pos="9360"/>
        </w:tabs>
        <w:spacing w:line="240" w:lineRule="auto"/>
        <w:ind w:firstLine="0"/>
        <w:rPr>
          <w:sz w:val="28"/>
          <w:szCs w:val="28"/>
        </w:rPr>
      </w:pPr>
      <w:r>
        <w:rPr>
          <w:sz w:val="28"/>
          <w:szCs w:val="28"/>
        </w:rPr>
        <w:tab/>
      </w:r>
      <w:r>
        <w:rPr>
          <w:sz w:val="28"/>
          <w:szCs w:val="28"/>
        </w:rPr>
        <w:tab/>
        <w:t xml:space="preserve">                                                 </w:t>
      </w:r>
      <w:r>
        <w:rPr>
          <w:i/>
          <w:iCs/>
          <w:sz w:val="28"/>
          <w:szCs w:val="28"/>
          <w:u w:val="single"/>
        </w:rPr>
        <w:t xml:space="preserve">/s/ </w:t>
      </w:r>
      <w:r>
        <w:rPr>
          <w:sz w:val="28"/>
          <w:szCs w:val="28"/>
          <w:u w:val="single"/>
        </w:rPr>
        <w:t>Lisa M. Panahi</w:t>
      </w:r>
      <w:r>
        <w:rPr>
          <w:i/>
          <w:iCs/>
          <w:sz w:val="28"/>
          <w:szCs w:val="28"/>
          <w:u w:val="single"/>
        </w:rPr>
        <w:br/>
      </w:r>
      <w:r>
        <w:rPr>
          <w:sz w:val="28"/>
          <w:szCs w:val="28"/>
        </w:rPr>
        <w:tab/>
      </w:r>
      <w:r>
        <w:rPr>
          <w:sz w:val="28"/>
          <w:szCs w:val="28"/>
        </w:rPr>
        <w:tab/>
        <w:t xml:space="preserve">                                            Lisa M. Panahi</w:t>
      </w:r>
      <w:r>
        <w:rPr>
          <w:sz w:val="28"/>
          <w:szCs w:val="28"/>
        </w:rPr>
        <w:br/>
      </w:r>
      <w:r>
        <w:rPr>
          <w:sz w:val="28"/>
          <w:szCs w:val="28"/>
        </w:rPr>
        <w:tab/>
      </w:r>
      <w:r>
        <w:rPr>
          <w:sz w:val="28"/>
          <w:szCs w:val="28"/>
        </w:rPr>
        <w:tab/>
        <w:t xml:space="preserve">                                              General Counsel</w:t>
      </w:r>
    </w:p>
    <w:p w14:paraId="58BC7A22" w14:textId="77777777" w:rsidR="00610E3E" w:rsidRDefault="00610E3E" w:rsidP="00610E3E">
      <w:pPr>
        <w:widowControl w:val="0"/>
        <w:spacing w:line="240" w:lineRule="auto"/>
        <w:ind w:right="4140"/>
        <w:rPr>
          <w:sz w:val="28"/>
          <w:szCs w:val="28"/>
        </w:rPr>
      </w:pPr>
    </w:p>
    <w:p w14:paraId="51A64816" w14:textId="77777777" w:rsidR="00610E3E" w:rsidRDefault="00610E3E" w:rsidP="00610E3E">
      <w:pPr>
        <w:widowControl w:val="0"/>
        <w:spacing w:line="240" w:lineRule="auto"/>
        <w:ind w:right="4140"/>
        <w:rPr>
          <w:sz w:val="28"/>
          <w:szCs w:val="28"/>
        </w:rPr>
      </w:pPr>
    </w:p>
    <w:p w14:paraId="732856BF" w14:textId="77777777" w:rsidR="00610E3E" w:rsidRDefault="00610E3E" w:rsidP="00610E3E">
      <w:pPr>
        <w:widowControl w:val="0"/>
        <w:spacing w:line="240" w:lineRule="auto"/>
        <w:ind w:right="4140"/>
        <w:rPr>
          <w:sz w:val="28"/>
          <w:szCs w:val="28"/>
        </w:rPr>
      </w:pPr>
      <w:r>
        <w:rPr>
          <w:sz w:val="28"/>
          <w:szCs w:val="28"/>
        </w:rPr>
        <w:t>Electronic copy filed with the</w:t>
      </w:r>
    </w:p>
    <w:p w14:paraId="6D94C6A9" w14:textId="77777777" w:rsidR="00610E3E" w:rsidRDefault="00610E3E" w:rsidP="00610E3E">
      <w:pPr>
        <w:spacing w:line="240" w:lineRule="auto"/>
        <w:ind w:right="4140"/>
        <w:rPr>
          <w:sz w:val="28"/>
          <w:szCs w:val="28"/>
        </w:rPr>
      </w:pPr>
      <w:r>
        <w:rPr>
          <w:sz w:val="28"/>
          <w:szCs w:val="28"/>
        </w:rPr>
        <w:t>Clerk of the Supreme Court of Arizona</w:t>
      </w:r>
    </w:p>
    <w:p w14:paraId="7F96232C" w14:textId="77777777" w:rsidR="00610E3E" w:rsidRDefault="00610E3E" w:rsidP="00610E3E">
      <w:pPr>
        <w:tabs>
          <w:tab w:val="left" w:pos="4836"/>
        </w:tabs>
        <w:spacing w:line="240" w:lineRule="auto"/>
        <w:ind w:right="3870"/>
        <w:rPr>
          <w:sz w:val="28"/>
          <w:szCs w:val="28"/>
        </w:rPr>
      </w:pPr>
      <w:r>
        <w:rPr>
          <w:sz w:val="28"/>
          <w:szCs w:val="28"/>
        </w:rPr>
        <w:t>this 1</w:t>
      </w:r>
      <w:r>
        <w:rPr>
          <w:sz w:val="28"/>
          <w:szCs w:val="28"/>
          <w:vertAlign w:val="superscript"/>
        </w:rPr>
        <w:t>st</w:t>
      </w:r>
      <w:r>
        <w:rPr>
          <w:sz w:val="28"/>
          <w:szCs w:val="28"/>
        </w:rPr>
        <w:t xml:space="preserve"> day of May, 2020.</w:t>
      </w:r>
    </w:p>
    <w:p w14:paraId="3DD050D6" w14:textId="77777777" w:rsidR="00610E3E" w:rsidRDefault="00610E3E" w:rsidP="00610E3E">
      <w:pPr>
        <w:spacing w:line="240" w:lineRule="auto"/>
        <w:ind w:right="4572"/>
        <w:rPr>
          <w:sz w:val="28"/>
          <w:szCs w:val="28"/>
        </w:rPr>
      </w:pPr>
    </w:p>
    <w:p w14:paraId="7BB9F356" w14:textId="77777777" w:rsidR="00610E3E" w:rsidRDefault="00610E3E" w:rsidP="00610E3E">
      <w:pPr>
        <w:spacing w:line="240" w:lineRule="auto"/>
        <w:ind w:right="4572"/>
        <w:rPr>
          <w:sz w:val="28"/>
          <w:szCs w:val="28"/>
        </w:rPr>
      </w:pPr>
      <w:r>
        <w:rPr>
          <w:sz w:val="28"/>
          <w:szCs w:val="28"/>
        </w:rPr>
        <w:t xml:space="preserve">by: </w:t>
      </w:r>
      <w:r>
        <w:rPr>
          <w:sz w:val="28"/>
          <w:szCs w:val="28"/>
          <w:u w:val="single"/>
        </w:rPr>
        <w:t xml:space="preserve">Patricia Seguin </w:t>
      </w:r>
    </w:p>
    <w:p w14:paraId="514D6FB1" w14:textId="77777777" w:rsidR="00494BDF" w:rsidRPr="000F7A7F" w:rsidRDefault="00494BDF" w:rsidP="000C48A9">
      <w:pPr>
        <w:pStyle w:val="Body"/>
        <w:widowControl w:val="0"/>
        <w:ind w:firstLine="0"/>
        <w:jc w:val="both"/>
        <w:rPr>
          <w:szCs w:val="26"/>
        </w:rPr>
      </w:pPr>
      <w:bookmarkStart w:id="2" w:name="_GoBack"/>
      <w:bookmarkEnd w:id="2"/>
    </w:p>
    <w:p w14:paraId="22C2C8B9" w14:textId="77777777" w:rsidR="00933EA1" w:rsidRPr="000F7A7F" w:rsidRDefault="00933EA1" w:rsidP="000F7C13">
      <w:pPr>
        <w:spacing w:line="240" w:lineRule="auto"/>
        <w:rPr>
          <w:strike/>
          <w:sz w:val="26"/>
          <w:szCs w:val="26"/>
        </w:rPr>
      </w:pPr>
    </w:p>
    <w:p w14:paraId="4A07E8A6" w14:textId="77777777" w:rsidR="00052372" w:rsidRPr="000F7A7F" w:rsidRDefault="00052372" w:rsidP="00933EA1">
      <w:pPr>
        <w:tabs>
          <w:tab w:val="left" w:pos="8145"/>
        </w:tabs>
        <w:rPr>
          <w:sz w:val="26"/>
          <w:szCs w:val="26"/>
        </w:rPr>
      </w:pPr>
    </w:p>
    <w:sectPr w:rsidR="00052372" w:rsidRPr="000F7A7F" w:rsidSect="00D20932">
      <w:headerReference w:type="default" r:id="rId8"/>
      <w:footerReference w:type="even" r:id="rId9"/>
      <w:footerReference w:type="default" r:id="rId10"/>
      <w:pgSz w:w="12240" w:h="15840" w:code="1"/>
      <w:pgMar w:top="0" w:right="1440" w:bottom="171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710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10E3E"/>
    <w:rsid w:val="006338C1"/>
    <w:rsid w:val="00636F5E"/>
    <w:rsid w:val="00665CCF"/>
    <w:rsid w:val="006666D1"/>
    <w:rsid w:val="006721EC"/>
    <w:rsid w:val="006766BF"/>
    <w:rsid w:val="00684C8D"/>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54A5E"/>
    <w:rsid w:val="00960D21"/>
    <w:rsid w:val="00981D29"/>
    <w:rsid w:val="00981E11"/>
    <w:rsid w:val="00A1564B"/>
    <w:rsid w:val="00A4249C"/>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20932"/>
    <w:rsid w:val="00D423FE"/>
    <w:rsid w:val="00D442E4"/>
    <w:rsid w:val="00D60D9B"/>
    <w:rsid w:val="00D80EDC"/>
    <w:rsid w:val="00D94F3B"/>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965451">
      <w:bodyDiv w:val="1"/>
      <w:marLeft w:val="0"/>
      <w:marRight w:val="0"/>
      <w:marTop w:val="0"/>
      <w:marBottom w:val="0"/>
      <w:divBdr>
        <w:top w:val="none" w:sz="0" w:space="0" w:color="auto"/>
        <w:left w:val="none" w:sz="0" w:space="0" w:color="auto"/>
        <w:bottom w:val="none" w:sz="0" w:space="0" w:color="auto"/>
        <w:right w:val="none" w:sz="0" w:space="0" w:color="auto"/>
      </w:divBdr>
    </w:div>
    <w:div w:id="120632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94FE2-2BA5-4367-9580-EB628C6B5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2</TotalTime>
  <Pages>5</Pages>
  <Words>954</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5</cp:revision>
  <cp:lastPrinted>2014-04-30T16:27:00Z</cp:lastPrinted>
  <dcterms:created xsi:type="dcterms:W3CDTF">2020-04-25T15:03:00Z</dcterms:created>
  <dcterms:modified xsi:type="dcterms:W3CDTF">2020-05-01T18:44:00Z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