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B22719" w14:paraId="2DD96AE8" w14:textId="77777777" w:rsidTr="006F63FD">
        <w:trPr>
          <w:cantSplit/>
          <w:trHeight w:val="1987"/>
        </w:trPr>
        <w:tc>
          <w:tcPr>
            <w:tcW w:w="4836" w:type="dxa"/>
          </w:tcPr>
          <w:p w14:paraId="3B92AF78" w14:textId="77777777" w:rsidR="00000C35" w:rsidRPr="00B22719" w:rsidRDefault="00F850BE" w:rsidP="00000C35">
            <w:pPr>
              <w:pStyle w:val="FirmInformation"/>
              <w:spacing w:line="240" w:lineRule="auto"/>
              <w:rPr>
                <w:sz w:val="28"/>
                <w:szCs w:val="28"/>
              </w:rPr>
            </w:pPr>
            <w:bookmarkStart w:id="0" w:name="_zzmpFIXED_CounselTable"/>
            <w:r w:rsidRPr="00B22719">
              <w:rPr>
                <w:sz w:val="28"/>
                <w:szCs w:val="28"/>
              </w:rPr>
              <w:t>Lisa M. Panahi</w:t>
            </w:r>
            <w:r w:rsidR="00732169" w:rsidRPr="00B22719">
              <w:rPr>
                <w:sz w:val="28"/>
                <w:szCs w:val="28"/>
              </w:rPr>
              <w:t xml:space="preserve">, </w:t>
            </w:r>
            <w:r w:rsidRPr="00B22719">
              <w:rPr>
                <w:sz w:val="28"/>
                <w:szCs w:val="28"/>
              </w:rPr>
              <w:t>Bar No. 023421</w:t>
            </w:r>
            <w:r w:rsidR="00732169" w:rsidRPr="00B22719">
              <w:rPr>
                <w:sz w:val="28"/>
                <w:szCs w:val="28"/>
              </w:rPr>
              <w:br/>
            </w:r>
            <w:r w:rsidR="006F63FD" w:rsidRPr="00B22719">
              <w:rPr>
                <w:sz w:val="28"/>
                <w:szCs w:val="28"/>
              </w:rPr>
              <w:t>General Counsel</w:t>
            </w:r>
          </w:p>
          <w:p w14:paraId="056261EB" w14:textId="77777777" w:rsidR="00494BDF" w:rsidRPr="00B22719" w:rsidRDefault="00494BDF" w:rsidP="00000C35">
            <w:pPr>
              <w:pStyle w:val="FirmInformation"/>
              <w:spacing w:line="240" w:lineRule="auto"/>
              <w:rPr>
                <w:sz w:val="28"/>
                <w:szCs w:val="28"/>
              </w:rPr>
            </w:pPr>
            <w:r w:rsidRPr="00B22719">
              <w:rPr>
                <w:sz w:val="28"/>
                <w:szCs w:val="28"/>
              </w:rPr>
              <w:t>State Bar of Arizona</w:t>
            </w:r>
          </w:p>
          <w:p w14:paraId="2A532740" w14:textId="77777777" w:rsidR="00357F4D" w:rsidRPr="00B22719" w:rsidRDefault="00357F4D" w:rsidP="00000C35">
            <w:pPr>
              <w:pStyle w:val="FirmInformation"/>
              <w:spacing w:line="240" w:lineRule="auto"/>
              <w:rPr>
                <w:sz w:val="28"/>
                <w:szCs w:val="28"/>
              </w:rPr>
            </w:pPr>
            <w:r w:rsidRPr="00B22719">
              <w:rPr>
                <w:sz w:val="28"/>
                <w:szCs w:val="28"/>
              </w:rPr>
              <w:t>4201 N. 24th Street, Suite 100</w:t>
            </w:r>
          </w:p>
          <w:p w14:paraId="5315828A" w14:textId="77777777" w:rsidR="00357F4D" w:rsidRPr="00B22719" w:rsidRDefault="00357F4D" w:rsidP="00000C35">
            <w:pPr>
              <w:pStyle w:val="FirmInformation"/>
              <w:spacing w:line="240" w:lineRule="auto"/>
              <w:rPr>
                <w:sz w:val="28"/>
                <w:szCs w:val="28"/>
              </w:rPr>
            </w:pPr>
            <w:r w:rsidRPr="00B22719">
              <w:rPr>
                <w:sz w:val="28"/>
                <w:szCs w:val="28"/>
              </w:rPr>
              <w:t>Phoenix, AZ  85016-6288</w:t>
            </w:r>
          </w:p>
          <w:p w14:paraId="7B3DBC20" w14:textId="77777777" w:rsidR="006F63FD" w:rsidRPr="00B22719" w:rsidRDefault="00352347" w:rsidP="00735659">
            <w:pPr>
              <w:pStyle w:val="FirmInformation"/>
              <w:spacing w:line="240" w:lineRule="auto"/>
              <w:rPr>
                <w:sz w:val="28"/>
                <w:szCs w:val="28"/>
              </w:rPr>
            </w:pPr>
            <w:r w:rsidRPr="00B22719">
              <w:rPr>
                <w:sz w:val="28"/>
                <w:szCs w:val="28"/>
              </w:rPr>
              <w:t>(602) 340-7236</w:t>
            </w:r>
          </w:p>
        </w:tc>
        <w:tc>
          <w:tcPr>
            <w:tcW w:w="4200" w:type="dxa"/>
          </w:tcPr>
          <w:p w14:paraId="0A670938" w14:textId="77777777" w:rsidR="00357F4D" w:rsidRPr="00B22719" w:rsidRDefault="00357F4D" w:rsidP="00000C35">
            <w:pPr>
              <w:ind w:left="113" w:right="113"/>
              <w:rPr>
                <w:sz w:val="28"/>
                <w:szCs w:val="28"/>
              </w:rPr>
            </w:pPr>
          </w:p>
        </w:tc>
      </w:tr>
      <w:bookmarkEnd w:id="0"/>
    </w:tbl>
    <w:p w14:paraId="08E71DA7" w14:textId="77777777" w:rsidR="00357F4D" w:rsidRPr="00B22719" w:rsidRDefault="00357F4D" w:rsidP="00735659">
      <w:pPr>
        <w:pStyle w:val="Court"/>
        <w:spacing w:line="508" w:lineRule="exact"/>
        <w:jc w:val="left"/>
        <w:rPr>
          <w:b/>
          <w:sz w:val="28"/>
          <w:szCs w:val="28"/>
        </w:rPr>
      </w:pPr>
    </w:p>
    <w:p w14:paraId="25693B34" w14:textId="77777777" w:rsidR="000C48A9" w:rsidRPr="00B22719" w:rsidRDefault="000F7A7F" w:rsidP="00000C35">
      <w:pPr>
        <w:pStyle w:val="Court"/>
        <w:spacing w:line="240" w:lineRule="auto"/>
        <w:rPr>
          <w:b/>
          <w:sz w:val="28"/>
          <w:szCs w:val="28"/>
        </w:rPr>
      </w:pPr>
      <w:r w:rsidRPr="00B22719">
        <w:rPr>
          <w:b/>
          <w:sz w:val="28"/>
          <w:szCs w:val="28"/>
        </w:rPr>
        <w:t>IN THE SUPREME COURT</w:t>
      </w:r>
      <w:r w:rsidRPr="00B22719">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B22719"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B22719" w:rsidRDefault="00357F4D" w:rsidP="00E321C5">
            <w:pPr>
              <w:pStyle w:val="Caption"/>
              <w:spacing w:before="240" w:line="260" w:lineRule="exact"/>
              <w:rPr>
                <w:sz w:val="28"/>
                <w:szCs w:val="28"/>
              </w:rPr>
            </w:pPr>
            <w:bookmarkStart w:id="1" w:name="_zzmpFIXED_CaptionTable"/>
            <w:r w:rsidRPr="00B22719">
              <w:rPr>
                <w:sz w:val="28"/>
                <w:szCs w:val="28"/>
              </w:rPr>
              <w:t>In the Matter of:</w:t>
            </w:r>
          </w:p>
          <w:p w14:paraId="03963DD5" w14:textId="033FC720" w:rsidR="00357F4D" w:rsidRPr="00B22719" w:rsidRDefault="00E67511" w:rsidP="00B22719">
            <w:pPr>
              <w:pStyle w:val="Caption"/>
              <w:spacing w:before="240" w:line="260" w:lineRule="exact"/>
              <w:rPr>
                <w:b/>
                <w:sz w:val="28"/>
                <w:szCs w:val="28"/>
              </w:rPr>
            </w:pPr>
            <w:r w:rsidRPr="00B22719">
              <w:rPr>
                <w:b/>
                <w:sz w:val="28"/>
                <w:szCs w:val="28"/>
              </w:rPr>
              <w:t xml:space="preserve">PETITION TO </w:t>
            </w:r>
            <w:r w:rsidR="00B22719" w:rsidRPr="00B22719">
              <w:rPr>
                <w:b/>
                <w:sz w:val="28"/>
                <w:szCs w:val="28"/>
              </w:rPr>
              <w:t>AMEND RULE 404 OF THE ARIZONA RULES OF EVIDENCE</w:t>
            </w:r>
          </w:p>
        </w:tc>
        <w:tc>
          <w:tcPr>
            <w:tcW w:w="4524" w:type="dxa"/>
            <w:tcBorders>
              <w:top w:val="nil"/>
              <w:left w:val="single" w:sz="4" w:space="0" w:color="auto"/>
            </w:tcBorders>
            <w:shd w:val="clear" w:color="auto" w:fill="auto"/>
          </w:tcPr>
          <w:p w14:paraId="35CED5CB" w14:textId="6444F032" w:rsidR="00357F4D" w:rsidRPr="00B22719" w:rsidRDefault="00357F4D" w:rsidP="00E321C5">
            <w:pPr>
              <w:pStyle w:val="Caption"/>
              <w:tabs>
                <w:tab w:val="left" w:pos="1238"/>
              </w:tabs>
              <w:spacing w:before="240" w:after="240"/>
              <w:ind w:left="259" w:right="115"/>
              <w:rPr>
                <w:sz w:val="28"/>
                <w:szCs w:val="28"/>
              </w:rPr>
            </w:pPr>
            <w:r w:rsidRPr="00B22719">
              <w:rPr>
                <w:sz w:val="28"/>
                <w:szCs w:val="28"/>
              </w:rPr>
              <w:t>Supreme Court No. R-</w:t>
            </w:r>
            <w:r w:rsidR="008A4EB3" w:rsidRPr="00B22719">
              <w:rPr>
                <w:sz w:val="28"/>
                <w:szCs w:val="28"/>
              </w:rPr>
              <w:t>20</w:t>
            </w:r>
            <w:r w:rsidR="00F850BE" w:rsidRPr="00B22719">
              <w:rPr>
                <w:sz w:val="28"/>
                <w:szCs w:val="28"/>
              </w:rPr>
              <w:t>-</w:t>
            </w:r>
            <w:r w:rsidR="00B22719" w:rsidRPr="00B22719">
              <w:rPr>
                <w:sz w:val="28"/>
                <w:szCs w:val="28"/>
              </w:rPr>
              <w:t>0023</w:t>
            </w:r>
          </w:p>
          <w:p w14:paraId="1CC1574A" w14:textId="77777777" w:rsidR="00B22719" w:rsidRPr="00B22719" w:rsidRDefault="00B22719" w:rsidP="000F7A7F">
            <w:pPr>
              <w:pStyle w:val="Caption"/>
              <w:tabs>
                <w:tab w:val="left" w:pos="1238"/>
              </w:tabs>
              <w:spacing w:line="260" w:lineRule="exact"/>
              <w:ind w:right="115"/>
              <w:jc w:val="center"/>
              <w:rPr>
                <w:b/>
                <w:sz w:val="28"/>
                <w:szCs w:val="28"/>
              </w:rPr>
            </w:pPr>
            <w:r w:rsidRPr="00B22719">
              <w:rPr>
                <w:b/>
                <w:sz w:val="28"/>
                <w:szCs w:val="28"/>
              </w:rPr>
              <w:t xml:space="preserve">COMMENT OF </w:t>
            </w:r>
          </w:p>
          <w:p w14:paraId="5AEC962D" w14:textId="4116A4E9" w:rsidR="00357F4D" w:rsidRPr="00B22719" w:rsidRDefault="00B22719" w:rsidP="000F7A7F">
            <w:pPr>
              <w:pStyle w:val="Caption"/>
              <w:tabs>
                <w:tab w:val="left" w:pos="1238"/>
              </w:tabs>
              <w:spacing w:line="260" w:lineRule="exact"/>
              <w:ind w:right="115"/>
              <w:jc w:val="center"/>
              <w:rPr>
                <w:b/>
                <w:sz w:val="28"/>
                <w:szCs w:val="28"/>
              </w:rPr>
            </w:pPr>
            <w:r w:rsidRPr="00B22719">
              <w:rPr>
                <w:b/>
                <w:sz w:val="28"/>
                <w:szCs w:val="28"/>
              </w:rPr>
              <w:t>THE STATE BAR OF ARIZONA</w:t>
            </w:r>
          </w:p>
          <w:p w14:paraId="414A167D" w14:textId="77777777" w:rsidR="00357F4D" w:rsidRPr="00B22719" w:rsidRDefault="00357F4D" w:rsidP="00E321C5">
            <w:pPr>
              <w:pStyle w:val="DocumentTitle"/>
              <w:rPr>
                <w:sz w:val="28"/>
                <w:szCs w:val="28"/>
              </w:rPr>
            </w:pPr>
          </w:p>
          <w:p w14:paraId="524D8097" w14:textId="77777777" w:rsidR="00357F4D" w:rsidRPr="00B22719" w:rsidRDefault="00357F4D" w:rsidP="00E321C5">
            <w:pPr>
              <w:pStyle w:val="Caption"/>
              <w:ind w:left="1512" w:right="115" w:hanging="1253"/>
              <w:rPr>
                <w:sz w:val="28"/>
                <w:szCs w:val="28"/>
              </w:rPr>
            </w:pPr>
          </w:p>
        </w:tc>
      </w:tr>
      <w:bookmarkEnd w:id="1"/>
    </w:tbl>
    <w:p w14:paraId="14B66B5A" w14:textId="77777777" w:rsidR="004331B2" w:rsidRPr="00B22719" w:rsidRDefault="004331B2" w:rsidP="006338C1">
      <w:pPr>
        <w:pStyle w:val="Body"/>
        <w:widowControl w:val="0"/>
        <w:ind w:firstLine="720"/>
        <w:jc w:val="both"/>
        <w:rPr>
          <w:sz w:val="28"/>
          <w:szCs w:val="28"/>
        </w:rPr>
      </w:pPr>
    </w:p>
    <w:p w14:paraId="605BFA78" w14:textId="77777777" w:rsidR="00B22719" w:rsidRPr="00B22719" w:rsidRDefault="00B22719" w:rsidP="00B22719">
      <w:pPr>
        <w:pStyle w:val="Body"/>
        <w:widowControl w:val="0"/>
        <w:spacing w:line="480" w:lineRule="auto"/>
        <w:ind w:firstLine="720"/>
        <w:jc w:val="both"/>
        <w:rPr>
          <w:sz w:val="28"/>
          <w:szCs w:val="28"/>
        </w:rPr>
      </w:pPr>
      <w:r w:rsidRPr="00B22719">
        <w:rPr>
          <w:sz w:val="28"/>
          <w:szCs w:val="28"/>
        </w:rPr>
        <w:t>Pursuant to Rule 28(e) of the Arizona Rules of Supreme Court, the State Bar of Arizona (the “State Bar”) hereby submits the following as its comment to the above-captioned Petition.</w:t>
      </w:r>
    </w:p>
    <w:p w14:paraId="43A4BD9D" w14:textId="77777777" w:rsidR="00B22719" w:rsidRPr="00B22719" w:rsidRDefault="00B22719" w:rsidP="00B22719">
      <w:pPr>
        <w:spacing w:line="480" w:lineRule="auto"/>
        <w:ind w:firstLine="720"/>
        <w:jc w:val="both"/>
        <w:rPr>
          <w:sz w:val="28"/>
          <w:szCs w:val="28"/>
        </w:rPr>
      </w:pPr>
      <w:r w:rsidRPr="00B22719">
        <w:rPr>
          <w:sz w:val="28"/>
          <w:szCs w:val="28"/>
        </w:rPr>
        <w:t>The State Bar opposes the Petition to Amend Rule 404 of the Arizona Rules of Evidence because the existing Rule already permits the admission of many types of other act evidence that may be used to explain aspects of a domestic violence relationship. Additionally, the Petition does not explain why the current Rule is deficient in this regard.  Moreover, the proposed language does not sufficiently address the need to explain the cycle of domestic violence.</w:t>
      </w:r>
    </w:p>
    <w:p w14:paraId="220AF8B8" w14:textId="77777777" w:rsidR="00B22719" w:rsidRPr="00B22719" w:rsidRDefault="00B22719" w:rsidP="00B22719">
      <w:pPr>
        <w:spacing w:line="480" w:lineRule="auto"/>
        <w:ind w:firstLine="720"/>
        <w:jc w:val="both"/>
        <w:rPr>
          <w:sz w:val="28"/>
          <w:szCs w:val="28"/>
        </w:rPr>
      </w:pPr>
      <w:r w:rsidRPr="00B22719">
        <w:rPr>
          <w:sz w:val="28"/>
          <w:szCs w:val="28"/>
        </w:rPr>
        <w:t xml:space="preserve">The Petition notes that a domestic violence relationship is cyclical and “includes a tension-building stage, an acute battering incident, and then a phase of </w:t>
      </w:r>
      <w:r w:rsidRPr="00B22719">
        <w:rPr>
          <w:sz w:val="28"/>
          <w:szCs w:val="28"/>
        </w:rPr>
        <w:lastRenderedPageBreak/>
        <w:t xml:space="preserve">extreme repentance by the abuser.” (Petition at 2, </w:t>
      </w:r>
      <w:r w:rsidRPr="00B22719">
        <w:rPr>
          <w:i/>
          <w:sz w:val="28"/>
          <w:szCs w:val="28"/>
        </w:rPr>
        <w:t>citing</w:t>
      </w:r>
      <w:r w:rsidRPr="00B22719">
        <w:rPr>
          <w:sz w:val="28"/>
          <w:szCs w:val="28"/>
        </w:rPr>
        <w:t xml:space="preserve"> Isabell Scott &amp; Nancy McKenna, </w:t>
      </w:r>
      <w:r w:rsidRPr="00B22719">
        <w:rPr>
          <w:i/>
          <w:sz w:val="28"/>
          <w:szCs w:val="28"/>
        </w:rPr>
        <w:t>Domestic Violence Practice and Procedure</w:t>
      </w:r>
      <w:r w:rsidRPr="00B22719">
        <w:rPr>
          <w:sz w:val="28"/>
          <w:szCs w:val="28"/>
        </w:rPr>
        <w:t>, § 1:4 (2018).)  The Petition also explains that a single act of domestic violence is only one part of a “larger scheme of dominance and control.” (</w:t>
      </w:r>
      <w:r w:rsidRPr="00B22719">
        <w:rPr>
          <w:i/>
          <w:sz w:val="28"/>
          <w:szCs w:val="28"/>
        </w:rPr>
        <w:t>Id</w:t>
      </w:r>
      <w:r w:rsidRPr="00B22719">
        <w:rPr>
          <w:sz w:val="28"/>
          <w:szCs w:val="28"/>
        </w:rPr>
        <w:t xml:space="preserve">. at 3, </w:t>
      </w:r>
      <w:r w:rsidRPr="00B22719">
        <w:rPr>
          <w:i/>
          <w:sz w:val="28"/>
          <w:szCs w:val="28"/>
        </w:rPr>
        <w:t>citing</w:t>
      </w:r>
      <w:r w:rsidRPr="00B22719">
        <w:rPr>
          <w:sz w:val="28"/>
          <w:szCs w:val="28"/>
        </w:rPr>
        <w:t xml:space="preserve"> De </w:t>
      </w:r>
      <w:proofErr w:type="spellStart"/>
      <w:r w:rsidRPr="00B22719">
        <w:rPr>
          <w:sz w:val="28"/>
          <w:szCs w:val="28"/>
        </w:rPr>
        <w:t>Sanctis</w:t>
      </w:r>
      <w:proofErr w:type="spellEnd"/>
      <w:r w:rsidRPr="00B22719">
        <w:rPr>
          <w:sz w:val="28"/>
          <w:szCs w:val="28"/>
        </w:rPr>
        <w:t xml:space="preserve">, </w:t>
      </w:r>
      <w:r w:rsidRPr="00B22719">
        <w:rPr>
          <w:i/>
          <w:sz w:val="28"/>
          <w:szCs w:val="28"/>
        </w:rPr>
        <w:t>Bridging the Gap Between the Rules of Evidence and Justice for Victims of Domestic Violence</w:t>
      </w:r>
      <w:r w:rsidRPr="00B22719">
        <w:rPr>
          <w:sz w:val="28"/>
          <w:szCs w:val="28"/>
        </w:rPr>
        <w:t>, 8 Yale J.L. &amp; Feminism, 359, 388 (1996).)</w:t>
      </w:r>
    </w:p>
    <w:p w14:paraId="19F465AA" w14:textId="77777777" w:rsidR="00B22719" w:rsidRPr="00B22719" w:rsidRDefault="00B22719" w:rsidP="00B22719">
      <w:pPr>
        <w:spacing w:line="480" w:lineRule="auto"/>
        <w:ind w:firstLine="720"/>
        <w:jc w:val="both"/>
        <w:rPr>
          <w:sz w:val="28"/>
          <w:szCs w:val="28"/>
        </w:rPr>
      </w:pPr>
      <w:r w:rsidRPr="00B22719">
        <w:rPr>
          <w:sz w:val="28"/>
          <w:szCs w:val="28"/>
        </w:rPr>
        <w:t xml:space="preserve">The language of the proposed amendment is nearly identical to the language of Alaska R. </w:t>
      </w:r>
      <w:proofErr w:type="spellStart"/>
      <w:r w:rsidRPr="00B22719">
        <w:rPr>
          <w:sz w:val="28"/>
          <w:szCs w:val="28"/>
        </w:rPr>
        <w:t>Evid</w:t>
      </w:r>
      <w:proofErr w:type="spellEnd"/>
      <w:r w:rsidRPr="00B22719">
        <w:rPr>
          <w:sz w:val="28"/>
          <w:szCs w:val="28"/>
        </w:rPr>
        <w:t xml:space="preserve">. 404(b)(4), which permits admission of certain narrowly defined domestic violence “crimes.”  The Petition’s proposed language would only permit admission of a limited number of acts covering the “acute battering” stage of the domestic violence cycle. This narrowly tailored language would not help the jury understand the “larger scheme of dominance and control.”  </w:t>
      </w:r>
    </w:p>
    <w:p w14:paraId="4FECF4C9" w14:textId="77777777" w:rsidR="00B22719" w:rsidRPr="00B22719" w:rsidRDefault="00B22719" w:rsidP="00B22719">
      <w:pPr>
        <w:spacing w:line="480" w:lineRule="auto"/>
        <w:ind w:firstLine="720"/>
        <w:jc w:val="both"/>
        <w:rPr>
          <w:sz w:val="28"/>
          <w:szCs w:val="28"/>
        </w:rPr>
      </w:pPr>
      <w:r w:rsidRPr="00B22719">
        <w:rPr>
          <w:sz w:val="28"/>
          <w:szCs w:val="28"/>
        </w:rPr>
        <w:t>The Petition notes several other states have adopted rules admitting other domestic violence acts, including Michigan,</w:t>
      </w:r>
      <w:r w:rsidRPr="00B22719">
        <w:rPr>
          <w:rStyle w:val="FootnoteReference"/>
          <w:sz w:val="28"/>
          <w:szCs w:val="28"/>
        </w:rPr>
        <w:footnoteReference w:id="1"/>
      </w:r>
      <w:r w:rsidRPr="00B22719">
        <w:rPr>
          <w:sz w:val="28"/>
          <w:szCs w:val="28"/>
        </w:rPr>
        <w:t xml:space="preserve"> which permits the admission of “other acts of domestic violence” but defines “domestic violence” more broadly than Alaska.  For purposes of that rule, “domestic violence” is defined as:  </w:t>
      </w:r>
    </w:p>
    <w:p w14:paraId="5077AE8A" w14:textId="77777777" w:rsidR="00B22719" w:rsidRPr="00B22719" w:rsidRDefault="00B22719" w:rsidP="00B22719">
      <w:pPr>
        <w:widowControl w:val="0"/>
        <w:autoSpaceDE w:val="0"/>
        <w:autoSpaceDN w:val="0"/>
        <w:adjustRightInd w:val="0"/>
        <w:spacing w:before="200" w:line="240" w:lineRule="auto"/>
        <w:ind w:left="1440" w:right="1440"/>
        <w:jc w:val="both"/>
        <w:rPr>
          <w:color w:val="000000"/>
          <w:sz w:val="28"/>
          <w:szCs w:val="28"/>
        </w:rPr>
      </w:pPr>
      <w:r w:rsidRPr="00B22719">
        <w:rPr>
          <w:color w:val="000000"/>
          <w:sz w:val="28"/>
          <w:szCs w:val="28"/>
        </w:rPr>
        <w:t xml:space="preserve"> (</w:t>
      </w:r>
      <w:proofErr w:type="spellStart"/>
      <w:r w:rsidRPr="00B22719">
        <w:rPr>
          <w:i/>
          <w:iCs/>
          <w:color w:val="000000"/>
          <w:sz w:val="28"/>
          <w:szCs w:val="28"/>
        </w:rPr>
        <w:t>i</w:t>
      </w:r>
      <w:proofErr w:type="spellEnd"/>
      <w:r w:rsidRPr="00B22719">
        <w:rPr>
          <w:color w:val="000000"/>
          <w:sz w:val="28"/>
          <w:szCs w:val="28"/>
        </w:rPr>
        <w:t>) Causing or attempting to cause physical or mental harm to a family or household member.</w:t>
      </w:r>
    </w:p>
    <w:p w14:paraId="1A6FD713" w14:textId="77777777" w:rsidR="00B22719" w:rsidRPr="00B22719" w:rsidRDefault="00B22719" w:rsidP="00B22719">
      <w:pPr>
        <w:widowControl w:val="0"/>
        <w:autoSpaceDE w:val="0"/>
        <w:autoSpaceDN w:val="0"/>
        <w:adjustRightInd w:val="0"/>
        <w:spacing w:before="200" w:line="240" w:lineRule="auto"/>
        <w:ind w:left="1440" w:right="1440"/>
        <w:jc w:val="both"/>
        <w:rPr>
          <w:color w:val="000000"/>
          <w:sz w:val="28"/>
          <w:szCs w:val="28"/>
        </w:rPr>
      </w:pPr>
      <w:bookmarkStart w:id="2" w:name="co_anchor_IA4213D3C047411E9B406AA7D57AEF"/>
      <w:bookmarkStart w:id="3" w:name="co_pp_4c450000a5291_1"/>
      <w:bookmarkEnd w:id="2"/>
      <w:bookmarkEnd w:id="3"/>
      <w:r w:rsidRPr="00B22719">
        <w:rPr>
          <w:color w:val="000000"/>
          <w:sz w:val="28"/>
          <w:szCs w:val="28"/>
        </w:rPr>
        <w:lastRenderedPageBreak/>
        <w:t>(</w:t>
      </w:r>
      <w:r w:rsidRPr="00B22719">
        <w:rPr>
          <w:i/>
          <w:iCs/>
          <w:color w:val="000000"/>
          <w:sz w:val="28"/>
          <w:szCs w:val="28"/>
        </w:rPr>
        <w:t>ii</w:t>
      </w:r>
      <w:r w:rsidRPr="00B22719">
        <w:rPr>
          <w:color w:val="000000"/>
          <w:sz w:val="28"/>
          <w:szCs w:val="28"/>
        </w:rPr>
        <w:t>) Placing a family or household member in fear of physical or mental harm.</w:t>
      </w:r>
    </w:p>
    <w:p w14:paraId="4F9ABFCE" w14:textId="77777777" w:rsidR="00B22719" w:rsidRPr="00B22719" w:rsidRDefault="00B22719" w:rsidP="00B22719">
      <w:pPr>
        <w:widowControl w:val="0"/>
        <w:autoSpaceDE w:val="0"/>
        <w:autoSpaceDN w:val="0"/>
        <w:adjustRightInd w:val="0"/>
        <w:spacing w:before="200" w:line="240" w:lineRule="auto"/>
        <w:ind w:left="1440" w:right="1440"/>
        <w:jc w:val="both"/>
        <w:rPr>
          <w:color w:val="000000"/>
          <w:sz w:val="28"/>
          <w:szCs w:val="28"/>
        </w:rPr>
      </w:pPr>
      <w:bookmarkStart w:id="4" w:name="co_anchor_IA4213D3D047411E9B406AA7D57AEF"/>
      <w:bookmarkStart w:id="5" w:name="co_pp_81340000c52f1_1"/>
      <w:bookmarkEnd w:id="4"/>
      <w:bookmarkEnd w:id="5"/>
      <w:r w:rsidRPr="00B22719">
        <w:rPr>
          <w:color w:val="000000"/>
          <w:sz w:val="28"/>
          <w:szCs w:val="28"/>
        </w:rPr>
        <w:t>(</w:t>
      </w:r>
      <w:r w:rsidRPr="00B22719">
        <w:rPr>
          <w:i/>
          <w:iCs/>
          <w:color w:val="000000"/>
          <w:sz w:val="28"/>
          <w:szCs w:val="28"/>
        </w:rPr>
        <w:t>iii</w:t>
      </w:r>
      <w:r w:rsidRPr="00B22719">
        <w:rPr>
          <w:color w:val="000000"/>
          <w:sz w:val="28"/>
          <w:szCs w:val="28"/>
        </w:rPr>
        <w:t>) Causing or attempting to cause a family or household member to engage in involuntary sexual activity by force, threat of force, or duress.</w:t>
      </w:r>
    </w:p>
    <w:p w14:paraId="7EBD1BBF" w14:textId="77777777" w:rsidR="00B22719" w:rsidRPr="00B22719" w:rsidRDefault="00B22719" w:rsidP="00B22719">
      <w:pPr>
        <w:widowControl w:val="0"/>
        <w:autoSpaceDE w:val="0"/>
        <w:autoSpaceDN w:val="0"/>
        <w:adjustRightInd w:val="0"/>
        <w:spacing w:before="240" w:line="240" w:lineRule="auto"/>
        <w:ind w:left="1440" w:right="1440"/>
        <w:jc w:val="both"/>
        <w:rPr>
          <w:color w:val="000000"/>
          <w:sz w:val="28"/>
          <w:szCs w:val="28"/>
        </w:rPr>
      </w:pPr>
      <w:bookmarkStart w:id="6" w:name="co_anchor_IA4213D3E047411E9B406AA7D57AEF"/>
      <w:bookmarkStart w:id="7" w:name="co_pp_cdf10000a2c06_1"/>
      <w:bookmarkEnd w:id="6"/>
      <w:bookmarkEnd w:id="7"/>
      <w:r w:rsidRPr="00B22719">
        <w:rPr>
          <w:color w:val="000000"/>
          <w:sz w:val="28"/>
          <w:szCs w:val="28"/>
        </w:rPr>
        <w:t>(</w:t>
      </w:r>
      <w:r w:rsidRPr="00B22719">
        <w:rPr>
          <w:i/>
          <w:iCs/>
          <w:color w:val="000000"/>
          <w:sz w:val="28"/>
          <w:szCs w:val="28"/>
        </w:rPr>
        <w:t>iv</w:t>
      </w:r>
      <w:r w:rsidRPr="00B22719">
        <w:rPr>
          <w:color w:val="000000"/>
          <w:sz w:val="28"/>
          <w:szCs w:val="28"/>
        </w:rPr>
        <w:t>) Engaging in activity toward a family or household member that would cause a reasonable person to feel terrorized, frightened, intimidated, threatened, harassed, or molested.</w:t>
      </w:r>
    </w:p>
    <w:p w14:paraId="37DE6D64" w14:textId="77777777" w:rsidR="00B22719" w:rsidRPr="00B22719" w:rsidRDefault="00B22719" w:rsidP="00B22719">
      <w:pPr>
        <w:widowControl w:val="0"/>
        <w:autoSpaceDE w:val="0"/>
        <w:autoSpaceDN w:val="0"/>
        <w:adjustRightInd w:val="0"/>
        <w:spacing w:line="240" w:lineRule="auto"/>
        <w:ind w:left="1440" w:right="1440"/>
        <w:jc w:val="both"/>
        <w:rPr>
          <w:color w:val="000000"/>
          <w:sz w:val="28"/>
          <w:szCs w:val="28"/>
        </w:rPr>
      </w:pPr>
    </w:p>
    <w:p w14:paraId="6B176AAB" w14:textId="77777777" w:rsidR="00B22719" w:rsidRPr="00B22719" w:rsidRDefault="00B22719" w:rsidP="00B22719">
      <w:pPr>
        <w:spacing w:line="480" w:lineRule="auto"/>
        <w:jc w:val="both"/>
        <w:rPr>
          <w:sz w:val="28"/>
          <w:szCs w:val="28"/>
        </w:rPr>
      </w:pPr>
      <w:r w:rsidRPr="00B22719">
        <w:rPr>
          <w:i/>
          <w:sz w:val="28"/>
          <w:szCs w:val="28"/>
        </w:rPr>
        <w:t>Mich. Comp. Laws Ann § 768.27b(6)(a).</w:t>
      </w:r>
      <w:r w:rsidRPr="00B22719">
        <w:rPr>
          <w:sz w:val="28"/>
          <w:szCs w:val="28"/>
        </w:rPr>
        <w:t xml:space="preserve"> </w:t>
      </w:r>
    </w:p>
    <w:p w14:paraId="7C641E0D" w14:textId="77777777" w:rsidR="00B22719" w:rsidRPr="00B22719" w:rsidRDefault="00B22719" w:rsidP="00B22719">
      <w:pPr>
        <w:spacing w:line="480" w:lineRule="auto"/>
        <w:ind w:firstLine="720"/>
        <w:jc w:val="both"/>
        <w:rPr>
          <w:sz w:val="28"/>
          <w:szCs w:val="28"/>
        </w:rPr>
      </w:pPr>
      <w:r w:rsidRPr="00B22719">
        <w:rPr>
          <w:sz w:val="28"/>
          <w:szCs w:val="28"/>
        </w:rPr>
        <w:t xml:space="preserve">This definition encompasses more than just criminal acts and permits the inclusion of other acts in the cycle that may explain or rebut a victims’ recantation. </w:t>
      </w:r>
    </w:p>
    <w:p w14:paraId="27E1C359" w14:textId="77777777" w:rsidR="00B22719" w:rsidRPr="00B22719" w:rsidRDefault="00B22719" w:rsidP="00B22719">
      <w:pPr>
        <w:spacing w:line="480" w:lineRule="auto"/>
        <w:ind w:firstLine="720"/>
        <w:jc w:val="both"/>
        <w:rPr>
          <w:sz w:val="28"/>
          <w:szCs w:val="28"/>
        </w:rPr>
      </w:pPr>
      <w:r w:rsidRPr="00B22719">
        <w:rPr>
          <w:sz w:val="28"/>
          <w:szCs w:val="28"/>
        </w:rPr>
        <w:t xml:space="preserve">As the Petition points out, certain aspects of the controlling nature of a domestic violence relationship are important to contravene “the myth that ‘the victim would leave her abuser if she really experienced the alleged violence.’” (Petition at 5, </w:t>
      </w:r>
      <w:r w:rsidRPr="00B22719">
        <w:rPr>
          <w:i/>
          <w:sz w:val="28"/>
          <w:szCs w:val="28"/>
        </w:rPr>
        <w:t>citing</w:t>
      </w:r>
      <w:r w:rsidRPr="00B22719">
        <w:rPr>
          <w:sz w:val="28"/>
          <w:szCs w:val="28"/>
        </w:rPr>
        <w:t xml:space="preserve"> </w:t>
      </w:r>
      <w:proofErr w:type="spellStart"/>
      <w:r w:rsidRPr="00B22719">
        <w:rPr>
          <w:sz w:val="28"/>
          <w:szCs w:val="28"/>
        </w:rPr>
        <w:t>Letendre</w:t>
      </w:r>
      <w:proofErr w:type="spellEnd"/>
      <w:r w:rsidRPr="00B22719">
        <w:rPr>
          <w:sz w:val="28"/>
          <w:szCs w:val="28"/>
        </w:rPr>
        <w:t xml:space="preserve">, </w:t>
      </w:r>
      <w:r w:rsidRPr="00B22719">
        <w:rPr>
          <w:i/>
          <w:sz w:val="28"/>
          <w:szCs w:val="28"/>
        </w:rPr>
        <w:t>Beating Again and Again and Again: Why Washington Needs A New Rule of Evidence Admitting Prior Acts of Domestic Violence</w:t>
      </w:r>
      <w:r w:rsidRPr="00B22719">
        <w:rPr>
          <w:sz w:val="28"/>
          <w:szCs w:val="28"/>
        </w:rPr>
        <w:t xml:space="preserve">, 75 Wash. L. Rev. 973, 980-82, 999-1000 (2000).)  Not all those factors are necessarily domestic violence crimes as defined in § 13-3601. For example, a victim may feel frightened or intimidated into staying with an abuser and recanting her allegation because she fears losing a custody battle over a child or losing necessary financial support from the abuser. Such concerns are relatively common for domestic violence victims, but an abuser’s threats or intimidation of this nature would not constitute a domestic violence “crime” because A.R.S. § 13-1202 only criminalizes threats to cause physical injury or serious property damage. However, this type of intimidation or mental abuse would meet the definition of “domestic violence” under the Michigan rule and would be admissible as relevant </w:t>
      </w:r>
      <w:proofErr w:type="gramStart"/>
      <w:r w:rsidRPr="00B22719">
        <w:rPr>
          <w:sz w:val="28"/>
          <w:szCs w:val="28"/>
        </w:rPr>
        <w:t>other</w:t>
      </w:r>
      <w:proofErr w:type="gramEnd"/>
      <w:r w:rsidRPr="00B22719">
        <w:rPr>
          <w:sz w:val="28"/>
          <w:szCs w:val="28"/>
        </w:rPr>
        <w:t xml:space="preserve"> act evidence.</w:t>
      </w:r>
    </w:p>
    <w:p w14:paraId="465A5226" w14:textId="0103F399" w:rsidR="00B22719" w:rsidRPr="00B22719" w:rsidRDefault="00B22719" w:rsidP="00B22719">
      <w:pPr>
        <w:spacing w:line="480" w:lineRule="auto"/>
        <w:ind w:firstLine="720"/>
        <w:jc w:val="both"/>
        <w:rPr>
          <w:rStyle w:val="BodyTextChar"/>
          <w:sz w:val="28"/>
          <w:szCs w:val="28"/>
        </w:rPr>
      </w:pPr>
      <w:r w:rsidRPr="00B22719">
        <w:rPr>
          <w:sz w:val="28"/>
          <w:szCs w:val="28"/>
        </w:rPr>
        <w:t xml:space="preserve">The State Bar agrees that domestic violence cases present unique challenges in explaining the dynamics of a domestic violence relationship but disagrees that the proposed language is adequate to admit relevant, other act evidence that would help jurors better understand the evidence in a criminal domestic violence prosecution. </w:t>
      </w:r>
    </w:p>
    <w:p w14:paraId="120E50B4" w14:textId="77777777" w:rsidR="00B22719" w:rsidRPr="00B22719" w:rsidRDefault="00B22719" w:rsidP="00B22719">
      <w:pPr>
        <w:pStyle w:val="Body"/>
        <w:widowControl w:val="0"/>
        <w:spacing w:line="480" w:lineRule="auto"/>
        <w:ind w:firstLine="0"/>
        <w:jc w:val="center"/>
        <w:rPr>
          <w:rStyle w:val="BodyTextChar"/>
          <w:b/>
          <w:sz w:val="28"/>
          <w:szCs w:val="28"/>
        </w:rPr>
      </w:pPr>
      <w:r w:rsidRPr="00B22719">
        <w:rPr>
          <w:rStyle w:val="BodyTextChar"/>
          <w:b/>
          <w:sz w:val="28"/>
          <w:szCs w:val="28"/>
        </w:rPr>
        <w:t>CONCLUSION</w:t>
      </w:r>
    </w:p>
    <w:p w14:paraId="0B3781AA" w14:textId="77777777" w:rsidR="00D4770C" w:rsidRDefault="00D4770C" w:rsidP="00D4770C">
      <w:pPr>
        <w:spacing w:line="480" w:lineRule="auto"/>
        <w:ind w:firstLine="720"/>
        <w:jc w:val="both"/>
        <w:rPr>
          <w:sz w:val="28"/>
          <w:szCs w:val="28"/>
        </w:rPr>
      </w:pPr>
      <w:r>
        <w:rPr>
          <w:sz w:val="28"/>
          <w:szCs w:val="28"/>
        </w:rPr>
        <w:t xml:space="preserve">For the reasons stated above, the State Bar of Arizona respectfully requests that this Petition be denied. </w:t>
      </w:r>
    </w:p>
    <w:p w14:paraId="5D02FE20" w14:textId="77777777" w:rsidR="000F7A7F" w:rsidRPr="00B22719" w:rsidRDefault="000F7A7F" w:rsidP="000F7C13">
      <w:pPr>
        <w:pStyle w:val="Body"/>
        <w:widowControl w:val="0"/>
        <w:tabs>
          <w:tab w:val="left" w:pos="720"/>
        </w:tabs>
        <w:ind w:firstLine="0"/>
        <w:rPr>
          <w:sz w:val="28"/>
          <w:szCs w:val="28"/>
        </w:rPr>
      </w:pPr>
    </w:p>
    <w:p w14:paraId="7400A738" w14:textId="77777777" w:rsidR="00ED6159" w:rsidRDefault="00ED6159" w:rsidP="00ED6159">
      <w:pPr>
        <w:pStyle w:val="Body"/>
        <w:widowControl w:val="0"/>
        <w:tabs>
          <w:tab w:val="left" w:pos="720"/>
        </w:tabs>
        <w:spacing w:line="480" w:lineRule="auto"/>
        <w:ind w:firstLine="0"/>
        <w:jc w:val="both"/>
        <w:rPr>
          <w:spacing w:val="-3"/>
          <w:sz w:val="28"/>
          <w:szCs w:val="28"/>
        </w:rPr>
      </w:pPr>
      <w:r>
        <w:rPr>
          <w:spacing w:val="-3"/>
          <w:sz w:val="28"/>
          <w:szCs w:val="28"/>
        </w:rPr>
        <w:tab/>
      </w:r>
      <w:r>
        <w:rPr>
          <w:sz w:val="28"/>
          <w:szCs w:val="28"/>
        </w:rPr>
        <w:t>RESPECTFULLY SUBMITTED this 1</w:t>
      </w:r>
      <w:r>
        <w:rPr>
          <w:sz w:val="28"/>
          <w:szCs w:val="28"/>
          <w:vertAlign w:val="superscript"/>
        </w:rPr>
        <w:t>st</w:t>
      </w:r>
      <w:r>
        <w:rPr>
          <w:sz w:val="28"/>
          <w:szCs w:val="28"/>
        </w:rPr>
        <w:t xml:space="preserve"> day of </w:t>
      </w:r>
      <w:proofErr w:type="gramStart"/>
      <w:r>
        <w:rPr>
          <w:sz w:val="28"/>
          <w:szCs w:val="28"/>
        </w:rPr>
        <w:t>May,</w:t>
      </w:r>
      <w:proofErr w:type="gramEnd"/>
      <w:r>
        <w:rPr>
          <w:sz w:val="28"/>
          <w:szCs w:val="28"/>
        </w:rPr>
        <w:t xml:space="preserve"> 2020.</w:t>
      </w:r>
    </w:p>
    <w:p w14:paraId="581C0F2C" w14:textId="77777777" w:rsidR="00ED6159" w:rsidRDefault="00ED6159" w:rsidP="00ED6159">
      <w:pPr>
        <w:pStyle w:val="Body"/>
        <w:widowControl w:val="0"/>
        <w:tabs>
          <w:tab w:val="left" w:pos="720"/>
          <w:tab w:val="center" w:pos="4680"/>
          <w:tab w:val="right" w:pos="9360"/>
        </w:tabs>
        <w:spacing w:line="240" w:lineRule="auto"/>
        <w:ind w:firstLine="0"/>
        <w:rPr>
          <w:sz w:val="28"/>
          <w:szCs w:val="28"/>
        </w:rPr>
      </w:pPr>
      <w:r>
        <w:rPr>
          <w:sz w:val="28"/>
          <w:szCs w:val="28"/>
        </w:rPr>
        <w:tab/>
      </w:r>
      <w:r>
        <w:rPr>
          <w:sz w:val="28"/>
          <w:szCs w:val="28"/>
        </w:rPr>
        <w:tab/>
        <w:t xml:space="preserve">                                                 </w:t>
      </w:r>
      <w:r>
        <w:rPr>
          <w:i/>
          <w:iCs/>
          <w:sz w:val="28"/>
          <w:szCs w:val="28"/>
          <w:u w:val="single"/>
        </w:rPr>
        <w:t xml:space="preserve">/s/ </w:t>
      </w:r>
      <w:r>
        <w:rPr>
          <w:sz w:val="28"/>
          <w:szCs w:val="28"/>
          <w:u w:val="single"/>
        </w:rPr>
        <w:t>Lisa M. Panahi</w:t>
      </w:r>
      <w:r>
        <w:rPr>
          <w:i/>
          <w:iCs/>
          <w:sz w:val="28"/>
          <w:szCs w:val="28"/>
          <w:u w:val="single"/>
        </w:rPr>
        <w:br/>
      </w:r>
      <w:r>
        <w:rPr>
          <w:sz w:val="28"/>
          <w:szCs w:val="28"/>
        </w:rPr>
        <w:tab/>
      </w:r>
      <w:r>
        <w:rPr>
          <w:sz w:val="28"/>
          <w:szCs w:val="28"/>
        </w:rPr>
        <w:tab/>
        <w:t xml:space="preserve">                                            Lisa M. Panahi</w:t>
      </w:r>
      <w:r>
        <w:rPr>
          <w:sz w:val="28"/>
          <w:szCs w:val="28"/>
        </w:rPr>
        <w:br/>
      </w:r>
      <w:r>
        <w:rPr>
          <w:sz w:val="28"/>
          <w:szCs w:val="28"/>
        </w:rPr>
        <w:tab/>
      </w:r>
      <w:r>
        <w:rPr>
          <w:sz w:val="28"/>
          <w:szCs w:val="28"/>
        </w:rPr>
        <w:tab/>
        <w:t xml:space="preserve">                                              General Counsel</w:t>
      </w:r>
    </w:p>
    <w:p w14:paraId="477EE054" w14:textId="77777777" w:rsidR="00ED6159" w:rsidRDefault="00ED6159" w:rsidP="00ED6159">
      <w:pPr>
        <w:widowControl w:val="0"/>
        <w:spacing w:line="240" w:lineRule="auto"/>
        <w:ind w:right="4140"/>
        <w:rPr>
          <w:sz w:val="28"/>
          <w:szCs w:val="28"/>
        </w:rPr>
      </w:pPr>
    </w:p>
    <w:p w14:paraId="6970CC15" w14:textId="77777777" w:rsidR="00ED6159" w:rsidRDefault="00ED6159" w:rsidP="00ED6159">
      <w:pPr>
        <w:widowControl w:val="0"/>
        <w:spacing w:line="240" w:lineRule="auto"/>
        <w:ind w:right="4140"/>
        <w:rPr>
          <w:sz w:val="28"/>
          <w:szCs w:val="28"/>
        </w:rPr>
      </w:pPr>
    </w:p>
    <w:p w14:paraId="27522C1B" w14:textId="77777777" w:rsidR="00ED6159" w:rsidRDefault="00ED6159" w:rsidP="00ED6159">
      <w:pPr>
        <w:widowControl w:val="0"/>
        <w:spacing w:line="240" w:lineRule="auto"/>
        <w:ind w:right="4140"/>
        <w:rPr>
          <w:sz w:val="28"/>
          <w:szCs w:val="28"/>
        </w:rPr>
      </w:pPr>
      <w:r>
        <w:rPr>
          <w:sz w:val="28"/>
          <w:szCs w:val="28"/>
        </w:rPr>
        <w:t>Electronic copy filed with the</w:t>
      </w:r>
    </w:p>
    <w:p w14:paraId="1672BF8F" w14:textId="77777777" w:rsidR="00ED6159" w:rsidRDefault="00ED6159" w:rsidP="00ED6159">
      <w:pPr>
        <w:spacing w:line="240" w:lineRule="auto"/>
        <w:ind w:right="4140"/>
        <w:rPr>
          <w:sz w:val="28"/>
          <w:szCs w:val="28"/>
        </w:rPr>
      </w:pPr>
      <w:r>
        <w:rPr>
          <w:sz w:val="28"/>
          <w:szCs w:val="28"/>
        </w:rPr>
        <w:t>Clerk of the Supreme Court of Arizona</w:t>
      </w:r>
    </w:p>
    <w:p w14:paraId="4B2B89D2" w14:textId="77777777" w:rsidR="00ED6159" w:rsidRDefault="00ED6159" w:rsidP="00ED6159">
      <w:pPr>
        <w:tabs>
          <w:tab w:val="left" w:pos="4836"/>
        </w:tabs>
        <w:spacing w:line="240" w:lineRule="auto"/>
        <w:ind w:right="3870"/>
        <w:rPr>
          <w:sz w:val="28"/>
          <w:szCs w:val="28"/>
        </w:rPr>
      </w:pPr>
      <w:r>
        <w:rPr>
          <w:sz w:val="28"/>
          <w:szCs w:val="28"/>
        </w:rPr>
        <w:t>this 1</w:t>
      </w:r>
      <w:r>
        <w:rPr>
          <w:sz w:val="28"/>
          <w:szCs w:val="28"/>
          <w:vertAlign w:val="superscript"/>
        </w:rPr>
        <w:t>st</w:t>
      </w:r>
      <w:r>
        <w:rPr>
          <w:sz w:val="28"/>
          <w:szCs w:val="28"/>
        </w:rPr>
        <w:t xml:space="preserve"> day of </w:t>
      </w:r>
      <w:proofErr w:type="gramStart"/>
      <w:r>
        <w:rPr>
          <w:sz w:val="28"/>
          <w:szCs w:val="28"/>
        </w:rPr>
        <w:t>May,</w:t>
      </w:r>
      <w:proofErr w:type="gramEnd"/>
      <w:r>
        <w:rPr>
          <w:sz w:val="28"/>
          <w:szCs w:val="28"/>
        </w:rPr>
        <w:t xml:space="preserve"> 2020.</w:t>
      </w:r>
    </w:p>
    <w:p w14:paraId="605311F5" w14:textId="77777777" w:rsidR="00ED6159" w:rsidRDefault="00ED6159" w:rsidP="00ED6159">
      <w:pPr>
        <w:spacing w:line="240" w:lineRule="auto"/>
        <w:ind w:right="4572"/>
        <w:rPr>
          <w:sz w:val="28"/>
          <w:szCs w:val="28"/>
        </w:rPr>
      </w:pPr>
    </w:p>
    <w:p w14:paraId="6DE4C795" w14:textId="77777777" w:rsidR="00ED6159" w:rsidRDefault="00ED6159" w:rsidP="00ED6159">
      <w:pPr>
        <w:spacing w:line="240" w:lineRule="auto"/>
        <w:ind w:right="4572"/>
        <w:rPr>
          <w:sz w:val="28"/>
          <w:szCs w:val="28"/>
        </w:rPr>
      </w:pPr>
      <w:proofErr w:type="gramStart"/>
      <w:r>
        <w:rPr>
          <w:sz w:val="28"/>
          <w:szCs w:val="28"/>
        </w:rPr>
        <w:t>by:</w:t>
      </w:r>
      <w:proofErr w:type="gramEnd"/>
      <w:r>
        <w:rPr>
          <w:sz w:val="28"/>
          <w:szCs w:val="28"/>
        </w:rPr>
        <w:t xml:space="preserve"> </w:t>
      </w:r>
      <w:r>
        <w:rPr>
          <w:sz w:val="28"/>
          <w:szCs w:val="28"/>
          <w:u w:val="single"/>
        </w:rPr>
        <w:t xml:space="preserve">Patricia Seguin </w:t>
      </w:r>
    </w:p>
    <w:p w14:paraId="4A07E8A6" w14:textId="2BCD09E0" w:rsidR="00052372" w:rsidRPr="00B22719" w:rsidRDefault="00052372" w:rsidP="00ED6159">
      <w:pPr>
        <w:pStyle w:val="Body"/>
        <w:widowControl w:val="0"/>
        <w:tabs>
          <w:tab w:val="left" w:pos="720"/>
        </w:tabs>
        <w:ind w:firstLine="0"/>
        <w:rPr>
          <w:strike/>
          <w:sz w:val="28"/>
          <w:szCs w:val="28"/>
        </w:rPr>
      </w:pPr>
      <w:bookmarkStart w:id="8" w:name="_GoBack"/>
      <w:bookmarkEnd w:id="8"/>
    </w:p>
    <w:sectPr w:rsidR="00052372" w:rsidRPr="00B22719"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 w:id="1">
    <w:p w14:paraId="49444FA4" w14:textId="77777777" w:rsidR="00B22719" w:rsidRPr="00880E17" w:rsidRDefault="00B22719" w:rsidP="00B22719">
      <w:pPr>
        <w:spacing w:line="480" w:lineRule="auto"/>
        <w:jc w:val="both"/>
        <w:rPr>
          <w:sz w:val="26"/>
          <w:szCs w:val="26"/>
        </w:rPr>
      </w:pPr>
      <w:r w:rsidRPr="00880E17">
        <w:rPr>
          <w:rStyle w:val="FootnoteReference"/>
        </w:rPr>
        <w:footnoteRef/>
      </w:r>
      <w:r w:rsidRPr="00880E17">
        <w:rPr>
          <w:sz w:val="24"/>
          <w:szCs w:val="24"/>
        </w:rPr>
        <w:t xml:space="preserve"> </w:t>
      </w:r>
      <w:r w:rsidRPr="00880E17">
        <w:rPr>
          <w:sz w:val="26"/>
          <w:szCs w:val="26"/>
        </w:rPr>
        <w:t>Mich. Comp. Laws Ann. § 768.27b</w:t>
      </w:r>
      <w:r>
        <w:rPr>
          <w:sz w:val="26"/>
          <w:szCs w:val="26"/>
        </w:rPr>
        <w:t>.</w:t>
      </w:r>
      <w:r w:rsidRPr="00880E17">
        <w:rPr>
          <w:sz w:val="26"/>
          <w:szCs w:val="26"/>
        </w:rPr>
        <w:t xml:space="preserve"> </w:t>
      </w:r>
    </w:p>
    <w:p w14:paraId="5CB02270" w14:textId="77777777" w:rsidR="00B22719" w:rsidRPr="00880E17" w:rsidRDefault="00B22719" w:rsidP="00B22719">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22719"/>
    <w:rsid w:val="00B47B7D"/>
    <w:rsid w:val="00C03E0F"/>
    <w:rsid w:val="00C52E56"/>
    <w:rsid w:val="00C5407A"/>
    <w:rsid w:val="00C662B0"/>
    <w:rsid w:val="00C84FD4"/>
    <w:rsid w:val="00C958EE"/>
    <w:rsid w:val="00CD21FB"/>
    <w:rsid w:val="00D423FE"/>
    <w:rsid w:val="00D442E4"/>
    <w:rsid w:val="00D4770C"/>
    <w:rsid w:val="00D60D9B"/>
    <w:rsid w:val="00D80EDC"/>
    <w:rsid w:val="00DF4F15"/>
    <w:rsid w:val="00E047D3"/>
    <w:rsid w:val="00E266B7"/>
    <w:rsid w:val="00E321C5"/>
    <w:rsid w:val="00E5772B"/>
    <w:rsid w:val="00E67511"/>
    <w:rsid w:val="00E81026"/>
    <w:rsid w:val="00E82D0F"/>
    <w:rsid w:val="00E950B5"/>
    <w:rsid w:val="00ED6159"/>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4501">
      <w:bodyDiv w:val="1"/>
      <w:marLeft w:val="0"/>
      <w:marRight w:val="0"/>
      <w:marTop w:val="0"/>
      <w:marBottom w:val="0"/>
      <w:divBdr>
        <w:top w:val="none" w:sz="0" w:space="0" w:color="auto"/>
        <w:left w:val="none" w:sz="0" w:space="0" w:color="auto"/>
        <w:bottom w:val="none" w:sz="0" w:space="0" w:color="auto"/>
        <w:right w:val="none" w:sz="0" w:space="0" w:color="auto"/>
      </w:divBdr>
    </w:div>
    <w:div w:id="142318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2B7B2-209D-4DAF-9E32-2FBA69E2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4</Pages>
  <Words>773</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4</cp:revision>
  <cp:lastPrinted>2014-04-30T16:27:00Z</cp:lastPrinted>
  <dcterms:created xsi:type="dcterms:W3CDTF">2020-04-25T15:16:00Z</dcterms:created>
  <dcterms:modified xsi:type="dcterms:W3CDTF">2020-05-01T18:43:00Z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