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2A5D" w14:textId="77777777" w:rsidR="003404F7" w:rsidRDefault="003404F7" w:rsidP="00AE3E2F">
      <w:pPr>
        <w:jc w:val="both"/>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AE3E2F">
      <w:pPr>
        <w:jc w:val="both"/>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7B562BE1" w14:textId="0835A698" w:rsidR="005D562B" w:rsidRDefault="005D562B" w:rsidP="00AE3E2F">
      <w:pPr>
        <w:jc w:val="both"/>
        <w:rPr>
          <w:rFonts w:eastAsia="Times New Roman"/>
          <w:sz w:val="28"/>
          <w:szCs w:val="28"/>
        </w:rPr>
      </w:pPr>
      <w:r>
        <w:rPr>
          <w:rFonts w:eastAsia="Times New Roman"/>
          <w:sz w:val="28"/>
          <w:szCs w:val="28"/>
        </w:rPr>
        <w:t>Timothy Sandefur (033670)</w:t>
      </w:r>
    </w:p>
    <w:p w14:paraId="607E3C97" w14:textId="1926AA0B" w:rsidR="00AE3E2F" w:rsidRDefault="005D562B" w:rsidP="00AE3E2F">
      <w:pPr>
        <w:jc w:val="both"/>
        <w:rPr>
          <w:rFonts w:eastAsia="Times New Roman"/>
          <w:sz w:val="28"/>
          <w:szCs w:val="28"/>
        </w:rPr>
      </w:pPr>
      <w:r>
        <w:rPr>
          <w:rFonts w:eastAsia="Times New Roman"/>
          <w:sz w:val="28"/>
          <w:szCs w:val="28"/>
        </w:rPr>
        <w:t>Jonathan Riches (025712)</w:t>
      </w:r>
    </w:p>
    <w:p w14:paraId="2F6F15B6" w14:textId="77777777" w:rsidR="003404F7" w:rsidRDefault="003404F7" w:rsidP="00AE3E2F">
      <w:pPr>
        <w:jc w:val="both"/>
        <w:rPr>
          <w:rFonts w:eastAsia="Times New Roman"/>
          <w:sz w:val="28"/>
          <w:szCs w:val="28"/>
          <w:lang w:val="es-MX"/>
        </w:rPr>
      </w:pPr>
      <w:r w:rsidRPr="00A07D62">
        <w:rPr>
          <w:rFonts w:eastAsia="Times New Roman"/>
          <w:sz w:val="28"/>
          <w:szCs w:val="28"/>
          <w:lang w:val="es-MX"/>
        </w:rPr>
        <w:t xml:space="preserve">500 E. Coronado </w:t>
      </w:r>
      <w:proofErr w:type="spellStart"/>
      <w:r w:rsidRPr="00A07D62">
        <w:rPr>
          <w:rFonts w:eastAsia="Times New Roman"/>
          <w:sz w:val="28"/>
          <w:szCs w:val="28"/>
          <w:lang w:val="es-MX"/>
        </w:rPr>
        <w:t>Rd</w:t>
      </w:r>
      <w:proofErr w:type="spellEnd"/>
      <w:r w:rsidRPr="00A07D62">
        <w:rPr>
          <w:rFonts w:eastAsia="Times New Roman"/>
          <w:sz w:val="28"/>
          <w:szCs w:val="28"/>
          <w:lang w:val="es-MX"/>
        </w:rPr>
        <w:t xml:space="preserve">. </w:t>
      </w:r>
    </w:p>
    <w:p w14:paraId="53A0A169" w14:textId="77777777" w:rsidR="003404F7" w:rsidRPr="00A07D62" w:rsidRDefault="003404F7" w:rsidP="00AE3E2F">
      <w:pPr>
        <w:jc w:val="both"/>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AE3E2F">
      <w:pPr>
        <w:jc w:val="both"/>
        <w:rPr>
          <w:rFonts w:eastAsia="Times New Roman"/>
          <w:sz w:val="28"/>
          <w:szCs w:val="28"/>
        </w:rPr>
      </w:pPr>
      <w:r w:rsidRPr="00A07D62">
        <w:rPr>
          <w:rFonts w:eastAsia="Times New Roman"/>
          <w:sz w:val="28"/>
          <w:szCs w:val="28"/>
        </w:rPr>
        <w:t xml:space="preserve">(602) 462-5000 </w:t>
      </w:r>
    </w:p>
    <w:p w14:paraId="137FCA45" w14:textId="77777777" w:rsidR="003404F7" w:rsidRPr="00A07D62" w:rsidRDefault="003404F7" w:rsidP="00AE3E2F">
      <w:pPr>
        <w:jc w:val="both"/>
        <w:rPr>
          <w:rFonts w:eastAsia="Times New Roman"/>
          <w:sz w:val="28"/>
          <w:szCs w:val="28"/>
        </w:rPr>
      </w:pPr>
      <w:r w:rsidRPr="00A07D62">
        <w:rPr>
          <w:rFonts w:eastAsia="Times New Roman"/>
          <w:sz w:val="28"/>
          <w:szCs w:val="28"/>
          <w:u w:val="single"/>
        </w:rPr>
        <w:t>Litigation@goldwaterinstitute.org</w:t>
      </w:r>
      <w:hyperlink r:id="rId8" w:history="1"/>
      <w:r w:rsidRPr="00A07D62">
        <w:rPr>
          <w:rFonts w:eastAsia="Times New Roman"/>
          <w:sz w:val="28"/>
          <w:szCs w:val="28"/>
        </w:rPr>
        <w:t xml:space="preserve"> </w:t>
      </w:r>
    </w:p>
    <w:p w14:paraId="4F0F0015" w14:textId="0D8304DE" w:rsidR="003404F7" w:rsidRDefault="003404F7" w:rsidP="00AE3E2F">
      <w:pPr>
        <w:jc w:val="both"/>
        <w:rPr>
          <w:rFonts w:eastAsia="Times New Roman"/>
          <w:i/>
          <w:sz w:val="28"/>
          <w:szCs w:val="28"/>
        </w:rPr>
      </w:pPr>
    </w:p>
    <w:p w14:paraId="765E66F3" w14:textId="77777777" w:rsidR="003404F7" w:rsidRDefault="003404F7" w:rsidP="00AE3E2F">
      <w:pPr>
        <w:jc w:val="both"/>
        <w:rPr>
          <w:rFonts w:eastAsia="Times New Roman"/>
          <w:b/>
          <w:sz w:val="28"/>
          <w:szCs w:val="28"/>
        </w:rPr>
      </w:pPr>
    </w:p>
    <w:p w14:paraId="50FC5AD4" w14:textId="0D41C183" w:rsidR="00B33AE4" w:rsidRDefault="00951E3D" w:rsidP="00AE3E2F">
      <w:pPr>
        <w:jc w:val="center"/>
        <w:rPr>
          <w:rFonts w:eastAsia="Times New Roman"/>
          <w:b/>
          <w:sz w:val="28"/>
          <w:szCs w:val="28"/>
        </w:rPr>
      </w:pPr>
      <w:r>
        <w:rPr>
          <w:rFonts w:eastAsia="Times New Roman"/>
          <w:b/>
          <w:sz w:val="28"/>
          <w:szCs w:val="28"/>
        </w:rPr>
        <w:t>IN THE SUPREME COURT</w:t>
      </w:r>
    </w:p>
    <w:p w14:paraId="246BB33C" w14:textId="35D7C454" w:rsidR="00B33AE4" w:rsidRPr="00A07D62" w:rsidRDefault="00B33AE4" w:rsidP="00AE3E2F">
      <w:pPr>
        <w:jc w:val="center"/>
        <w:rPr>
          <w:rFonts w:eastAsia="Times New Roman"/>
          <w:b/>
          <w:sz w:val="28"/>
          <w:szCs w:val="28"/>
        </w:rPr>
      </w:pPr>
      <w:r w:rsidRPr="00A07D62">
        <w:rPr>
          <w:rFonts w:eastAsia="Times New Roman"/>
          <w:b/>
          <w:sz w:val="28"/>
          <w:szCs w:val="28"/>
        </w:rPr>
        <w:t>STATE OF ARIZONA</w:t>
      </w:r>
    </w:p>
    <w:p w14:paraId="52C7B7F9" w14:textId="77777777" w:rsidR="00B33AE4" w:rsidRPr="00A07D62" w:rsidRDefault="00B33AE4" w:rsidP="00AE3E2F">
      <w:pPr>
        <w:jc w:val="both"/>
        <w:rPr>
          <w:rFonts w:eastAsia="Times New Roman"/>
          <w:b/>
          <w:sz w:val="28"/>
          <w:szCs w:val="28"/>
        </w:rPr>
      </w:pPr>
    </w:p>
    <w:p w14:paraId="52E9A79E" w14:textId="77777777" w:rsidR="00B33AE4" w:rsidRPr="00A07D62" w:rsidRDefault="00B33AE4" w:rsidP="00AE3E2F">
      <w:pPr>
        <w:jc w:val="both"/>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AE3E2F">
            <w:pPr>
              <w:jc w:val="both"/>
              <w:rPr>
                <w:rFonts w:eastAsia="Times New Roman"/>
                <w:sz w:val="28"/>
                <w:szCs w:val="28"/>
              </w:rPr>
            </w:pPr>
            <w:r>
              <w:rPr>
                <w:rFonts w:eastAsia="Times New Roman"/>
                <w:sz w:val="28"/>
                <w:szCs w:val="28"/>
              </w:rPr>
              <w:t>In the Matter of:</w:t>
            </w:r>
          </w:p>
          <w:p w14:paraId="78A98F00" w14:textId="1BDFDDDA" w:rsidR="003404F7" w:rsidRDefault="003404F7" w:rsidP="00AE3E2F">
            <w:pPr>
              <w:jc w:val="both"/>
              <w:rPr>
                <w:rFonts w:eastAsia="Times New Roman"/>
                <w:sz w:val="28"/>
                <w:szCs w:val="28"/>
              </w:rPr>
            </w:pPr>
          </w:p>
          <w:p w14:paraId="327A64C1" w14:textId="77777777" w:rsidR="008B49C0" w:rsidRDefault="002B1A70" w:rsidP="005E69C6">
            <w:pPr>
              <w:rPr>
                <w:rFonts w:eastAsia="Times New Roman"/>
                <w:b/>
                <w:sz w:val="28"/>
                <w:szCs w:val="28"/>
              </w:rPr>
            </w:pPr>
            <w:r>
              <w:rPr>
                <w:rFonts w:eastAsia="Times New Roman"/>
                <w:b/>
                <w:sz w:val="28"/>
                <w:szCs w:val="28"/>
              </w:rPr>
              <w:t xml:space="preserve">PETITION TO </w:t>
            </w:r>
            <w:r w:rsidR="005D562B">
              <w:rPr>
                <w:rFonts w:eastAsia="Times New Roman"/>
                <w:b/>
                <w:sz w:val="28"/>
                <w:szCs w:val="28"/>
              </w:rPr>
              <w:t xml:space="preserve">AMEND RULE 3, RULES OF PROCEDURE FOR </w:t>
            </w:r>
          </w:p>
          <w:p w14:paraId="2A51AF13" w14:textId="77777777" w:rsidR="008B49C0" w:rsidRDefault="005D562B" w:rsidP="005E69C6">
            <w:pPr>
              <w:rPr>
                <w:rFonts w:eastAsia="Times New Roman"/>
                <w:b/>
                <w:sz w:val="28"/>
                <w:szCs w:val="28"/>
              </w:rPr>
            </w:pPr>
            <w:r>
              <w:rPr>
                <w:rFonts w:eastAsia="Times New Roman"/>
                <w:b/>
                <w:sz w:val="28"/>
                <w:szCs w:val="28"/>
              </w:rPr>
              <w:t xml:space="preserve">JUDICIAL REVIEW OF </w:t>
            </w:r>
          </w:p>
          <w:p w14:paraId="764EA891" w14:textId="670E4A9F" w:rsidR="003404F7" w:rsidRPr="00A07D62" w:rsidRDefault="005D562B" w:rsidP="005E69C6">
            <w:pPr>
              <w:rPr>
                <w:rFonts w:eastAsia="Times New Roman"/>
                <w:sz w:val="28"/>
                <w:szCs w:val="28"/>
              </w:rPr>
            </w:pPr>
            <w:r>
              <w:rPr>
                <w:rFonts w:eastAsia="Times New Roman"/>
                <w:b/>
                <w:sz w:val="28"/>
                <w:szCs w:val="28"/>
              </w:rPr>
              <w:t>ADMINISTRATIVE DECISIONS</w:t>
            </w:r>
          </w:p>
          <w:p w14:paraId="4CFD6C17" w14:textId="77777777" w:rsidR="00B33AE4" w:rsidRPr="00A07D62" w:rsidRDefault="00B33AE4" w:rsidP="00AE3E2F">
            <w:pPr>
              <w:jc w:val="both"/>
              <w:rPr>
                <w:rFonts w:eastAsia="Times New Roman"/>
                <w:b/>
                <w:sz w:val="28"/>
                <w:szCs w:val="28"/>
              </w:rPr>
            </w:pPr>
          </w:p>
        </w:tc>
        <w:tc>
          <w:tcPr>
            <w:tcW w:w="4310" w:type="dxa"/>
            <w:tcBorders>
              <w:top w:val="nil"/>
              <w:bottom w:val="nil"/>
              <w:right w:val="nil"/>
            </w:tcBorders>
          </w:tcPr>
          <w:p w14:paraId="7A6B1E6E" w14:textId="4639CC66" w:rsidR="006C5BB2" w:rsidRPr="006C5BB2" w:rsidRDefault="006C5BB2" w:rsidP="00AE3E2F">
            <w:pPr>
              <w:autoSpaceDE w:val="0"/>
              <w:autoSpaceDN w:val="0"/>
              <w:adjustRightInd w:val="0"/>
              <w:jc w:val="both"/>
              <w:rPr>
                <w:rFonts w:eastAsia="Times New Roman"/>
                <w:sz w:val="28"/>
                <w:szCs w:val="28"/>
                <w:u w:val="single"/>
              </w:rPr>
            </w:pPr>
            <w:r>
              <w:rPr>
                <w:rFonts w:eastAsia="Times New Roman"/>
                <w:sz w:val="28"/>
                <w:szCs w:val="28"/>
              </w:rPr>
              <w:t>Supreme Court</w:t>
            </w:r>
            <w:r w:rsidR="00AE3E2F">
              <w:rPr>
                <w:rFonts w:eastAsia="Times New Roman"/>
                <w:sz w:val="28"/>
                <w:szCs w:val="28"/>
              </w:rPr>
              <w:t xml:space="preserve"> </w:t>
            </w:r>
            <w:r>
              <w:rPr>
                <w:rFonts w:eastAsia="Times New Roman"/>
                <w:sz w:val="28"/>
                <w:szCs w:val="28"/>
              </w:rPr>
              <w:t xml:space="preserve">No. </w:t>
            </w:r>
            <w:r w:rsidR="00AE3E2F">
              <w:rPr>
                <w:rFonts w:eastAsia="Times New Roman"/>
                <w:sz w:val="28"/>
                <w:szCs w:val="28"/>
              </w:rPr>
              <w:t>R-</w:t>
            </w:r>
            <w:r w:rsidR="008B49C0">
              <w:rPr>
                <w:rFonts w:eastAsia="Times New Roman"/>
                <w:sz w:val="28"/>
                <w:szCs w:val="28"/>
              </w:rPr>
              <w:t>20-0008</w:t>
            </w:r>
          </w:p>
          <w:p w14:paraId="7A7B4DB4" w14:textId="77777777" w:rsidR="00951E3D" w:rsidRDefault="00951E3D" w:rsidP="00AE3E2F">
            <w:pPr>
              <w:autoSpaceDE w:val="0"/>
              <w:autoSpaceDN w:val="0"/>
              <w:adjustRightInd w:val="0"/>
              <w:jc w:val="both"/>
              <w:rPr>
                <w:rFonts w:eastAsia="Times New Roman"/>
                <w:sz w:val="28"/>
                <w:szCs w:val="28"/>
              </w:rPr>
            </w:pPr>
          </w:p>
          <w:p w14:paraId="7B328C0E" w14:textId="2A3E5143" w:rsidR="00B33AE4" w:rsidRPr="008470E8" w:rsidRDefault="005D562B" w:rsidP="005D562B">
            <w:pPr>
              <w:autoSpaceDE w:val="0"/>
              <w:autoSpaceDN w:val="0"/>
              <w:adjustRightInd w:val="0"/>
              <w:rPr>
                <w:rFonts w:eastAsia="Times New Roman"/>
                <w:b/>
                <w:sz w:val="28"/>
                <w:szCs w:val="28"/>
              </w:rPr>
            </w:pPr>
            <w:r>
              <w:rPr>
                <w:rFonts w:eastAsia="Times New Roman"/>
                <w:b/>
                <w:sz w:val="28"/>
                <w:szCs w:val="28"/>
              </w:rPr>
              <w:t xml:space="preserve">GOLDWATER INSTITUTE’S </w:t>
            </w:r>
            <w:r w:rsidR="00AE3E2F">
              <w:rPr>
                <w:rFonts w:eastAsia="Times New Roman"/>
                <w:b/>
                <w:sz w:val="28"/>
                <w:szCs w:val="28"/>
              </w:rPr>
              <w:t>CO</w:t>
            </w:r>
            <w:r w:rsidR="00D65999">
              <w:rPr>
                <w:rFonts w:eastAsia="Times New Roman"/>
                <w:b/>
                <w:sz w:val="28"/>
                <w:szCs w:val="28"/>
              </w:rPr>
              <w:t>M</w:t>
            </w:r>
            <w:r w:rsidR="00AE3E2F">
              <w:rPr>
                <w:rFonts w:eastAsia="Times New Roman"/>
                <w:b/>
                <w:sz w:val="28"/>
                <w:szCs w:val="28"/>
              </w:rPr>
              <w:t>MENT IN SUPPORT OF THE PETITION</w:t>
            </w:r>
          </w:p>
          <w:p w14:paraId="5D33FC08" w14:textId="77777777" w:rsidR="00B33AE4" w:rsidRPr="00A07D62" w:rsidRDefault="00B33AE4" w:rsidP="00AE3E2F">
            <w:pPr>
              <w:autoSpaceDE w:val="0"/>
              <w:autoSpaceDN w:val="0"/>
              <w:adjustRightInd w:val="0"/>
              <w:jc w:val="both"/>
              <w:rPr>
                <w:rFonts w:eastAsia="Times New Roman"/>
                <w:b/>
                <w:sz w:val="28"/>
                <w:szCs w:val="28"/>
              </w:rPr>
            </w:pPr>
          </w:p>
        </w:tc>
      </w:tr>
    </w:tbl>
    <w:p w14:paraId="18B1E002" w14:textId="77777777" w:rsidR="00B33AE4" w:rsidRPr="00A07D62" w:rsidRDefault="00B33AE4" w:rsidP="00AE3E2F">
      <w:pPr>
        <w:jc w:val="both"/>
        <w:rPr>
          <w:rFonts w:eastAsia="Times New Roman"/>
          <w:b/>
          <w:sz w:val="28"/>
          <w:szCs w:val="28"/>
        </w:rPr>
      </w:pPr>
    </w:p>
    <w:p w14:paraId="2AE95246" w14:textId="655B6E28" w:rsidR="005D562B" w:rsidRPr="00F5156D" w:rsidRDefault="005D562B" w:rsidP="002F2366">
      <w:pPr>
        <w:spacing w:line="480" w:lineRule="auto"/>
        <w:rPr>
          <w:color w:val="000000" w:themeColor="text1"/>
          <w:sz w:val="28"/>
          <w:szCs w:val="28"/>
        </w:rPr>
      </w:pPr>
      <w:bookmarkStart w:id="0" w:name="Parties"/>
      <w:bookmarkEnd w:id="0"/>
      <w:r w:rsidRPr="00F5156D">
        <w:rPr>
          <w:color w:val="000000" w:themeColor="text1"/>
          <w:sz w:val="28"/>
          <w:szCs w:val="28"/>
        </w:rPr>
        <w:tab/>
        <w:t>Pursuant to Rule 28, Ariz. R. Sup. Ct., the Goldwater Institute hereby submits this comment to the New Civil Liberties Alliance</w:t>
      </w:r>
      <w:r w:rsidR="003D0ACC">
        <w:rPr>
          <w:color w:val="000000" w:themeColor="text1"/>
          <w:sz w:val="28"/>
          <w:szCs w:val="28"/>
        </w:rPr>
        <w:t>’s</w:t>
      </w:r>
      <w:r w:rsidRPr="00F5156D">
        <w:rPr>
          <w:color w:val="000000" w:themeColor="text1"/>
          <w:sz w:val="28"/>
          <w:szCs w:val="28"/>
        </w:rPr>
        <w:t xml:space="preserve"> (“NCLA”) Petition to Amend Arizona Rule of Procedure for Judicial </w:t>
      </w:r>
      <w:r w:rsidR="002F2366">
        <w:rPr>
          <w:color w:val="000000" w:themeColor="text1"/>
          <w:sz w:val="28"/>
          <w:szCs w:val="28"/>
        </w:rPr>
        <w:t xml:space="preserve">Review </w:t>
      </w:r>
      <w:r w:rsidRPr="00F5156D">
        <w:rPr>
          <w:color w:val="000000" w:themeColor="text1"/>
          <w:sz w:val="28"/>
          <w:szCs w:val="28"/>
        </w:rPr>
        <w:t xml:space="preserve">of Administrative Decisions 3 (“JRAD Rule 3”).  </w:t>
      </w:r>
    </w:p>
    <w:p w14:paraId="54061A26" w14:textId="77777777" w:rsidR="005D562B" w:rsidRPr="00F5156D" w:rsidRDefault="005D562B" w:rsidP="002F2366">
      <w:pPr>
        <w:spacing w:line="480" w:lineRule="auto"/>
        <w:rPr>
          <w:color w:val="000000" w:themeColor="text1"/>
          <w:sz w:val="28"/>
          <w:szCs w:val="28"/>
        </w:rPr>
      </w:pPr>
      <w:r w:rsidRPr="00F5156D">
        <w:rPr>
          <w:color w:val="000000" w:themeColor="text1"/>
          <w:sz w:val="28"/>
          <w:szCs w:val="28"/>
        </w:rPr>
        <w:tab/>
        <w:t xml:space="preserve">The Goldwater Institute was established in 1988 as a nonpartisan public policy and research foundation dedicated to advancing the principles of limited government, economic freedom, and individual liberty through litigation, research papers, editorials, policy briefings, and forums.  Through its Scharf-Norton Center for Constitutional Litigation, the Institute litigates and files </w:t>
      </w:r>
      <w:r w:rsidRPr="00F5156D">
        <w:rPr>
          <w:i/>
          <w:iCs/>
          <w:color w:val="000000" w:themeColor="text1"/>
          <w:sz w:val="28"/>
          <w:szCs w:val="28"/>
        </w:rPr>
        <w:t xml:space="preserve">amicus </w:t>
      </w:r>
      <w:r w:rsidRPr="00F5156D">
        <w:rPr>
          <w:color w:val="000000" w:themeColor="text1"/>
          <w:sz w:val="28"/>
          <w:szCs w:val="28"/>
        </w:rPr>
        <w:t xml:space="preserve">briefs when its </w:t>
      </w:r>
      <w:r w:rsidRPr="00F5156D">
        <w:rPr>
          <w:color w:val="000000" w:themeColor="text1"/>
          <w:sz w:val="28"/>
          <w:szCs w:val="28"/>
        </w:rPr>
        <w:lastRenderedPageBreak/>
        <w:t>or its clients’ objectives are implicated.  The Goldwater Institute seeks to enforce the features of our state and federal constitutions, including the separation of powers among government branches, and the protection of individual rights, including the right to due process.  The Institute has worked extensively on administrative law matters through scholarship, public policy, and direct litigation.</w:t>
      </w:r>
    </w:p>
    <w:p w14:paraId="09261207" w14:textId="77777777" w:rsidR="005D562B" w:rsidRPr="00F5156D" w:rsidRDefault="005D562B" w:rsidP="002F2366">
      <w:pPr>
        <w:spacing w:line="480" w:lineRule="auto"/>
        <w:rPr>
          <w:color w:val="000000" w:themeColor="text1"/>
          <w:sz w:val="28"/>
          <w:szCs w:val="28"/>
        </w:rPr>
      </w:pPr>
      <w:r w:rsidRPr="00F5156D">
        <w:rPr>
          <w:color w:val="000000" w:themeColor="text1"/>
          <w:sz w:val="28"/>
          <w:szCs w:val="28"/>
        </w:rPr>
        <w:tab/>
        <w:t xml:space="preserve">The Goldwater Institute supports the Petition to Amend JRAD Rule 3.  It joins the NCLA’s legal analysis as to why amendment is necessary and appropriate. </w:t>
      </w:r>
    </w:p>
    <w:p w14:paraId="148E5171" w14:textId="77777777" w:rsidR="005D562B" w:rsidRPr="00F5156D" w:rsidRDefault="005D562B" w:rsidP="002F2366">
      <w:pPr>
        <w:autoSpaceDE w:val="0"/>
        <w:autoSpaceDN w:val="0"/>
        <w:adjustRightInd w:val="0"/>
        <w:spacing w:line="480" w:lineRule="auto"/>
        <w:rPr>
          <w:color w:val="000000" w:themeColor="text1"/>
          <w:sz w:val="28"/>
          <w:szCs w:val="28"/>
        </w:rPr>
      </w:pPr>
      <w:r w:rsidRPr="00F5156D">
        <w:rPr>
          <w:color w:val="000000" w:themeColor="text1"/>
          <w:sz w:val="28"/>
          <w:szCs w:val="28"/>
        </w:rPr>
        <w:tab/>
        <w:t xml:space="preserve">In addition to the reasons articulated in the Petition, the proposed amendment would ensure that JRAD Rule 3 complies with the Arizona Constitution’s separate and carefully balanced distribution of powers. </w:t>
      </w:r>
    </w:p>
    <w:p w14:paraId="32D706B0" w14:textId="7F9DDC01" w:rsidR="005D562B" w:rsidRPr="00F5156D" w:rsidRDefault="005D562B" w:rsidP="002F2366">
      <w:pPr>
        <w:spacing w:line="480" w:lineRule="auto"/>
        <w:rPr>
          <w:rFonts w:eastAsia="Times New Roman"/>
          <w:color w:val="000000" w:themeColor="text1"/>
          <w:sz w:val="28"/>
          <w:szCs w:val="28"/>
          <w:shd w:val="clear" w:color="auto" w:fill="FFFFFF"/>
        </w:rPr>
      </w:pPr>
      <w:r w:rsidRPr="00F5156D">
        <w:rPr>
          <w:color w:val="000000" w:themeColor="text1"/>
          <w:sz w:val="28"/>
          <w:szCs w:val="28"/>
        </w:rPr>
        <w:tab/>
        <w:t>Pursuant to Article 3 of the Arizona Constitution, “</w:t>
      </w:r>
      <w:r w:rsidRPr="00F5156D">
        <w:rPr>
          <w:rFonts w:eastAsia="Times New Roman"/>
          <w:color w:val="000000" w:themeColor="text1"/>
          <w:sz w:val="28"/>
          <w:szCs w:val="28"/>
          <w:shd w:val="clear" w:color="auto" w:fill="FFFFFF"/>
        </w:rPr>
        <w:t>The powers of the government of the state of Arizona shall be divided into three separate departments, the legislative, the executive, and the judicial; and, except as provided in this constitution, such departments shall be separate and distinct, and no one of such departments shall exercise the powers properly belonging to either of the others.”  The separation of powers doctrine of Article 3 “protect[s] one branch against the overreaching of any other branch” and is “part of an overall constitutional scheme to protect individual rights.”</w:t>
      </w:r>
      <w:r w:rsidR="002F2366">
        <w:rPr>
          <w:rFonts w:eastAsia="Times New Roman"/>
          <w:color w:val="000000" w:themeColor="text1"/>
          <w:sz w:val="28"/>
          <w:szCs w:val="28"/>
          <w:shd w:val="clear" w:color="auto" w:fill="FFFFFF"/>
        </w:rPr>
        <w:t xml:space="preserve">  </w:t>
      </w:r>
      <w:r w:rsidRPr="00F5156D">
        <w:rPr>
          <w:rFonts w:eastAsia="Times New Roman"/>
          <w:i/>
          <w:iCs/>
          <w:color w:val="000000" w:themeColor="text1"/>
          <w:sz w:val="28"/>
          <w:szCs w:val="28"/>
          <w:bdr w:val="none" w:sz="0" w:space="0" w:color="auto" w:frame="1"/>
        </w:rPr>
        <w:t>State v. Prentiss,</w:t>
      </w:r>
      <w:r w:rsidR="002F2366">
        <w:rPr>
          <w:rFonts w:eastAsia="Times New Roman"/>
          <w:i/>
          <w:iCs/>
          <w:color w:val="000000" w:themeColor="text1"/>
          <w:sz w:val="28"/>
          <w:szCs w:val="28"/>
          <w:bdr w:val="none" w:sz="0" w:space="0" w:color="auto" w:frame="1"/>
        </w:rPr>
        <w:t xml:space="preserve"> </w:t>
      </w:r>
      <w:r w:rsidRPr="00F5156D">
        <w:rPr>
          <w:rFonts w:eastAsia="Times New Roman"/>
          <w:color w:val="000000" w:themeColor="text1"/>
          <w:sz w:val="28"/>
          <w:szCs w:val="28"/>
          <w:shd w:val="clear" w:color="auto" w:fill="FFFFFF"/>
        </w:rPr>
        <w:t>163 Ariz. 81, 84–85 (1989).</w:t>
      </w:r>
    </w:p>
    <w:p w14:paraId="7E284EF9" w14:textId="7C1E5EAA" w:rsidR="005D562B" w:rsidRPr="00F5156D" w:rsidRDefault="005D562B" w:rsidP="002F2366">
      <w:pPr>
        <w:spacing w:line="480" w:lineRule="auto"/>
        <w:rPr>
          <w:rFonts w:eastAsia="Times New Roman"/>
          <w:color w:val="000000" w:themeColor="text1"/>
          <w:sz w:val="28"/>
          <w:szCs w:val="28"/>
          <w:shd w:val="clear" w:color="auto" w:fill="FFFFFF"/>
        </w:rPr>
      </w:pPr>
      <w:r w:rsidRPr="00F5156D">
        <w:rPr>
          <w:rFonts w:eastAsia="Times New Roman"/>
          <w:color w:val="000000" w:themeColor="text1"/>
          <w:sz w:val="28"/>
          <w:szCs w:val="28"/>
          <w:shd w:val="clear" w:color="auto" w:fill="FFFFFF"/>
        </w:rPr>
        <w:lastRenderedPageBreak/>
        <w:tab/>
        <w:t>This principle is reinforced by Article 4, Part 1, Section 1 of the Arizona Constitution, which vests the</w:t>
      </w:r>
      <w:r w:rsidR="002F2366">
        <w:rPr>
          <w:rFonts w:eastAsia="Times New Roman"/>
          <w:color w:val="000000" w:themeColor="text1"/>
          <w:sz w:val="28"/>
          <w:szCs w:val="28"/>
          <w:shd w:val="clear" w:color="auto" w:fill="FFFFFF"/>
        </w:rPr>
        <w:t xml:space="preserve"> </w:t>
      </w:r>
      <w:r w:rsidRPr="00F5156D">
        <w:rPr>
          <w:rFonts w:eastAsia="Times New Roman"/>
          <w:color w:val="000000" w:themeColor="text1"/>
          <w:sz w:val="28"/>
          <w:szCs w:val="28"/>
          <w:bdr w:val="none" w:sz="0" w:space="0" w:color="auto" w:frame="1"/>
          <w:shd w:val="clear" w:color="auto" w:fill="FFFFFF"/>
        </w:rPr>
        <w:t>legislature</w:t>
      </w:r>
      <w:r w:rsidRPr="00F5156D">
        <w:rPr>
          <w:rFonts w:eastAsia="Times New Roman"/>
          <w:color w:val="000000" w:themeColor="text1"/>
          <w:sz w:val="28"/>
          <w:szCs w:val="28"/>
          <w:shd w:val="clear" w:color="auto" w:fill="FFFFFF"/>
        </w:rPr>
        <w:t xml:space="preserve"> with the “legislative authority” of the State, and Article 6, Section 5(5) of the Arizona Constitution, which expressly vests this Court with the “[p]</w:t>
      </w:r>
      <w:proofErr w:type="spellStart"/>
      <w:r w:rsidRPr="00F5156D">
        <w:rPr>
          <w:rFonts w:eastAsia="Times New Roman"/>
          <w:color w:val="000000" w:themeColor="text1"/>
          <w:sz w:val="28"/>
          <w:szCs w:val="28"/>
          <w:shd w:val="clear" w:color="auto" w:fill="FFFFFF"/>
        </w:rPr>
        <w:t>ower</w:t>
      </w:r>
      <w:proofErr w:type="spellEnd"/>
      <w:r w:rsidRPr="00F5156D">
        <w:rPr>
          <w:rFonts w:eastAsia="Times New Roman"/>
          <w:color w:val="000000" w:themeColor="text1"/>
          <w:sz w:val="28"/>
          <w:szCs w:val="28"/>
          <w:shd w:val="clear" w:color="auto" w:fill="FFFFFF"/>
        </w:rPr>
        <w:t xml:space="preserve"> to make rules relative to all procedural matters in any court.”  </w:t>
      </w:r>
    </w:p>
    <w:p w14:paraId="6B6A99C5" w14:textId="424757EE" w:rsidR="005D562B" w:rsidRPr="00F5156D" w:rsidRDefault="005D562B" w:rsidP="002F2366">
      <w:pPr>
        <w:spacing w:line="480" w:lineRule="auto"/>
        <w:ind w:firstLine="720"/>
        <w:rPr>
          <w:rFonts w:eastAsia="Times New Roman"/>
          <w:sz w:val="28"/>
          <w:szCs w:val="28"/>
        </w:rPr>
      </w:pPr>
      <w:r w:rsidRPr="00F5156D">
        <w:rPr>
          <w:rFonts w:eastAsia="Times New Roman"/>
          <w:color w:val="000000" w:themeColor="text1"/>
          <w:sz w:val="28"/>
          <w:szCs w:val="28"/>
          <w:shd w:val="clear" w:color="auto" w:fill="FFFFFF"/>
        </w:rPr>
        <w:t xml:space="preserve">Thus, under our state’s separation of powers doctrine, the legislature has primacy over substantive law and the judiciary over procedural rules.  </w:t>
      </w:r>
      <w:r w:rsidRPr="00F5156D">
        <w:rPr>
          <w:rFonts w:eastAsia="Times New Roman"/>
          <w:i/>
          <w:iCs/>
          <w:color w:val="000000" w:themeColor="text1"/>
          <w:sz w:val="28"/>
          <w:szCs w:val="28"/>
          <w:shd w:val="clear" w:color="auto" w:fill="FFFFFF"/>
        </w:rPr>
        <w:t xml:space="preserve">Id.  </w:t>
      </w:r>
      <w:r w:rsidRPr="00F5156D">
        <w:rPr>
          <w:rFonts w:eastAsia="Times New Roman"/>
          <w:color w:val="000000" w:themeColor="text1"/>
          <w:sz w:val="28"/>
          <w:szCs w:val="28"/>
          <w:shd w:val="clear" w:color="auto" w:fill="FFFFFF"/>
        </w:rPr>
        <w:t xml:space="preserve">If a statute is substantive and conflicts with a court-promulgated procedural rule, the statute prevails.  </w:t>
      </w:r>
      <w:r w:rsidRPr="00F5156D">
        <w:rPr>
          <w:rFonts w:eastAsia="Times New Roman"/>
          <w:i/>
          <w:iCs/>
          <w:color w:val="000000" w:themeColor="text1"/>
          <w:sz w:val="28"/>
          <w:szCs w:val="28"/>
          <w:shd w:val="clear" w:color="auto" w:fill="FFFFFF"/>
        </w:rPr>
        <w:t xml:space="preserve">See </w:t>
      </w:r>
      <w:r w:rsidRPr="00F5156D">
        <w:rPr>
          <w:rFonts w:eastAsia="Times New Roman"/>
          <w:i/>
          <w:iCs/>
          <w:color w:val="000000"/>
          <w:sz w:val="28"/>
          <w:szCs w:val="28"/>
          <w:bdr w:val="none" w:sz="0" w:space="0" w:color="auto" w:frame="1"/>
        </w:rPr>
        <w:t xml:space="preserve">Valerie M. v. </w:t>
      </w:r>
      <w:r w:rsidR="002F2366" w:rsidRPr="00F5156D">
        <w:rPr>
          <w:rFonts w:eastAsia="Times New Roman"/>
          <w:i/>
          <w:iCs/>
          <w:color w:val="000000"/>
          <w:sz w:val="28"/>
          <w:szCs w:val="28"/>
          <w:bdr w:val="none" w:sz="0" w:space="0" w:color="auto" w:frame="1"/>
        </w:rPr>
        <w:t>Ariz</w:t>
      </w:r>
      <w:r w:rsidR="002F2366">
        <w:rPr>
          <w:rFonts w:eastAsia="Times New Roman"/>
          <w:i/>
          <w:iCs/>
          <w:color w:val="000000"/>
          <w:sz w:val="28"/>
          <w:szCs w:val="28"/>
          <w:bdr w:val="none" w:sz="0" w:space="0" w:color="auto" w:frame="1"/>
        </w:rPr>
        <w:t>.</w:t>
      </w:r>
      <w:r w:rsidR="002F2366" w:rsidRPr="00F5156D">
        <w:rPr>
          <w:rFonts w:eastAsia="Times New Roman"/>
          <w:i/>
          <w:iCs/>
          <w:color w:val="000000"/>
          <w:sz w:val="28"/>
          <w:szCs w:val="28"/>
          <w:bdr w:val="none" w:sz="0" w:space="0" w:color="auto" w:frame="1"/>
        </w:rPr>
        <w:t xml:space="preserve"> </w:t>
      </w:r>
      <w:r w:rsidRPr="00F5156D">
        <w:rPr>
          <w:rFonts w:eastAsia="Times New Roman"/>
          <w:i/>
          <w:iCs/>
          <w:color w:val="000000"/>
          <w:sz w:val="28"/>
          <w:szCs w:val="28"/>
          <w:bdr w:val="none" w:sz="0" w:space="0" w:color="auto" w:frame="1"/>
        </w:rPr>
        <w:t>Dep’t of Econ. Sec.</w:t>
      </w:r>
      <w:r w:rsidRPr="00F5156D">
        <w:rPr>
          <w:rFonts w:eastAsia="Times New Roman"/>
          <w:color w:val="000000"/>
          <w:sz w:val="28"/>
          <w:szCs w:val="28"/>
        </w:rPr>
        <w:t>, 219 Ariz. 331, 336</w:t>
      </w:r>
      <w:r w:rsidR="002F2366">
        <w:rPr>
          <w:rFonts w:eastAsia="Times New Roman"/>
          <w:color w:val="000000"/>
          <w:sz w:val="28"/>
          <w:szCs w:val="28"/>
        </w:rPr>
        <w:t xml:space="preserve"> ¶ 22</w:t>
      </w:r>
      <w:r w:rsidRPr="00F5156D">
        <w:rPr>
          <w:rFonts w:eastAsia="Times New Roman"/>
          <w:color w:val="000000"/>
          <w:sz w:val="28"/>
          <w:szCs w:val="28"/>
        </w:rPr>
        <w:t xml:space="preserve"> (2009); </w:t>
      </w:r>
      <w:r w:rsidRPr="00F5156D">
        <w:rPr>
          <w:rFonts w:eastAsia="Times New Roman"/>
          <w:i/>
          <w:iCs/>
          <w:color w:val="000000"/>
          <w:sz w:val="28"/>
          <w:szCs w:val="28"/>
          <w:bdr w:val="none" w:sz="0" w:space="0" w:color="auto" w:frame="1"/>
        </w:rPr>
        <w:t>State v. Hansen</w:t>
      </w:r>
      <w:r w:rsidRPr="00F5156D">
        <w:rPr>
          <w:rFonts w:eastAsia="Times New Roman"/>
          <w:color w:val="000000"/>
          <w:sz w:val="28"/>
          <w:szCs w:val="28"/>
        </w:rPr>
        <w:t>, 215 Ariz. 287, 289</w:t>
      </w:r>
      <w:r w:rsidR="000C7684">
        <w:rPr>
          <w:rFonts w:eastAsia="Times New Roman"/>
          <w:color w:val="000000"/>
          <w:sz w:val="28"/>
          <w:szCs w:val="28"/>
        </w:rPr>
        <w:t xml:space="preserve"> ¶ 10</w:t>
      </w:r>
      <w:r w:rsidRPr="00F5156D">
        <w:rPr>
          <w:rFonts w:eastAsia="Times New Roman"/>
          <w:color w:val="000000"/>
          <w:sz w:val="28"/>
          <w:szCs w:val="28"/>
        </w:rPr>
        <w:t xml:space="preserve"> (2007)</w:t>
      </w:r>
      <w:r w:rsidRPr="00F5156D">
        <w:rPr>
          <w:rFonts w:eastAsia="Times New Roman"/>
          <w:sz w:val="28"/>
          <w:szCs w:val="28"/>
        </w:rPr>
        <w:t xml:space="preserve"> </w:t>
      </w:r>
      <w:r w:rsidRPr="00F5156D">
        <w:rPr>
          <w:rFonts w:eastAsia="Times New Roman"/>
          <w:color w:val="000000" w:themeColor="text1"/>
          <w:sz w:val="28"/>
          <w:szCs w:val="28"/>
          <w:shd w:val="clear" w:color="auto" w:fill="FFFFFF"/>
        </w:rPr>
        <w:t xml:space="preserve">(If a conflicting statute </w:t>
      </w:r>
      <w:r w:rsidR="000C7684">
        <w:rPr>
          <w:rFonts w:eastAsia="Times New Roman"/>
          <w:color w:val="000000" w:themeColor="text1"/>
          <w:sz w:val="28"/>
          <w:szCs w:val="28"/>
          <w:shd w:val="clear" w:color="auto" w:fill="FFFFFF"/>
        </w:rPr>
        <w:t>“</w:t>
      </w:r>
      <w:r w:rsidRPr="00F5156D">
        <w:rPr>
          <w:rFonts w:eastAsia="Times New Roman"/>
          <w:color w:val="000000" w:themeColor="text1"/>
          <w:sz w:val="28"/>
          <w:szCs w:val="28"/>
          <w:shd w:val="clear" w:color="auto" w:fill="FFFFFF"/>
        </w:rPr>
        <w:t>is</w:t>
      </w:r>
      <w:r w:rsidR="000C7684">
        <w:rPr>
          <w:rFonts w:eastAsia="Times New Roman"/>
          <w:color w:val="000000" w:themeColor="text1"/>
          <w:sz w:val="28"/>
          <w:szCs w:val="28"/>
          <w:shd w:val="clear" w:color="auto" w:fill="FFFFFF"/>
        </w:rPr>
        <w:t xml:space="preserve"> </w:t>
      </w:r>
      <w:r w:rsidRPr="00F5156D">
        <w:rPr>
          <w:rFonts w:eastAsia="Times New Roman"/>
          <w:color w:val="000000" w:themeColor="text1"/>
          <w:sz w:val="28"/>
          <w:szCs w:val="28"/>
          <w:bdr w:val="none" w:sz="0" w:space="0" w:color="auto" w:frame="1"/>
          <w:shd w:val="clear" w:color="auto" w:fill="FFFFFF"/>
        </w:rPr>
        <w:t>substantive</w:t>
      </w:r>
      <w:r w:rsidRPr="00F5156D">
        <w:rPr>
          <w:rFonts w:eastAsia="Times New Roman"/>
          <w:color w:val="000000" w:themeColor="text1"/>
          <w:sz w:val="28"/>
          <w:szCs w:val="28"/>
          <w:shd w:val="clear" w:color="auto" w:fill="FFFFFF"/>
        </w:rPr>
        <w:t>, it indisputably governs.”).</w:t>
      </w:r>
    </w:p>
    <w:p w14:paraId="739A0962" w14:textId="4BA8D480" w:rsidR="005D562B" w:rsidRPr="00F5156D" w:rsidRDefault="005D562B" w:rsidP="002F2366">
      <w:pPr>
        <w:spacing w:line="480" w:lineRule="auto"/>
        <w:rPr>
          <w:rFonts w:eastAsia="Times New Roman"/>
          <w:color w:val="000000" w:themeColor="text1"/>
          <w:sz w:val="28"/>
          <w:szCs w:val="28"/>
        </w:rPr>
      </w:pPr>
      <w:r w:rsidRPr="00F5156D">
        <w:rPr>
          <w:rFonts w:eastAsia="Times New Roman"/>
          <w:color w:val="000000" w:themeColor="text1"/>
          <w:sz w:val="28"/>
          <w:szCs w:val="28"/>
          <w:shd w:val="clear" w:color="auto" w:fill="FFFFFF"/>
        </w:rPr>
        <w:tab/>
        <w:t>The legislature has elected under A.R.S. § 12-911(A) to allow for stays of administrative agency decisions while the case is pending in superior court if the moving party can show “good cause.”  “Good cause” means “[a] legally sufficient reason</w:t>
      </w:r>
      <w:r w:rsidRPr="00F5156D">
        <w:rPr>
          <w:rFonts w:eastAsia="Times New Roman"/>
          <w:color w:val="000000" w:themeColor="text1"/>
          <w:sz w:val="28"/>
          <w:szCs w:val="28"/>
        </w:rPr>
        <w:t xml:space="preserve">.”  CAUSE, Black’s Law Dictionary (11th ed. 2019).  This is obviously a less exacting standard than that required to issue a preliminary injunction, as, </w:t>
      </w:r>
      <w:r w:rsidRPr="00F5156D">
        <w:rPr>
          <w:rFonts w:eastAsia="Times New Roman"/>
          <w:i/>
          <w:iCs/>
          <w:color w:val="000000" w:themeColor="text1"/>
          <w:sz w:val="28"/>
          <w:szCs w:val="28"/>
        </w:rPr>
        <w:t>inter alia</w:t>
      </w:r>
      <w:r w:rsidRPr="00F5156D">
        <w:rPr>
          <w:rFonts w:eastAsia="Times New Roman"/>
          <w:color w:val="000000" w:themeColor="text1"/>
          <w:sz w:val="28"/>
          <w:szCs w:val="28"/>
        </w:rPr>
        <w:t>, it does not include a necessary showing of “strong likelihood</w:t>
      </w:r>
      <w:r w:rsidR="000C7684">
        <w:rPr>
          <w:rFonts w:eastAsia="Times New Roman"/>
          <w:color w:val="000000" w:themeColor="text1"/>
          <w:sz w:val="28"/>
          <w:szCs w:val="28"/>
        </w:rPr>
        <w:t>”</w:t>
      </w:r>
      <w:r w:rsidRPr="00F5156D">
        <w:rPr>
          <w:rFonts w:eastAsia="Times New Roman"/>
          <w:color w:val="000000" w:themeColor="text1"/>
          <w:sz w:val="28"/>
          <w:szCs w:val="28"/>
        </w:rPr>
        <w:t xml:space="preserve"> of success on the merits</w:t>
      </w:r>
      <w:r w:rsidRPr="00F5156D">
        <w:rPr>
          <w:color w:val="000000" w:themeColor="text1"/>
          <w:sz w:val="28"/>
          <w:szCs w:val="28"/>
          <w:shd w:val="clear" w:color="auto" w:fill="FFFFFF"/>
        </w:rPr>
        <w:t xml:space="preserve"> and “irreparable harm.”  </w:t>
      </w:r>
      <w:r w:rsidRPr="00F5156D">
        <w:rPr>
          <w:rFonts w:eastAsia="Times New Roman"/>
          <w:i/>
          <w:iCs/>
          <w:color w:val="000000" w:themeColor="text1"/>
          <w:sz w:val="28"/>
          <w:szCs w:val="28"/>
        </w:rPr>
        <w:t xml:space="preserve">See </w:t>
      </w:r>
      <w:proofErr w:type="spellStart"/>
      <w:r w:rsidRPr="00F5156D">
        <w:rPr>
          <w:rFonts w:eastAsia="Times New Roman"/>
          <w:i/>
          <w:iCs/>
          <w:color w:val="000000" w:themeColor="text1"/>
          <w:sz w:val="28"/>
          <w:szCs w:val="28"/>
          <w:bdr w:val="none" w:sz="0" w:space="0" w:color="auto" w:frame="1"/>
        </w:rPr>
        <w:t>Shoen</w:t>
      </w:r>
      <w:proofErr w:type="spellEnd"/>
      <w:r w:rsidRPr="00F5156D">
        <w:rPr>
          <w:rFonts w:eastAsia="Times New Roman"/>
          <w:i/>
          <w:iCs/>
          <w:color w:val="000000" w:themeColor="text1"/>
          <w:sz w:val="28"/>
          <w:szCs w:val="28"/>
          <w:bdr w:val="none" w:sz="0" w:space="0" w:color="auto" w:frame="1"/>
        </w:rPr>
        <w:t xml:space="preserve"> v. </w:t>
      </w:r>
      <w:proofErr w:type="spellStart"/>
      <w:r w:rsidRPr="00F5156D">
        <w:rPr>
          <w:rFonts w:eastAsia="Times New Roman"/>
          <w:i/>
          <w:iCs/>
          <w:color w:val="000000" w:themeColor="text1"/>
          <w:sz w:val="28"/>
          <w:szCs w:val="28"/>
          <w:bdr w:val="none" w:sz="0" w:space="0" w:color="auto" w:frame="1"/>
        </w:rPr>
        <w:t>Shoen</w:t>
      </w:r>
      <w:proofErr w:type="spellEnd"/>
      <w:r w:rsidRPr="00F5156D">
        <w:rPr>
          <w:rFonts w:eastAsia="Times New Roman"/>
          <w:color w:val="000000" w:themeColor="text1"/>
          <w:sz w:val="28"/>
          <w:szCs w:val="28"/>
        </w:rPr>
        <w:t xml:space="preserve">, 167 Ariz. 58, 63 (App. 1990).  </w:t>
      </w:r>
    </w:p>
    <w:p w14:paraId="7766E750" w14:textId="26ED11D0" w:rsidR="005D562B" w:rsidRPr="00F5156D" w:rsidRDefault="005D562B" w:rsidP="002F2366">
      <w:pPr>
        <w:spacing w:line="480" w:lineRule="auto"/>
        <w:rPr>
          <w:rFonts w:eastAsia="Times New Roman"/>
          <w:color w:val="000000" w:themeColor="text1"/>
          <w:sz w:val="28"/>
          <w:szCs w:val="28"/>
        </w:rPr>
      </w:pPr>
      <w:r w:rsidRPr="00F5156D">
        <w:rPr>
          <w:rFonts w:eastAsia="Times New Roman"/>
          <w:color w:val="000000" w:themeColor="text1"/>
          <w:sz w:val="28"/>
          <w:szCs w:val="28"/>
        </w:rPr>
        <w:lastRenderedPageBreak/>
        <w:tab/>
        <w:t>I</w:t>
      </w:r>
      <w:r w:rsidRPr="00F5156D">
        <w:rPr>
          <w:rFonts w:eastAsia="Times New Roman"/>
          <w:color w:val="000000" w:themeColor="text1"/>
          <w:sz w:val="28"/>
          <w:szCs w:val="28"/>
          <w:shd w:val="clear" w:color="auto" w:fill="FFFFFF"/>
        </w:rPr>
        <w:t>n the administrative context, a stay is intended to preserve the rights of regulated parties and others with an interest in administrative action until the agency decision can be heard in a neutral court.  A stay of administrative action, unlike judicial actions, is particularly important because decisions from administrative agencies “</w:t>
      </w:r>
      <w:proofErr w:type="spellStart"/>
      <w:r w:rsidRPr="00F5156D">
        <w:rPr>
          <w:rFonts w:eastAsia="Times New Roman"/>
          <w:color w:val="000000" w:themeColor="text1"/>
          <w:sz w:val="28"/>
          <w:szCs w:val="28"/>
          <w:shd w:val="clear" w:color="auto" w:fill="FFFFFF"/>
        </w:rPr>
        <w:t>combin</w:t>
      </w:r>
      <w:proofErr w:type="spellEnd"/>
      <w:r w:rsidRPr="00F5156D">
        <w:rPr>
          <w:rFonts w:eastAsia="Times New Roman"/>
          <w:color w:val="000000" w:themeColor="text1"/>
          <w:sz w:val="28"/>
          <w:szCs w:val="28"/>
          <w:shd w:val="clear" w:color="auto" w:fill="FFFFFF"/>
        </w:rPr>
        <w:t>[e] prosecutorial and adjudicative functions in the same agency official,” which “gives rise to due process concerns.”</w:t>
      </w:r>
      <w:r w:rsidRPr="00F5156D">
        <w:rPr>
          <w:rFonts w:eastAsia="Times New Roman"/>
          <w:color w:val="000000" w:themeColor="text1"/>
          <w:sz w:val="28"/>
          <w:szCs w:val="28"/>
        </w:rPr>
        <w:t xml:space="preserve">  </w:t>
      </w:r>
      <w:r w:rsidRPr="00F5156D">
        <w:rPr>
          <w:rFonts w:eastAsia="Times New Roman"/>
          <w:i/>
          <w:iCs/>
          <w:color w:val="000000" w:themeColor="text1"/>
          <w:sz w:val="28"/>
          <w:szCs w:val="28"/>
          <w:bdr w:val="none" w:sz="0" w:space="0" w:color="auto" w:frame="1"/>
        </w:rPr>
        <w:t>Horne v. Polk</w:t>
      </w:r>
      <w:r w:rsidRPr="00F5156D">
        <w:rPr>
          <w:rFonts w:eastAsia="Times New Roman"/>
          <w:color w:val="000000" w:themeColor="text1"/>
          <w:sz w:val="28"/>
          <w:szCs w:val="28"/>
        </w:rPr>
        <w:t>, 242 Ariz. 226, 230</w:t>
      </w:r>
      <w:r w:rsidR="000C7684">
        <w:rPr>
          <w:rFonts w:eastAsia="Times New Roman"/>
          <w:color w:val="000000" w:themeColor="text1"/>
          <w:sz w:val="28"/>
          <w:szCs w:val="28"/>
        </w:rPr>
        <w:t xml:space="preserve"> ¶ 14</w:t>
      </w:r>
      <w:r w:rsidRPr="00F5156D">
        <w:rPr>
          <w:rFonts w:eastAsia="Times New Roman"/>
          <w:color w:val="000000" w:themeColor="text1"/>
          <w:sz w:val="28"/>
          <w:szCs w:val="28"/>
        </w:rPr>
        <w:t xml:space="preserve"> (2017).  </w:t>
      </w:r>
    </w:p>
    <w:p w14:paraId="41C4EBDD" w14:textId="77777777" w:rsidR="005D562B" w:rsidRPr="00F5156D" w:rsidRDefault="005D562B" w:rsidP="002F2366">
      <w:pPr>
        <w:spacing w:line="480" w:lineRule="auto"/>
        <w:ind w:firstLine="720"/>
        <w:rPr>
          <w:rFonts w:eastAsia="Times New Roman"/>
          <w:color w:val="000000" w:themeColor="text1"/>
          <w:sz w:val="28"/>
          <w:szCs w:val="28"/>
          <w:shd w:val="clear" w:color="auto" w:fill="FFFFFF"/>
        </w:rPr>
      </w:pPr>
      <w:r w:rsidRPr="00F5156D">
        <w:rPr>
          <w:rFonts w:eastAsia="Times New Roman"/>
          <w:color w:val="000000" w:themeColor="text1"/>
          <w:sz w:val="28"/>
          <w:szCs w:val="28"/>
        </w:rPr>
        <w:t xml:space="preserve">What’s more, administrative agencies exercise tremendous power, including the power to fine people, deny them licenses, recommend criminal prosecution, and affect the livelihood of thousands of businesses and their employees in scores of industries.  Thus, a stay of such decisions affects the substantive rights of those subject to administrative power.  </w:t>
      </w:r>
      <w:r w:rsidRPr="00F5156D">
        <w:rPr>
          <w:rFonts w:eastAsia="Times New Roman"/>
          <w:color w:val="000000" w:themeColor="text1"/>
          <w:sz w:val="28"/>
          <w:szCs w:val="28"/>
          <w:shd w:val="clear" w:color="auto" w:fill="FFFFFF"/>
        </w:rPr>
        <w:t xml:space="preserve">Because the standard for obtaining a stay of administrative decisions is higher under JRAD Rule 3 than it is under A.R.S. § 12-911, a party’s substantive rights to maintain the status quo on such significant matters is plainly affected, and A.R.S. § 12-911(A) should thus prevail over JRAD Rule 3.  </w:t>
      </w:r>
    </w:p>
    <w:p w14:paraId="3A99443E" w14:textId="6FD10DD5" w:rsidR="005D562B" w:rsidRPr="00F5156D" w:rsidRDefault="005D562B" w:rsidP="002F2366">
      <w:pPr>
        <w:spacing w:line="480" w:lineRule="auto"/>
        <w:rPr>
          <w:rFonts w:eastAsia="Times New Roman"/>
          <w:color w:val="000000" w:themeColor="text1"/>
          <w:sz w:val="28"/>
          <w:szCs w:val="28"/>
          <w:shd w:val="clear" w:color="auto" w:fill="FFFFFF"/>
        </w:rPr>
      </w:pPr>
      <w:r w:rsidRPr="00F5156D">
        <w:rPr>
          <w:rFonts w:eastAsia="Times New Roman"/>
          <w:color w:val="000000" w:themeColor="text1"/>
          <w:sz w:val="28"/>
          <w:szCs w:val="28"/>
          <w:shd w:val="clear" w:color="auto" w:fill="FFFFFF"/>
        </w:rPr>
        <w:tab/>
        <w:t xml:space="preserve">Additionally, in recent years, the legislature has shown an intent to </w:t>
      </w:r>
      <w:r w:rsidRPr="00F5156D">
        <w:rPr>
          <w:rFonts w:eastAsia="Times New Roman"/>
          <w:i/>
          <w:iCs/>
          <w:color w:val="000000" w:themeColor="text1"/>
          <w:sz w:val="28"/>
          <w:szCs w:val="28"/>
          <w:shd w:val="clear" w:color="auto" w:fill="FFFFFF"/>
        </w:rPr>
        <w:t xml:space="preserve">increase </w:t>
      </w:r>
      <w:r w:rsidRPr="00F5156D">
        <w:rPr>
          <w:rFonts w:eastAsia="Times New Roman"/>
          <w:color w:val="000000" w:themeColor="text1"/>
          <w:sz w:val="28"/>
          <w:szCs w:val="28"/>
          <w:shd w:val="clear" w:color="auto" w:fill="FFFFFF"/>
        </w:rPr>
        <w:t xml:space="preserve">judicial review of administrative actions, and thus protect the rights of regulated parties, not </w:t>
      </w:r>
      <w:r w:rsidRPr="00F5156D">
        <w:rPr>
          <w:rFonts w:eastAsia="Times New Roman"/>
          <w:i/>
          <w:iCs/>
          <w:color w:val="000000" w:themeColor="text1"/>
          <w:sz w:val="28"/>
          <w:szCs w:val="28"/>
          <w:shd w:val="clear" w:color="auto" w:fill="FFFFFF"/>
        </w:rPr>
        <w:t xml:space="preserve">lessen </w:t>
      </w:r>
      <w:r w:rsidRPr="00F5156D">
        <w:rPr>
          <w:rFonts w:eastAsia="Times New Roman"/>
          <w:color w:val="000000" w:themeColor="text1"/>
          <w:sz w:val="28"/>
          <w:szCs w:val="28"/>
          <w:shd w:val="clear" w:color="auto" w:fill="FFFFFF"/>
        </w:rPr>
        <w:t xml:space="preserve">the scope of that review.  This was demonstrated most clearly with the 2018 amendments to A.R.S. § 19-910(E), which eliminated deference to </w:t>
      </w:r>
      <w:r w:rsidRPr="00F5156D">
        <w:rPr>
          <w:rFonts w:eastAsia="Times New Roman"/>
          <w:color w:val="000000" w:themeColor="text1"/>
          <w:sz w:val="28"/>
          <w:szCs w:val="28"/>
          <w:shd w:val="clear" w:color="auto" w:fill="FFFFFF"/>
        </w:rPr>
        <w:lastRenderedPageBreak/>
        <w:t xml:space="preserve">administrative decisions on questions of law.  </w:t>
      </w:r>
      <w:r w:rsidRPr="00F5156D">
        <w:rPr>
          <w:rFonts w:eastAsia="Times New Roman"/>
          <w:i/>
          <w:iCs/>
          <w:color w:val="000000" w:themeColor="text1"/>
          <w:sz w:val="28"/>
          <w:szCs w:val="28"/>
          <w:shd w:val="clear" w:color="auto" w:fill="FFFFFF"/>
        </w:rPr>
        <w:t xml:space="preserve">See. </w:t>
      </w:r>
      <w:r w:rsidRPr="00F5156D">
        <w:rPr>
          <w:rFonts w:eastAsia="Times New Roman"/>
          <w:color w:val="000000" w:themeColor="text1"/>
          <w:sz w:val="28"/>
          <w:szCs w:val="28"/>
        </w:rPr>
        <w:t xml:space="preserve">2018 Ariz. Legis. Serv. Ch. 180 (H.B. 2238) (amending A.R.S. § </w:t>
      </w:r>
      <w:r w:rsidR="00D20038">
        <w:rPr>
          <w:rFonts w:eastAsia="Times New Roman"/>
          <w:color w:val="000000" w:themeColor="text1"/>
          <w:sz w:val="28"/>
          <w:szCs w:val="28"/>
        </w:rPr>
        <w:t>12</w:t>
      </w:r>
      <w:r w:rsidRPr="00F5156D">
        <w:rPr>
          <w:rFonts w:eastAsia="Times New Roman"/>
          <w:color w:val="000000" w:themeColor="text1"/>
          <w:sz w:val="28"/>
          <w:szCs w:val="28"/>
        </w:rPr>
        <w:t xml:space="preserve">-910(E) to require courts to </w:t>
      </w:r>
      <w:r w:rsidRPr="00F5156D">
        <w:rPr>
          <w:rFonts w:eastAsia="Times New Roman"/>
          <w:color w:val="000000" w:themeColor="text1"/>
          <w:sz w:val="28"/>
          <w:szCs w:val="28"/>
          <w:shd w:val="clear" w:color="auto" w:fill="FFFFFF"/>
        </w:rPr>
        <w:t>“decide all questions of law, including the interpretation of a constitutional or statutory provision or a rule adopted by an agency, without deference to any previous determination that may have been made on the question by the agency.”).  This show</w:t>
      </w:r>
      <w:r w:rsidR="00D20038">
        <w:rPr>
          <w:rFonts w:eastAsia="Times New Roman"/>
          <w:color w:val="000000" w:themeColor="text1"/>
          <w:sz w:val="28"/>
          <w:szCs w:val="28"/>
          <w:shd w:val="clear" w:color="auto" w:fill="FFFFFF"/>
        </w:rPr>
        <w:t>s</w:t>
      </w:r>
      <w:r w:rsidRPr="00F5156D">
        <w:rPr>
          <w:rFonts w:eastAsia="Times New Roman"/>
          <w:color w:val="000000" w:themeColor="text1"/>
          <w:sz w:val="28"/>
          <w:szCs w:val="28"/>
          <w:shd w:val="clear" w:color="auto" w:fill="FFFFFF"/>
        </w:rPr>
        <w:t xml:space="preserve"> a legislative intent to protect the rights of those subject to administrative action and to allow for a more probing review of such action.  Contrary to that legislative intent, JRAD Rule 3 places a greater burden on regulated parties to maintain the status quo following administrative adjudication and thus is contrary to that legislative intent.  </w:t>
      </w:r>
    </w:p>
    <w:p w14:paraId="24DBD8E4" w14:textId="77777777" w:rsidR="005D562B" w:rsidRPr="00F5156D" w:rsidRDefault="005D562B" w:rsidP="002F2366">
      <w:pPr>
        <w:spacing w:line="480" w:lineRule="auto"/>
        <w:rPr>
          <w:rFonts w:eastAsia="Times New Roman"/>
          <w:color w:val="000000" w:themeColor="text1"/>
          <w:sz w:val="28"/>
          <w:szCs w:val="28"/>
        </w:rPr>
      </w:pPr>
      <w:r w:rsidRPr="00F5156D">
        <w:rPr>
          <w:rFonts w:eastAsia="Times New Roman"/>
          <w:color w:val="000000" w:themeColor="text1"/>
          <w:sz w:val="28"/>
          <w:szCs w:val="28"/>
          <w:shd w:val="clear" w:color="auto" w:fill="FFFFFF"/>
        </w:rPr>
        <w:tab/>
        <w:t xml:space="preserve">For these reasons and those stated in NCLA’s Petition, the Petition should be granted.  </w:t>
      </w:r>
    </w:p>
    <w:p w14:paraId="13600889" w14:textId="4097A4D3" w:rsidR="00CA7CC5" w:rsidRPr="00CA7CC5" w:rsidRDefault="00CA7CC5" w:rsidP="00AE3E2F">
      <w:pPr>
        <w:spacing w:line="480" w:lineRule="auto"/>
        <w:jc w:val="both"/>
        <w:rPr>
          <w:sz w:val="28"/>
        </w:rPr>
      </w:pPr>
      <w:r>
        <w:rPr>
          <w:sz w:val="28"/>
        </w:rPr>
        <w:tab/>
        <w:t>Respectfully submitted</w:t>
      </w:r>
      <w:r w:rsidR="005D44BC">
        <w:rPr>
          <w:sz w:val="28"/>
        </w:rPr>
        <w:t xml:space="preserve"> this 29th</w:t>
      </w:r>
      <w:bookmarkStart w:id="1" w:name="_GoBack"/>
      <w:bookmarkEnd w:id="1"/>
      <w:r w:rsidR="005D44BC">
        <w:rPr>
          <w:sz w:val="28"/>
        </w:rPr>
        <w:t xml:space="preserve"> day of April 2020</w:t>
      </w:r>
      <w:r>
        <w:rPr>
          <w:sz w:val="28"/>
        </w:rPr>
        <w:t>,</w:t>
      </w:r>
    </w:p>
    <w:p w14:paraId="6848DC1A" w14:textId="1BFF45FF" w:rsidR="000868CD" w:rsidRPr="00A07D62" w:rsidRDefault="000868CD" w:rsidP="000868CD">
      <w:pPr>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Pr>
          <w:sz w:val="28"/>
          <w:szCs w:val="28"/>
          <w:u w:val="single"/>
        </w:rPr>
        <w:t>s</w:t>
      </w:r>
      <w:r w:rsidRPr="00A07D62">
        <w:rPr>
          <w:sz w:val="28"/>
          <w:szCs w:val="28"/>
          <w:u w:val="single"/>
        </w:rPr>
        <w:t>/</w:t>
      </w:r>
      <w:r>
        <w:rPr>
          <w:sz w:val="28"/>
          <w:szCs w:val="28"/>
          <w:u w:val="single"/>
        </w:rPr>
        <w:t xml:space="preserve"> </w:t>
      </w:r>
      <w:r w:rsidR="005D562B" w:rsidRPr="005D562B">
        <w:rPr>
          <w:i/>
          <w:sz w:val="28"/>
          <w:szCs w:val="28"/>
          <w:u w:val="single"/>
        </w:rPr>
        <w:t>Jonathan Riches</w:t>
      </w:r>
      <w:r>
        <w:rPr>
          <w:sz w:val="28"/>
          <w:szCs w:val="28"/>
          <w:u w:val="single"/>
        </w:rPr>
        <w:tab/>
      </w:r>
      <w:r w:rsidRPr="00A07D62">
        <w:rPr>
          <w:sz w:val="28"/>
          <w:szCs w:val="28"/>
          <w:u w:val="single"/>
        </w:rPr>
        <w:t xml:space="preserve">                           </w:t>
      </w:r>
    </w:p>
    <w:p w14:paraId="0751AE6A" w14:textId="5223B3B4" w:rsidR="005D562B" w:rsidRDefault="005D562B" w:rsidP="000868CD">
      <w:pPr>
        <w:jc w:val="right"/>
        <w:rPr>
          <w:rFonts w:eastAsia="Times New Roman"/>
          <w:sz w:val="28"/>
          <w:szCs w:val="28"/>
        </w:rPr>
      </w:pPr>
      <w:r>
        <w:rPr>
          <w:rFonts w:eastAsia="Times New Roman"/>
          <w:sz w:val="28"/>
          <w:szCs w:val="28"/>
        </w:rPr>
        <w:t>Timothy Sandefur (033670)</w:t>
      </w:r>
      <w:r>
        <w:rPr>
          <w:rFonts w:eastAsia="Times New Roman"/>
          <w:sz w:val="28"/>
          <w:szCs w:val="28"/>
        </w:rPr>
        <w:tab/>
      </w:r>
      <w:r>
        <w:rPr>
          <w:rFonts w:eastAsia="Times New Roman"/>
          <w:sz w:val="28"/>
          <w:szCs w:val="28"/>
        </w:rPr>
        <w:tab/>
      </w:r>
      <w:r>
        <w:rPr>
          <w:rFonts w:eastAsia="Times New Roman"/>
          <w:sz w:val="28"/>
          <w:szCs w:val="28"/>
        </w:rPr>
        <w:tab/>
      </w:r>
    </w:p>
    <w:p w14:paraId="4E30BB3E" w14:textId="3ED187C0" w:rsidR="000868CD" w:rsidRDefault="005D562B" w:rsidP="000868CD">
      <w:pPr>
        <w:jc w:val="right"/>
        <w:rPr>
          <w:rFonts w:eastAsia="Times New Roman"/>
          <w:sz w:val="28"/>
          <w:szCs w:val="28"/>
        </w:rPr>
      </w:pPr>
      <w:r>
        <w:rPr>
          <w:rFonts w:eastAsia="Times New Roman"/>
          <w:sz w:val="28"/>
          <w:szCs w:val="28"/>
        </w:rPr>
        <w:t>Jonathan Riches (025712)</w:t>
      </w:r>
      <w:r w:rsidR="000868CD">
        <w:rPr>
          <w:rFonts w:eastAsia="Times New Roman"/>
          <w:sz w:val="28"/>
          <w:szCs w:val="28"/>
        </w:rPr>
        <w:tab/>
      </w:r>
      <w:r w:rsidR="000868CD">
        <w:rPr>
          <w:rFonts w:eastAsia="Times New Roman"/>
          <w:sz w:val="28"/>
          <w:szCs w:val="28"/>
        </w:rPr>
        <w:tab/>
      </w:r>
      <w:r w:rsidR="000868CD">
        <w:rPr>
          <w:rFonts w:eastAsia="Times New Roman"/>
          <w:sz w:val="28"/>
          <w:szCs w:val="28"/>
        </w:rPr>
        <w:tab/>
      </w:r>
    </w:p>
    <w:p w14:paraId="3E8C25A5" w14:textId="77777777" w:rsidR="000868CD" w:rsidRDefault="000868CD" w:rsidP="000868CD">
      <w:pPr>
        <w:ind w:left="4320"/>
        <w:rPr>
          <w:rFonts w:eastAsia="Times New Roman"/>
          <w:b/>
          <w:sz w:val="28"/>
          <w:szCs w:val="28"/>
        </w:rPr>
      </w:pPr>
      <w:r w:rsidRPr="00A07D62">
        <w:rPr>
          <w:rFonts w:eastAsia="Times New Roman"/>
          <w:b/>
          <w:sz w:val="28"/>
          <w:szCs w:val="28"/>
        </w:rPr>
        <w:t xml:space="preserve">Scharf-Norton Center for Constitutional Litigation at the </w:t>
      </w:r>
    </w:p>
    <w:p w14:paraId="218D08E7" w14:textId="77777777" w:rsidR="000868CD" w:rsidRDefault="000868CD" w:rsidP="000868CD">
      <w:pPr>
        <w:ind w:left="4320"/>
        <w:rPr>
          <w:rFonts w:eastAsia="Times New Roman"/>
          <w:b/>
          <w:sz w:val="28"/>
          <w:szCs w:val="28"/>
        </w:rPr>
      </w:pPr>
      <w:r w:rsidRPr="00A07D62">
        <w:rPr>
          <w:rFonts w:eastAsia="Times New Roman"/>
          <w:b/>
          <w:sz w:val="28"/>
          <w:szCs w:val="28"/>
        </w:rPr>
        <w:t>GOLDWATER INSTITUTE</w:t>
      </w:r>
    </w:p>
    <w:p w14:paraId="4D4855E0" w14:textId="0E42AF79" w:rsidR="000D1811" w:rsidRDefault="000D1811">
      <w:pPr>
        <w:spacing w:after="160" w:line="259" w:lineRule="auto"/>
        <w:rPr>
          <w:b/>
          <w:sz w:val="28"/>
        </w:rPr>
      </w:pPr>
    </w:p>
    <w:sectPr w:rsidR="000D1811" w:rsidSect="00373F4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94AE1" w14:textId="77777777" w:rsidR="000C7684" w:rsidRDefault="000C7684">
      <w:r>
        <w:separator/>
      </w:r>
    </w:p>
  </w:endnote>
  <w:endnote w:type="continuationSeparator" w:id="0">
    <w:p w14:paraId="04972E12" w14:textId="77777777" w:rsidR="000C7684" w:rsidRDefault="000C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E7BE" w14:textId="77777777" w:rsidR="000C7684" w:rsidRDefault="000C7684">
    <w:pPr>
      <w:pStyle w:val="Footer"/>
      <w:jc w:val="center"/>
      <w:rPr>
        <w:sz w:val="28"/>
      </w:rPr>
    </w:pPr>
  </w:p>
  <w:p w14:paraId="35F857DD" w14:textId="76BF0250" w:rsidR="000C7684" w:rsidRPr="00075C10" w:rsidRDefault="000C7684">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5D44BC">
      <w:rPr>
        <w:noProof/>
        <w:sz w:val="26"/>
        <w:szCs w:val="26"/>
      </w:rPr>
      <w:t>1</w:t>
    </w:r>
    <w:r w:rsidRPr="00075C10">
      <w:rPr>
        <w:noProof/>
        <w:sz w:val="26"/>
        <w:szCs w:val="26"/>
      </w:rPr>
      <w:fldChar w:fldCharType="end"/>
    </w:r>
  </w:p>
  <w:p w14:paraId="134F8C15" w14:textId="77777777" w:rsidR="000C7684" w:rsidRPr="00130840" w:rsidRDefault="000C7684"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A3C8" w14:textId="77777777" w:rsidR="000C7684" w:rsidRDefault="000C7684">
      <w:r>
        <w:separator/>
      </w:r>
    </w:p>
  </w:footnote>
  <w:footnote w:type="continuationSeparator" w:id="0">
    <w:p w14:paraId="0645C6D0" w14:textId="77777777" w:rsidR="000C7684" w:rsidRDefault="000C7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9818E0"/>
    <w:multiLevelType w:val="hybridMultilevel"/>
    <w:tmpl w:val="D0E47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xsTQwtDAwszAyMTVV0lEKTi0uzszPAykwqQUAFp/0WCwAAAA="/>
  </w:docVars>
  <w:rsids>
    <w:rsidRoot w:val="00B33AE4"/>
    <w:rsid w:val="0001030D"/>
    <w:rsid w:val="000130DF"/>
    <w:rsid w:val="000222A6"/>
    <w:rsid w:val="000242AB"/>
    <w:rsid w:val="000401FE"/>
    <w:rsid w:val="000409D3"/>
    <w:rsid w:val="00050BB7"/>
    <w:rsid w:val="000730AD"/>
    <w:rsid w:val="000868CD"/>
    <w:rsid w:val="000B2DFC"/>
    <w:rsid w:val="000C2475"/>
    <w:rsid w:val="000C7684"/>
    <w:rsid w:val="000D1811"/>
    <w:rsid w:val="000D29E0"/>
    <w:rsid w:val="00110A47"/>
    <w:rsid w:val="00110AB3"/>
    <w:rsid w:val="00111609"/>
    <w:rsid w:val="00115AE3"/>
    <w:rsid w:val="0013237F"/>
    <w:rsid w:val="00141999"/>
    <w:rsid w:val="0016681A"/>
    <w:rsid w:val="001A4500"/>
    <w:rsid w:val="001A6EFA"/>
    <w:rsid w:val="001D7136"/>
    <w:rsid w:val="001E665C"/>
    <w:rsid w:val="001F0FEF"/>
    <w:rsid w:val="00214B9B"/>
    <w:rsid w:val="002574EC"/>
    <w:rsid w:val="00274E75"/>
    <w:rsid w:val="0029603E"/>
    <w:rsid w:val="00297C79"/>
    <w:rsid w:val="002B1A70"/>
    <w:rsid w:val="002C4C5D"/>
    <w:rsid w:val="002D766C"/>
    <w:rsid w:val="002F2366"/>
    <w:rsid w:val="0030574E"/>
    <w:rsid w:val="0033163E"/>
    <w:rsid w:val="003404F7"/>
    <w:rsid w:val="00341116"/>
    <w:rsid w:val="00373F48"/>
    <w:rsid w:val="00381930"/>
    <w:rsid w:val="003B4073"/>
    <w:rsid w:val="003B4A9F"/>
    <w:rsid w:val="003B4BD5"/>
    <w:rsid w:val="003D0ACC"/>
    <w:rsid w:val="003E1445"/>
    <w:rsid w:val="00417949"/>
    <w:rsid w:val="004505A4"/>
    <w:rsid w:val="00452FCC"/>
    <w:rsid w:val="004602ED"/>
    <w:rsid w:val="004855AB"/>
    <w:rsid w:val="0049000C"/>
    <w:rsid w:val="00491A82"/>
    <w:rsid w:val="00496E6F"/>
    <w:rsid w:val="004A2175"/>
    <w:rsid w:val="004E0322"/>
    <w:rsid w:val="004F7187"/>
    <w:rsid w:val="00517969"/>
    <w:rsid w:val="005740D3"/>
    <w:rsid w:val="005817F4"/>
    <w:rsid w:val="00585547"/>
    <w:rsid w:val="00597E6C"/>
    <w:rsid w:val="005A3B13"/>
    <w:rsid w:val="005A4970"/>
    <w:rsid w:val="005B6ECF"/>
    <w:rsid w:val="005D0224"/>
    <w:rsid w:val="005D0510"/>
    <w:rsid w:val="005D05F3"/>
    <w:rsid w:val="005D44BC"/>
    <w:rsid w:val="005D562B"/>
    <w:rsid w:val="005D6C2E"/>
    <w:rsid w:val="005E69C6"/>
    <w:rsid w:val="005E6D59"/>
    <w:rsid w:val="00603DD9"/>
    <w:rsid w:val="006133F0"/>
    <w:rsid w:val="00613582"/>
    <w:rsid w:val="00614DD1"/>
    <w:rsid w:val="00630373"/>
    <w:rsid w:val="006323E1"/>
    <w:rsid w:val="006328CA"/>
    <w:rsid w:val="00637C25"/>
    <w:rsid w:val="00643699"/>
    <w:rsid w:val="00655970"/>
    <w:rsid w:val="00661648"/>
    <w:rsid w:val="00662E7E"/>
    <w:rsid w:val="00674815"/>
    <w:rsid w:val="006750DD"/>
    <w:rsid w:val="00675C28"/>
    <w:rsid w:val="0069397D"/>
    <w:rsid w:val="006B0919"/>
    <w:rsid w:val="006B1524"/>
    <w:rsid w:val="006B6688"/>
    <w:rsid w:val="006C14E1"/>
    <w:rsid w:val="006C1678"/>
    <w:rsid w:val="006C5BB2"/>
    <w:rsid w:val="006C6588"/>
    <w:rsid w:val="006D7435"/>
    <w:rsid w:val="006F0E2E"/>
    <w:rsid w:val="00731BC3"/>
    <w:rsid w:val="00733835"/>
    <w:rsid w:val="007470C6"/>
    <w:rsid w:val="00772148"/>
    <w:rsid w:val="00785E52"/>
    <w:rsid w:val="00792967"/>
    <w:rsid w:val="00796DC9"/>
    <w:rsid w:val="007A3DD3"/>
    <w:rsid w:val="007B5A08"/>
    <w:rsid w:val="007F173E"/>
    <w:rsid w:val="008470E8"/>
    <w:rsid w:val="0085728B"/>
    <w:rsid w:val="00862F8C"/>
    <w:rsid w:val="008706CB"/>
    <w:rsid w:val="00874F8D"/>
    <w:rsid w:val="00882BF1"/>
    <w:rsid w:val="008877BA"/>
    <w:rsid w:val="00890F97"/>
    <w:rsid w:val="008A1FA8"/>
    <w:rsid w:val="008B49C0"/>
    <w:rsid w:val="008D2DE7"/>
    <w:rsid w:val="008E0B59"/>
    <w:rsid w:val="008F1934"/>
    <w:rsid w:val="008F1FA6"/>
    <w:rsid w:val="008F641E"/>
    <w:rsid w:val="00951E3D"/>
    <w:rsid w:val="00981950"/>
    <w:rsid w:val="009A7832"/>
    <w:rsid w:val="009B5233"/>
    <w:rsid w:val="009B73C3"/>
    <w:rsid w:val="009E1F49"/>
    <w:rsid w:val="009E493B"/>
    <w:rsid w:val="009F5618"/>
    <w:rsid w:val="00A02510"/>
    <w:rsid w:val="00A06637"/>
    <w:rsid w:val="00A16BF2"/>
    <w:rsid w:val="00A438C5"/>
    <w:rsid w:val="00A44870"/>
    <w:rsid w:val="00A478FC"/>
    <w:rsid w:val="00AB6DA4"/>
    <w:rsid w:val="00AC7704"/>
    <w:rsid w:val="00AD591D"/>
    <w:rsid w:val="00AE3E2F"/>
    <w:rsid w:val="00B33AE4"/>
    <w:rsid w:val="00BA26A2"/>
    <w:rsid w:val="00BA2C36"/>
    <w:rsid w:val="00BD0534"/>
    <w:rsid w:val="00BF34C6"/>
    <w:rsid w:val="00BF7B04"/>
    <w:rsid w:val="00C07B47"/>
    <w:rsid w:val="00C110CB"/>
    <w:rsid w:val="00C34232"/>
    <w:rsid w:val="00C62FFE"/>
    <w:rsid w:val="00C67158"/>
    <w:rsid w:val="00C83C60"/>
    <w:rsid w:val="00C9482F"/>
    <w:rsid w:val="00CA7CC5"/>
    <w:rsid w:val="00CB7BC6"/>
    <w:rsid w:val="00CC1E71"/>
    <w:rsid w:val="00CC2A6C"/>
    <w:rsid w:val="00CC3CC3"/>
    <w:rsid w:val="00CC7CA5"/>
    <w:rsid w:val="00D05D2F"/>
    <w:rsid w:val="00D20038"/>
    <w:rsid w:val="00D31CF4"/>
    <w:rsid w:val="00D3250D"/>
    <w:rsid w:val="00D37429"/>
    <w:rsid w:val="00D65999"/>
    <w:rsid w:val="00D74212"/>
    <w:rsid w:val="00D74A84"/>
    <w:rsid w:val="00D92355"/>
    <w:rsid w:val="00D97A87"/>
    <w:rsid w:val="00DB0758"/>
    <w:rsid w:val="00DD6829"/>
    <w:rsid w:val="00DE7298"/>
    <w:rsid w:val="00E55228"/>
    <w:rsid w:val="00E6424F"/>
    <w:rsid w:val="00E71064"/>
    <w:rsid w:val="00E72F38"/>
    <w:rsid w:val="00E864AA"/>
    <w:rsid w:val="00E91F55"/>
    <w:rsid w:val="00EA5DFD"/>
    <w:rsid w:val="00EB331A"/>
    <w:rsid w:val="00EC2F8C"/>
    <w:rsid w:val="00ED477A"/>
    <w:rsid w:val="00EE2DEF"/>
    <w:rsid w:val="00EF156E"/>
    <w:rsid w:val="00F10FB8"/>
    <w:rsid w:val="00F216E0"/>
    <w:rsid w:val="00F349C6"/>
    <w:rsid w:val="00F52D02"/>
    <w:rsid w:val="00F542E5"/>
    <w:rsid w:val="00F55B5B"/>
    <w:rsid w:val="00F77D62"/>
    <w:rsid w:val="00F904D7"/>
    <w:rsid w:val="00F96AC7"/>
    <w:rsid w:val="00F97B05"/>
    <w:rsid w:val="00FA5C74"/>
    <w:rsid w:val="00FD04C9"/>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76DAD-6898-490F-93B1-BE3C6A23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764359A6</Template>
  <TotalTime>1</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2019-04-24T20:58:00Z</cp:lastPrinted>
  <dcterms:created xsi:type="dcterms:W3CDTF">2020-04-29T16:56:00Z</dcterms:created>
  <dcterms:modified xsi:type="dcterms:W3CDTF">2020-04-29T16:56:00Z</dcterms:modified>
</cp:coreProperties>
</file>