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5B3DD1" w14:paraId="2DD96AE8" w14:textId="77777777" w:rsidTr="006F63FD">
        <w:trPr>
          <w:cantSplit/>
          <w:trHeight w:val="1987"/>
        </w:trPr>
        <w:tc>
          <w:tcPr>
            <w:tcW w:w="4836" w:type="dxa"/>
          </w:tcPr>
          <w:p w14:paraId="3B92AF78" w14:textId="77777777" w:rsidR="00000C35" w:rsidRPr="005B3DD1" w:rsidRDefault="00F850BE" w:rsidP="00000C35">
            <w:pPr>
              <w:pStyle w:val="FirmInformation"/>
              <w:spacing w:line="240" w:lineRule="auto"/>
              <w:rPr>
                <w:sz w:val="28"/>
                <w:szCs w:val="28"/>
              </w:rPr>
            </w:pPr>
            <w:bookmarkStart w:id="0" w:name="_zzmpFIXED_CounselTable"/>
            <w:r w:rsidRPr="005B3DD1">
              <w:rPr>
                <w:sz w:val="28"/>
                <w:szCs w:val="28"/>
              </w:rPr>
              <w:t>Lisa M. Panahi</w:t>
            </w:r>
            <w:r w:rsidR="00732169" w:rsidRPr="005B3DD1">
              <w:rPr>
                <w:sz w:val="28"/>
                <w:szCs w:val="28"/>
              </w:rPr>
              <w:t xml:space="preserve">, </w:t>
            </w:r>
            <w:r w:rsidRPr="005B3DD1">
              <w:rPr>
                <w:sz w:val="28"/>
                <w:szCs w:val="28"/>
              </w:rPr>
              <w:t>Bar No. 023421</w:t>
            </w:r>
            <w:r w:rsidR="00732169" w:rsidRPr="005B3DD1">
              <w:rPr>
                <w:sz w:val="28"/>
                <w:szCs w:val="28"/>
              </w:rPr>
              <w:br/>
            </w:r>
            <w:r w:rsidR="006F63FD" w:rsidRPr="005B3DD1">
              <w:rPr>
                <w:sz w:val="28"/>
                <w:szCs w:val="28"/>
              </w:rPr>
              <w:t>General Counsel</w:t>
            </w:r>
          </w:p>
          <w:p w14:paraId="056261EB" w14:textId="77777777" w:rsidR="00494BDF" w:rsidRPr="005B3DD1" w:rsidRDefault="00494BDF" w:rsidP="00000C35">
            <w:pPr>
              <w:pStyle w:val="FirmInformation"/>
              <w:spacing w:line="240" w:lineRule="auto"/>
              <w:rPr>
                <w:sz w:val="28"/>
                <w:szCs w:val="28"/>
              </w:rPr>
            </w:pPr>
            <w:r w:rsidRPr="005B3DD1">
              <w:rPr>
                <w:sz w:val="28"/>
                <w:szCs w:val="28"/>
              </w:rPr>
              <w:t>State Bar of Arizona</w:t>
            </w:r>
          </w:p>
          <w:p w14:paraId="2A532740" w14:textId="77777777" w:rsidR="00357F4D" w:rsidRPr="005B3DD1" w:rsidRDefault="00357F4D" w:rsidP="00000C35">
            <w:pPr>
              <w:pStyle w:val="FirmInformation"/>
              <w:spacing w:line="240" w:lineRule="auto"/>
              <w:rPr>
                <w:sz w:val="28"/>
                <w:szCs w:val="28"/>
              </w:rPr>
            </w:pPr>
            <w:r w:rsidRPr="005B3DD1">
              <w:rPr>
                <w:sz w:val="28"/>
                <w:szCs w:val="28"/>
              </w:rPr>
              <w:t>4201 N. 24th Street, Suite 100</w:t>
            </w:r>
          </w:p>
          <w:p w14:paraId="5315828A" w14:textId="77777777" w:rsidR="00357F4D" w:rsidRPr="005B3DD1" w:rsidRDefault="00357F4D" w:rsidP="00000C35">
            <w:pPr>
              <w:pStyle w:val="FirmInformation"/>
              <w:spacing w:line="240" w:lineRule="auto"/>
              <w:rPr>
                <w:sz w:val="28"/>
                <w:szCs w:val="28"/>
              </w:rPr>
            </w:pPr>
            <w:r w:rsidRPr="005B3DD1">
              <w:rPr>
                <w:sz w:val="28"/>
                <w:szCs w:val="28"/>
              </w:rPr>
              <w:t>Phoenix, AZ  85016-6288</w:t>
            </w:r>
          </w:p>
          <w:p w14:paraId="7B3DBC20" w14:textId="77777777" w:rsidR="006F63FD" w:rsidRPr="005B3DD1" w:rsidRDefault="00352347" w:rsidP="00735659">
            <w:pPr>
              <w:pStyle w:val="FirmInformation"/>
              <w:spacing w:line="240" w:lineRule="auto"/>
              <w:rPr>
                <w:sz w:val="28"/>
                <w:szCs w:val="28"/>
              </w:rPr>
            </w:pPr>
            <w:r w:rsidRPr="005B3DD1">
              <w:rPr>
                <w:sz w:val="28"/>
                <w:szCs w:val="28"/>
              </w:rPr>
              <w:t>(602) 340-7236</w:t>
            </w:r>
          </w:p>
        </w:tc>
        <w:tc>
          <w:tcPr>
            <w:tcW w:w="4200" w:type="dxa"/>
          </w:tcPr>
          <w:p w14:paraId="0A670938" w14:textId="77777777" w:rsidR="00357F4D" w:rsidRPr="005B3DD1" w:rsidRDefault="00357F4D" w:rsidP="00000C35">
            <w:pPr>
              <w:ind w:left="113" w:right="113"/>
              <w:rPr>
                <w:sz w:val="28"/>
                <w:szCs w:val="28"/>
              </w:rPr>
            </w:pPr>
          </w:p>
        </w:tc>
      </w:tr>
    </w:tbl>
    <w:bookmarkEnd w:id="0"/>
    <w:p w14:paraId="5EB927D1" w14:textId="01E043A4" w:rsidR="005B3DD1" w:rsidRPr="005B3DD1" w:rsidRDefault="000F7A7F" w:rsidP="005B3DD1">
      <w:pPr>
        <w:pStyle w:val="Court"/>
        <w:spacing w:line="240" w:lineRule="auto"/>
        <w:rPr>
          <w:b/>
          <w:sz w:val="28"/>
          <w:szCs w:val="28"/>
        </w:rPr>
      </w:pPr>
      <w:r w:rsidRPr="005B3DD1">
        <w:rPr>
          <w:b/>
          <w:sz w:val="28"/>
          <w:szCs w:val="28"/>
        </w:rPr>
        <w:t>IN THE SUPREME COURT</w:t>
      </w:r>
      <w:r w:rsidRPr="005B3DD1">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5B3DD1"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5B3DD1" w:rsidRDefault="00357F4D" w:rsidP="00E321C5">
            <w:pPr>
              <w:pStyle w:val="Caption"/>
              <w:spacing w:before="240" w:line="260" w:lineRule="exact"/>
              <w:rPr>
                <w:sz w:val="28"/>
                <w:szCs w:val="28"/>
              </w:rPr>
            </w:pPr>
            <w:bookmarkStart w:id="1" w:name="_zzmpFIXED_CaptionTable"/>
            <w:r w:rsidRPr="005B3DD1">
              <w:rPr>
                <w:sz w:val="28"/>
                <w:szCs w:val="28"/>
              </w:rPr>
              <w:t>In the Matter of:</w:t>
            </w:r>
          </w:p>
          <w:p w14:paraId="03963DD5" w14:textId="6D1599BE" w:rsidR="00357F4D" w:rsidRPr="005B3DD1" w:rsidRDefault="00E67511" w:rsidP="005B3DD1">
            <w:pPr>
              <w:pStyle w:val="Caption"/>
              <w:spacing w:before="240" w:line="260" w:lineRule="exact"/>
              <w:rPr>
                <w:b/>
                <w:sz w:val="28"/>
                <w:szCs w:val="28"/>
              </w:rPr>
            </w:pPr>
            <w:r w:rsidRPr="005B3DD1">
              <w:rPr>
                <w:b/>
                <w:sz w:val="28"/>
                <w:szCs w:val="28"/>
              </w:rPr>
              <w:t xml:space="preserve">PETITION TO </w:t>
            </w:r>
            <w:r w:rsidR="005B3DD1">
              <w:rPr>
                <w:b/>
                <w:sz w:val="28"/>
                <w:szCs w:val="28"/>
              </w:rPr>
              <w:t>AMEND THE ARIZONA SUPREME COURT RULES BY ADOPTING A NEW RULE: RULE 24 – JURY SELECTION</w:t>
            </w:r>
            <w:r w:rsidR="005B3DD1">
              <w:rPr>
                <w:b/>
                <w:sz w:val="28"/>
                <w:szCs w:val="28"/>
              </w:rPr>
              <w:br/>
            </w:r>
          </w:p>
        </w:tc>
        <w:tc>
          <w:tcPr>
            <w:tcW w:w="4524" w:type="dxa"/>
            <w:tcBorders>
              <w:top w:val="nil"/>
              <w:left w:val="single" w:sz="4" w:space="0" w:color="auto"/>
            </w:tcBorders>
            <w:shd w:val="clear" w:color="auto" w:fill="auto"/>
          </w:tcPr>
          <w:p w14:paraId="35CED5CB" w14:textId="546D366A" w:rsidR="00357F4D" w:rsidRPr="005B3DD1" w:rsidRDefault="00357F4D" w:rsidP="00E321C5">
            <w:pPr>
              <w:pStyle w:val="Caption"/>
              <w:tabs>
                <w:tab w:val="left" w:pos="1238"/>
              </w:tabs>
              <w:spacing w:before="240" w:after="240"/>
              <w:ind w:left="259" w:right="115"/>
              <w:rPr>
                <w:sz w:val="28"/>
                <w:szCs w:val="28"/>
              </w:rPr>
            </w:pPr>
            <w:r w:rsidRPr="005B3DD1">
              <w:rPr>
                <w:sz w:val="28"/>
                <w:szCs w:val="28"/>
              </w:rPr>
              <w:t>Supreme Court No. R-</w:t>
            </w:r>
            <w:r w:rsidR="008A4EB3" w:rsidRPr="005B3DD1">
              <w:rPr>
                <w:sz w:val="28"/>
                <w:szCs w:val="28"/>
              </w:rPr>
              <w:t>20</w:t>
            </w:r>
            <w:r w:rsidR="00F850BE" w:rsidRPr="005B3DD1">
              <w:rPr>
                <w:sz w:val="28"/>
                <w:szCs w:val="28"/>
              </w:rPr>
              <w:t>-</w:t>
            </w:r>
            <w:r w:rsidR="005B3DD1">
              <w:rPr>
                <w:sz w:val="28"/>
                <w:szCs w:val="28"/>
              </w:rPr>
              <w:t>0009</w:t>
            </w:r>
          </w:p>
          <w:p w14:paraId="3E8F5A24" w14:textId="6818C27C" w:rsidR="005B3DD1" w:rsidRPr="005B3DD1" w:rsidRDefault="005B3DD1" w:rsidP="005B3DD1">
            <w:pPr>
              <w:pStyle w:val="Caption"/>
              <w:tabs>
                <w:tab w:val="left" w:pos="1238"/>
              </w:tabs>
              <w:spacing w:line="260" w:lineRule="exact"/>
              <w:ind w:right="115"/>
              <w:jc w:val="center"/>
              <w:rPr>
                <w:b/>
                <w:sz w:val="28"/>
                <w:szCs w:val="28"/>
              </w:rPr>
            </w:pPr>
            <w:r>
              <w:rPr>
                <w:b/>
                <w:sz w:val="28"/>
                <w:szCs w:val="28"/>
              </w:rPr>
              <w:t>COMMENT OF THE STATE BAR OF ARIZONA</w:t>
            </w:r>
          </w:p>
          <w:p w14:paraId="414A167D" w14:textId="77777777" w:rsidR="00357F4D" w:rsidRPr="005B3DD1" w:rsidRDefault="00357F4D" w:rsidP="00E321C5">
            <w:pPr>
              <w:pStyle w:val="DocumentTitle"/>
              <w:rPr>
                <w:sz w:val="28"/>
                <w:szCs w:val="28"/>
              </w:rPr>
            </w:pPr>
          </w:p>
          <w:p w14:paraId="524D8097" w14:textId="77777777" w:rsidR="00357F4D" w:rsidRPr="005B3DD1" w:rsidRDefault="00357F4D" w:rsidP="00E321C5">
            <w:pPr>
              <w:pStyle w:val="Caption"/>
              <w:ind w:left="1512" w:right="115" w:hanging="1253"/>
              <w:rPr>
                <w:sz w:val="28"/>
                <w:szCs w:val="28"/>
              </w:rPr>
            </w:pPr>
          </w:p>
        </w:tc>
      </w:tr>
      <w:bookmarkEnd w:id="1"/>
    </w:tbl>
    <w:p w14:paraId="14B66B5A" w14:textId="77777777" w:rsidR="004331B2" w:rsidRPr="005B3DD1" w:rsidRDefault="004331B2" w:rsidP="006338C1">
      <w:pPr>
        <w:pStyle w:val="Body"/>
        <w:widowControl w:val="0"/>
        <w:ind w:firstLine="720"/>
        <w:jc w:val="both"/>
        <w:rPr>
          <w:sz w:val="28"/>
          <w:szCs w:val="28"/>
        </w:rPr>
      </w:pPr>
    </w:p>
    <w:p w14:paraId="410F40CB" w14:textId="77777777" w:rsidR="005B3DD1" w:rsidRDefault="0008003D" w:rsidP="005B3DD1">
      <w:pPr>
        <w:pStyle w:val="Body"/>
        <w:widowControl w:val="0"/>
        <w:spacing w:line="480" w:lineRule="auto"/>
        <w:ind w:firstLine="720"/>
        <w:jc w:val="both"/>
        <w:rPr>
          <w:sz w:val="28"/>
          <w:szCs w:val="28"/>
        </w:rPr>
      </w:pPr>
      <w:r w:rsidRPr="005B3DD1">
        <w:rPr>
          <w:sz w:val="28"/>
          <w:szCs w:val="28"/>
        </w:rPr>
        <w:t>Pursuant to Rule 28(</w:t>
      </w:r>
      <w:r w:rsidR="00A4249C" w:rsidRPr="005B3DD1">
        <w:rPr>
          <w:sz w:val="28"/>
          <w:szCs w:val="28"/>
        </w:rPr>
        <w:t>e</w:t>
      </w:r>
      <w:r w:rsidRPr="005B3DD1">
        <w:rPr>
          <w:sz w:val="28"/>
          <w:szCs w:val="28"/>
        </w:rPr>
        <w:t xml:space="preserve">) of the Arizona Rules of Supreme Court, the State Bar of Arizona (the “State Bar”) hereby </w:t>
      </w:r>
      <w:r w:rsidR="00A4249C" w:rsidRPr="005B3DD1">
        <w:rPr>
          <w:sz w:val="28"/>
          <w:szCs w:val="28"/>
        </w:rPr>
        <w:t xml:space="preserve">submits the following as its comment to the above-captioned Petition. </w:t>
      </w:r>
      <w:r w:rsidR="00954A5E" w:rsidRPr="005B3DD1">
        <w:rPr>
          <w:sz w:val="28"/>
          <w:szCs w:val="28"/>
        </w:rPr>
        <w:t xml:space="preserve"> </w:t>
      </w:r>
    </w:p>
    <w:p w14:paraId="40CCEA40" w14:textId="77777777" w:rsidR="00C519CC" w:rsidRDefault="005B3DD1" w:rsidP="00C519CC">
      <w:pPr>
        <w:pStyle w:val="Body"/>
        <w:widowControl w:val="0"/>
        <w:spacing w:line="480" w:lineRule="auto"/>
        <w:ind w:firstLine="720"/>
        <w:jc w:val="both"/>
        <w:rPr>
          <w:color w:val="000000"/>
          <w:sz w:val="28"/>
          <w:szCs w:val="28"/>
        </w:rPr>
      </w:pPr>
      <w:r w:rsidRPr="005B3DD1">
        <w:rPr>
          <w:color w:val="000000"/>
          <w:sz w:val="28"/>
          <w:szCs w:val="28"/>
        </w:rPr>
        <w:t xml:space="preserve">The Petition seeks to add a new Supreme Court Rule 24 to address challenges for trial courts enforcing the holding in </w:t>
      </w:r>
      <w:r w:rsidRPr="005B3DD1">
        <w:rPr>
          <w:i/>
          <w:color w:val="000000"/>
          <w:sz w:val="28"/>
          <w:szCs w:val="28"/>
        </w:rPr>
        <w:t>Batson v. Kentucky</w:t>
      </w:r>
      <w:r w:rsidRPr="005B3DD1">
        <w:rPr>
          <w:color w:val="000000"/>
          <w:sz w:val="28"/>
          <w:szCs w:val="28"/>
        </w:rPr>
        <w:t xml:space="preserve">, 476 U.S. 79 (1986) and its civil counterpart </w:t>
      </w:r>
      <w:r w:rsidRPr="005B3DD1">
        <w:rPr>
          <w:i/>
          <w:color w:val="000000"/>
          <w:sz w:val="28"/>
          <w:szCs w:val="28"/>
        </w:rPr>
        <w:t>Edmonson v. Leesville Concrete Co., Inc.</w:t>
      </w:r>
      <w:r w:rsidRPr="005B3DD1">
        <w:rPr>
          <w:color w:val="000000"/>
          <w:sz w:val="28"/>
          <w:szCs w:val="28"/>
        </w:rPr>
        <w:t xml:space="preserve">, 500 U.S. 614 (1991).  The Petition proposes that the Court adopt Washington’s General Rule (“GR”) 37, enacted by the Washington Supreme Court on April 24, 2018, following lengthy study, a report, and recommendations by Washington’s “Jury Selection Workgroup.” </w:t>
      </w:r>
    </w:p>
    <w:p w14:paraId="7478A078" w14:textId="7CAE2BA2" w:rsidR="005B3DD1" w:rsidRPr="005B3DD1" w:rsidRDefault="005B3DD1" w:rsidP="00C519CC">
      <w:pPr>
        <w:pStyle w:val="Body"/>
        <w:widowControl w:val="0"/>
        <w:spacing w:line="480" w:lineRule="auto"/>
        <w:ind w:firstLine="720"/>
        <w:jc w:val="both"/>
        <w:rPr>
          <w:color w:val="000000"/>
          <w:sz w:val="28"/>
          <w:szCs w:val="28"/>
        </w:rPr>
      </w:pPr>
      <w:r w:rsidRPr="005B3DD1">
        <w:rPr>
          <w:color w:val="000000"/>
          <w:sz w:val="28"/>
          <w:szCs w:val="28"/>
        </w:rPr>
        <w:t xml:space="preserve">The goal of the Petition is beyond question: the elimination of racially </w:t>
      </w:r>
      <w:r w:rsidRPr="005B3DD1">
        <w:rPr>
          <w:color w:val="000000"/>
          <w:sz w:val="28"/>
          <w:szCs w:val="28"/>
        </w:rPr>
        <w:lastRenderedPageBreak/>
        <w:t>discriminatory peremptory challenges in jury selection.  Recognizing the seriousness of the issue, following discussions with Petitioner,</w:t>
      </w:r>
      <w:r w:rsidRPr="005B3DD1">
        <w:rPr>
          <w:rStyle w:val="FootnoteReference"/>
          <w:color w:val="000000"/>
          <w:sz w:val="28"/>
          <w:szCs w:val="28"/>
        </w:rPr>
        <w:footnoteReference w:id="1"/>
      </w:r>
      <w:r w:rsidRPr="005B3DD1">
        <w:rPr>
          <w:color w:val="000000"/>
          <w:sz w:val="28"/>
          <w:szCs w:val="28"/>
        </w:rPr>
        <w:t xml:space="preserve"> the State Bar’s Civil Practice &amp; Procedure Committee and its Criminal Practice &amp; Procedure Committee proactively initiated the formation of a joint working group to study the Petition and evaluate how these issues can best be addressed in Arizona.  While Washington’s approach provides a helpful framework and starting point for that analysis, the State Bar believes that further consideration will be helpful in developing an Arizona rule that has broad support. </w:t>
      </w:r>
    </w:p>
    <w:p w14:paraId="273F9074" w14:textId="1C82B219" w:rsidR="005B3DD1" w:rsidRPr="005B3DD1" w:rsidRDefault="005B3DD1" w:rsidP="00C519CC">
      <w:pPr>
        <w:spacing w:line="480" w:lineRule="auto"/>
        <w:ind w:right="86" w:firstLine="720"/>
        <w:jc w:val="both"/>
        <w:rPr>
          <w:color w:val="000000"/>
          <w:sz w:val="28"/>
          <w:szCs w:val="28"/>
        </w:rPr>
      </w:pPr>
      <w:r w:rsidRPr="005B3DD1">
        <w:rPr>
          <w:color w:val="000000"/>
          <w:sz w:val="28"/>
          <w:szCs w:val="28"/>
        </w:rPr>
        <w:t>The State Bar therefore recommends that consideration of the Petition be continued to the August 2021 Rules Agenda</w:t>
      </w:r>
      <w:r w:rsidRPr="005B3DD1" w:rsidDel="00FE5E5E">
        <w:rPr>
          <w:color w:val="000000"/>
          <w:sz w:val="28"/>
          <w:szCs w:val="28"/>
        </w:rPr>
        <w:t xml:space="preserve"> </w:t>
      </w:r>
      <w:r w:rsidRPr="005B3DD1">
        <w:rPr>
          <w:color w:val="000000"/>
          <w:sz w:val="28"/>
          <w:szCs w:val="28"/>
        </w:rPr>
        <w:t xml:space="preserve">so that the State Bar’s working group can study the efficacy of GR 37 and other possible frameworks to achieve the Petition’s goal.  </w:t>
      </w:r>
    </w:p>
    <w:p w14:paraId="0A5CDD87" w14:textId="5ECA2EEC" w:rsidR="005B3DD1" w:rsidRPr="005B3DD1" w:rsidRDefault="005B3DD1" w:rsidP="005B3DD1">
      <w:pPr>
        <w:widowControl w:val="0"/>
        <w:tabs>
          <w:tab w:val="left" w:pos="720"/>
        </w:tabs>
        <w:spacing w:before="240" w:line="240" w:lineRule="auto"/>
        <w:ind w:left="720" w:right="86" w:hanging="720"/>
        <w:jc w:val="both"/>
        <w:rPr>
          <w:b/>
          <w:color w:val="000000"/>
          <w:sz w:val="28"/>
          <w:szCs w:val="28"/>
        </w:rPr>
      </w:pPr>
      <w:r w:rsidRPr="005B3DD1">
        <w:rPr>
          <w:b/>
          <w:color w:val="000000"/>
          <w:sz w:val="28"/>
          <w:szCs w:val="28"/>
        </w:rPr>
        <w:t>I.</w:t>
      </w:r>
      <w:r w:rsidRPr="005B3DD1">
        <w:rPr>
          <w:b/>
          <w:color w:val="000000"/>
          <w:sz w:val="28"/>
          <w:szCs w:val="28"/>
        </w:rPr>
        <w:tab/>
        <w:t xml:space="preserve">THE HOLDING IN </w:t>
      </w:r>
      <w:r w:rsidRPr="005B3DD1">
        <w:rPr>
          <w:b/>
          <w:i/>
          <w:color w:val="000000"/>
          <w:sz w:val="28"/>
          <w:szCs w:val="28"/>
        </w:rPr>
        <w:t>BATSON</w:t>
      </w:r>
      <w:r w:rsidRPr="005B3DD1">
        <w:rPr>
          <w:b/>
          <w:color w:val="000000"/>
          <w:sz w:val="28"/>
          <w:szCs w:val="28"/>
        </w:rPr>
        <w:t xml:space="preserve"> AND THE CHALLENGES IN ITS ENFORCEMENT.</w:t>
      </w:r>
      <w:r>
        <w:rPr>
          <w:b/>
          <w:color w:val="000000"/>
          <w:sz w:val="28"/>
          <w:szCs w:val="28"/>
        </w:rPr>
        <w:br/>
      </w:r>
    </w:p>
    <w:p w14:paraId="27AB326D" w14:textId="7934F879" w:rsidR="005B3DD1" w:rsidRPr="005B3DD1" w:rsidRDefault="005B3DD1" w:rsidP="005B3DD1">
      <w:pPr>
        <w:widowControl w:val="0"/>
        <w:spacing w:line="480" w:lineRule="auto"/>
        <w:ind w:right="86" w:firstLine="720"/>
        <w:jc w:val="both"/>
        <w:rPr>
          <w:color w:val="000000"/>
          <w:sz w:val="28"/>
          <w:szCs w:val="28"/>
        </w:rPr>
      </w:pPr>
      <w:r w:rsidRPr="005B3DD1">
        <w:rPr>
          <w:i/>
          <w:color w:val="000000"/>
          <w:sz w:val="28"/>
          <w:szCs w:val="28"/>
        </w:rPr>
        <w:t>Batson</w:t>
      </w:r>
      <w:r w:rsidRPr="005B3DD1">
        <w:rPr>
          <w:color w:val="000000"/>
          <w:sz w:val="28"/>
          <w:szCs w:val="28"/>
        </w:rPr>
        <w:t xml:space="preserve"> is among the pantheon of notable United States Supreme Court civil </w:t>
      </w:r>
      <w:r w:rsidRPr="005B3DD1">
        <w:rPr>
          <w:color w:val="000000"/>
          <w:sz w:val="28"/>
          <w:szCs w:val="28"/>
        </w:rPr>
        <w:lastRenderedPageBreak/>
        <w:t xml:space="preserve">rights cases decided in the past 50 years.  James Kirby Batson, a black man, was indicted in Kentucky on charges of second-degree burglary and receipt of stolen goods.  The prosecutor used all of his peremptory challenges to remove all of the black jurors.  Batson moved to discharge the jury, arguing that the removal of all black members of the jury violated his rights under the Sixth and Fourteenth Amendments to the United States Constitution.  The trial court denied the motion, reasoning that litigants can use peremptory challenges to “strike anybody they want to.”  The jury convicted Batson and the Supreme Court of Kentucky affirmed.  </w:t>
      </w:r>
    </w:p>
    <w:p w14:paraId="6DBA43C8" w14:textId="77777777" w:rsidR="005B3DD1" w:rsidRPr="005B3DD1" w:rsidRDefault="005B3DD1" w:rsidP="00C519CC">
      <w:pPr>
        <w:spacing w:line="480" w:lineRule="auto"/>
        <w:ind w:right="86" w:firstLine="720"/>
        <w:jc w:val="both"/>
        <w:rPr>
          <w:color w:val="000000"/>
          <w:sz w:val="28"/>
          <w:szCs w:val="28"/>
        </w:rPr>
      </w:pPr>
      <w:r w:rsidRPr="005B3DD1">
        <w:rPr>
          <w:color w:val="000000"/>
          <w:sz w:val="28"/>
          <w:szCs w:val="28"/>
        </w:rPr>
        <w:t xml:space="preserve">The Supreme Court of the United States granted certiorari and reversed.  As noted by the Petitioner (Petition, pp. 5-6) the opinion by Justice Powell held that the Equal Protection Clause is violated where the prosecution excludes black members of the jury solely on the basis of their race. </w:t>
      </w:r>
      <w:r w:rsidRPr="005B3DD1">
        <w:rPr>
          <w:i/>
          <w:color w:val="000000"/>
          <w:sz w:val="28"/>
          <w:szCs w:val="28"/>
        </w:rPr>
        <w:t>Batson</w:t>
      </w:r>
      <w:r w:rsidRPr="005B3DD1">
        <w:rPr>
          <w:color w:val="000000"/>
          <w:sz w:val="28"/>
          <w:szCs w:val="28"/>
        </w:rPr>
        <w:t xml:space="preserve"> created a framework for the lower courts to analyze cases of alleged discrimination in jury selection:</w:t>
      </w:r>
    </w:p>
    <w:p w14:paraId="1DC734BD" w14:textId="06F8BF30" w:rsidR="005B3DD1" w:rsidRDefault="005B3DD1" w:rsidP="00C519CC">
      <w:pPr>
        <w:numPr>
          <w:ilvl w:val="0"/>
          <w:numId w:val="15"/>
        </w:numPr>
        <w:spacing w:line="240" w:lineRule="auto"/>
        <w:ind w:right="86"/>
        <w:jc w:val="both"/>
        <w:rPr>
          <w:color w:val="000000"/>
          <w:sz w:val="28"/>
          <w:szCs w:val="28"/>
        </w:rPr>
      </w:pPr>
      <w:r w:rsidRPr="005B3DD1">
        <w:rPr>
          <w:color w:val="000000"/>
          <w:sz w:val="28"/>
          <w:szCs w:val="28"/>
        </w:rPr>
        <w:t>The defendant must make a prima facie showing of discriminatory purpose by demonstrating that he or she is a member of a specific racial group and the prosecutor has used a peremptory challenge to remove a juror of the same racial group.</w:t>
      </w:r>
    </w:p>
    <w:p w14:paraId="0FCB5089" w14:textId="77777777" w:rsidR="00C519CC" w:rsidRPr="005B3DD1" w:rsidRDefault="00C519CC" w:rsidP="00C519CC">
      <w:pPr>
        <w:spacing w:line="240" w:lineRule="auto"/>
        <w:ind w:left="1080" w:right="86"/>
        <w:jc w:val="both"/>
        <w:rPr>
          <w:color w:val="000000"/>
          <w:sz w:val="28"/>
          <w:szCs w:val="28"/>
        </w:rPr>
      </w:pPr>
    </w:p>
    <w:p w14:paraId="7E3EEB7B" w14:textId="05DD3ED0" w:rsidR="005B3DD1" w:rsidRDefault="005B3DD1" w:rsidP="00C519CC">
      <w:pPr>
        <w:numPr>
          <w:ilvl w:val="0"/>
          <w:numId w:val="15"/>
        </w:numPr>
        <w:spacing w:line="240" w:lineRule="auto"/>
        <w:ind w:right="86"/>
        <w:jc w:val="both"/>
        <w:rPr>
          <w:color w:val="000000"/>
          <w:sz w:val="28"/>
          <w:szCs w:val="28"/>
        </w:rPr>
      </w:pPr>
      <w:r w:rsidRPr="005B3DD1">
        <w:rPr>
          <w:color w:val="000000"/>
          <w:sz w:val="28"/>
          <w:szCs w:val="28"/>
        </w:rPr>
        <w:t>The prosecutor may rebut the inference of discrimination by offering a racially neutral explanation for challenging the potential juror.</w:t>
      </w:r>
    </w:p>
    <w:p w14:paraId="13BF5708" w14:textId="77777777" w:rsidR="00C519CC" w:rsidRPr="005B3DD1" w:rsidRDefault="00C519CC" w:rsidP="00C519CC">
      <w:pPr>
        <w:spacing w:line="240" w:lineRule="auto"/>
        <w:ind w:right="86"/>
        <w:jc w:val="both"/>
        <w:rPr>
          <w:color w:val="000000"/>
          <w:sz w:val="28"/>
          <w:szCs w:val="28"/>
        </w:rPr>
      </w:pPr>
    </w:p>
    <w:p w14:paraId="4AFF1255" w14:textId="12482013" w:rsidR="005B3DD1" w:rsidRPr="005B3DD1" w:rsidRDefault="005B3DD1" w:rsidP="00C519CC">
      <w:pPr>
        <w:numPr>
          <w:ilvl w:val="0"/>
          <w:numId w:val="15"/>
        </w:numPr>
        <w:spacing w:line="240" w:lineRule="auto"/>
        <w:ind w:right="86"/>
        <w:jc w:val="both"/>
        <w:rPr>
          <w:color w:val="000000"/>
          <w:sz w:val="28"/>
          <w:szCs w:val="28"/>
        </w:rPr>
      </w:pPr>
      <w:r w:rsidRPr="005B3DD1">
        <w:rPr>
          <w:color w:val="000000"/>
          <w:sz w:val="28"/>
          <w:szCs w:val="28"/>
        </w:rPr>
        <w:t>The trial court must determine whether the reasoning given by the prosecutor was indeed neutrally based or merely a pretext for racial discrimination.</w:t>
      </w:r>
    </w:p>
    <w:p w14:paraId="0826AB64" w14:textId="2B3FD5F0" w:rsidR="005B3DD1" w:rsidRPr="005B3DD1" w:rsidRDefault="005B3DD1" w:rsidP="00C519CC">
      <w:pPr>
        <w:spacing w:line="480" w:lineRule="auto"/>
        <w:ind w:right="86" w:firstLine="720"/>
        <w:jc w:val="both"/>
        <w:rPr>
          <w:color w:val="000000"/>
          <w:sz w:val="28"/>
          <w:szCs w:val="28"/>
        </w:rPr>
      </w:pPr>
      <w:r w:rsidRPr="005B3DD1">
        <w:rPr>
          <w:color w:val="000000"/>
          <w:sz w:val="28"/>
          <w:szCs w:val="28"/>
        </w:rPr>
        <w:t xml:space="preserve">Five years later, in </w:t>
      </w:r>
      <w:r w:rsidRPr="005B3DD1">
        <w:rPr>
          <w:i/>
          <w:color w:val="000000"/>
          <w:sz w:val="28"/>
          <w:szCs w:val="28"/>
        </w:rPr>
        <w:t>Powers v. Ohio</w:t>
      </w:r>
      <w:r w:rsidRPr="005B3DD1">
        <w:rPr>
          <w:color w:val="000000"/>
          <w:sz w:val="28"/>
          <w:szCs w:val="28"/>
        </w:rPr>
        <w:t xml:space="preserve">, 499 U.S. 400 (1991), the Court held that a criminal defendant may object to race-based exclusions of jurors regardless of whether or not the defendant and excluded jurors share the same race, reasoning that a prospective juror has an independent Constitutional right to sit on a jury regardless of their race.  Finally, in </w:t>
      </w:r>
      <w:r w:rsidRPr="005B3DD1">
        <w:rPr>
          <w:i/>
          <w:color w:val="000000"/>
          <w:sz w:val="28"/>
          <w:szCs w:val="28"/>
        </w:rPr>
        <w:t>Edmonson</w:t>
      </w:r>
      <w:r w:rsidRPr="005B3DD1">
        <w:rPr>
          <w:color w:val="000000"/>
          <w:sz w:val="28"/>
          <w:szCs w:val="28"/>
        </w:rPr>
        <w:t xml:space="preserve">, </w:t>
      </w:r>
      <w:r w:rsidRPr="005B3DD1">
        <w:rPr>
          <w:i/>
          <w:color w:val="000000"/>
          <w:sz w:val="28"/>
          <w:szCs w:val="28"/>
        </w:rPr>
        <w:t>supra</w:t>
      </w:r>
      <w:r w:rsidRPr="005B3DD1">
        <w:rPr>
          <w:color w:val="000000"/>
          <w:sz w:val="28"/>
          <w:szCs w:val="28"/>
        </w:rPr>
        <w:t xml:space="preserve">, the Court held that </w:t>
      </w:r>
      <w:r w:rsidRPr="005B3DD1">
        <w:rPr>
          <w:i/>
          <w:color w:val="000000"/>
          <w:sz w:val="28"/>
          <w:szCs w:val="28"/>
        </w:rPr>
        <w:t>Batson</w:t>
      </w:r>
      <w:r w:rsidRPr="005B3DD1">
        <w:rPr>
          <w:color w:val="000000"/>
          <w:sz w:val="28"/>
          <w:szCs w:val="28"/>
        </w:rPr>
        <w:t>’s holding applied in civil jury cases.</w:t>
      </w:r>
    </w:p>
    <w:p w14:paraId="444C337B" w14:textId="77777777" w:rsidR="00C519CC" w:rsidRDefault="005B3DD1" w:rsidP="00C519CC">
      <w:pPr>
        <w:widowControl w:val="0"/>
        <w:spacing w:line="480" w:lineRule="auto"/>
        <w:ind w:right="86" w:firstLine="720"/>
        <w:jc w:val="both"/>
        <w:rPr>
          <w:color w:val="000000"/>
          <w:sz w:val="28"/>
          <w:szCs w:val="28"/>
        </w:rPr>
      </w:pPr>
      <w:r w:rsidRPr="005B3DD1">
        <w:rPr>
          <w:color w:val="000000"/>
          <w:sz w:val="28"/>
          <w:szCs w:val="28"/>
        </w:rPr>
        <w:t xml:space="preserve">Decades later, many courts and commentators have argued that </w:t>
      </w:r>
      <w:r w:rsidRPr="005B3DD1">
        <w:rPr>
          <w:i/>
          <w:color w:val="000000"/>
          <w:sz w:val="28"/>
          <w:szCs w:val="28"/>
        </w:rPr>
        <w:t>Batson</w:t>
      </w:r>
      <w:r w:rsidRPr="005B3DD1">
        <w:rPr>
          <w:color w:val="000000"/>
          <w:sz w:val="28"/>
          <w:szCs w:val="28"/>
        </w:rPr>
        <w:t xml:space="preserve">’s framework has been ineffectual in eliminating the use of racially motivated peremptory challenges.  </w:t>
      </w:r>
      <w:r w:rsidRPr="005B3DD1">
        <w:rPr>
          <w:i/>
          <w:color w:val="000000"/>
          <w:sz w:val="28"/>
          <w:szCs w:val="28"/>
        </w:rPr>
        <w:t>See, e.g.</w:t>
      </w:r>
      <w:r w:rsidRPr="005B3DD1">
        <w:rPr>
          <w:color w:val="000000"/>
          <w:sz w:val="28"/>
          <w:szCs w:val="28"/>
        </w:rPr>
        <w:t>,</w:t>
      </w:r>
      <w:r w:rsidRPr="005B3DD1">
        <w:rPr>
          <w:i/>
          <w:color w:val="000000"/>
          <w:sz w:val="28"/>
          <w:szCs w:val="28"/>
        </w:rPr>
        <w:t xml:space="preserve"> State v. Holmes</w:t>
      </w:r>
      <w:r w:rsidRPr="005B3DD1">
        <w:rPr>
          <w:color w:val="000000"/>
          <w:sz w:val="28"/>
          <w:szCs w:val="28"/>
        </w:rPr>
        <w:t>, 334 Conn. 202, 204–05 (2019) (“From its inception, the United States Supreme Court’s landmark decision in [</w:t>
      </w:r>
      <w:r w:rsidRPr="005B3DD1">
        <w:rPr>
          <w:i/>
          <w:color w:val="000000"/>
          <w:sz w:val="28"/>
          <w:szCs w:val="28"/>
        </w:rPr>
        <w:t>Batson</w:t>
      </w:r>
      <w:r w:rsidRPr="005B3DD1">
        <w:rPr>
          <w:color w:val="000000"/>
          <w:sz w:val="28"/>
          <w:szCs w:val="28"/>
        </w:rPr>
        <w:t xml:space="preserve">] has been roundly criticized as ineffectual in addressing the discriminatory use of peremptory challenges during jury selection, largely because it fails to address the effect of implicit bias or lines of </w:t>
      </w:r>
      <w:proofErr w:type="spellStart"/>
      <w:r w:rsidRPr="005B3DD1">
        <w:rPr>
          <w:color w:val="000000"/>
          <w:sz w:val="28"/>
          <w:szCs w:val="28"/>
        </w:rPr>
        <w:t>voir</w:t>
      </w:r>
      <w:proofErr w:type="spellEnd"/>
      <w:r w:rsidRPr="005B3DD1">
        <w:rPr>
          <w:color w:val="000000"/>
          <w:sz w:val="28"/>
          <w:szCs w:val="28"/>
        </w:rPr>
        <w:t xml:space="preserve"> dire questioning with a disparate impact on minority jurors.”); </w:t>
      </w:r>
      <w:r w:rsidRPr="005B3DD1">
        <w:rPr>
          <w:i/>
          <w:color w:val="000000"/>
          <w:sz w:val="28"/>
          <w:szCs w:val="28"/>
        </w:rPr>
        <w:t xml:space="preserve">see also </w:t>
      </w:r>
      <w:r w:rsidRPr="005B3DD1">
        <w:rPr>
          <w:color w:val="000000"/>
          <w:sz w:val="28"/>
          <w:szCs w:val="28"/>
        </w:rPr>
        <w:t>Petition at 4-5 (citing cases and articles).</w:t>
      </w:r>
    </w:p>
    <w:p w14:paraId="1714AEEB" w14:textId="4A9A5483" w:rsidR="005B3DD1" w:rsidRPr="005B3DD1" w:rsidRDefault="00C519CC" w:rsidP="00C519CC">
      <w:pPr>
        <w:widowControl w:val="0"/>
        <w:spacing w:line="240" w:lineRule="auto"/>
        <w:ind w:left="720" w:right="86" w:hanging="720"/>
        <w:jc w:val="both"/>
        <w:rPr>
          <w:b/>
          <w:color w:val="000000"/>
          <w:sz w:val="28"/>
          <w:szCs w:val="28"/>
        </w:rPr>
      </w:pPr>
      <w:r>
        <w:rPr>
          <w:b/>
          <w:color w:val="000000"/>
          <w:sz w:val="28"/>
          <w:szCs w:val="28"/>
        </w:rPr>
        <w:t>II.</w:t>
      </w:r>
      <w:r>
        <w:rPr>
          <w:b/>
          <w:color w:val="000000"/>
          <w:sz w:val="28"/>
          <w:szCs w:val="28"/>
        </w:rPr>
        <w:tab/>
      </w:r>
      <w:r w:rsidR="005B3DD1" w:rsidRPr="005B3DD1">
        <w:rPr>
          <w:b/>
          <w:color w:val="000000"/>
          <w:sz w:val="28"/>
          <w:szCs w:val="28"/>
        </w:rPr>
        <w:t xml:space="preserve">WASHINGTON’S EXAMPLE AND THE NEED TO STUDY </w:t>
      </w:r>
      <w:r w:rsidR="005B3DD1" w:rsidRPr="005B3DD1">
        <w:rPr>
          <w:b/>
          <w:i/>
          <w:color w:val="000000"/>
          <w:sz w:val="28"/>
          <w:szCs w:val="28"/>
        </w:rPr>
        <w:t>BATSON</w:t>
      </w:r>
      <w:r w:rsidR="005B3DD1" w:rsidRPr="005B3DD1">
        <w:rPr>
          <w:b/>
          <w:color w:val="000000"/>
          <w:sz w:val="28"/>
          <w:szCs w:val="28"/>
        </w:rPr>
        <w:t xml:space="preserve"> REFORM.</w:t>
      </w:r>
      <w:r>
        <w:rPr>
          <w:b/>
          <w:color w:val="000000"/>
          <w:sz w:val="28"/>
          <w:szCs w:val="28"/>
        </w:rPr>
        <w:br/>
      </w:r>
    </w:p>
    <w:p w14:paraId="4DD8D871" w14:textId="7A89A2BF" w:rsidR="005B3DD1" w:rsidRPr="005B3DD1" w:rsidRDefault="005B3DD1" w:rsidP="00C519CC">
      <w:pPr>
        <w:widowControl w:val="0"/>
        <w:spacing w:line="480" w:lineRule="auto"/>
        <w:ind w:right="86" w:firstLine="720"/>
        <w:jc w:val="both"/>
        <w:rPr>
          <w:color w:val="000000"/>
          <w:sz w:val="28"/>
          <w:szCs w:val="28"/>
        </w:rPr>
      </w:pPr>
      <w:r w:rsidRPr="005B3DD1">
        <w:rPr>
          <w:color w:val="000000"/>
          <w:sz w:val="28"/>
          <w:szCs w:val="28"/>
        </w:rPr>
        <w:t xml:space="preserve">Washington has led the way in enacting reform to respond to this criticism.  In 2017, the Supreme Court of Washington adopted a “bright line rule” stating that the “trial court must recognize a prima facie case of discriminatory purpose when the sole member of a racially cognizable group has been struck from the jury.”  </w:t>
      </w:r>
      <w:r w:rsidRPr="005B3DD1">
        <w:rPr>
          <w:i/>
          <w:color w:val="000000"/>
          <w:sz w:val="28"/>
          <w:szCs w:val="28"/>
        </w:rPr>
        <w:t>City of Seattle v. Erickson</w:t>
      </w:r>
      <w:r w:rsidRPr="005B3DD1">
        <w:rPr>
          <w:color w:val="000000"/>
          <w:sz w:val="28"/>
          <w:szCs w:val="28"/>
        </w:rPr>
        <w:t xml:space="preserve">, 188 Wash. 2d 721, 734 (2017).  Then, on April 24, 2018, the Supreme Court of Washington adopted GR 37, on which the instant Petition is modeled.  Later that same year, the Supreme Court of Washington applied GR 37 to add an “objective observer” component to the third prong of the </w:t>
      </w:r>
      <w:r w:rsidRPr="005B3DD1">
        <w:rPr>
          <w:i/>
          <w:color w:val="000000"/>
          <w:sz w:val="28"/>
          <w:szCs w:val="28"/>
        </w:rPr>
        <w:t xml:space="preserve">Batson </w:t>
      </w:r>
      <w:r w:rsidRPr="005B3DD1">
        <w:rPr>
          <w:color w:val="000000"/>
          <w:sz w:val="28"/>
          <w:szCs w:val="28"/>
        </w:rPr>
        <w:t>framework:</w:t>
      </w:r>
    </w:p>
    <w:p w14:paraId="12F457E5" w14:textId="575BFEE2" w:rsidR="005B3DD1" w:rsidRPr="005B3DD1" w:rsidRDefault="005B3DD1" w:rsidP="005B3DD1">
      <w:pPr>
        <w:spacing w:line="240" w:lineRule="auto"/>
        <w:ind w:left="1440" w:right="1440"/>
        <w:jc w:val="both"/>
        <w:rPr>
          <w:color w:val="000000"/>
          <w:sz w:val="28"/>
          <w:szCs w:val="28"/>
        </w:rPr>
      </w:pPr>
      <w:r w:rsidRPr="005B3DD1">
        <w:rPr>
          <w:color w:val="000000"/>
          <w:sz w:val="28"/>
          <w:szCs w:val="28"/>
        </w:rPr>
        <w:t xml:space="preserve">The question at the third step of the </w:t>
      </w:r>
      <w:r w:rsidRPr="005B3DD1">
        <w:rPr>
          <w:i/>
          <w:color w:val="000000"/>
          <w:sz w:val="28"/>
          <w:szCs w:val="28"/>
        </w:rPr>
        <w:t>Batson</w:t>
      </w:r>
      <w:r w:rsidRPr="005B3DD1">
        <w:rPr>
          <w:color w:val="000000"/>
          <w:sz w:val="28"/>
          <w:szCs w:val="28"/>
        </w:rPr>
        <w:t xml:space="preserve"> framework is not whether the proponent of the peremptory strike is acting out of purposeful discrimination.  Instead, the relevant question is whether “an objective observer could view race or ethnicity as a factor in the use of the peremptory challenge.” If so, then the peremptory strike shall be denied.</w:t>
      </w:r>
    </w:p>
    <w:p w14:paraId="42DCB4CC" w14:textId="77777777" w:rsidR="005B3DD1" w:rsidRPr="005B3DD1" w:rsidRDefault="005B3DD1" w:rsidP="005B3DD1">
      <w:pPr>
        <w:spacing w:before="240" w:line="480" w:lineRule="auto"/>
        <w:ind w:right="86"/>
        <w:jc w:val="both"/>
        <w:rPr>
          <w:color w:val="000000"/>
          <w:sz w:val="28"/>
          <w:szCs w:val="28"/>
        </w:rPr>
      </w:pPr>
      <w:r w:rsidRPr="005B3DD1">
        <w:rPr>
          <w:i/>
          <w:color w:val="000000"/>
          <w:sz w:val="28"/>
          <w:szCs w:val="28"/>
        </w:rPr>
        <w:t>State v. Jefferson</w:t>
      </w:r>
      <w:r w:rsidRPr="005B3DD1">
        <w:rPr>
          <w:color w:val="000000"/>
          <w:sz w:val="28"/>
          <w:szCs w:val="28"/>
        </w:rPr>
        <w:t xml:space="preserve">, 192 Wash. 2d 225, 249 (2018) (applying GR 37).  </w:t>
      </w:r>
    </w:p>
    <w:p w14:paraId="2810D053" w14:textId="77777777" w:rsidR="005B3DD1" w:rsidRPr="005B3DD1" w:rsidRDefault="005B3DD1" w:rsidP="005B3DD1">
      <w:pPr>
        <w:spacing w:line="480" w:lineRule="auto"/>
        <w:ind w:right="86" w:firstLine="720"/>
        <w:jc w:val="both"/>
        <w:rPr>
          <w:color w:val="000000"/>
          <w:sz w:val="28"/>
          <w:szCs w:val="28"/>
        </w:rPr>
      </w:pPr>
      <w:r w:rsidRPr="005B3DD1">
        <w:rPr>
          <w:color w:val="000000"/>
          <w:sz w:val="28"/>
          <w:szCs w:val="28"/>
        </w:rPr>
        <w:t xml:space="preserve">Appellate courts in other states have cited to Washington and GR 37 to call for reforms to the </w:t>
      </w:r>
      <w:r w:rsidRPr="005B3DD1">
        <w:rPr>
          <w:i/>
          <w:color w:val="000000"/>
          <w:sz w:val="28"/>
          <w:szCs w:val="28"/>
        </w:rPr>
        <w:t>Batson</w:t>
      </w:r>
      <w:r w:rsidRPr="005B3DD1">
        <w:rPr>
          <w:color w:val="000000"/>
          <w:sz w:val="28"/>
          <w:szCs w:val="28"/>
        </w:rPr>
        <w:t xml:space="preserve"> framework.  </w:t>
      </w:r>
      <w:r w:rsidRPr="005B3DD1">
        <w:rPr>
          <w:i/>
          <w:color w:val="000000"/>
          <w:sz w:val="28"/>
          <w:szCs w:val="28"/>
        </w:rPr>
        <w:t>See, e.g., People v. Bryant,</w:t>
      </w:r>
      <w:r w:rsidRPr="005B3DD1">
        <w:rPr>
          <w:color w:val="000000"/>
          <w:sz w:val="28"/>
          <w:szCs w:val="28"/>
        </w:rPr>
        <w:t xml:space="preserve"> 40 Cal. App. 5th 525, 548 (Ct. App. 2019), review denied (Jan. 29, 2020) (</w:t>
      </w:r>
      <w:proofErr w:type="spellStart"/>
      <w:r w:rsidRPr="005B3DD1">
        <w:rPr>
          <w:color w:val="000000"/>
          <w:sz w:val="28"/>
          <w:szCs w:val="28"/>
        </w:rPr>
        <w:t>Humes</w:t>
      </w:r>
      <w:proofErr w:type="spellEnd"/>
      <w:r w:rsidRPr="005B3DD1">
        <w:rPr>
          <w:color w:val="000000"/>
          <w:sz w:val="28"/>
          <w:szCs w:val="28"/>
        </w:rPr>
        <w:t xml:space="preserve">, P.J., concurring) (“The State of Washington has shown that other reforms are also possible.”); </w:t>
      </w:r>
      <w:r w:rsidRPr="005B3DD1">
        <w:rPr>
          <w:i/>
          <w:color w:val="000000"/>
          <w:sz w:val="28"/>
          <w:szCs w:val="28"/>
        </w:rPr>
        <w:t>State v. Veal</w:t>
      </w:r>
      <w:r w:rsidRPr="005B3DD1">
        <w:rPr>
          <w:color w:val="000000"/>
          <w:sz w:val="28"/>
          <w:szCs w:val="28"/>
        </w:rPr>
        <w:t xml:space="preserve">, 930 N.W.2d 319, 340 (Iowa 2019), reh’g denied (July 15, 2019) (Wiggins, Justice, concurring in part and dissenting in part) (“In the majority of the cases, the reasons given by prosecutors in response to a </w:t>
      </w:r>
      <w:r w:rsidRPr="005B3DD1">
        <w:rPr>
          <w:i/>
          <w:color w:val="000000"/>
          <w:sz w:val="28"/>
          <w:szCs w:val="28"/>
        </w:rPr>
        <w:t>Batson</w:t>
      </w:r>
      <w:r w:rsidRPr="005B3DD1">
        <w:rPr>
          <w:color w:val="000000"/>
          <w:sz w:val="28"/>
          <w:szCs w:val="28"/>
        </w:rPr>
        <w:t xml:space="preserve"> challenge appear to be pretextual.  Washington General Rule 37 . . . </w:t>
      </w:r>
      <w:r w:rsidRPr="005B3DD1">
        <w:rPr>
          <w:i/>
          <w:iCs/>
          <w:color w:val="000000"/>
          <w:sz w:val="28"/>
          <w:szCs w:val="28"/>
        </w:rPr>
        <w:t>helps but does not solve</w:t>
      </w:r>
      <w:r w:rsidRPr="005B3DD1">
        <w:rPr>
          <w:color w:val="000000"/>
          <w:sz w:val="28"/>
          <w:szCs w:val="28"/>
        </w:rPr>
        <w:t xml:space="preserve"> the problem.”) (emphasis added); </w:t>
      </w:r>
      <w:r w:rsidRPr="005B3DD1">
        <w:rPr>
          <w:i/>
          <w:color w:val="000000"/>
          <w:sz w:val="28"/>
          <w:szCs w:val="28"/>
        </w:rPr>
        <w:t>State v. Curry</w:t>
      </w:r>
      <w:r w:rsidRPr="005B3DD1">
        <w:rPr>
          <w:color w:val="000000"/>
          <w:sz w:val="28"/>
          <w:szCs w:val="28"/>
        </w:rPr>
        <w:t xml:space="preserve">, 298 Or. App. 377, 389, (2019) (“Washington’s experience, and whether a similarly concrete set of rules would improve our handling of peremptory challenges, are </w:t>
      </w:r>
      <w:r w:rsidRPr="005B3DD1">
        <w:rPr>
          <w:i/>
          <w:iCs/>
          <w:color w:val="000000"/>
          <w:sz w:val="28"/>
          <w:szCs w:val="28"/>
        </w:rPr>
        <w:t>questions that may be appropriate for the Council on Court Procedures and the legislature to consider</w:t>
      </w:r>
      <w:r w:rsidRPr="005B3DD1">
        <w:rPr>
          <w:color w:val="000000"/>
          <w:sz w:val="28"/>
          <w:szCs w:val="28"/>
        </w:rPr>
        <w:t>.”) (emphasis added).</w:t>
      </w:r>
    </w:p>
    <w:p w14:paraId="5B810993" w14:textId="4A1DE2EA" w:rsidR="005B3DD1" w:rsidRPr="005B3DD1" w:rsidRDefault="005B3DD1" w:rsidP="005B3DD1">
      <w:pPr>
        <w:spacing w:line="480" w:lineRule="auto"/>
        <w:ind w:right="86" w:firstLine="720"/>
        <w:jc w:val="both"/>
        <w:rPr>
          <w:sz w:val="28"/>
          <w:szCs w:val="28"/>
        </w:rPr>
      </w:pPr>
      <w:r w:rsidRPr="005B3DD1">
        <w:rPr>
          <w:color w:val="000000"/>
          <w:sz w:val="28"/>
          <w:szCs w:val="28"/>
        </w:rPr>
        <w:t xml:space="preserve">In addition to the judicial caution in Iowa and Oregon, at least two states are actively examining </w:t>
      </w:r>
      <w:r w:rsidRPr="005B3DD1">
        <w:rPr>
          <w:i/>
          <w:color w:val="000000"/>
          <w:sz w:val="28"/>
          <w:szCs w:val="28"/>
        </w:rPr>
        <w:t xml:space="preserve">Batson </w:t>
      </w:r>
      <w:r w:rsidRPr="005B3DD1">
        <w:rPr>
          <w:color w:val="000000"/>
          <w:sz w:val="28"/>
          <w:szCs w:val="28"/>
        </w:rPr>
        <w:t xml:space="preserve">reforms in the task force and work group setting: California and Connecticut.  </w:t>
      </w:r>
      <w:r w:rsidRPr="005B3DD1">
        <w:rPr>
          <w:i/>
          <w:color w:val="000000"/>
          <w:sz w:val="28"/>
          <w:szCs w:val="28"/>
        </w:rPr>
        <w:t>See, e.g., Holmes, supra</w:t>
      </w:r>
      <w:r w:rsidRPr="005B3DD1">
        <w:rPr>
          <w:color w:val="000000"/>
          <w:sz w:val="28"/>
          <w:szCs w:val="28"/>
        </w:rPr>
        <w:t xml:space="preserve">, 334 Conn. at 206 (creating a “Jury Selection Task Force, appointed by the Chief Justice, to consider measures intended to promote the selection of diverse jury panels in our state’s court-houses”); Announcement of the Supreme Court of California, January 15, 2020, available at: </w:t>
      </w:r>
      <w:hyperlink r:id="rId8" w:history="1">
        <w:r w:rsidRPr="005B3DD1">
          <w:rPr>
            <w:rStyle w:val="Hyperlink"/>
            <w:sz w:val="28"/>
            <w:szCs w:val="28"/>
          </w:rPr>
          <w:t>https://newsroom.courts.ca.gov/ internal_redirect/cms.ipressroom.com.s3.amazonaws.com/262/files/20200/SupCt20200129.pdf</w:t>
        </w:r>
      </w:hyperlink>
      <w:r w:rsidRPr="005B3DD1">
        <w:rPr>
          <w:sz w:val="28"/>
          <w:szCs w:val="28"/>
        </w:rPr>
        <w:t xml:space="preserve">.  </w:t>
      </w:r>
    </w:p>
    <w:p w14:paraId="413B4B1F" w14:textId="00593D19" w:rsidR="005B3DD1" w:rsidRPr="005B3DD1" w:rsidRDefault="005B3DD1" w:rsidP="005B3DD1">
      <w:pPr>
        <w:widowControl w:val="0"/>
        <w:tabs>
          <w:tab w:val="left" w:pos="720"/>
        </w:tabs>
        <w:spacing w:before="480" w:line="240" w:lineRule="auto"/>
        <w:ind w:left="720" w:right="86" w:hanging="720"/>
        <w:jc w:val="center"/>
        <w:rPr>
          <w:sz w:val="28"/>
          <w:szCs w:val="28"/>
        </w:rPr>
      </w:pPr>
      <w:r w:rsidRPr="005B3DD1">
        <w:rPr>
          <w:b/>
          <w:color w:val="000000"/>
          <w:sz w:val="28"/>
          <w:szCs w:val="28"/>
        </w:rPr>
        <w:t>CONCLUSION</w:t>
      </w:r>
      <w:r>
        <w:rPr>
          <w:b/>
          <w:color w:val="000000"/>
          <w:sz w:val="28"/>
          <w:szCs w:val="28"/>
        </w:rPr>
        <w:br/>
      </w:r>
    </w:p>
    <w:p w14:paraId="1ABDB45D" w14:textId="77777777" w:rsidR="005B3DD1" w:rsidRPr="005B3DD1" w:rsidRDefault="005B3DD1" w:rsidP="005B3DD1">
      <w:pPr>
        <w:spacing w:line="480" w:lineRule="auto"/>
        <w:ind w:right="86" w:firstLine="720"/>
        <w:jc w:val="both"/>
        <w:rPr>
          <w:color w:val="000000"/>
          <w:sz w:val="28"/>
          <w:szCs w:val="28"/>
        </w:rPr>
      </w:pPr>
      <w:r w:rsidRPr="005B3DD1">
        <w:rPr>
          <w:sz w:val="28"/>
          <w:szCs w:val="28"/>
        </w:rPr>
        <w:t xml:space="preserve">Given the seriousness and importance of the issues, Arizona should join Washington and other states in actively studying how </w:t>
      </w:r>
      <w:r w:rsidRPr="005B3DD1">
        <w:rPr>
          <w:i/>
          <w:sz w:val="28"/>
          <w:szCs w:val="28"/>
        </w:rPr>
        <w:t>Batson</w:t>
      </w:r>
      <w:r w:rsidRPr="005B3DD1">
        <w:rPr>
          <w:sz w:val="28"/>
          <w:szCs w:val="28"/>
        </w:rPr>
        <w:t xml:space="preserve"> can be more effectively enforced in our trial courts.  Accordingly, the State Bar </w:t>
      </w:r>
      <w:r w:rsidRPr="005B3DD1">
        <w:rPr>
          <w:color w:val="000000"/>
          <w:sz w:val="28"/>
          <w:szCs w:val="28"/>
        </w:rPr>
        <w:t>recommends continuing the Petition to the August 2021 Rules Agenda to allow the joint working group of its Criminal Practice &amp; Procedure and Civil Practice &amp; Procedure Committees, along with other stakeholders, to study the issue—to include examining the successes and challenges in implementing Washington’s GR 37, as well as exploring other possible frameworks.</w:t>
      </w:r>
      <w:r w:rsidRPr="005B3DD1">
        <w:rPr>
          <w:rStyle w:val="FootnoteReference"/>
          <w:color w:val="000000"/>
          <w:sz w:val="28"/>
          <w:szCs w:val="28"/>
        </w:rPr>
        <w:footnoteReference w:id="2"/>
      </w:r>
      <w:r w:rsidRPr="005B3DD1">
        <w:rPr>
          <w:color w:val="000000"/>
          <w:sz w:val="28"/>
          <w:szCs w:val="28"/>
        </w:rPr>
        <w:t xml:space="preserve">  </w:t>
      </w:r>
    </w:p>
    <w:p w14:paraId="7ABD0DED" w14:textId="77777777" w:rsidR="005B3DD1" w:rsidRPr="005B3DD1" w:rsidRDefault="005B3DD1" w:rsidP="005B3DD1">
      <w:pPr>
        <w:spacing w:line="480" w:lineRule="auto"/>
        <w:ind w:right="86" w:firstLine="720"/>
        <w:jc w:val="both"/>
        <w:rPr>
          <w:color w:val="000000"/>
          <w:sz w:val="28"/>
          <w:szCs w:val="28"/>
        </w:rPr>
      </w:pPr>
      <w:r w:rsidRPr="005B3DD1">
        <w:rPr>
          <w:color w:val="000000"/>
          <w:sz w:val="28"/>
          <w:szCs w:val="28"/>
        </w:rPr>
        <w:t xml:space="preserve">In recommending continuing the Petition, the State Bar does not mean to discount the urgency in eliminating the specter of racial discrimination in the jury selection process.  The State Bar believes, however, that the collective experience of this working group will aid the Court in examining how reforms can be most effective in achieving </w:t>
      </w:r>
      <w:r w:rsidRPr="005B3DD1">
        <w:rPr>
          <w:i/>
          <w:color w:val="000000"/>
          <w:sz w:val="28"/>
          <w:szCs w:val="28"/>
        </w:rPr>
        <w:t>Batson</w:t>
      </w:r>
      <w:r w:rsidRPr="005B3DD1">
        <w:rPr>
          <w:color w:val="000000"/>
          <w:sz w:val="28"/>
          <w:szCs w:val="28"/>
        </w:rPr>
        <w:t>’s objectives in Arizona’s trial courts.</w:t>
      </w:r>
    </w:p>
    <w:p w14:paraId="44FADAAD" w14:textId="77777777" w:rsidR="00BB274D" w:rsidRDefault="00BB274D" w:rsidP="00BB274D">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May, 2020.</w:t>
      </w:r>
    </w:p>
    <w:p w14:paraId="66A3E881" w14:textId="77777777" w:rsidR="00BB274D" w:rsidRDefault="00BB274D" w:rsidP="00BB274D">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391B7C8C" w14:textId="77777777" w:rsidR="00BB274D" w:rsidRDefault="00BB274D" w:rsidP="00BB274D">
      <w:pPr>
        <w:widowControl w:val="0"/>
        <w:spacing w:line="240" w:lineRule="auto"/>
        <w:ind w:right="4140"/>
        <w:rPr>
          <w:sz w:val="28"/>
          <w:szCs w:val="28"/>
        </w:rPr>
      </w:pPr>
    </w:p>
    <w:p w14:paraId="6E85DEF9" w14:textId="77777777" w:rsidR="00BB274D" w:rsidRDefault="00BB274D" w:rsidP="00BB274D">
      <w:pPr>
        <w:widowControl w:val="0"/>
        <w:spacing w:line="240" w:lineRule="auto"/>
        <w:ind w:right="4140"/>
        <w:rPr>
          <w:sz w:val="28"/>
          <w:szCs w:val="28"/>
        </w:rPr>
      </w:pPr>
    </w:p>
    <w:p w14:paraId="20C7E7AD" w14:textId="77777777" w:rsidR="00BB274D" w:rsidRDefault="00BB274D" w:rsidP="00BB274D">
      <w:pPr>
        <w:widowControl w:val="0"/>
        <w:spacing w:line="240" w:lineRule="auto"/>
        <w:ind w:right="4140"/>
        <w:rPr>
          <w:sz w:val="28"/>
          <w:szCs w:val="28"/>
        </w:rPr>
      </w:pPr>
      <w:r>
        <w:rPr>
          <w:sz w:val="28"/>
          <w:szCs w:val="28"/>
        </w:rPr>
        <w:t>Electronic copy filed with the</w:t>
      </w:r>
    </w:p>
    <w:p w14:paraId="300F9D02" w14:textId="77777777" w:rsidR="00BB274D" w:rsidRDefault="00BB274D" w:rsidP="00BB274D">
      <w:pPr>
        <w:spacing w:line="240" w:lineRule="auto"/>
        <w:ind w:right="4140"/>
        <w:rPr>
          <w:sz w:val="28"/>
          <w:szCs w:val="28"/>
        </w:rPr>
      </w:pPr>
      <w:r>
        <w:rPr>
          <w:sz w:val="28"/>
          <w:szCs w:val="28"/>
        </w:rPr>
        <w:t>Clerk of the Supreme Court of Arizona</w:t>
      </w:r>
    </w:p>
    <w:p w14:paraId="6207224D" w14:textId="77777777" w:rsidR="00BB274D" w:rsidRDefault="00BB274D" w:rsidP="00BB274D">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May, 2020.</w:t>
      </w:r>
    </w:p>
    <w:p w14:paraId="46BBD63D" w14:textId="77777777" w:rsidR="00BB274D" w:rsidRDefault="00BB274D" w:rsidP="00BB274D">
      <w:pPr>
        <w:spacing w:line="240" w:lineRule="auto"/>
        <w:ind w:right="4572"/>
        <w:rPr>
          <w:sz w:val="28"/>
          <w:szCs w:val="28"/>
        </w:rPr>
      </w:pPr>
    </w:p>
    <w:p w14:paraId="2F16BC13" w14:textId="77777777" w:rsidR="00BB274D" w:rsidRDefault="00BB274D" w:rsidP="00BB274D">
      <w:pPr>
        <w:spacing w:line="240" w:lineRule="auto"/>
        <w:ind w:right="4572"/>
        <w:rPr>
          <w:sz w:val="28"/>
          <w:szCs w:val="28"/>
        </w:rPr>
      </w:pPr>
      <w:r>
        <w:rPr>
          <w:sz w:val="28"/>
          <w:szCs w:val="28"/>
        </w:rPr>
        <w:t xml:space="preserve">by: </w:t>
      </w:r>
      <w:r>
        <w:rPr>
          <w:sz w:val="28"/>
          <w:szCs w:val="28"/>
          <w:u w:val="single"/>
        </w:rPr>
        <w:t xml:space="preserve">Patricia Seguin </w:t>
      </w:r>
    </w:p>
    <w:p w14:paraId="514D6FB1" w14:textId="77777777" w:rsidR="00494BDF" w:rsidRPr="005B3DD1" w:rsidRDefault="00494BDF" w:rsidP="000C48A9">
      <w:pPr>
        <w:pStyle w:val="Body"/>
        <w:widowControl w:val="0"/>
        <w:ind w:firstLine="0"/>
        <w:jc w:val="both"/>
        <w:rPr>
          <w:sz w:val="28"/>
          <w:szCs w:val="28"/>
        </w:rPr>
      </w:pPr>
      <w:bookmarkStart w:id="2" w:name="_GoBack"/>
      <w:bookmarkEnd w:id="2"/>
    </w:p>
    <w:p w14:paraId="22C2C8B9" w14:textId="77777777" w:rsidR="00933EA1" w:rsidRPr="005B3DD1" w:rsidRDefault="00933EA1" w:rsidP="000F7C13">
      <w:pPr>
        <w:spacing w:line="240" w:lineRule="auto"/>
        <w:rPr>
          <w:strike/>
          <w:sz w:val="28"/>
          <w:szCs w:val="28"/>
        </w:rPr>
      </w:pPr>
    </w:p>
    <w:p w14:paraId="4A07E8A6" w14:textId="77777777" w:rsidR="00052372" w:rsidRPr="005B3DD1" w:rsidRDefault="00052372" w:rsidP="00933EA1">
      <w:pPr>
        <w:tabs>
          <w:tab w:val="left" w:pos="8145"/>
        </w:tabs>
        <w:rPr>
          <w:sz w:val="28"/>
          <w:szCs w:val="28"/>
        </w:rPr>
      </w:pPr>
    </w:p>
    <w:sectPr w:rsidR="00052372" w:rsidRPr="005B3DD1" w:rsidSect="00C519CC">
      <w:headerReference w:type="default" r:id="rId9"/>
      <w:footerReference w:type="even" r:id="rId10"/>
      <w:footerReference w:type="default" r:id="rId11"/>
      <w:pgSz w:w="12240" w:h="15840" w:code="1"/>
      <w:pgMar w:top="0" w:right="1440" w:bottom="16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 w:id="1">
    <w:p w14:paraId="41CC3B80" w14:textId="77777777" w:rsidR="005B3DD1" w:rsidRPr="005B3DD1" w:rsidRDefault="005B3DD1" w:rsidP="005B3DD1">
      <w:pPr>
        <w:pStyle w:val="FootnoteText"/>
        <w:jc w:val="both"/>
        <w:rPr>
          <w:sz w:val="28"/>
          <w:szCs w:val="28"/>
        </w:rPr>
      </w:pPr>
      <w:r w:rsidRPr="005B3DD1">
        <w:rPr>
          <w:rStyle w:val="FootnoteReference"/>
          <w:sz w:val="28"/>
          <w:szCs w:val="28"/>
        </w:rPr>
        <w:footnoteRef/>
      </w:r>
      <w:r w:rsidRPr="005B3DD1">
        <w:rPr>
          <w:sz w:val="28"/>
          <w:szCs w:val="28"/>
        </w:rPr>
        <w:t xml:space="preserve"> The State Bar’s working group is comprised of members of the Criminal Practice &amp; Procedure Committee on both the criminal defense and the prosecution side, members of the Civil Practice &amp; Procedure Committee, and other interested stakeholders, including the Petitioner. The State Bar understands that the Petitioner may agree to voluntarily continue or withdraw the Petition to allow further time for the working group to study these issues.</w:t>
      </w:r>
    </w:p>
  </w:footnote>
  <w:footnote w:id="2">
    <w:p w14:paraId="531387D3" w14:textId="77777777" w:rsidR="005B3DD1" w:rsidRPr="005B3DD1" w:rsidRDefault="005B3DD1" w:rsidP="005B3DD1">
      <w:pPr>
        <w:pStyle w:val="FootnoteText"/>
        <w:jc w:val="both"/>
        <w:rPr>
          <w:sz w:val="28"/>
          <w:szCs w:val="28"/>
        </w:rPr>
      </w:pPr>
      <w:r w:rsidRPr="005B3DD1">
        <w:rPr>
          <w:rStyle w:val="FootnoteReference"/>
          <w:sz w:val="28"/>
          <w:szCs w:val="28"/>
        </w:rPr>
        <w:footnoteRef/>
      </w:r>
      <w:r w:rsidRPr="005B3DD1">
        <w:rPr>
          <w:sz w:val="28"/>
          <w:szCs w:val="28"/>
        </w:rPr>
        <w:t xml:space="preserve"> For example, although Washington’s Jury Selection Workgroup identified several recommendations, there was not complete consensus.  The Washington Jury Selection Workgroup’s final report is available at </w:t>
      </w:r>
      <w:hyperlink r:id="rId1" w:history="1">
        <w:r w:rsidRPr="005B3DD1">
          <w:rPr>
            <w:rStyle w:val="Hyperlink"/>
            <w:sz w:val="28"/>
            <w:szCs w:val="28"/>
          </w:rPr>
          <w:t>https://www.courts.wa.gov/content/publicUpload/Supreme%20Court%20Orders/OrderNo25700-A-1221Workgroup.pdf</w:t>
        </w:r>
      </w:hyperlink>
      <w:r w:rsidRPr="005B3DD1">
        <w:rPr>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094967"/>
    <w:multiLevelType w:val="hybridMultilevel"/>
    <w:tmpl w:val="757EC8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0"/>
  </w:num>
  <w:num w:numId="11">
    <w:abstractNumId w:val="9"/>
  </w:num>
  <w:num w:numId="12">
    <w:abstractNumId w:val="5"/>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3DD1"/>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BB274D"/>
    <w:rsid w:val="00C03E0F"/>
    <w:rsid w:val="00C519CC"/>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5B3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5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room.courts.ca.gov/%20internal_redirect/cms.ipressroom.com.s3.amazonaws.com/262/files/20200/SupCt2020012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urts.wa.gov/content/publicUpload/Supreme%20Court%20Orders/OrderNo25700-A-1221Workgrou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49FF3-EC9A-4500-B437-28102AF9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7</Pages>
  <Words>1369</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2020-04-27T21:26:00Z</dcterms:created>
  <dcterms:modified xsi:type="dcterms:W3CDTF">2020-05-01T18:39:00Z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