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B7EA" w14:textId="77777777" w:rsidR="00F72E82" w:rsidRPr="006E5E11" w:rsidRDefault="00F72E82" w:rsidP="00F72E82">
      <w:pPr>
        <w:pStyle w:val="AttorneyName"/>
        <w:spacing w:line="240" w:lineRule="auto"/>
        <w:rPr>
          <w:rFonts w:ascii="Times New Roman" w:hAnsi="Times New Roman"/>
          <w:b/>
          <w:sz w:val="28"/>
          <w:szCs w:val="28"/>
        </w:rPr>
      </w:pPr>
      <w:r w:rsidRPr="006E5E11">
        <w:rPr>
          <w:rFonts w:ascii="Times New Roman" w:hAnsi="Times New Roman"/>
          <w:b/>
          <w:sz w:val="28"/>
          <w:szCs w:val="28"/>
        </w:rPr>
        <w:t>DAVID J. EUCHNER, SB#021768</w:t>
      </w:r>
    </w:p>
    <w:p w14:paraId="268AB7EB" w14:textId="77777777" w:rsidR="00F72E82" w:rsidRPr="006E5E11" w:rsidRDefault="0091770C" w:rsidP="00F72E82">
      <w:pPr>
        <w:pStyle w:val="AttorneyName"/>
        <w:spacing w:line="240" w:lineRule="auto"/>
        <w:rPr>
          <w:rFonts w:ascii="Times New Roman" w:hAnsi="Times New Roman"/>
          <w:b/>
          <w:sz w:val="28"/>
          <w:szCs w:val="28"/>
        </w:rPr>
      </w:pPr>
      <w:hyperlink r:id="rId11" w:history="1">
        <w:r w:rsidR="00F72E82" w:rsidRPr="006E5E11">
          <w:rPr>
            <w:rStyle w:val="Hyperlink"/>
            <w:rFonts w:ascii="Times New Roman" w:hAnsi="Times New Roman"/>
            <w:b/>
            <w:sz w:val="28"/>
            <w:szCs w:val="28"/>
          </w:rPr>
          <w:t>David.Euchner@pima.gov</w:t>
        </w:r>
      </w:hyperlink>
    </w:p>
    <w:p w14:paraId="243BD39B" w14:textId="7660C045" w:rsidR="00327BAA" w:rsidRDefault="00327BAA" w:rsidP="002E545E">
      <w:pPr>
        <w:pStyle w:val="AttorneyName"/>
        <w:spacing w:line="240" w:lineRule="auto"/>
        <w:rPr>
          <w:rFonts w:ascii="Times New Roman" w:hAnsi="Times New Roman"/>
          <w:b/>
          <w:sz w:val="28"/>
          <w:szCs w:val="28"/>
        </w:rPr>
      </w:pPr>
      <w:r>
        <w:rPr>
          <w:rFonts w:ascii="Times New Roman" w:hAnsi="Times New Roman"/>
          <w:b/>
          <w:sz w:val="28"/>
          <w:szCs w:val="28"/>
        </w:rPr>
        <w:t>Pima County Public Defender’s Office</w:t>
      </w:r>
    </w:p>
    <w:p w14:paraId="268AB7EC" w14:textId="740CA5A6" w:rsidR="007F091F"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33 N. Stone Ave., 21</w:t>
      </w:r>
      <w:r w:rsidRPr="006235B5">
        <w:rPr>
          <w:rFonts w:ascii="Times New Roman" w:hAnsi="Times New Roman"/>
          <w:b/>
          <w:sz w:val="28"/>
          <w:szCs w:val="28"/>
          <w:vertAlign w:val="superscript"/>
        </w:rPr>
        <w:t>st</w:t>
      </w:r>
      <w:r>
        <w:rPr>
          <w:rFonts w:ascii="Times New Roman" w:hAnsi="Times New Roman"/>
          <w:b/>
          <w:sz w:val="28"/>
          <w:szCs w:val="28"/>
        </w:rPr>
        <w:t xml:space="preserve"> Floor</w:t>
      </w:r>
    </w:p>
    <w:p w14:paraId="268AB7ED" w14:textId="77777777" w:rsidR="006235B5"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Tucson, AZ 85701</w:t>
      </w:r>
    </w:p>
    <w:p w14:paraId="60482DCD" w14:textId="5D7CE20F" w:rsidR="00327BAA" w:rsidRDefault="006235B5" w:rsidP="002E545E">
      <w:pPr>
        <w:pStyle w:val="AttorneyName"/>
        <w:spacing w:line="240" w:lineRule="auto"/>
        <w:rPr>
          <w:rFonts w:ascii="Times New Roman" w:hAnsi="Times New Roman"/>
          <w:b/>
          <w:sz w:val="28"/>
          <w:szCs w:val="28"/>
        </w:rPr>
      </w:pPr>
      <w:r>
        <w:rPr>
          <w:rFonts w:ascii="Times New Roman" w:hAnsi="Times New Roman"/>
          <w:b/>
          <w:sz w:val="28"/>
          <w:szCs w:val="28"/>
        </w:rPr>
        <w:t>(520) 724-6800</w:t>
      </w:r>
    </w:p>
    <w:p w14:paraId="6C26A40E" w14:textId="4E9DEF36" w:rsidR="00D0294B" w:rsidRPr="00901B5C" w:rsidRDefault="00901B5C" w:rsidP="002E545E">
      <w:pPr>
        <w:pStyle w:val="AttorneyName"/>
        <w:spacing w:line="240" w:lineRule="auto"/>
        <w:rPr>
          <w:rFonts w:ascii="Times New Roman" w:hAnsi="Times New Roman"/>
          <w:b/>
          <w:i/>
          <w:sz w:val="28"/>
          <w:szCs w:val="28"/>
        </w:rPr>
      </w:pPr>
      <w:r w:rsidRPr="00901B5C">
        <w:rPr>
          <w:rFonts w:ascii="Times New Roman" w:hAnsi="Times New Roman"/>
          <w:b/>
          <w:i/>
          <w:sz w:val="28"/>
          <w:szCs w:val="28"/>
        </w:rPr>
        <w:t>Attorney for Arizona Attorneys for Criminal Justice</w:t>
      </w:r>
    </w:p>
    <w:p w14:paraId="1BEEC0DD" w14:textId="1920D93F" w:rsidR="00901B5C" w:rsidRPr="00901B5C" w:rsidRDefault="00901B5C" w:rsidP="002E545E">
      <w:pPr>
        <w:pStyle w:val="AttorneyName"/>
        <w:spacing w:line="240" w:lineRule="auto"/>
        <w:rPr>
          <w:rFonts w:ascii="Times New Roman" w:hAnsi="Times New Roman"/>
          <w:b/>
          <w:i/>
          <w:sz w:val="28"/>
          <w:szCs w:val="28"/>
        </w:rPr>
      </w:pPr>
      <w:r w:rsidRPr="00901B5C">
        <w:rPr>
          <w:rFonts w:ascii="Times New Roman" w:hAnsi="Times New Roman"/>
          <w:b/>
          <w:i/>
          <w:sz w:val="28"/>
          <w:szCs w:val="28"/>
        </w:rPr>
        <w:t>and Pima County Public Defender’s Office</w:t>
      </w:r>
    </w:p>
    <w:p w14:paraId="1B9E0419" w14:textId="77777777" w:rsidR="00420484" w:rsidRDefault="00420484" w:rsidP="002E545E">
      <w:pPr>
        <w:pStyle w:val="AttorneyName"/>
        <w:spacing w:line="240" w:lineRule="auto"/>
        <w:rPr>
          <w:rFonts w:ascii="Times New Roman" w:hAnsi="Times New Roman"/>
          <w:b/>
          <w:sz w:val="28"/>
          <w:szCs w:val="28"/>
        </w:rPr>
      </w:pPr>
    </w:p>
    <w:p w14:paraId="268AB7F0" w14:textId="77777777" w:rsidR="00DC38DE" w:rsidRPr="0014499B" w:rsidRDefault="00DC38DE" w:rsidP="002E545E">
      <w:pPr>
        <w:pStyle w:val="AttorneyName"/>
        <w:spacing w:line="240" w:lineRule="auto"/>
        <w:jc w:val="center"/>
        <w:rPr>
          <w:rFonts w:ascii="Times New Roman" w:hAnsi="Times New Roman"/>
          <w:b/>
          <w:sz w:val="28"/>
          <w:szCs w:val="28"/>
        </w:rPr>
      </w:pPr>
      <w:r w:rsidRPr="0014499B">
        <w:rPr>
          <w:rFonts w:ascii="Times New Roman" w:hAnsi="Times New Roman"/>
          <w:b/>
          <w:sz w:val="28"/>
          <w:szCs w:val="28"/>
        </w:rPr>
        <w:t>IN THE SUPREME COURT OF THE STATE OF ARIZONA</w:t>
      </w:r>
    </w:p>
    <w:p w14:paraId="268AB7F1" w14:textId="77777777" w:rsidR="00DC38DE" w:rsidRPr="0014499B" w:rsidRDefault="00DC38DE" w:rsidP="00DC38DE">
      <w:pPr>
        <w:pStyle w:val="AttorneyName"/>
        <w:jc w:val="center"/>
        <w:rPr>
          <w:rFonts w:ascii="Times New Roman" w:hAnsi="Times New Roman"/>
          <w:b/>
          <w:sz w:val="28"/>
          <w:szCs w:val="28"/>
        </w:rPr>
      </w:pPr>
    </w:p>
    <w:p w14:paraId="268AB7F2" w14:textId="77777777" w:rsidR="00DC38DE" w:rsidRPr="0014499B" w:rsidRDefault="00DC38DE" w:rsidP="00DC38DE">
      <w:pPr>
        <w:pStyle w:val="AttorneyName"/>
        <w:rPr>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C38DE" w:rsidRPr="0014499B" w14:paraId="268AB804" w14:textId="77777777" w:rsidTr="00DB2614">
        <w:tc>
          <w:tcPr>
            <w:tcW w:w="4542" w:type="dxa"/>
            <w:tcBorders>
              <w:bottom w:val="single" w:sz="4" w:space="0" w:color="auto"/>
            </w:tcBorders>
            <w:shd w:val="clear" w:color="auto" w:fill="auto"/>
          </w:tcPr>
          <w:p w14:paraId="268AB7F3" w14:textId="77777777" w:rsidR="00DC38DE" w:rsidRPr="0014499B" w:rsidRDefault="00DC38DE" w:rsidP="00DB2614">
            <w:pPr>
              <w:tabs>
                <w:tab w:val="left" w:pos="1500"/>
              </w:tabs>
              <w:spacing w:line="240" w:lineRule="auto"/>
              <w:rPr>
                <w:rFonts w:ascii="Times New Roman" w:hAnsi="Times New Roman"/>
                <w:sz w:val="28"/>
                <w:szCs w:val="28"/>
              </w:rPr>
            </w:pPr>
            <w:bookmarkStart w:id="0" w:name="Parties"/>
            <w:bookmarkEnd w:id="0"/>
            <w:r w:rsidRPr="0014499B">
              <w:rPr>
                <w:rFonts w:ascii="Times New Roman" w:hAnsi="Times New Roman"/>
                <w:sz w:val="28"/>
                <w:szCs w:val="28"/>
              </w:rPr>
              <w:t>In the Matter of:</w:t>
            </w:r>
          </w:p>
          <w:p w14:paraId="268AB7F4" w14:textId="77777777" w:rsidR="00DC38DE" w:rsidRPr="0014499B" w:rsidRDefault="00DC38DE" w:rsidP="00DB2614">
            <w:pPr>
              <w:tabs>
                <w:tab w:val="left" w:pos="1500"/>
              </w:tabs>
              <w:spacing w:line="240" w:lineRule="auto"/>
              <w:rPr>
                <w:rFonts w:ascii="Times New Roman" w:hAnsi="Times New Roman"/>
                <w:sz w:val="28"/>
                <w:szCs w:val="28"/>
              </w:rPr>
            </w:pPr>
          </w:p>
          <w:p w14:paraId="268AB7F5" w14:textId="77777777" w:rsidR="00DC38DE" w:rsidRPr="0014499B" w:rsidRDefault="00DC38DE" w:rsidP="00DB2614">
            <w:pPr>
              <w:tabs>
                <w:tab w:val="left" w:pos="1500"/>
              </w:tabs>
              <w:spacing w:line="240" w:lineRule="auto"/>
              <w:rPr>
                <w:rFonts w:ascii="Times New Roman" w:hAnsi="Times New Roman"/>
                <w:sz w:val="28"/>
                <w:szCs w:val="28"/>
              </w:rPr>
            </w:pPr>
          </w:p>
          <w:p w14:paraId="268AB7F6" w14:textId="482E2353" w:rsidR="00DC38DE" w:rsidRPr="0014499B" w:rsidRDefault="00DC38DE" w:rsidP="001B62F8">
            <w:pPr>
              <w:tabs>
                <w:tab w:val="left" w:pos="1500"/>
              </w:tabs>
              <w:spacing w:line="240" w:lineRule="auto"/>
              <w:rPr>
                <w:rFonts w:ascii="Times New Roman" w:hAnsi="Times New Roman"/>
                <w:sz w:val="28"/>
                <w:szCs w:val="28"/>
              </w:rPr>
            </w:pPr>
            <w:r w:rsidRPr="0014499B">
              <w:rPr>
                <w:rFonts w:ascii="Times New Roman" w:hAnsi="Times New Roman"/>
                <w:sz w:val="28"/>
                <w:szCs w:val="28"/>
              </w:rPr>
              <w:t xml:space="preserve">Petition to </w:t>
            </w:r>
            <w:r w:rsidR="00D0294B">
              <w:rPr>
                <w:rFonts w:ascii="Times New Roman" w:hAnsi="Times New Roman"/>
                <w:sz w:val="28"/>
                <w:szCs w:val="28"/>
              </w:rPr>
              <w:t>Amend</w:t>
            </w:r>
            <w:r w:rsidRPr="0014499B">
              <w:rPr>
                <w:rFonts w:ascii="Times New Roman" w:hAnsi="Times New Roman"/>
                <w:sz w:val="28"/>
                <w:szCs w:val="28"/>
              </w:rPr>
              <w:t xml:space="preserve"> </w:t>
            </w:r>
            <w:r>
              <w:rPr>
                <w:rFonts w:ascii="Times New Roman" w:hAnsi="Times New Roman"/>
                <w:sz w:val="28"/>
                <w:szCs w:val="28"/>
              </w:rPr>
              <w:t>Arizona Rule</w:t>
            </w:r>
            <w:r w:rsidR="001B62F8">
              <w:rPr>
                <w:rFonts w:ascii="Times New Roman" w:hAnsi="Times New Roman"/>
                <w:sz w:val="28"/>
                <w:szCs w:val="28"/>
              </w:rPr>
              <w:t xml:space="preserve"> </w:t>
            </w:r>
            <w:r>
              <w:rPr>
                <w:rFonts w:ascii="Times New Roman" w:hAnsi="Times New Roman"/>
                <w:sz w:val="28"/>
                <w:szCs w:val="28"/>
              </w:rPr>
              <w:t xml:space="preserve">of </w:t>
            </w:r>
            <w:r w:rsidR="00E466AC">
              <w:rPr>
                <w:rFonts w:ascii="Times New Roman" w:hAnsi="Times New Roman"/>
                <w:sz w:val="28"/>
                <w:szCs w:val="28"/>
              </w:rPr>
              <w:t>Evidence</w:t>
            </w:r>
            <w:r w:rsidR="001B62F8">
              <w:rPr>
                <w:rFonts w:ascii="Times New Roman" w:hAnsi="Times New Roman"/>
                <w:sz w:val="28"/>
                <w:szCs w:val="28"/>
              </w:rPr>
              <w:t xml:space="preserve"> 404(b)</w:t>
            </w:r>
          </w:p>
        </w:tc>
        <w:tc>
          <w:tcPr>
            <w:tcW w:w="276" w:type="dxa"/>
            <w:shd w:val="clear" w:color="auto" w:fill="auto"/>
          </w:tcPr>
          <w:p w14:paraId="268AB7F7"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8"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9"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B"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C"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D"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E"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7FF"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p w14:paraId="268AB800" w14:textId="77777777" w:rsidR="00DC38DE" w:rsidRPr="0014499B" w:rsidRDefault="00DC38DE" w:rsidP="00DB2614">
            <w:pPr>
              <w:pStyle w:val="SingleSpacing"/>
              <w:spacing w:line="240" w:lineRule="auto"/>
              <w:rPr>
                <w:rFonts w:ascii="Times New Roman" w:hAnsi="Times New Roman"/>
                <w:sz w:val="28"/>
                <w:szCs w:val="28"/>
              </w:rPr>
            </w:pPr>
            <w:r w:rsidRPr="0014499B">
              <w:rPr>
                <w:rFonts w:ascii="Times New Roman" w:hAnsi="Times New Roman"/>
                <w:sz w:val="28"/>
                <w:szCs w:val="28"/>
              </w:rPr>
              <w:t>)</w:t>
            </w:r>
          </w:p>
        </w:tc>
        <w:tc>
          <w:tcPr>
            <w:tcW w:w="4542" w:type="dxa"/>
            <w:shd w:val="clear" w:color="auto" w:fill="auto"/>
          </w:tcPr>
          <w:p w14:paraId="268AB801" w14:textId="1000DD91" w:rsidR="00DC38DE" w:rsidRPr="0014499B" w:rsidRDefault="00DC38DE" w:rsidP="00DB2614">
            <w:pPr>
              <w:pStyle w:val="SingleSpacing"/>
              <w:spacing w:line="240" w:lineRule="auto"/>
              <w:rPr>
                <w:rFonts w:ascii="Times New Roman" w:hAnsi="Times New Roman"/>
                <w:sz w:val="28"/>
                <w:szCs w:val="28"/>
              </w:rPr>
            </w:pPr>
            <w:bookmarkStart w:id="1" w:name="CaseNumber"/>
            <w:bookmarkEnd w:id="1"/>
            <w:r w:rsidRPr="0014499B">
              <w:rPr>
                <w:rFonts w:ascii="Times New Roman" w:hAnsi="Times New Roman"/>
                <w:sz w:val="28"/>
                <w:szCs w:val="28"/>
              </w:rPr>
              <w:t>No. R-</w:t>
            </w:r>
            <w:r w:rsidR="006E5E11">
              <w:rPr>
                <w:rFonts w:ascii="Times New Roman" w:hAnsi="Times New Roman"/>
                <w:sz w:val="28"/>
                <w:szCs w:val="28"/>
              </w:rPr>
              <w:t>20</w:t>
            </w:r>
            <w:r w:rsidRPr="0014499B">
              <w:rPr>
                <w:rFonts w:ascii="Times New Roman" w:hAnsi="Times New Roman"/>
                <w:sz w:val="28"/>
                <w:szCs w:val="28"/>
              </w:rPr>
              <w:t>-00</w:t>
            </w:r>
            <w:r w:rsidR="00F5250E">
              <w:rPr>
                <w:rFonts w:ascii="Times New Roman" w:hAnsi="Times New Roman"/>
                <w:sz w:val="28"/>
                <w:szCs w:val="28"/>
              </w:rPr>
              <w:t>11</w:t>
            </w:r>
          </w:p>
          <w:p w14:paraId="268AB802" w14:textId="77777777" w:rsidR="00DC38DE" w:rsidRPr="0014499B" w:rsidRDefault="00DC38DE" w:rsidP="00DB2614">
            <w:pPr>
              <w:pStyle w:val="SingleSpacing"/>
              <w:spacing w:line="240" w:lineRule="auto"/>
              <w:rPr>
                <w:rFonts w:ascii="Times New Roman" w:hAnsi="Times New Roman"/>
                <w:sz w:val="28"/>
                <w:szCs w:val="28"/>
              </w:rPr>
            </w:pPr>
          </w:p>
          <w:p w14:paraId="268AB803" w14:textId="2761BF6D" w:rsidR="00DC38DE" w:rsidRPr="00F84E06" w:rsidRDefault="00DC38DE" w:rsidP="001B62F8">
            <w:pPr>
              <w:pStyle w:val="SingleSpacing"/>
              <w:spacing w:line="240" w:lineRule="auto"/>
              <w:rPr>
                <w:rFonts w:ascii="Times New Roman" w:hAnsi="Times New Roman"/>
                <w:b/>
                <w:i/>
                <w:sz w:val="28"/>
                <w:szCs w:val="28"/>
              </w:rPr>
            </w:pPr>
            <w:r w:rsidRPr="0014499B">
              <w:rPr>
                <w:rFonts w:ascii="Times New Roman" w:hAnsi="Times New Roman"/>
                <w:b/>
                <w:sz w:val="28"/>
                <w:szCs w:val="28"/>
              </w:rPr>
              <w:t xml:space="preserve">COMMENT </w:t>
            </w:r>
            <w:r>
              <w:rPr>
                <w:rFonts w:ascii="Times New Roman" w:hAnsi="Times New Roman"/>
                <w:b/>
                <w:sz w:val="28"/>
                <w:szCs w:val="28"/>
              </w:rPr>
              <w:t>OF ARIZONA ATTORNEYS FOR CRIMINAL JUSTICE</w:t>
            </w:r>
            <w:r w:rsidR="002A36E1">
              <w:rPr>
                <w:rFonts w:ascii="Times New Roman" w:hAnsi="Times New Roman"/>
                <w:b/>
                <w:sz w:val="28"/>
                <w:szCs w:val="28"/>
              </w:rPr>
              <w:t xml:space="preserve"> AND PIMA COUNTY PUBLIC DEFENDER’S OFFICE</w:t>
            </w:r>
            <w:r>
              <w:rPr>
                <w:rFonts w:ascii="Times New Roman" w:hAnsi="Times New Roman"/>
                <w:b/>
                <w:sz w:val="28"/>
                <w:szCs w:val="28"/>
              </w:rPr>
              <w:t xml:space="preserve"> REGARDING</w:t>
            </w:r>
            <w:r w:rsidRPr="0014499B">
              <w:rPr>
                <w:rFonts w:ascii="Times New Roman" w:hAnsi="Times New Roman"/>
                <w:b/>
                <w:sz w:val="28"/>
                <w:szCs w:val="28"/>
              </w:rPr>
              <w:t xml:space="preserve"> PETITION TO A</w:t>
            </w:r>
            <w:r w:rsidR="00D0294B">
              <w:rPr>
                <w:rFonts w:ascii="Times New Roman" w:hAnsi="Times New Roman"/>
                <w:b/>
                <w:sz w:val="28"/>
                <w:szCs w:val="28"/>
              </w:rPr>
              <w:t>MEN</w:t>
            </w:r>
            <w:r w:rsidRPr="0014499B">
              <w:rPr>
                <w:rFonts w:ascii="Times New Roman" w:hAnsi="Times New Roman"/>
                <w:b/>
                <w:sz w:val="28"/>
                <w:szCs w:val="28"/>
              </w:rPr>
              <w:t>D</w:t>
            </w:r>
            <w:r w:rsidR="00E466AC">
              <w:rPr>
                <w:rFonts w:ascii="Times New Roman" w:hAnsi="Times New Roman"/>
                <w:b/>
                <w:sz w:val="28"/>
                <w:szCs w:val="28"/>
              </w:rPr>
              <w:t xml:space="preserve"> </w:t>
            </w:r>
            <w:r w:rsidRPr="0014499B">
              <w:rPr>
                <w:rFonts w:ascii="Times New Roman" w:hAnsi="Times New Roman"/>
                <w:b/>
                <w:sz w:val="28"/>
                <w:szCs w:val="28"/>
              </w:rPr>
              <w:t xml:space="preserve">ARIZONA RULE OF </w:t>
            </w:r>
            <w:r w:rsidR="00E466AC">
              <w:rPr>
                <w:rFonts w:ascii="Times New Roman" w:hAnsi="Times New Roman"/>
                <w:b/>
                <w:sz w:val="28"/>
                <w:szCs w:val="28"/>
              </w:rPr>
              <w:t>EVIDENCE</w:t>
            </w:r>
            <w:r w:rsidR="001B62F8">
              <w:rPr>
                <w:rFonts w:ascii="Times New Roman" w:hAnsi="Times New Roman"/>
                <w:b/>
                <w:sz w:val="28"/>
                <w:szCs w:val="28"/>
              </w:rPr>
              <w:t xml:space="preserve"> 404(B)</w:t>
            </w:r>
          </w:p>
        </w:tc>
      </w:tr>
    </w:tbl>
    <w:p w14:paraId="268AB805" w14:textId="77777777" w:rsidR="00DC38DE" w:rsidRPr="0014499B" w:rsidRDefault="00DC38DE" w:rsidP="007F091F">
      <w:pPr>
        <w:spacing w:line="480" w:lineRule="auto"/>
        <w:jc w:val="both"/>
        <w:rPr>
          <w:rFonts w:ascii="Times New Roman" w:hAnsi="Times New Roman"/>
          <w:sz w:val="28"/>
          <w:szCs w:val="28"/>
        </w:rPr>
      </w:pPr>
    </w:p>
    <w:p w14:paraId="1CC5A357" w14:textId="6619718D" w:rsidR="001D0E6C" w:rsidRDefault="00DC38DE" w:rsidP="007F091F">
      <w:pPr>
        <w:spacing w:line="480" w:lineRule="auto"/>
        <w:jc w:val="both"/>
        <w:rPr>
          <w:rFonts w:ascii="Times New Roman" w:hAnsi="Times New Roman"/>
          <w:sz w:val="28"/>
          <w:szCs w:val="28"/>
        </w:rPr>
      </w:pPr>
      <w:r>
        <w:rPr>
          <w:rFonts w:ascii="Times New Roman" w:hAnsi="Times New Roman"/>
          <w:sz w:val="28"/>
          <w:szCs w:val="28"/>
        </w:rPr>
        <w:tab/>
      </w:r>
      <w:r w:rsidRPr="0014499B">
        <w:rPr>
          <w:rFonts w:ascii="Times New Roman" w:hAnsi="Times New Roman"/>
          <w:sz w:val="28"/>
          <w:szCs w:val="28"/>
        </w:rPr>
        <w:t xml:space="preserve">Pursuant to Rule 28 of the Arizona Rules of </w:t>
      </w:r>
      <w:r w:rsidR="00D0294B">
        <w:rPr>
          <w:rFonts w:ascii="Times New Roman" w:hAnsi="Times New Roman"/>
          <w:sz w:val="28"/>
          <w:szCs w:val="28"/>
        </w:rPr>
        <w:t xml:space="preserve">the </w:t>
      </w:r>
      <w:r w:rsidRPr="0014499B">
        <w:rPr>
          <w:rFonts w:ascii="Times New Roman" w:hAnsi="Times New Roman"/>
          <w:sz w:val="28"/>
          <w:szCs w:val="28"/>
        </w:rPr>
        <w:t>Supreme Court, Arizona Attorneys for Criminal Justice (“AACJ”)</w:t>
      </w:r>
      <w:r w:rsidR="00420484">
        <w:rPr>
          <w:rFonts w:ascii="Times New Roman" w:hAnsi="Times New Roman"/>
          <w:sz w:val="28"/>
          <w:szCs w:val="28"/>
        </w:rPr>
        <w:t xml:space="preserve"> and the </w:t>
      </w:r>
      <w:r w:rsidR="00327BAA">
        <w:rPr>
          <w:rFonts w:ascii="Times New Roman" w:hAnsi="Times New Roman"/>
          <w:sz w:val="28"/>
          <w:szCs w:val="28"/>
        </w:rPr>
        <w:t>Pima</w:t>
      </w:r>
      <w:r w:rsidR="00420484">
        <w:rPr>
          <w:rFonts w:ascii="Times New Roman" w:hAnsi="Times New Roman"/>
          <w:sz w:val="28"/>
          <w:szCs w:val="28"/>
        </w:rPr>
        <w:t xml:space="preserve"> County Public Defender</w:t>
      </w:r>
      <w:r w:rsidR="00327BAA">
        <w:rPr>
          <w:rFonts w:ascii="Times New Roman" w:hAnsi="Times New Roman"/>
          <w:sz w:val="28"/>
          <w:szCs w:val="28"/>
        </w:rPr>
        <w:t>’s Office</w:t>
      </w:r>
      <w:r w:rsidR="00420484">
        <w:rPr>
          <w:rFonts w:ascii="Times New Roman" w:hAnsi="Times New Roman"/>
          <w:sz w:val="28"/>
          <w:szCs w:val="28"/>
        </w:rPr>
        <w:t xml:space="preserve"> (“</w:t>
      </w:r>
      <w:r w:rsidR="00327BAA">
        <w:rPr>
          <w:rFonts w:ascii="Times New Roman" w:hAnsi="Times New Roman"/>
          <w:sz w:val="28"/>
          <w:szCs w:val="28"/>
        </w:rPr>
        <w:t>P</w:t>
      </w:r>
      <w:r w:rsidR="00420484">
        <w:rPr>
          <w:rFonts w:ascii="Times New Roman" w:hAnsi="Times New Roman"/>
          <w:sz w:val="28"/>
          <w:szCs w:val="28"/>
        </w:rPr>
        <w:t>CPD”)</w:t>
      </w:r>
      <w:r w:rsidRPr="0014499B">
        <w:rPr>
          <w:rFonts w:ascii="Times New Roman" w:hAnsi="Times New Roman"/>
          <w:sz w:val="28"/>
          <w:szCs w:val="28"/>
        </w:rPr>
        <w:t xml:space="preserve"> hereby submit the following comment to the above-referenced petition. </w:t>
      </w:r>
    </w:p>
    <w:p w14:paraId="268AB806" w14:textId="669C638E" w:rsidR="00DC38DE" w:rsidRDefault="00A629F8" w:rsidP="001D0E6C">
      <w:pPr>
        <w:spacing w:line="480" w:lineRule="auto"/>
        <w:ind w:firstLine="720"/>
        <w:jc w:val="both"/>
        <w:rPr>
          <w:rFonts w:ascii="Times New Roman" w:hAnsi="Times New Roman"/>
          <w:sz w:val="28"/>
          <w:szCs w:val="28"/>
        </w:rPr>
      </w:pPr>
      <w:r w:rsidRPr="00A629F8">
        <w:rPr>
          <w:rFonts w:ascii="Times New Roman" w:hAnsi="Times New Roman"/>
          <w:sz w:val="28"/>
          <w:szCs w:val="28"/>
        </w:rPr>
        <w:t xml:space="preserve">AACJ, the Arizona state affiliate of the National Association of Criminal Defense Lawyers, was founded in 1986 in order to give a voice to the rights of the criminally accused and to those attorneys who defend the accused. AACJ is a statewide not-for-profit membership organization of criminal defense lawyers, law students, and associated professionals dedicated to protecting the rights of the </w:t>
      </w:r>
      <w:r w:rsidRPr="00A629F8">
        <w:rPr>
          <w:rFonts w:ascii="Times New Roman" w:hAnsi="Times New Roman"/>
          <w:sz w:val="28"/>
          <w:szCs w:val="28"/>
        </w:rPr>
        <w:lastRenderedPageBreak/>
        <w:t>accused in the courts and in the legislature, promoting excellence in the practice of criminal law through education, training and mutual assistance, and fostering public awareness of citizens’ rights, the criminal justice system, and the role of the defense lawyer.</w:t>
      </w:r>
    </w:p>
    <w:p w14:paraId="18A42B03" w14:textId="1A3C6601" w:rsidR="00327BAA" w:rsidRDefault="00327BAA" w:rsidP="001D0E6C">
      <w:pPr>
        <w:spacing w:line="480" w:lineRule="auto"/>
        <w:ind w:firstLine="720"/>
        <w:jc w:val="both"/>
        <w:rPr>
          <w:rFonts w:ascii="Times New Roman" w:hAnsi="Times New Roman"/>
          <w:sz w:val="28"/>
          <w:szCs w:val="28"/>
        </w:rPr>
      </w:pPr>
      <w:r w:rsidRPr="00327BAA">
        <w:rPr>
          <w:rFonts w:ascii="Times New Roman" w:hAnsi="Times New Roman"/>
          <w:sz w:val="28"/>
          <w:szCs w:val="28"/>
        </w:rPr>
        <w:t>PCPD is the second largest indigent defense agency in Arizona tasked with defending those accused of felony offenses. Its eighty attorneys represent many thousands of clients every year on felony charges, both in Superior Court and in Juvenile Court. PCPD has a small appellate unit that represents clients in criminal cases before the Arizona Court of Appeals, the Arizona Supreme Court, and, on occasion, the Supreme Court of the United States. The appellate courts of this state publish opinions in several of PCPD’s cases every year.</w:t>
      </w:r>
    </w:p>
    <w:p w14:paraId="21DA0057" w14:textId="05851330" w:rsidR="00E466AC" w:rsidRDefault="00E466AC" w:rsidP="001D0E6C">
      <w:pPr>
        <w:spacing w:line="480" w:lineRule="auto"/>
        <w:ind w:firstLine="720"/>
        <w:jc w:val="both"/>
        <w:rPr>
          <w:rFonts w:ascii="Times New Roman" w:hAnsi="Times New Roman"/>
          <w:sz w:val="28"/>
          <w:szCs w:val="28"/>
        </w:rPr>
      </w:pPr>
      <w:r>
        <w:rPr>
          <w:rFonts w:ascii="Times New Roman" w:hAnsi="Times New Roman"/>
          <w:sz w:val="28"/>
          <w:szCs w:val="28"/>
        </w:rPr>
        <w:t>AACJ</w:t>
      </w:r>
      <w:r w:rsidR="00327BAA">
        <w:rPr>
          <w:rFonts w:ascii="Times New Roman" w:hAnsi="Times New Roman"/>
          <w:sz w:val="28"/>
          <w:szCs w:val="28"/>
        </w:rPr>
        <w:t xml:space="preserve"> and PCPD</w:t>
      </w:r>
      <w:r>
        <w:rPr>
          <w:rFonts w:ascii="Times New Roman" w:hAnsi="Times New Roman"/>
          <w:sz w:val="28"/>
          <w:szCs w:val="28"/>
        </w:rPr>
        <w:t xml:space="preserve"> </w:t>
      </w:r>
      <w:r w:rsidR="00327BAA">
        <w:rPr>
          <w:rFonts w:ascii="Times New Roman" w:hAnsi="Times New Roman"/>
          <w:sz w:val="28"/>
          <w:szCs w:val="28"/>
        </w:rPr>
        <w:t>support</w:t>
      </w:r>
      <w:r>
        <w:rPr>
          <w:rFonts w:ascii="Times New Roman" w:hAnsi="Times New Roman"/>
          <w:sz w:val="28"/>
          <w:szCs w:val="28"/>
        </w:rPr>
        <w:t xml:space="preserve"> the </w:t>
      </w:r>
      <w:r w:rsidR="00077E06">
        <w:rPr>
          <w:rFonts w:ascii="Times New Roman" w:hAnsi="Times New Roman"/>
          <w:sz w:val="28"/>
          <w:szCs w:val="28"/>
        </w:rPr>
        <w:t>proposal of the Advisory Committee on Rules of Evidence to amend</w:t>
      </w:r>
      <w:r>
        <w:rPr>
          <w:rFonts w:ascii="Times New Roman" w:hAnsi="Times New Roman"/>
          <w:sz w:val="28"/>
          <w:szCs w:val="28"/>
        </w:rPr>
        <w:t xml:space="preserve"> Ariz. R. Evid. 404</w:t>
      </w:r>
      <w:r w:rsidR="00077E06">
        <w:rPr>
          <w:rFonts w:ascii="Times New Roman" w:hAnsi="Times New Roman"/>
          <w:sz w:val="28"/>
          <w:szCs w:val="28"/>
        </w:rPr>
        <w:t>(b)</w:t>
      </w:r>
      <w:r>
        <w:rPr>
          <w:rFonts w:ascii="Times New Roman" w:hAnsi="Times New Roman"/>
          <w:sz w:val="28"/>
          <w:szCs w:val="28"/>
        </w:rPr>
        <w:t>.</w:t>
      </w:r>
      <w:r w:rsidR="005E3003">
        <w:rPr>
          <w:rFonts w:ascii="Times New Roman" w:hAnsi="Times New Roman"/>
          <w:sz w:val="28"/>
          <w:szCs w:val="28"/>
        </w:rPr>
        <w:t xml:space="preserve"> First, it will harmonize Arizona’s rule with the Federal Rule of Evidence. Second, it will ensure that the State and the defense comply with their disclosure obligations. Third, i</w:t>
      </w:r>
      <w:r w:rsidR="00295ADD">
        <w:rPr>
          <w:rFonts w:ascii="Times New Roman" w:hAnsi="Times New Roman"/>
          <w:sz w:val="28"/>
          <w:szCs w:val="28"/>
        </w:rPr>
        <w:t>t will provide much needed guidance to trial court judges and practitioners</w:t>
      </w:r>
      <w:r w:rsidR="005E3003">
        <w:rPr>
          <w:rFonts w:ascii="Times New Roman" w:hAnsi="Times New Roman"/>
          <w:sz w:val="28"/>
          <w:szCs w:val="28"/>
        </w:rPr>
        <w:t xml:space="preserve"> who often struggle with the nuances of Rule 404(b).</w:t>
      </w:r>
    </w:p>
    <w:p w14:paraId="626A7927" w14:textId="021A0D1B" w:rsidR="005E3003" w:rsidRDefault="005E3003" w:rsidP="001D0E6C">
      <w:pPr>
        <w:spacing w:line="480" w:lineRule="auto"/>
        <w:ind w:firstLine="720"/>
        <w:jc w:val="both"/>
        <w:rPr>
          <w:rFonts w:ascii="Times New Roman" w:hAnsi="Times New Roman"/>
          <w:sz w:val="28"/>
          <w:szCs w:val="28"/>
        </w:rPr>
      </w:pPr>
      <w:r>
        <w:rPr>
          <w:rFonts w:ascii="Times New Roman" w:hAnsi="Times New Roman"/>
          <w:sz w:val="28"/>
          <w:szCs w:val="28"/>
        </w:rPr>
        <w:t>When this Court established the Advisory Committee on Rules of Evidence in 201</w:t>
      </w:r>
      <w:r w:rsidR="002A36E1">
        <w:rPr>
          <w:rFonts w:ascii="Times New Roman" w:hAnsi="Times New Roman"/>
          <w:sz w:val="28"/>
          <w:szCs w:val="28"/>
        </w:rPr>
        <w:t>2</w:t>
      </w:r>
      <w:r>
        <w:rPr>
          <w:rFonts w:ascii="Times New Roman" w:hAnsi="Times New Roman"/>
          <w:sz w:val="28"/>
          <w:szCs w:val="28"/>
        </w:rPr>
        <w:t>, it</w:t>
      </w:r>
      <w:r w:rsidR="00386CFE">
        <w:rPr>
          <w:rFonts w:ascii="Times New Roman" w:hAnsi="Times New Roman"/>
          <w:sz w:val="28"/>
          <w:szCs w:val="28"/>
        </w:rPr>
        <w:t xml:space="preserve">s mission was to continue the work of the previous Ad Hoc Committee on Rules of Evidence that accomplished a comprehensive restyling of the Rules and </w:t>
      </w:r>
      <w:r w:rsidR="00386CFE">
        <w:rPr>
          <w:rFonts w:ascii="Times New Roman" w:hAnsi="Times New Roman"/>
          <w:sz w:val="28"/>
          <w:szCs w:val="28"/>
        </w:rPr>
        <w:lastRenderedPageBreak/>
        <w:t xml:space="preserve">helped them come into conformity with the Federal Rules where appropriate. In particular, by affirmatively choosing to use the same language as the federal rules, our state can look to other jurisdictions for persuasive authority in interpreting our own rules. </w:t>
      </w:r>
      <w:r w:rsidR="00386CFE" w:rsidRPr="00386CFE">
        <w:rPr>
          <w:rFonts w:ascii="Times New Roman" w:hAnsi="Times New Roman"/>
          <w:i/>
          <w:sz w:val="28"/>
          <w:szCs w:val="28"/>
        </w:rPr>
        <w:t>See Phillips v. O’Neil</w:t>
      </w:r>
      <w:r w:rsidR="00386CFE">
        <w:rPr>
          <w:rFonts w:ascii="Times New Roman" w:hAnsi="Times New Roman"/>
          <w:sz w:val="28"/>
          <w:szCs w:val="28"/>
        </w:rPr>
        <w:t xml:space="preserve">, 243 Ariz. 299, 302 ¶ 13 (2017) (citing </w:t>
      </w:r>
      <w:r w:rsidR="00386CFE" w:rsidRPr="00386CFE">
        <w:rPr>
          <w:rFonts w:ascii="Times New Roman" w:hAnsi="Times New Roman"/>
          <w:i/>
          <w:sz w:val="28"/>
          <w:szCs w:val="28"/>
        </w:rPr>
        <w:t>State v. Salazar-Mercado</w:t>
      </w:r>
      <w:r w:rsidR="00386CFE">
        <w:rPr>
          <w:rFonts w:ascii="Times New Roman" w:hAnsi="Times New Roman"/>
          <w:sz w:val="28"/>
          <w:szCs w:val="28"/>
        </w:rPr>
        <w:t>, 234 Ariz. 590</w:t>
      </w:r>
      <w:r w:rsidR="0060353C">
        <w:rPr>
          <w:rFonts w:ascii="Times New Roman" w:hAnsi="Times New Roman"/>
          <w:sz w:val="28"/>
          <w:szCs w:val="28"/>
        </w:rPr>
        <w:t>, 592-93 ¶ 7</w:t>
      </w:r>
      <w:r w:rsidR="00386CFE">
        <w:rPr>
          <w:rFonts w:ascii="Times New Roman" w:hAnsi="Times New Roman"/>
          <w:sz w:val="28"/>
          <w:szCs w:val="28"/>
        </w:rPr>
        <w:t xml:space="preserve"> (2014)).</w:t>
      </w:r>
      <w:r w:rsidR="0060353C">
        <w:rPr>
          <w:rFonts w:ascii="Times New Roman" w:hAnsi="Times New Roman"/>
          <w:sz w:val="28"/>
          <w:szCs w:val="28"/>
        </w:rPr>
        <w:t xml:space="preserve"> </w:t>
      </w:r>
      <w:r w:rsidR="003B384D">
        <w:rPr>
          <w:rFonts w:ascii="Times New Roman" w:hAnsi="Times New Roman"/>
          <w:sz w:val="28"/>
          <w:szCs w:val="28"/>
        </w:rPr>
        <w:t>“</w:t>
      </w:r>
      <w:r w:rsidR="003B384D" w:rsidRPr="003B384D">
        <w:rPr>
          <w:rFonts w:ascii="Times New Roman" w:hAnsi="Times New Roman"/>
          <w:sz w:val="28"/>
          <w:szCs w:val="28"/>
        </w:rPr>
        <w:t>Although the federal courts’ interpretation of the Federal Rules of Evidence does not control our interpretation of our own evidentiary rules, federal precedent is particularly persuasive given that we have expressly sought to conform our rules to the federal rules.</w:t>
      </w:r>
      <w:r w:rsidR="003B384D">
        <w:rPr>
          <w:rFonts w:ascii="Times New Roman" w:hAnsi="Times New Roman"/>
          <w:sz w:val="28"/>
          <w:szCs w:val="28"/>
        </w:rPr>
        <w:t xml:space="preserve">” </w:t>
      </w:r>
      <w:r w:rsidR="003B384D" w:rsidRPr="003B384D">
        <w:rPr>
          <w:rFonts w:ascii="Times New Roman" w:hAnsi="Times New Roman"/>
          <w:i/>
          <w:sz w:val="28"/>
          <w:szCs w:val="28"/>
        </w:rPr>
        <w:t>State v. Winegardner</w:t>
      </w:r>
      <w:r w:rsidR="003B384D">
        <w:rPr>
          <w:rFonts w:ascii="Times New Roman" w:hAnsi="Times New Roman"/>
          <w:sz w:val="28"/>
          <w:szCs w:val="28"/>
        </w:rPr>
        <w:t>, 243 Ariz. 482, 485 ¶ 8 (2018).</w:t>
      </w:r>
      <w:r w:rsidR="003B384D" w:rsidRPr="003B384D">
        <w:rPr>
          <w:rFonts w:ascii="Times New Roman" w:hAnsi="Times New Roman"/>
          <w:sz w:val="28"/>
          <w:szCs w:val="28"/>
        </w:rPr>
        <w:t xml:space="preserve"> </w:t>
      </w:r>
      <w:r w:rsidR="00181DEB">
        <w:rPr>
          <w:rFonts w:ascii="Times New Roman" w:hAnsi="Times New Roman"/>
          <w:sz w:val="28"/>
          <w:szCs w:val="28"/>
        </w:rPr>
        <w:t xml:space="preserve">As it relates to Rule 404(b), this Court has historically found that defendants are entitled to greater protection from admission of other-act evidence by requiring </w:t>
      </w:r>
      <w:r w:rsidR="00DC787E">
        <w:rPr>
          <w:rFonts w:ascii="Times New Roman" w:hAnsi="Times New Roman"/>
          <w:sz w:val="28"/>
          <w:szCs w:val="28"/>
        </w:rPr>
        <w:t>a higher standard of proof</w:t>
      </w:r>
      <w:r w:rsidR="00181DEB">
        <w:rPr>
          <w:rFonts w:ascii="Times New Roman" w:hAnsi="Times New Roman"/>
          <w:sz w:val="28"/>
          <w:szCs w:val="28"/>
        </w:rPr>
        <w:t xml:space="preserve">. </w:t>
      </w:r>
      <w:r w:rsidR="00181DEB" w:rsidRPr="00181DEB">
        <w:rPr>
          <w:rFonts w:ascii="Times New Roman" w:hAnsi="Times New Roman"/>
          <w:i/>
          <w:sz w:val="28"/>
          <w:szCs w:val="28"/>
        </w:rPr>
        <w:t>Compare Huddleston v. United States</w:t>
      </w:r>
      <w:r w:rsidR="00181DEB">
        <w:rPr>
          <w:rFonts w:ascii="Times New Roman" w:hAnsi="Times New Roman"/>
          <w:sz w:val="28"/>
          <w:szCs w:val="28"/>
        </w:rPr>
        <w:t>, 465 U.S. 681</w:t>
      </w:r>
      <w:r w:rsidR="00DC787E">
        <w:rPr>
          <w:rFonts w:ascii="Times New Roman" w:hAnsi="Times New Roman"/>
          <w:sz w:val="28"/>
          <w:szCs w:val="28"/>
        </w:rPr>
        <w:t>, 689-91</w:t>
      </w:r>
      <w:r w:rsidR="00181DEB">
        <w:rPr>
          <w:rFonts w:ascii="Times New Roman" w:hAnsi="Times New Roman"/>
          <w:sz w:val="28"/>
          <w:szCs w:val="28"/>
        </w:rPr>
        <w:t xml:space="preserve"> (1988) (other-act evidence admissible if it is established by preponderance of the evidence), </w:t>
      </w:r>
      <w:r w:rsidR="00181DEB" w:rsidRPr="00181DEB">
        <w:rPr>
          <w:rFonts w:ascii="Times New Roman" w:hAnsi="Times New Roman"/>
          <w:i/>
          <w:sz w:val="28"/>
          <w:szCs w:val="28"/>
        </w:rPr>
        <w:t>with State v. Terrazas</w:t>
      </w:r>
      <w:r w:rsidR="00181DEB">
        <w:rPr>
          <w:rFonts w:ascii="Times New Roman" w:hAnsi="Times New Roman"/>
          <w:sz w:val="28"/>
          <w:szCs w:val="28"/>
        </w:rPr>
        <w:t xml:space="preserve">, 189 Ariz. 580, </w:t>
      </w:r>
      <w:r w:rsidR="00DC787E">
        <w:rPr>
          <w:rFonts w:ascii="Times New Roman" w:hAnsi="Times New Roman"/>
          <w:sz w:val="28"/>
          <w:szCs w:val="28"/>
        </w:rPr>
        <w:t xml:space="preserve">584 </w:t>
      </w:r>
      <w:r w:rsidR="00181DEB">
        <w:rPr>
          <w:rFonts w:ascii="Times New Roman" w:hAnsi="Times New Roman"/>
          <w:sz w:val="28"/>
          <w:szCs w:val="28"/>
        </w:rPr>
        <w:t xml:space="preserve">(1997) (rejecting </w:t>
      </w:r>
      <w:r w:rsidR="00181DEB" w:rsidRPr="00181DEB">
        <w:rPr>
          <w:rFonts w:ascii="Times New Roman" w:hAnsi="Times New Roman"/>
          <w:i/>
          <w:sz w:val="28"/>
          <w:szCs w:val="28"/>
        </w:rPr>
        <w:t>Huddleston</w:t>
      </w:r>
      <w:r w:rsidR="00181DEB">
        <w:rPr>
          <w:rFonts w:ascii="Times New Roman" w:hAnsi="Times New Roman"/>
          <w:sz w:val="28"/>
          <w:szCs w:val="28"/>
        </w:rPr>
        <w:t xml:space="preserve"> and requiring proof by clear and convincing evidence).</w:t>
      </w:r>
    </w:p>
    <w:p w14:paraId="29B59A73" w14:textId="7FD7E3D4" w:rsidR="003B384D" w:rsidRDefault="003B384D"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As </w:t>
      </w:r>
      <w:r w:rsidR="00DC787E">
        <w:rPr>
          <w:rFonts w:ascii="Times New Roman" w:hAnsi="Times New Roman"/>
          <w:sz w:val="28"/>
          <w:szCs w:val="28"/>
        </w:rPr>
        <w:t>evidence</w:t>
      </w:r>
      <w:r>
        <w:rPr>
          <w:rFonts w:ascii="Times New Roman" w:hAnsi="Times New Roman"/>
          <w:sz w:val="28"/>
          <w:szCs w:val="28"/>
        </w:rPr>
        <w:t xml:space="preserve"> rules </w:t>
      </w:r>
      <w:r w:rsidR="00DC787E">
        <w:rPr>
          <w:rFonts w:ascii="Times New Roman" w:hAnsi="Times New Roman"/>
          <w:sz w:val="28"/>
          <w:szCs w:val="28"/>
        </w:rPr>
        <w:t>are procedural and</w:t>
      </w:r>
      <w:r>
        <w:rPr>
          <w:rFonts w:ascii="Times New Roman" w:hAnsi="Times New Roman"/>
          <w:sz w:val="28"/>
          <w:szCs w:val="28"/>
        </w:rPr>
        <w:t xml:space="preserve"> not substantive laws, there is value in having judges and practitioners who are experienced in both state and federal court avoid confusion between two different sets of rules when interpreting our own state’s rules. This is especially true when the </w:t>
      </w:r>
      <w:r w:rsidR="00181DEB">
        <w:rPr>
          <w:rFonts w:ascii="Times New Roman" w:hAnsi="Times New Roman"/>
          <w:sz w:val="28"/>
          <w:szCs w:val="28"/>
        </w:rPr>
        <w:t>change in the rule does not impact what kind of evidence is admissible but only the notice requirements for the parties.</w:t>
      </w:r>
    </w:p>
    <w:p w14:paraId="6DCC580E" w14:textId="1FA034D1" w:rsidR="00E466AC" w:rsidRDefault="00181DEB" w:rsidP="001D0E6C">
      <w:pPr>
        <w:spacing w:line="480" w:lineRule="auto"/>
        <w:ind w:firstLine="720"/>
        <w:jc w:val="both"/>
        <w:rPr>
          <w:rFonts w:ascii="Times New Roman" w:hAnsi="Times New Roman"/>
          <w:sz w:val="28"/>
          <w:szCs w:val="28"/>
        </w:rPr>
      </w:pPr>
      <w:r>
        <w:rPr>
          <w:rFonts w:ascii="Times New Roman" w:hAnsi="Times New Roman"/>
          <w:sz w:val="28"/>
          <w:szCs w:val="28"/>
        </w:rPr>
        <w:lastRenderedPageBreak/>
        <w:t xml:space="preserve">Improved notice requirements will be extremely valuable not only in the trial court, but for the appellate practitioners and courts that may be asked to review </w:t>
      </w:r>
      <w:r w:rsidR="00DC787E">
        <w:rPr>
          <w:rFonts w:ascii="Times New Roman" w:hAnsi="Times New Roman"/>
          <w:sz w:val="28"/>
          <w:szCs w:val="28"/>
        </w:rPr>
        <w:t xml:space="preserve">claims of erroneous admission. Currently, Rule 404(b) merely states that other-act evidence may be admissible for a proper purpose, and Ariz. R. Crim. P. 15.1(b)(7) requires only that the State provide “a list of the defendant’s other acts the State intendsd to use at trial.” Without any rule that requires the parties to explain which proper purpose applies to a particular piece of other-act evidence, the parties lack the proper motivation to analyze the admissibility of that evidence. Instead, it is common for parties to rely on </w:t>
      </w:r>
      <w:r w:rsidR="00327BAA">
        <w:rPr>
          <w:rFonts w:ascii="Times New Roman" w:hAnsi="Times New Roman"/>
          <w:sz w:val="28"/>
          <w:szCs w:val="28"/>
        </w:rPr>
        <w:t>common use of the words in Rule</w:t>
      </w:r>
      <w:r w:rsidR="00DC787E">
        <w:rPr>
          <w:rFonts w:ascii="Times New Roman" w:hAnsi="Times New Roman"/>
          <w:sz w:val="28"/>
          <w:szCs w:val="28"/>
        </w:rPr>
        <w:t xml:space="preserve"> 404(b), rather than interpretations from appellate cases or treatises.</w:t>
      </w:r>
    </w:p>
    <w:p w14:paraId="0C96279B" w14:textId="237EC322" w:rsidR="00327BAA" w:rsidRDefault="00327BAA" w:rsidP="007275B6">
      <w:pPr>
        <w:spacing w:line="480" w:lineRule="auto"/>
        <w:ind w:firstLine="720"/>
        <w:jc w:val="both"/>
        <w:rPr>
          <w:rFonts w:ascii="Times New Roman" w:hAnsi="Times New Roman"/>
          <w:sz w:val="28"/>
          <w:szCs w:val="28"/>
        </w:rPr>
      </w:pPr>
      <w:r>
        <w:rPr>
          <w:rFonts w:ascii="Times New Roman" w:hAnsi="Times New Roman"/>
          <w:sz w:val="28"/>
          <w:szCs w:val="28"/>
        </w:rPr>
        <w:t>PCPD encounters countless cases each year where prosecutors seek</w:t>
      </w:r>
      <w:r w:rsidR="00CF43EE">
        <w:rPr>
          <w:rFonts w:ascii="Times New Roman" w:hAnsi="Times New Roman"/>
          <w:sz w:val="28"/>
          <w:szCs w:val="28"/>
        </w:rPr>
        <w:t>, and judges grant,</w:t>
      </w:r>
      <w:r>
        <w:rPr>
          <w:rFonts w:ascii="Times New Roman" w:hAnsi="Times New Roman"/>
          <w:sz w:val="28"/>
          <w:szCs w:val="28"/>
        </w:rPr>
        <w:t xml:space="preserve"> admission of other-act evidence on bases that have been repeatedly rejected by this Court and the court of appeals. Most notably, eight years after this Court explained in </w:t>
      </w:r>
      <w:r w:rsidRPr="00327BAA">
        <w:rPr>
          <w:rFonts w:ascii="Times New Roman" w:hAnsi="Times New Roman"/>
          <w:i/>
          <w:sz w:val="28"/>
          <w:szCs w:val="28"/>
        </w:rPr>
        <w:t>State v. Ferrero</w:t>
      </w:r>
      <w:r>
        <w:rPr>
          <w:rFonts w:ascii="Times New Roman" w:hAnsi="Times New Roman"/>
          <w:sz w:val="28"/>
          <w:szCs w:val="28"/>
        </w:rPr>
        <w:t>, 229 Ariz. 239</w:t>
      </w:r>
      <w:r w:rsidR="00CF43EE">
        <w:rPr>
          <w:rFonts w:ascii="Times New Roman" w:hAnsi="Times New Roman"/>
          <w:sz w:val="28"/>
          <w:szCs w:val="28"/>
        </w:rPr>
        <w:t>, 243 ¶ 20</w:t>
      </w:r>
      <w:r>
        <w:rPr>
          <w:rFonts w:ascii="Times New Roman" w:hAnsi="Times New Roman"/>
          <w:sz w:val="28"/>
          <w:szCs w:val="28"/>
        </w:rPr>
        <w:t xml:space="preserve"> (2012), that evidence should not be admitted to “complete the story” unless it falls into the narrower category of evidence that qualifies as intrinsic evidence, motions and transcripts of trial court proceedings are still replete with examples of reliance on “</w:t>
      </w:r>
      <w:r w:rsidR="00CF43EE">
        <w:rPr>
          <w:rFonts w:ascii="Times New Roman" w:hAnsi="Times New Roman"/>
          <w:sz w:val="28"/>
          <w:szCs w:val="28"/>
        </w:rPr>
        <w:t>completing the story</w:t>
      </w:r>
      <w:r>
        <w:rPr>
          <w:rFonts w:ascii="Times New Roman" w:hAnsi="Times New Roman"/>
          <w:sz w:val="28"/>
          <w:szCs w:val="28"/>
        </w:rPr>
        <w:t xml:space="preserve">” </w:t>
      </w:r>
      <w:r w:rsidR="00CF43EE">
        <w:rPr>
          <w:rFonts w:ascii="Times New Roman" w:hAnsi="Times New Roman"/>
          <w:sz w:val="28"/>
          <w:szCs w:val="28"/>
        </w:rPr>
        <w:t xml:space="preserve">without any citation to </w:t>
      </w:r>
      <w:r w:rsidR="00CF43EE" w:rsidRPr="00CF43EE">
        <w:rPr>
          <w:rFonts w:ascii="Times New Roman" w:hAnsi="Times New Roman"/>
          <w:i/>
          <w:sz w:val="28"/>
          <w:szCs w:val="28"/>
        </w:rPr>
        <w:t>Ferrero</w:t>
      </w:r>
      <w:r w:rsidR="00CF43EE">
        <w:rPr>
          <w:rFonts w:ascii="Times New Roman" w:hAnsi="Times New Roman"/>
          <w:sz w:val="28"/>
          <w:szCs w:val="28"/>
        </w:rPr>
        <w:t xml:space="preserve">. Because appellate courts must then affirm the trial court’s evidentiary ruling if it is correct for any reason, </w:t>
      </w:r>
      <w:r w:rsidR="00CF43EE" w:rsidRPr="00CF43EE">
        <w:rPr>
          <w:rFonts w:ascii="Times New Roman" w:hAnsi="Times New Roman"/>
          <w:i/>
          <w:sz w:val="28"/>
          <w:szCs w:val="28"/>
        </w:rPr>
        <w:t>see State v. Andriano</w:t>
      </w:r>
      <w:r w:rsidR="00CF43EE">
        <w:rPr>
          <w:rFonts w:ascii="Times New Roman" w:hAnsi="Times New Roman"/>
          <w:sz w:val="28"/>
          <w:szCs w:val="28"/>
        </w:rPr>
        <w:t xml:space="preserve">, </w:t>
      </w:r>
      <w:r w:rsidR="00CF43EE">
        <w:rPr>
          <w:rFonts w:ascii="Times New Roman" w:hAnsi="Times New Roman"/>
          <w:sz w:val="28"/>
          <w:szCs w:val="28"/>
        </w:rPr>
        <w:lastRenderedPageBreak/>
        <w:t xml:space="preserve">215 Ariz. </w:t>
      </w:r>
      <w:r w:rsidR="00B07A76">
        <w:rPr>
          <w:rFonts w:ascii="Times New Roman" w:hAnsi="Times New Roman"/>
          <w:sz w:val="28"/>
          <w:szCs w:val="28"/>
        </w:rPr>
        <w:t xml:space="preserve">497, 503  ¶ 26 </w:t>
      </w:r>
      <w:r w:rsidR="00CF43EE">
        <w:rPr>
          <w:rFonts w:ascii="Times New Roman" w:hAnsi="Times New Roman"/>
          <w:sz w:val="28"/>
          <w:szCs w:val="28"/>
        </w:rPr>
        <w:t>(2007), appellate attorneys and courts are then left to resolve whether any of the proper purposes in Rule 404(b) could apply.</w:t>
      </w:r>
      <w:r w:rsidR="007275B6">
        <w:rPr>
          <w:rFonts w:ascii="Times New Roman" w:hAnsi="Times New Roman"/>
          <w:sz w:val="28"/>
          <w:szCs w:val="28"/>
        </w:rPr>
        <w:t xml:space="preserve"> </w:t>
      </w:r>
    </w:p>
    <w:p w14:paraId="708F02C7" w14:textId="45D37129" w:rsidR="00E466AC" w:rsidRDefault="00CF43EE" w:rsidP="001D0E6C">
      <w:pPr>
        <w:spacing w:line="480" w:lineRule="auto"/>
        <w:ind w:firstLine="720"/>
        <w:jc w:val="both"/>
        <w:rPr>
          <w:rFonts w:ascii="Times New Roman" w:hAnsi="Times New Roman"/>
          <w:sz w:val="28"/>
          <w:szCs w:val="28"/>
        </w:rPr>
      </w:pPr>
      <w:r>
        <w:rPr>
          <w:rFonts w:ascii="Times New Roman" w:hAnsi="Times New Roman"/>
          <w:sz w:val="28"/>
          <w:szCs w:val="28"/>
        </w:rPr>
        <w:t xml:space="preserve">A classic example </w:t>
      </w:r>
      <w:r w:rsidR="00B07A76">
        <w:rPr>
          <w:rFonts w:ascii="Times New Roman" w:hAnsi="Times New Roman"/>
          <w:sz w:val="28"/>
          <w:szCs w:val="28"/>
        </w:rPr>
        <w:t xml:space="preserve">of the need for the proposed rule change is the case of </w:t>
      </w:r>
      <w:r w:rsidR="00B07A76" w:rsidRPr="00B07A76">
        <w:rPr>
          <w:rFonts w:ascii="Times New Roman" w:hAnsi="Times New Roman"/>
          <w:i/>
          <w:sz w:val="28"/>
          <w:szCs w:val="28"/>
        </w:rPr>
        <w:t>State v. McKerlie</w:t>
      </w:r>
      <w:r w:rsidR="00B07A76">
        <w:rPr>
          <w:rFonts w:ascii="Times New Roman" w:hAnsi="Times New Roman"/>
          <w:sz w:val="28"/>
          <w:szCs w:val="28"/>
        </w:rPr>
        <w:t xml:space="preserve">, 2 CA-CR 2015-0305, 2017 WL 977021 (mem., March 14, 2017). In that case, the defendant was charged with possession of child pornography while he was on federal probation for a prior conviction for possession of child pornography. The State </w:t>
      </w:r>
      <w:r w:rsidR="007E3F63">
        <w:rPr>
          <w:rFonts w:ascii="Times New Roman" w:hAnsi="Times New Roman"/>
          <w:sz w:val="28"/>
          <w:szCs w:val="28"/>
        </w:rPr>
        <w:t>filed a motion to admit that prior conviction, citing numerous pre-</w:t>
      </w:r>
      <w:r w:rsidR="007E3F63" w:rsidRPr="007E3F63">
        <w:rPr>
          <w:rFonts w:ascii="Times New Roman" w:hAnsi="Times New Roman"/>
          <w:i/>
          <w:sz w:val="28"/>
          <w:szCs w:val="28"/>
        </w:rPr>
        <w:t>Ferrero</w:t>
      </w:r>
      <w:r w:rsidR="007E3F63">
        <w:rPr>
          <w:rFonts w:ascii="Times New Roman" w:hAnsi="Times New Roman"/>
          <w:sz w:val="28"/>
          <w:szCs w:val="28"/>
        </w:rPr>
        <w:t xml:space="preserve"> authorities for “completing the story” and only providing the full list of Rule 404(b) purposes without any explanation which purposes apply and why</w:t>
      </w:r>
      <w:r w:rsidR="00B07A76">
        <w:rPr>
          <w:rFonts w:ascii="Times New Roman" w:hAnsi="Times New Roman"/>
          <w:sz w:val="28"/>
          <w:szCs w:val="28"/>
        </w:rPr>
        <w:t xml:space="preserve">. </w:t>
      </w:r>
      <w:hyperlink r:id="rId12" w:history="1">
        <w:r w:rsidR="007E3F63" w:rsidRPr="007E3F63">
          <w:rPr>
            <w:rStyle w:val="Hyperlink"/>
            <w:rFonts w:ascii="Times New Roman" w:hAnsi="Times New Roman"/>
            <w:sz w:val="28"/>
            <w:szCs w:val="28"/>
          </w:rPr>
          <w:t>Motion</w:t>
        </w:r>
      </w:hyperlink>
      <w:r w:rsidR="007E3F63">
        <w:rPr>
          <w:rFonts w:ascii="Times New Roman" w:hAnsi="Times New Roman"/>
          <w:sz w:val="28"/>
          <w:szCs w:val="28"/>
        </w:rPr>
        <w:t xml:space="preserve"> at 3-4.</w:t>
      </w:r>
      <w:r w:rsidR="007E3F63">
        <w:rPr>
          <w:rStyle w:val="FootnoteReference"/>
          <w:rFonts w:ascii="Times New Roman" w:hAnsi="Times New Roman"/>
          <w:sz w:val="28"/>
          <w:szCs w:val="28"/>
        </w:rPr>
        <w:footnoteReference w:id="1"/>
      </w:r>
      <w:r w:rsidR="007E3F63">
        <w:rPr>
          <w:rFonts w:ascii="Times New Roman" w:hAnsi="Times New Roman"/>
          <w:sz w:val="28"/>
          <w:szCs w:val="28"/>
        </w:rPr>
        <w:t xml:space="preserve"> </w:t>
      </w:r>
      <w:r w:rsidR="00B07A76">
        <w:rPr>
          <w:rFonts w:ascii="Times New Roman" w:hAnsi="Times New Roman"/>
          <w:sz w:val="28"/>
          <w:szCs w:val="28"/>
        </w:rPr>
        <w:t>At the motions hearing, the State, rather than articulate any basis for admission rooted in Rule 404(b), repeatedly used the word “pattern” to describe t</w:t>
      </w:r>
      <w:r w:rsidR="003E2487">
        <w:rPr>
          <w:rFonts w:ascii="Times New Roman" w:hAnsi="Times New Roman"/>
          <w:sz w:val="28"/>
          <w:szCs w:val="28"/>
        </w:rPr>
        <w:t>he proper purpose for admission:</w:t>
      </w:r>
    </w:p>
    <w:p w14:paraId="1042AF96" w14:textId="077F909C" w:rsidR="003E2487" w:rsidRPr="003E2487" w:rsidRDefault="003E2487" w:rsidP="003E2487">
      <w:pPr>
        <w:spacing w:line="240" w:lineRule="auto"/>
        <w:ind w:left="720" w:right="720" w:firstLine="720"/>
        <w:jc w:val="both"/>
        <w:rPr>
          <w:rFonts w:ascii="Times New Roman" w:hAnsi="Times New Roman"/>
          <w:sz w:val="28"/>
          <w:szCs w:val="28"/>
        </w:rPr>
      </w:pPr>
      <w:r w:rsidRPr="003E2487">
        <w:rPr>
          <w:rFonts w:ascii="Times New Roman" w:hAnsi="Times New Roman"/>
          <w:sz w:val="28"/>
          <w:szCs w:val="28"/>
        </w:rPr>
        <w:t>He has used peer-to-peer sharing software. He</w:t>
      </w:r>
      <w:r>
        <w:rPr>
          <w:rFonts w:ascii="Times New Roman" w:hAnsi="Times New Roman"/>
          <w:sz w:val="28"/>
          <w:szCs w:val="28"/>
        </w:rPr>
        <w:t xml:space="preserve"> </w:t>
      </w:r>
      <w:r w:rsidRPr="003E2487">
        <w:rPr>
          <w:rFonts w:ascii="Times New Roman" w:hAnsi="Times New Roman"/>
          <w:sz w:val="28"/>
          <w:szCs w:val="28"/>
        </w:rPr>
        <w:t>downloaded when he was alone, given the time frames of his work</w:t>
      </w:r>
      <w:r>
        <w:rPr>
          <w:rFonts w:ascii="Times New Roman" w:hAnsi="Times New Roman"/>
          <w:sz w:val="28"/>
          <w:szCs w:val="28"/>
        </w:rPr>
        <w:t xml:space="preserve"> </w:t>
      </w:r>
      <w:r w:rsidRPr="003E2487">
        <w:rPr>
          <w:rFonts w:ascii="Times New Roman" w:hAnsi="Times New Roman"/>
          <w:sz w:val="28"/>
          <w:szCs w:val="28"/>
        </w:rPr>
        <w:t>schedule and his wife's statement. And FBI also finds evidence</w:t>
      </w:r>
      <w:r>
        <w:rPr>
          <w:rFonts w:ascii="Times New Roman" w:hAnsi="Times New Roman"/>
          <w:sz w:val="28"/>
          <w:szCs w:val="28"/>
        </w:rPr>
        <w:t xml:space="preserve"> </w:t>
      </w:r>
      <w:r w:rsidRPr="003E2487">
        <w:rPr>
          <w:rFonts w:ascii="Times New Roman" w:hAnsi="Times New Roman"/>
          <w:sz w:val="28"/>
          <w:szCs w:val="28"/>
        </w:rPr>
        <w:t>that he tried to delete these files, but, again, they remained</w:t>
      </w:r>
    </w:p>
    <w:p w14:paraId="6956CE9A" w14:textId="77777777" w:rsidR="003E2487" w:rsidRPr="003E2487" w:rsidRDefault="003E2487" w:rsidP="003E2487">
      <w:pPr>
        <w:spacing w:line="240" w:lineRule="auto"/>
        <w:ind w:left="720" w:right="720"/>
        <w:jc w:val="both"/>
        <w:rPr>
          <w:rFonts w:ascii="Times New Roman" w:hAnsi="Times New Roman"/>
          <w:sz w:val="28"/>
          <w:szCs w:val="28"/>
        </w:rPr>
      </w:pPr>
      <w:r w:rsidRPr="003E2487">
        <w:rPr>
          <w:rFonts w:ascii="Times New Roman" w:hAnsi="Times New Roman"/>
          <w:sz w:val="28"/>
          <w:szCs w:val="28"/>
        </w:rPr>
        <w:t>on the shared files.</w:t>
      </w:r>
    </w:p>
    <w:p w14:paraId="53ADFC93" w14:textId="63386F1A" w:rsidR="003E2487" w:rsidRPr="003E2487" w:rsidRDefault="003E2487" w:rsidP="003E2487">
      <w:pPr>
        <w:spacing w:line="240" w:lineRule="auto"/>
        <w:ind w:left="720" w:right="720" w:firstLine="720"/>
        <w:jc w:val="both"/>
        <w:rPr>
          <w:rFonts w:ascii="Times New Roman" w:hAnsi="Times New Roman"/>
          <w:sz w:val="28"/>
          <w:szCs w:val="28"/>
        </w:rPr>
      </w:pPr>
      <w:r w:rsidRPr="003E2487">
        <w:rPr>
          <w:rFonts w:ascii="Times New Roman" w:hAnsi="Times New Roman"/>
          <w:sz w:val="28"/>
          <w:szCs w:val="28"/>
        </w:rPr>
        <w:t>So because of that pattern, it</w:t>
      </w:r>
      <w:r>
        <w:rPr>
          <w:rFonts w:ascii="Times New Roman" w:hAnsi="Times New Roman"/>
          <w:sz w:val="28"/>
          <w:szCs w:val="28"/>
        </w:rPr>
        <w:t>’</w:t>
      </w:r>
      <w:r w:rsidRPr="003E2487">
        <w:rPr>
          <w:rFonts w:ascii="Times New Roman" w:hAnsi="Times New Roman"/>
          <w:sz w:val="28"/>
          <w:szCs w:val="28"/>
        </w:rPr>
        <w:t>s essential for the</w:t>
      </w:r>
      <w:r>
        <w:rPr>
          <w:rFonts w:ascii="Times New Roman" w:hAnsi="Times New Roman"/>
          <w:sz w:val="28"/>
          <w:szCs w:val="28"/>
        </w:rPr>
        <w:t xml:space="preserve"> </w:t>
      </w:r>
      <w:r w:rsidRPr="003E2487">
        <w:rPr>
          <w:rFonts w:ascii="Times New Roman" w:hAnsi="Times New Roman"/>
          <w:sz w:val="28"/>
          <w:szCs w:val="28"/>
        </w:rPr>
        <w:t>State to be able to present that evidence of his scheme, his</w:t>
      </w:r>
      <w:r>
        <w:rPr>
          <w:rFonts w:ascii="Times New Roman" w:hAnsi="Times New Roman"/>
          <w:sz w:val="28"/>
          <w:szCs w:val="28"/>
        </w:rPr>
        <w:t xml:space="preserve"> </w:t>
      </w:r>
      <w:r w:rsidRPr="003E2487">
        <w:rPr>
          <w:rFonts w:ascii="Times New Roman" w:hAnsi="Times New Roman"/>
          <w:sz w:val="28"/>
          <w:szCs w:val="28"/>
        </w:rPr>
        <w:t>plan, his absence of mistake, his pattern of downloading, how</w:t>
      </w:r>
      <w:r>
        <w:rPr>
          <w:rFonts w:ascii="Times New Roman" w:hAnsi="Times New Roman"/>
          <w:sz w:val="28"/>
          <w:szCs w:val="28"/>
        </w:rPr>
        <w:t xml:space="preserve"> </w:t>
      </w:r>
      <w:r w:rsidRPr="003E2487">
        <w:rPr>
          <w:rFonts w:ascii="Times New Roman" w:hAnsi="Times New Roman"/>
          <w:sz w:val="28"/>
          <w:szCs w:val="28"/>
        </w:rPr>
        <w:t>he does it, what his affinity is for these downloading, and</w:t>
      </w:r>
      <w:r>
        <w:rPr>
          <w:rFonts w:ascii="Times New Roman" w:hAnsi="Times New Roman"/>
          <w:sz w:val="28"/>
          <w:szCs w:val="28"/>
        </w:rPr>
        <w:t xml:space="preserve"> </w:t>
      </w:r>
      <w:r w:rsidRPr="003E2487">
        <w:rPr>
          <w:rFonts w:ascii="Times New Roman" w:hAnsi="Times New Roman"/>
          <w:sz w:val="28"/>
          <w:szCs w:val="28"/>
        </w:rPr>
        <w:t>also the fact that he tries to delete these files but they</w:t>
      </w:r>
      <w:r>
        <w:rPr>
          <w:rFonts w:ascii="Times New Roman" w:hAnsi="Times New Roman"/>
          <w:sz w:val="28"/>
          <w:szCs w:val="28"/>
        </w:rPr>
        <w:t xml:space="preserve"> </w:t>
      </w:r>
      <w:r w:rsidRPr="003E2487">
        <w:rPr>
          <w:rFonts w:ascii="Times New Roman" w:hAnsi="Times New Roman"/>
          <w:sz w:val="28"/>
          <w:szCs w:val="28"/>
        </w:rPr>
        <w:t>remain on the hard drive shared.</w:t>
      </w:r>
    </w:p>
    <w:p w14:paraId="5AF92C4B" w14:textId="2304A93C" w:rsidR="003E2487" w:rsidRPr="003E2487" w:rsidRDefault="003E2487" w:rsidP="003E2487">
      <w:pPr>
        <w:spacing w:line="240" w:lineRule="auto"/>
        <w:ind w:left="720" w:right="720"/>
        <w:jc w:val="both"/>
        <w:rPr>
          <w:rFonts w:ascii="Times New Roman" w:hAnsi="Times New Roman"/>
          <w:sz w:val="28"/>
          <w:szCs w:val="28"/>
        </w:rPr>
      </w:pPr>
      <w:r w:rsidRPr="003E2487">
        <w:rPr>
          <w:rFonts w:ascii="Times New Roman" w:hAnsi="Times New Roman"/>
          <w:sz w:val="28"/>
          <w:szCs w:val="28"/>
        </w:rPr>
        <w:t xml:space="preserve">THE COURT: </w:t>
      </w:r>
      <w:r>
        <w:rPr>
          <w:rFonts w:ascii="Times New Roman" w:hAnsi="Times New Roman"/>
          <w:sz w:val="28"/>
          <w:szCs w:val="28"/>
        </w:rPr>
        <w:t>[ ]</w:t>
      </w:r>
      <w:r w:rsidRPr="003E2487">
        <w:rPr>
          <w:rFonts w:ascii="Times New Roman" w:hAnsi="Times New Roman"/>
          <w:sz w:val="28"/>
          <w:szCs w:val="28"/>
        </w:rPr>
        <w:t xml:space="preserve"> so are you requesting that the</w:t>
      </w:r>
      <w:r>
        <w:rPr>
          <w:rFonts w:ascii="Times New Roman" w:hAnsi="Times New Roman"/>
          <w:sz w:val="28"/>
          <w:szCs w:val="28"/>
        </w:rPr>
        <w:t xml:space="preserve"> </w:t>
      </w:r>
      <w:r w:rsidRPr="003E2487">
        <w:rPr>
          <w:rFonts w:ascii="Times New Roman" w:hAnsi="Times New Roman"/>
          <w:sz w:val="28"/>
          <w:szCs w:val="28"/>
        </w:rPr>
        <w:t>Court consider all of the information that you just indicated</w:t>
      </w:r>
      <w:r>
        <w:rPr>
          <w:rFonts w:ascii="Times New Roman" w:hAnsi="Times New Roman"/>
          <w:sz w:val="28"/>
          <w:szCs w:val="28"/>
        </w:rPr>
        <w:t xml:space="preserve"> </w:t>
      </w:r>
      <w:r w:rsidRPr="003E2487">
        <w:rPr>
          <w:rFonts w:ascii="Times New Roman" w:hAnsi="Times New Roman"/>
          <w:sz w:val="28"/>
          <w:szCs w:val="28"/>
        </w:rPr>
        <w:t>as 404(B) or 404(C)?</w:t>
      </w:r>
    </w:p>
    <w:p w14:paraId="5A99BF44" w14:textId="481C8A17" w:rsidR="003E2487" w:rsidRDefault="003E2487" w:rsidP="003E2487">
      <w:pPr>
        <w:spacing w:line="240" w:lineRule="auto"/>
        <w:ind w:left="720" w:right="720"/>
        <w:jc w:val="both"/>
        <w:rPr>
          <w:rFonts w:ascii="Times New Roman" w:hAnsi="Times New Roman"/>
          <w:sz w:val="28"/>
          <w:szCs w:val="28"/>
        </w:rPr>
      </w:pPr>
      <w:r>
        <w:rPr>
          <w:rFonts w:ascii="Times New Roman" w:hAnsi="Times New Roman"/>
          <w:sz w:val="28"/>
          <w:szCs w:val="28"/>
        </w:rPr>
        <w:lastRenderedPageBreak/>
        <w:t>[PROSECUTOR]</w:t>
      </w:r>
      <w:r w:rsidRPr="003E2487">
        <w:rPr>
          <w:rFonts w:ascii="Times New Roman" w:hAnsi="Times New Roman"/>
          <w:sz w:val="28"/>
          <w:szCs w:val="28"/>
        </w:rPr>
        <w:t>: I am asking for both. I think the past</w:t>
      </w:r>
      <w:r>
        <w:rPr>
          <w:rFonts w:ascii="Times New Roman" w:hAnsi="Times New Roman"/>
          <w:sz w:val="28"/>
          <w:szCs w:val="28"/>
        </w:rPr>
        <w:t xml:space="preserve"> definitely shows the 404(B), the motive, the plan</w:t>
      </w:r>
    </w:p>
    <w:p w14:paraId="628FD542" w14:textId="27EA22D8" w:rsidR="003E2487" w:rsidRDefault="003E2487" w:rsidP="003E2487">
      <w:pPr>
        <w:spacing w:line="240" w:lineRule="auto"/>
        <w:ind w:left="720" w:right="720"/>
        <w:jc w:val="both"/>
        <w:rPr>
          <w:rFonts w:ascii="Times New Roman" w:hAnsi="Times New Roman"/>
          <w:sz w:val="28"/>
          <w:szCs w:val="28"/>
        </w:rPr>
      </w:pPr>
      <w:r w:rsidRPr="003E2487">
        <w:rPr>
          <w:rFonts w:ascii="Times New Roman" w:hAnsi="Times New Roman"/>
          <w:sz w:val="28"/>
          <w:szCs w:val="28"/>
        </w:rPr>
        <w:t xml:space="preserve">THE COURT: </w:t>
      </w:r>
      <w:r>
        <w:rPr>
          <w:rFonts w:ascii="Times New Roman" w:hAnsi="Times New Roman"/>
          <w:sz w:val="28"/>
          <w:szCs w:val="28"/>
        </w:rPr>
        <w:t>Absence, mistake.</w:t>
      </w:r>
    </w:p>
    <w:p w14:paraId="5C477ED3" w14:textId="6A388E8E" w:rsidR="003E2487" w:rsidRDefault="003E2487" w:rsidP="003E2487">
      <w:pPr>
        <w:spacing w:line="240" w:lineRule="auto"/>
        <w:ind w:left="720" w:right="720"/>
        <w:jc w:val="both"/>
        <w:rPr>
          <w:rFonts w:ascii="Times New Roman" w:hAnsi="Times New Roman"/>
          <w:sz w:val="28"/>
          <w:szCs w:val="28"/>
        </w:rPr>
      </w:pPr>
      <w:r>
        <w:rPr>
          <w:rFonts w:ascii="Times New Roman" w:hAnsi="Times New Roman"/>
          <w:sz w:val="28"/>
          <w:szCs w:val="28"/>
        </w:rPr>
        <w:t>[PROSECUTOR]</w:t>
      </w:r>
      <w:r w:rsidRPr="003E2487">
        <w:rPr>
          <w:rFonts w:ascii="Times New Roman" w:hAnsi="Times New Roman"/>
          <w:sz w:val="28"/>
          <w:szCs w:val="28"/>
        </w:rPr>
        <w:t>:</w:t>
      </w:r>
      <w:r>
        <w:rPr>
          <w:rFonts w:ascii="Times New Roman" w:hAnsi="Times New Roman"/>
          <w:sz w:val="28"/>
          <w:szCs w:val="28"/>
        </w:rPr>
        <w:t xml:space="preserve"> </w:t>
      </w:r>
      <w:r w:rsidRPr="003E2487">
        <w:rPr>
          <w:rFonts w:ascii="Times New Roman" w:hAnsi="Times New Roman"/>
          <w:sz w:val="28"/>
          <w:szCs w:val="28"/>
        </w:rPr>
        <w:t>All of that. And that</w:t>
      </w:r>
      <w:r>
        <w:rPr>
          <w:rFonts w:ascii="Times New Roman" w:hAnsi="Times New Roman"/>
          <w:sz w:val="28"/>
          <w:szCs w:val="28"/>
        </w:rPr>
        <w:t>’</w:t>
      </w:r>
      <w:r w:rsidRPr="003E2487">
        <w:rPr>
          <w:rFonts w:ascii="Times New Roman" w:hAnsi="Times New Roman"/>
          <w:sz w:val="28"/>
          <w:szCs w:val="28"/>
        </w:rPr>
        <w:t>s important.</w:t>
      </w:r>
      <w:r>
        <w:rPr>
          <w:rFonts w:ascii="Times New Roman" w:hAnsi="Times New Roman"/>
          <w:sz w:val="28"/>
          <w:szCs w:val="28"/>
        </w:rPr>
        <w:t xml:space="preserve"> </w:t>
      </w:r>
      <w:r w:rsidRPr="003E2487">
        <w:rPr>
          <w:rFonts w:ascii="Times New Roman" w:hAnsi="Times New Roman"/>
          <w:sz w:val="28"/>
          <w:szCs w:val="28"/>
        </w:rPr>
        <w:t>As far as the 404(C), it</w:t>
      </w:r>
      <w:r>
        <w:rPr>
          <w:rFonts w:ascii="Times New Roman" w:hAnsi="Times New Roman"/>
          <w:sz w:val="28"/>
          <w:szCs w:val="28"/>
        </w:rPr>
        <w:t>’</w:t>
      </w:r>
      <w:r w:rsidRPr="003E2487">
        <w:rPr>
          <w:rFonts w:ascii="Times New Roman" w:hAnsi="Times New Roman"/>
          <w:sz w:val="28"/>
          <w:szCs w:val="28"/>
        </w:rPr>
        <w:t>s also essential to come in</w:t>
      </w:r>
      <w:r>
        <w:rPr>
          <w:rFonts w:ascii="Times New Roman" w:hAnsi="Times New Roman"/>
          <w:sz w:val="28"/>
          <w:szCs w:val="28"/>
        </w:rPr>
        <w:t xml:space="preserve"> </w:t>
      </w:r>
      <w:r w:rsidRPr="003E2487">
        <w:rPr>
          <w:rFonts w:ascii="Times New Roman" w:hAnsi="Times New Roman"/>
          <w:sz w:val="28"/>
          <w:szCs w:val="28"/>
        </w:rPr>
        <w:t>because that goes to the propensity. It goes to the</w:t>
      </w:r>
      <w:r>
        <w:rPr>
          <w:rFonts w:ascii="Times New Roman" w:hAnsi="Times New Roman"/>
          <w:sz w:val="28"/>
          <w:szCs w:val="28"/>
        </w:rPr>
        <w:t xml:space="preserve"> </w:t>
      </w:r>
      <w:r w:rsidRPr="003E2487">
        <w:rPr>
          <w:rFonts w:ascii="Times New Roman" w:hAnsi="Times New Roman"/>
          <w:sz w:val="28"/>
          <w:szCs w:val="28"/>
        </w:rPr>
        <w:t>propensity.</w:t>
      </w:r>
    </w:p>
    <w:p w14:paraId="16C1BC99" w14:textId="593274FE" w:rsidR="003E2487" w:rsidRDefault="003E2487" w:rsidP="003E2487">
      <w:pPr>
        <w:spacing w:line="240" w:lineRule="auto"/>
        <w:ind w:left="720" w:right="720"/>
        <w:jc w:val="both"/>
        <w:rPr>
          <w:rFonts w:ascii="Times New Roman" w:hAnsi="Times New Roman"/>
          <w:sz w:val="28"/>
          <w:szCs w:val="28"/>
        </w:rPr>
      </w:pPr>
    </w:p>
    <w:p w14:paraId="7FBF214A" w14:textId="2E434E23" w:rsidR="003E2487" w:rsidRDefault="0091770C" w:rsidP="003E2487">
      <w:pPr>
        <w:spacing w:line="480" w:lineRule="auto"/>
        <w:jc w:val="both"/>
        <w:rPr>
          <w:rFonts w:ascii="Times New Roman" w:hAnsi="Times New Roman"/>
          <w:sz w:val="28"/>
          <w:szCs w:val="28"/>
        </w:rPr>
      </w:pPr>
      <w:hyperlink r:id="rId13" w:history="1">
        <w:r w:rsidR="003E2487" w:rsidRPr="003E2487">
          <w:rPr>
            <w:rStyle w:val="Hyperlink"/>
            <w:rFonts w:ascii="Times New Roman" w:hAnsi="Times New Roman"/>
            <w:sz w:val="28"/>
            <w:szCs w:val="28"/>
          </w:rPr>
          <w:t>5/28/15 RT</w:t>
        </w:r>
      </w:hyperlink>
      <w:r w:rsidR="003E2487">
        <w:rPr>
          <w:rFonts w:ascii="Times New Roman" w:hAnsi="Times New Roman"/>
          <w:sz w:val="28"/>
          <w:szCs w:val="28"/>
        </w:rPr>
        <w:t xml:space="preserve"> 6-7. After defense counsel articulated that there was no evidence “</w:t>
      </w:r>
      <w:r w:rsidR="003E2487" w:rsidRPr="003E2487">
        <w:rPr>
          <w:rFonts w:ascii="Times New Roman" w:hAnsi="Times New Roman"/>
          <w:sz w:val="28"/>
          <w:szCs w:val="28"/>
        </w:rPr>
        <w:t>that shows who the person</w:t>
      </w:r>
      <w:r w:rsidR="003E2487">
        <w:rPr>
          <w:rFonts w:ascii="Times New Roman" w:hAnsi="Times New Roman"/>
          <w:sz w:val="28"/>
          <w:szCs w:val="28"/>
        </w:rPr>
        <w:t xml:space="preserve"> </w:t>
      </w:r>
      <w:r w:rsidR="003E2487" w:rsidRPr="003E2487">
        <w:rPr>
          <w:rFonts w:ascii="Times New Roman" w:hAnsi="Times New Roman"/>
          <w:sz w:val="28"/>
          <w:szCs w:val="28"/>
        </w:rPr>
        <w:t>was who downloaded what went into the computer in this 2011</w:t>
      </w:r>
      <w:r w:rsidR="003E2487">
        <w:rPr>
          <w:rFonts w:ascii="Times New Roman" w:hAnsi="Times New Roman"/>
          <w:sz w:val="28"/>
          <w:szCs w:val="28"/>
        </w:rPr>
        <w:t xml:space="preserve"> </w:t>
      </w:r>
      <w:r w:rsidR="003E2487" w:rsidRPr="003E2487">
        <w:rPr>
          <w:rFonts w:ascii="Times New Roman" w:hAnsi="Times New Roman"/>
          <w:sz w:val="28"/>
          <w:szCs w:val="28"/>
        </w:rPr>
        <w:t>case</w:t>
      </w:r>
      <w:r w:rsidR="003E2487">
        <w:rPr>
          <w:rFonts w:ascii="Times New Roman" w:hAnsi="Times New Roman"/>
          <w:sz w:val="28"/>
          <w:szCs w:val="28"/>
        </w:rPr>
        <w:t xml:space="preserve">,” </w:t>
      </w:r>
      <w:hyperlink r:id="rId14" w:history="1">
        <w:r w:rsidR="003E2487" w:rsidRPr="003E2487">
          <w:rPr>
            <w:rStyle w:val="Hyperlink"/>
            <w:rFonts w:ascii="Times New Roman" w:hAnsi="Times New Roman"/>
            <w:i/>
            <w:sz w:val="28"/>
            <w:szCs w:val="28"/>
          </w:rPr>
          <w:t>id</w:t>
        </w:r>
      </w:hyperlink>
      <w:r w:rsidR="003E2487">
        <w:rPr>
          <w:rFonts w:ascii="Times New Roman" w:hAnsi="Times New Roman"/>
          <w:sz w:val="28"/>
          <w:szCs w:val="28"/>
        </w:rPr>
        <w:t>. at 9, the prosecutor again argued the “pattern” of his conduct and that McKerlie “can’t stop</w:t>
      </w:r>
      <w:r w:rsidR="003E2487" w:rsidRPr="003E2487">
        <w:rPr>
          <w:rFonts w:ascii="Times New Roman" w:hAnsi="Times New Roman"/>
          <w:sz w:val="28"/>
          <w:szCs w:val="28"/>
        </w:rPr>
        <w:t>.</w:t>
      </w:r>
      <w:r w:rsidR="003E2487">
        <w:rPr>
          <w:rFonts w:ascii="Times New Roman" w:hAnsi="Times New Roman"/>
          <w:sz w:val="28"/>
          <w:szCs w:val="28"/>
        </w:rPr>
        <w:t xml:space="preserve">” </w:t>
      </w:r>
      <w:hyperlink r:id="rId15" w:history="1">
        <w:r w:rsidR="003E2487" w:rsidRPr="003E2487">
          <w:rPr>
            <w:rStyle w:val="Hyperlink"/>
            <w:rFonts w:ascii="Times New Roman" w:hAnsi="Times New Roman"/>
            <w:i/>
            <w:sz w:val="28"/>
            <w:szCs w:val="28"/>
          </w:rPr>
          <w:t>Id</w:t>
        </w:r>
      </w:hyperlink>
      <w:r w:rsidR="003E2487">
        <w:rPr>
          <w:rFonts w:ascii="Times New Roman" w:hAnsi="Times New Roman"/>
          <w:sz w:val="28"/>
          <w:szCs w:val="28"/>
        </w:rPr>
        <w:t>. at 10, 11. The trial court then ruled the evidence of the prior conviction was admissible under Rule 404(b) but not under Rule 404(c):</w:t>
      </w:r>
    </w:p>
    <w:p w14:paraId="676B67B8" w14:textId="5A1F734D" w:rsidR="003E2487" w:rsidRPr="003E2487" w:rsidRDefault="003E2487" w:rsidP="003E2487">
      <w:pPr>
        <w:spacing w:line="240" w:lineRule="auto"/>
        <w:ind w:left="720" w:right="720"/>
        <w:jc w:val="both"/>
        <w:rPr>
          <w:rFonts w:ascii="Times New Roman" w:hAnsi="Times New Roman"/>
          <w:sz w:val="28"/>
          <w:szCs w:val="28"/>
        </w:rPr>
      </w:pPr>
      <w:r w:rsidRPr="003E2487">
        <w:rPr>
          <w:rFonts w:ascii="Times New Roman" w:hAnsi="Times New Roman"/>
          <w:sz w:val="28"/>
          <w:szCs w:val="28"/>
        </w:rPr>
        <w:t>THE COURT: The Court finds that the prior conviction</w:t>
      </w:r>
      <w:r>
        <w:rPr>
          <w:rFonts w:ascii="Times New Roman" w:hAnsi="Times New Roman"/>
          <w:sz w:val="28"/>
          <w:szCs w:val="28"/>
        </w:rPr>
        <w:t xml:space="preserve"> </w:t>
      </w:r>
      <w:r w:rsidRPr="003E2487">
        <w:rPr>
          <w:rFonts w:ascii="Times New Roman" w:hAnsi="Times New Roman"/>
          <w:sz w:val="28"/>
          <w:szCs w:val="28"/>
        </w:rPr>
        <w:t>of the 2009 prior conviction is relevant and admissible.</w:t>
      </w:r>
    </w:p>
    <w:p w14:paraId="560583A4" w14:textId="08F93005" w:rsidR="003E2487" w:rsidRPr="003E2487" w:rsidRDefault="003E2487" w:rsidP="003E2487">
      <w:pPr>
        <w:spacing w:line="240" w:lineRule="auto"/>
        <w:ind w:left="720" w:right="720" w:firstLine="720"/>
        <w:jc w:val="both"/>
        <w:rPr>
          <w:rFonts w:ascii="Times New Roman" w:hAnsi="Times New Roman"/>
          <w:sz w:val="28"/>
          <w:szCs w:val="28"/>
        </w:rPr>
      </w:pPr>
      <w:r w:rsidRPr="003E2487">
        <w:rPr>
          <w:rFonts w:ascii="Times New Roman" w:hAnsi="Times New Roman"/>
          <w:sz w:val="28"/>
          <w:szCs w:val="28"/>
        </w:rPr>
        <w:t>The Court finds that the probative value outweighs</w:t>
      </w:r>
      <w:r>
        <w:rPr>
          <w:rFonts w:ascii="Times New Roman" w:hAnsi="Times New Roman"/>
          <w:sz w:val="28"/>
          <w:szCs w:val="28"/>
        </w:rPr>
        <w:t xml:space="preserve"> </w:t>
      </w:r>
      <w:r w:rsidRPr="003E2487">
        <w:rPr>
          <w:rFonts w:ascii="Times New Roman" w:hAnsi="Times New Roman"/>
          <w:sz w:val="28"/>
          <w:szCs w:val="28"/>
        </w:rPr>
        <w:t>the danger of any substantial unfair prejudice to Mr. McKerlie.</w:t>
      </w:r>
    </w:p>
    <w:p w14:paraId="2421B6A5" w14:textId="4A116FE0" w:rsidR="003E2487" w:rsidRDefault="003E2487" w:rsidP="003E2487">
      <w:pPr>
        <w:spacing w:line="240" w:lineRule="auto"/>
        <w:ind w:left="720" w:right="720" w:firstLine="720"/>
        <w:jc w:val="both"/>
        <w:rPr>
          <w:rFonts w:ascii="Times New Roman" w:hAnsi="Times New Roman"/>
          <w:sz w:val="28"/>
          <w:szCs w:val="28"/>
        </w:rPr>
      </w:pPr>
      <w:r w:rsidRPr="003E2487">
        <w:rPr>
          <w:rFonts w:ascii="Times New Roman" w:hAnsi="Times New Roman"/>
          <w:sz w:val="28"/>
          <w:szCs w:val="28"/>
        </w:rPr>
        <w:t>The Court finds that the evidence is admissible in</w:t>
      </w:r>
      <w:r>
        <w:rPr>
          <w:rFonts w:ascii="Times New Roman" w:hAnsi="Times New Roman"/>
          <w:sz w:val="28"/>
          <w:szCs w:val="28"/>
        </w:rPr>
        <w:t xml:space="preserve"> </w:t>
      </w:r>
      <w:r w:rsidRPr="003E2487">
        <w:rPr>
          <w:rFonts w:ascii="Times New Roman" w:hAnsi="Times New Roman"/>
          <w:sz w:val="28"/>
          <w:szCs w:val="28"/>
        </w:rPr>
        <w:t>order to show, among other things, proof of motive,</w:t>
      </w:r>
      <w:r>
        <w:rPr>
          <w:rFonts w:ascii="Times New Roman" w:hAnsi="Times New Roman"/>
          <w:sz w:val="28"/>
          <w:szCs w:val="28"/>
        </w:rPr>
        <w:t xml:space="preserve"> </w:t>
      </w:r>
      <w:r w:rsidRPr="003E2487">
        <w:rPr>
          <w:rFonts w:ascii="Times New Roman" w:hAnsi="Times New Roman"/>
          <w:sz w:val="28"/>
          <w:szCs w:val="28"/>
        </w:rPr>
        <w:t>opportunity, intent, preparation, plan, knowledge, identity, or</w:t>
      </w:r>
      <w:r>
        <w:rPr>
          <w:rFonts w:ascii="Times New Roman" w:hAnsi="Times New Roman"/>
          <w:sz w:val="28"/>
          <w:szCs w:val="28"/>
        </w:rPr>
        <w:t xml:space="preserve"> </w:t>
      </w:r>
      <w:r w:rsidRPr="003E2487">
        <w:rPr>
          <w:rFonts w:ascii="Times New Roman" w:hAnsi="Times New Roman"/>
          <w:sz w:val="28"/>
          <w:szCs w:val="28"/>
        </w:rPr>
        <w:t>absence of mistake or accident.</w:t>
      </w:r>
    </w:p>
    <w:p w14:paraId="3C68953C" w14:textId="77777777" w:rsidR="003E2487" w:rsidRDefault="003E2487" w:rsidP="003E2487">
      <w:pPr>
        <w:spacing w:line="240" w:lineRule="auto"/>
        <w:ind w:left="720" w:right="720"/>
        <w:jc w:val="both"/>
        <w:rPr>
          <w:rFonts w:ascii="Times New Roman" w:hAnsi="Times New Roman"/>
          <w:sz w:val="28"/>
          <w:szCs w:val="28"/>
        </w:rPr>
      </w:pPr>
    </w:p>
    <w:p w14:paraId="4E218DE1" w14:textId="77777777" w:rsidR="008B4F0F" w:rsidRDefault="0091770C" w:rsidP="009630C1">
      <w:pPr>
        <w:spacing w:line="480" w:lineRule="auto"/>
        <w:jc w:val="both"/>
        <w:rPr>
          <w:rFonts w:ascii="Times New Roman" w:hAnsi="Times New Roman"/>
          <w:sz w:val="28"/>
          <w:szCs w:val="28"/>
        </w:rPr>
      </w:pPr>
      <w:hyperlink r:id="rId16" w:history="1">
        <w:r w:rsidR="003E2487" w:rsidRPr="003E2487">
          <w:rPr>
            <w:rStyle w:val="Hyperlink"/>
            <w:rFonts w:ascii="Times New Roman" w:hAnsi="Times New Roman"/>
            <w:i/>
            <w:sz w:val="28"/>
            <w:szCs w:val="28"/>
          </w:rPr>
          <w:t>Id</w:t>
        </w:r>
      </w:hyperlink>
      <w:r w:rsidR="003E2487">
        <w:rPr>
          <w:rFonts w:ascii="Times New Roman" w:hAnsi="Times New Roman"/>
          <w:sz w:val="28"/>
          <w:szCs w:val="28"/>
        </w:rPr>
        <w:t>. at 13.</w:t>
      </w:r>
      <w:r w:rsidR="009630C1">
        <w:rPr>
          <w:rFonts w:ascii="Times New Roman" w:hAnsi="Times New Roman"/>
          <w:sz w:val="28"/>
          <w:szCs w:val="28"/>
        </w:rPr>
        <w:t xml:space="preserve"> The prosecutor then argued to the jury why the prior conviction was important: “</w:t>
      </w:r>
      <w:r w:rsidR="009630C1" w:rsidRPr="009630C1">
        <w:rPr>
          <w:rFonts w:ascii="Times New Roman" w:hAnsi="Times New Roman"/>
          <w:sz w:val="28"/>
          <w:szCs w:val="28"/>
        </w:rPr>
        <w:t>you may use it to</w:t>
      </w:r>
      <w:r w:rsidR="009630C1">
        <w:rPr>
          <w:rFonts w:ascii="Times New Roman" w:hAnsi="Times New Roman"/>
          <w:sz w:val="28"/>
          <w:szCs w:val="28"/>
        </w:rPr>
        <w:t xml:space="preserve"> </w:t>
      </w:r>
      <w:r w:rsidR="009630C1" w:rsidRPr="009630C1">
        <w:rPr>
          <w:rFonts w:ascii="Times New Roman" w:hAnsi="Times New Roman"/>
          <w:sz w:val="28"/>
          <w:szCs w:val="28"/>
        </w:rPr>
        <w:t>determine identity, motive, absence of mistake -- it wasn</w:t>
      </w:r>
      <w:r w:rsidR="009630C1">
        <w:rPr>
          <w:rFonts w:ascii="Times New Roman" w:hAnsi="Times New Roman"/>
          <w:sz w:val="28"/>
          <w:szCs w:val="28"/>
        </w:rPr>
        <w:t>’</w:t>
      </w:r>
      <w:r w:rsidR="009630C1" w:rsidRPr="009630C1">
        <w:rPr>
          <w:rFonts w:ascii="Times New Roman" w:hAnsi="Times New Roman"/>
          <w:sz w:val="28"/>
          <w:szCs w:val="28"/>
        </w:rPr>
        <w:t xml:space="preserve">t a mistake that he downloaded those images </w:t>
      </w:r>
      <w:r w:rsidR="009630C1">
        <w:rPr>
          <w:rFonts w:ascii="Times New Roman" w:hAnsi="Times New Roman"/>
          <w:sz w:val="28"/>
          <w:szCs w:val="28"/>
        </w:rPr>
        <w:t>–</w:t>
      </w:r>
      <w:r w:rsidR="009630C1" w:rsidRPr="009630C1">
        <w:rPr>
          <w:rFonts w:ascii="Times New Roman" w:hAnsi="Times New Roman"/>
          <w:sz w:val="28"/>
          <w:szCs w:val="28"/>
        </w:rPr>
        <w:t xml:space="preserve"> a</w:t>
      </w:r>
      <w:r w:rsidR="009630C1">
        <w:rPr>
          <w:rFonts w:ascii="Times New Roman" w:hAnsi="Times New Roman"/>
          <w:sz w:val="28"/>
          <w:szCs w:val="28"/>
        </w:rPr>
        <w:t xml:space="preserve"> </w:t>
      </w:r>
      <w:r w:rsidR="009630C1" w:rsidRPr="009630C1">
        <w:rPr>
          <w:rFonts w:ascii="Times New Roman" w:hAnsi="Times New Roman"/>
          <w:sz w:val="28"/>
          <w:szCs w:val="28"/>
        </w:rPr>
        <w:t>plan, a pattern. That</w:t>
      </w:r>
      <w:r w:rsidR="009630C1">
        <w:rPr>
          <w:rFonts w:ascii="Times New Roman" w:hAnsi="Times New Roman"/>
          <w:sz w:val="28"/>
          <w:szCs w:val="28"/>
        </w:rPr>
        <w:t>’</w:t>
      </w:r>
      <w:r w:rsidR="009630C1" w:rsidRPr="009630C1">
        <w:rPr>
          <w:rFonts w:ascii="Times New Roman" w:hAnsi="Times New Roman"/>
          <w:sz w:val="28"/>
          <w:szCs w:val="28"/>
        </w:rPr>
        <w:t>s how you may use that powerful</w:t>
      </w:r>
      <w:r w:rsidR="009630C1">
        <w:rPr>
          <w:rFonts w:ascii="Times New Roman" w:hAnsi="Times New Roman"/>
          <w:sz w:val="28"/>
          <w:szCs w:val="28"/>
        </w:rPr>
        <w:t xml:space="preserve"> </w:t>
      </w:r>
      <w:r w:rsidR="009630C1" w:rsidRPr="009630C1">
        <w:rPr>
          <w:rFonts w:ascii="Times New Roman" w:hAnsi="Times New Roman"/>
          <w:sz w:val="28"/>
          <w:szCs w:val="28"/>
        </w:rPr>
        <w:t>evidence.</w:t>
      </w:r>
      <w:r w:rsidR="009630C1">
        <w:rPr>
          <w:rFonts w:ascii="Times New Roman" w:hAnsi="Times New Roman"/>
          <w:sz w:val="28"/>
          <w:szCs w:val="28"/>
        </w:rPr>
        <w:t xml:space="preserve">” 7/1/15 RT 111. </w:t>
      </w:r>
    </w:p>
    <w:p w14:paraId="671973CC" w14:textId="2E665F81" w:rsidR="003E2487" w:rsidRDefault="009630C1" w:rsidP="008B4F0F">
      <w:pPr>
        <w:spacing w:line="480" w:lineRule="auto"/>
        <w:ind w:firstLine="720"/>
        <w:jc w:val="both"/>
        <w:rPr>
          <w:rFonts w:ascii="Times New Roman" w:hAnsi="Times New Roman"/>
          <w:sz w:val="28"/>
          <w:szCs w:val="28"/>
        </w:rPr>
      </w:pPr>
      <w:r>
        <w:rPr>
          <w:rFonts w:ascii="Times New Roman" w:hAnsi="Times New Roman"/>
          <w:sz w:val="28"/>
          <w:szCs w:val="28"/>
        </w:rPr>
        <w:t>As a result</w:t>
      </w:r>
      <w:r w:rsidR="008B4F0F">
        <w:rPr>
          <w:rFonts w:ascii="Times New Roman" w:hAnsi="Times New Roman"/>
          <w:sz w:val="28"/>
          <w:szCs w:val="28"/>
        </w:rPr>
        <w:t xml:space="preserve"> of this trial court record</w:t>
      </w:r>
      <w:r>
        <w:rPr>
          <w:rFonts w:ascii="Times New Roman" w:hAnsi="Times New Roman"/>
          <w:sz w:val="28"/>
          <w:szCs w:val="28"/>
        </w:rPr>
        <w:t xml:space="preserve">, </w:t>
      </w:r>
      <w:r w:rsidR="008B4F0F">
        <w:rPr>
          <w:rFonts w:ascii="Times New Roman" w:hAnsi="Times New Roman"/>
          <w:sz w:val="28"/>
          <w:szCs w:val="28"/>
        </w:rPr>
        <w:t xml:space="preserve">which </w:t>
      </w:r>
      <w:r>
        <w:rPr>
          <w:rFonts w:ascii="Times New Roman" w:hAnsi="Times New Roman"/>
          <w:sz w:val="28"/>
          <w:szCs w:val="28"/>
        </w:rPr>
        <w:t>appellate counsel</w:t>
      </w:r>
      <w:r w:rsidR="008B4F0F">
        <w:rPr>
          <w:rFonts w:ascii="Times New Roman" w:hAnsi="Times New Roman"/>
          <w:sz w:val="28"/>
          <w:szCs w:val="28"/>
        </w:rPr>
        <w:t xml:space="preserve"> characterized as </w:t>
      </w:r>
      <w:r>
        <w:rPr>
          <w:rFonts w:ascii="Times New Roman" w:hAnsi="Times New Roman"/>
          <w:sz w:val="28"/>
          <w:szCs w:val="28"/>
        </w:rPr>
        <w:t xml:space="preserve">a “kitchen sink” approach, </w:t>
      </w:r>
      <w:r w:rsidR="008B4F0F">
        <w:rPr>
          <w:rFonts w:ascii="Times New Roman" w:hAnsi="Times New Roman"/>
          <w:sz w:val="28"/>
          <w:szCs w:val="28"/>
        </w:rPr>
        <w:t xml:space="preserve">appellate counsel </w:t>
      </w:r>
      <w:r>
        <w:rPr>
          <w:rFonts w:ascii="Times New Roman" w:hAnsi="Times New Roman"/>
          <w:sz w:val="28"/>
          <w:szCs w:val="28"/>
        </w:rPr>
        <w:t xml:space="preserve">was left guessing which proper purpose actually applied. </w:t>
      </w:r>
      <w:hyperlink r:id="rId17" w:history="1">
        <w:r w:rsidRPr="009630C1">
          <w:rPr>
            <w:rStyle w:val="Hyperlink"/>
            <w:rFonts w:ascii="Times New Roman" w:hAnsi="Times New Roman"/>
            <w:sz w:val="28"/>
            <w:szCs w:val="28"/>
          </w:rPr>
          <w:t>Opening Brief</w:t>
        </w:r>
      </w:hyperlink>
      <w:r>
        <w:rPr>
          <w:rFonts w:ascii="Times New Roman" w:hAnsi="Times New Roman"/>
          <w:sz w:val="28"/>
          <w:szCs w:val="28"/>
        </w:rPr>
        <w:t xml:space="preserve"> at 18.</w:t>
      </w:r>
      <w:r w:rsidR="008B4F0F">
        <w:rPr>
          <w:rFonts w:ascii="Times New Roman" w:hAnsi="Times New Roman"/>
          <w:sz w:val="28"/>
          <w:szCs w:val="28"/>
        </w:rPr>
        <w:t xml:space="preserve"> The State’s Answering Brief argued in favor of admission to show identity, </w:t>
      </w:r>
      <w:hyperlink r:id="rId18" w:history="1">
        <w:r w:rsidR="008B4F0F" w:rsidRPr="008B4F0F">
          <w:rPr>
            <w:rStyle w:val="Hyperlink"/>
            <w:rFonts w:ascii="Times New Roman" w:hAnsi="Times New Roman"/>
            <w:sz w:val="28"/>
            <w:szCs w:val="28"/>
          </w:rPr>
          <w:t>Answering Brief</w:t>
        </w:r>
      </w:hyperlink>
      <w:r w:rsidR="008B4F0F">
        <w:rPr>
          <w:rFonts w:ascii="Times New Roman" w:hAnsi="Times New Roman"/>
          <w:sz w:val="28"/>
          <w:szCs w:val="28"/>
        </w:rPr>
        <w:t xml:space="preserve"> at 13, knowledge, </w:t>
      </w:r>
      <w:hyperlink r:id="rId19" w:history="1">
        <w:r w:rsidR="008B4F0F" w:rsidRPr="008B4F0F">
          <w:rPr>
            <w:rStyle w:val="Hyperlink"/>
            <w:rFonts w:ascii="Times New Roman" w:hAnsi="Times New Roman"/>
            <w:i/>
            <w:sz w:val="28"/>
            <w:szCs w:val="28"/>
          </w:rPr>
          <w:t>id</w:t>
        </w:r>
      </w:hyperlink>
      <w:r w:rsidR="008B4F0F">
        <w:rPr>
          <w:rFonts w:ascii="Times New Roman" w:hAnsi="Times New Roman"/>
          <w:sz w:val="28"/>
          <w:szCs w:val="28"/>
        </w:rPr>
        <w:t xml:space="preserve">. at 15, </w:t>
      </w:r>
      <w:r w:rsidR="008B4F0F" w:rsidRPr="008B4F0F">
        <w:rPr>
          <w:rFonts w:ascii="Times New Roman" w:hAnsi="Times New Roman"/>
          <w:i/>
          <w:sz w:val="28"/>
          <w:szCs w:val="28"/>
        </w:rPr>
        <w:t xml:space="preserve">modus </w:t>
      </w:r>
      <w:r w:rsidR="008B4F0F" w:rsidRPr="008B4F0F">
        <w:rPr>
          <w:rFonts w:ascii="Times New Roman" w:hAnsi="Times New Roman"/>
          <w:i/>
          <w:sz w:val="28"/>
          <w:szCs w:val="28"/>
        </w:rPr>
        <w:lastRenderedPageBreak/>
        <w:t>operandi</w:t>
      </w:r>
      <w:r w:rsidR="008B4F0F">
        <w:rPr>
          <w:rFonts w:ascii="Times New Roman" w:hAnsi="Times New Roman"/>
          <w:sz w:val="28"/>
          <w:szCs w:val="28"/>
        </w:rPr>
        <w:t xml:space="preserve">, </w:t>
      </w:r>
      <w:hyperlink r:id="rId20" w:history="1">
        <w:r w:rsidR="008B4F0F" w:rsidRPr="008B4F0F">
          <w:rPr>
            <w:rStyle w:val="Hyperlink"/>
            <w:rFonts w:ascii="Times New Roman" w:hAnsi="Times New Roman"/>
            <w:i/>
            <w:sz w:val="28"/>
            <w:szCs w:val="28"/>
          </w:rPr>
          <w:t>id</w:t>
        </w:r>
      </w:hyperlink>
      <w:r w:rsidR="008B4F0F">
        <w:rPr>
          <w:rFonts w:ascii="Times New Roman" w:hAnsi="Times New Roman"/>
          <w:sz w:val="28"/>
          <w:szCs w:val="28"/>
        </w:rPr>
        <w:t xml:space="preserve">. at 16, and lack of mistake or accident, </w:t>
      </w:r>
      <w:hyperlink r:id="rId21" w:history="1">
        <w:r w:rsidR="008B4F0F" w:rsidRPr="008B4F0F">
          <w:rPr>
            <w:rStyle w:val="Hyperlink"/>
            <w:rFonts w:ascii="Times New Roman" w:hAnsi="Times New Roman"/>
            <w:i/>
            <w:sz w:val="28"/>
            <w:szCs w:val="28"/>
          </w:rPr>
          <w:t>id</w:t>
        </w:r>
      </w:hyperlink>
      <w:r w:rsidR="008B4F0F">
        <w:rPr>
          <w:rFonts w:ascii="Times New Roman" w:hAnsi="Times New Roman"/>
          <w:sz w:val="28"/>
          <w:szCs w:val="28"/>
        </w:rPr>
        <w:t xml:space="preserve">. at 17, which thus necessitated a rebuttal of each alleged proper purpose, </w:t>
      </w:r>
      <w:hyperlink r:id="rId22" w:history="1">
        <w:r w:rsidR="008B4F0F" w:rsidRPr="008B4F0F">
          <w:rPr>
            <w:rStyle w:val="Hyperlink"/>
            <w:rFonts w:ascii="Times New Roman" w:hAnsi="Times New Roman"/>
            <w:sz w:val="28"/>
            <w:szCs w:val="28"/>
          </w:rPr>
          <w:t>Reply Brief</w:t>
        </w:r>
      </w:hyperlink>
      <w:r w:rsidR="008B4F0F">
        <w:rPr>
          <w:rFonts w:ascii="Times New Roman" w:hAnsi="Times New Roman"/>
          <w:sz w:val="28"/>
          <w:szCs w:val="28"/>
        </w:rPr>
        <w:t xml:space="preserve"> at 2-4. In the end, the court of appeals found that identity was a proper purpose, because there were </w:t>
      </w:r>
      <w:r w:rsidR="001A27C7">
        <w:rPr>
          <w:rFonts w:ascii="Times New Roman" w:hAnsi="Times New Roman"/>
          <w:sz w:val="28"/>
          <w:szCs w:val="28"/>
        </w:rPr>
        <w:t xml:space="preserve">notable similarities between the evidence supporting the prior conviction and the charged acts such as an identical misspelling of a search term in both cases. </w:t>
      </w:r>
      <w:r w:rsidR="001A27C7" w:rsidRPr="001A27C7">
        <w:rPr>
          <w:rFonts w:ascii="Times New Roman" w:hAnsi="Times New Roman"/>
          <w:i/>
          <w:sz w:val="28"/>
          <w:szCs w:val="28"/>
        </w:rPr>
        <w:t>McKerlie</w:t>
      </w:r>
      <w:r w:rsidR="001A27C7">
        <w:rPr>
          <w:rFonts w:ascii="Times New Roman" w:hAnsi="Times New Roman"/>
          <w:sz w:val="28"/>
          <w:szCs w:val="28"/>
        </w:rPr>
        <w:t xml:space="preserve">, 2017 WL 977021, ¶¶ 10-19. The court did acknowledge the full list of inapplicable e404(b) purposes that were offered and accepted in the trial court but it affirmed the ruling “if legally correct for any reason.” </w:t>
      </w:r>
      <w:r w:rsidR="001A27C7" w:rsidRPr="001A27C7">
        <w:rPr>
          <w:rFonts w:ascii="Times New Roman" w:hAnsi="Times New Roman"/>
          <w:i/>
          <w:sz w:val="28"/>
          <w:szCs w:val="28"/>
        </w:rPr>
        <w:t>Id</w:t>
      </w:r>
      <w:r w:rsidR="001A27C7">
        <w:rPr>
          <w:rFonts w:ascii="Times New Roman" w:hAnsi="Times New Roman"/>
          <w:sz w:val="28"/>
          <w:szCs w:val="28"/>
        </w:rPr>
        <w:t xml:space="preserve">. ¶ 22 (citing </w:t>
      </w:r>
      <w:r w:rsidR="001A27C7" w:rsidRPr="001A27C7">
        <w:rPr>
          <w:rFonts w:ascii="Times New Roman" w:hAnsi="Times New Roman"/>
          <w:i/>
          <w:sz w:val="28"/>
          <w:szCs w:val="28"/>
        </w:rPr>
        <w:t>State v. Boteo-Flores</w:t>
      </w:r>
      <w:r w:rsidR="001A27C7">
        <w:rPr>
          <w:rFonts w:ascii="Times New Roman" w:hAnsi="Times New Roman"/>
          <w:sz w:val="28"/>
          <w:szCs w:val="28"/>
        </w:rPr>
        <w:t>, 230 Ariz. 551, 553 ¶ 7 (App. 2012)).</w:t>
      </w:r>
    </w:p>
    <w:p w14:paraId="4459E564" w14:textId="3DD78439" w:rsidR="00420484" w:rsidRDefault="00422E72" w:rsidP="00901B5C">
      <w:pPr>
        <w:spacing w:line="480" w:lineRule="auto"/>
        <w:ind w:firstLine="720"/>
        <w:jc w:val="both"/>
        <w:rPr>
          <w:rFonts w:ascii="Times New Roman" w:hAnsi="Times New Roman"/>
          <w:sz w:val="28"/>
          <w:szCs w:val="28"/>
        </w:rPr>
      </w:pPr>
      <w:r>
        <w:rPr>
          <w:rFonts w:ascii="Times New Roman" w:hAnsi="Times New Roman"/>
          <w:sz w:val="28"/>
          <w:szCs w:val="28"/>
        </w:rPr>
        <w:t xml:space="preserve">If this Court adopts the proposed changes to Rule 404(b), prosecutors will be required not only to state which proper purpose permits the use of the other-act evidence but also to “articulate in the disclosure … the reasoning that supports the purpose.” Using </w:t>
      </w:r>
      <w:r w:rsidRPr="00422E72">
        <w:rPr>
          <w:rFonts w:ascii="Times New Roman" w:hAnsi="Times New Roman"/>
          <w:i/>
          <w:sz w:val="28"/>
          <w:szCs w:val="28"/>
        </w:rPr>
        <w:t>McKerlie</w:t>
      </w:r>
      <w:r>
        <w:rPr>
          <w:rFonts w:ascii="Times New Roman" w:hAnsi="Times New Roman"/>
          <w:sz w:val="28"/>
          <w:szCs w:val="28"/>
        </w:rPr>
        <w:t xml:space="preserve"> as an example, minimal research would have shown that none of the exceptions a</w:t>
      </w:r>
      <w:r w:rsidR="005C0ED4">
        <w:rPr>
          <w:rFonts w:ascii="Times New Roman" w:hAnsi="Times New Roman"/>
          <w:sz w:val="28"/>
          <w:szCs w:val="28"/>
        </w:rPr>
        <w:t>pplied except for identity; had the prosecutor disclosed that the prior conviction would help establish identity and cited a single case for support, then substantial confusion could have been avoided.</w:t>
      </w:r>
      <w:r w:rsidR="007E3F63">
        <w:rPr>
          <w:rFonts w:ascii="Times New Roman" w:hAnsi="Times New Roman"/>
          <w:sz w:val="28"/>
          <w:szCs w:val="28"/>
        </w:rPr>
        <w:t xml:space="preserve"> This rule change would increase the quality of litigation in trial courts.</w:t>
      </w:r>
      <w:r w:rsidR="007275B6">
        <w:rPr>
          <w:rFonts w:ascii="Times New Roman" w:hAnsi="Times New Roman"/>
          <w:sz w:val="28"/>
          <w:szCs w:val="28"/>
        </w:rPr>
        <w:t xml:space="preserve"> </w:t>
      </w:r>
      <w:r w:rsidR="007275B6">
        <w:rPr>
          <w:rFonts w:ascii="Times New Roman" w:hAnsi="Times New Roman"/>
          <w:sz w:val="28"/>
          <w:szCs w:val="28"/>
        </w:rPr>
        <w:t>As one member of the Advisory Committee noted, “</w:t>
      </w:r>
      <w:r w:rsidR="007275B6" w:rsidRPr="007275B6">
        <w:rPr>
          <w:rFonts w:ascii="Times New Roman" w:hAnsi="Times New Roman"/>
          <w:sz w:val="28"/>
          <w:szCs w:val="28"/>
        </w:rPr>
        <w:t>the proposed changes would give</w:t>
      </w:r>
      <w:r w:rsidR="007275B6">
        <w:rPr>
          <w:rFonts w:ascii="Times New Roman" w:hAnsi="Times New Roman"/>
          <w:sz w:val="28"/>
          <w:szCs w:val="28"/>
        </w:rPr>
        <w:t xml:space="preserve"> </w:t>
      </w:r>
      <w:r w:rsidR="007275B6" w:rsidRPr="007275B6">
        <w:rPr>
          <w:rFonts w:ascii="Times New Roman" w:hAnsi="Times New Roman"/>
          <w:sz w:val="28"/>
          <w:szCs w:val="28"/>
        </w:rPr>
        <w:t>direction to litigants and the trial court and prevent awkward oral arguments where parties</w:t>
      </w:r>
      <w:r w:rsidR="007275B6">
        <w:rPr>
          <w:rFonts w:ascii="Times New Roman" w:hAnsi="Times New Roman"/>
          <w:sz w:val="28"/>
          <w:szCs w:val="28"/>
        </w:rPr>
        <w:t xml:space="preserve"> </w:t>
      </w:r>
      <w:r w:rsidR="007275B6" w:rsidRPr="007275B6">
        <w:rPr>
          <w:rFonts w:ascii="Times New Roman" w:hAnsi="Times New Roman"/>
          <w:sz w:val="28"/>
          <w:szCs w:val="28"/>
        </w:rPr>
        <w:t>attempt to talk around what may be propensity purposes.</w:t>
      </w:r>
      <w:r w:rsidR="007275B6">
        <w:rPr>
          <w:rFonts w:ascii="Times New Roman" w:hAnsi="Times New Roman"/>
          <w:sz w:val="28"/>
          <w:szCs w:val="28"/>
        </w:rPr>
        <w:t>”</w:t>
      </w:r>
      <w:r w:rsidR="007275B6">
        <w:rPr>
          <w:rFonts w:ascii="Times New Roman" w:hAnsi="Times New Roman"/>
          <w:sz w:val="28"/>
          <w:szCs w:val="28"/>
        </w:rPr>
        <w:t xml:space="preserve"> Minutes of Advisory Committee on Rules of Evidence, p.4.</w:t>
      </w:r>
    </w:p>
    <w:p w14:paraId="2ED64C26" w14:textId="52D04FAF" w:rsidR="006E5E11" w:rsidRDefault="008B6F6A" w:rsidP="00901B5C">
      <w:pPr>
        <w:spacing w:line="480" w:lineRule="auto"/>
        <w:ind w:firstLine="720"/>
        <w:jc w:val="both"/>
        <w:rPr>
          <w:rFonts w:ascii="Times New Roman" w:hAnsi="Times New Roman"/>
          <w:sz w:val="28"/>
          <w:szCs w:val="28"/>
        </w:rPr>
      </w:pPr>
      <w:bookmarkStart w:id="2" w:name="_GoBack"/>
      <w:bookmarkEnd w:id="2"/>
      <w:r>
        <w:rPr>
          <w:rFonts w:ascii="Times New Roman" w:hAnsi="Times New Roman"/>
          <w:sz w:val="28"/>
          <w:szCs w:val="28"/>
        </w:rPr>
        <w:lastRenderedPageBreak/>
        <w:t xml:space="preserve">For these reasons, </w:t>
      </w:r>
      <w:r w:rsidR="00420484">
        <w:rPr>
          <w:rFonts w:ascii="Times New Roman" w:hAnsi="Times New Roman"/>
          <w:sz w:val="28"/>
          <w:szCs w:val="28"/>
        </w:rPr>
        <w:t xml:space="preserve">AACJ </w:t>
      </w:r>
      <w:r w:rsidR="007E3F63">
        <w:rPr>
          <w:rFonts w:ascii="Times New Roman" w:hAnsi="Times New Roman"/>
          <w:sz w:val="28"/>
          <w:szCs w:val="28"/>
        </w:rPr>
        <w:t xml:space="preserve">and PCPD </w:t>
      </w:r>
      <w:r>
        <w:rPr>
          <w:rFonts w:ascii="Times New Roman" w:hAnsi="Times New Roman"/>
          <w:sz w:val="28"/>
          <w:szCs w:val="28"/>
        </w:rPr>
        <w:t xml:space="preserve">request this Court </w:t>
      </w:r>
      <w:r w:rsidR="003B384D">
        <w:rPr>
          <w:rFonts w:ascii="Times New Roman" w:hAnsi="Times New Roman"/>
          <w:sz w:val="28"/>
          <w:szCs w:val="28"/>
        </w:rPr>
        <w:t>grant</w:t>
      </w:r>
      <w:r>
        <w:rPr>
          <w:rFonts w:ascii="Times New Roman" w:hAnsi="Times New Roman"/>
          <w:sz w:val="28"/>
          <w:szCs w:val="28"/>
        </w:rPr>
        <w:t xml:space="preserve"> the petition</w:t>
      </w:r>
      <w:r w:rsidR="003B384D">
        <w:rPr>
          <w:rFonts w:ascii="Times New Roman" w:hAnsi="Times New Roman"/>
          <w:sz w:val="28"/>
          <w:szCs w:val="28"/>
        </w:rPr>
        <w:t xml:space="preserve"> and amend Rule 404(b) in accordance with the petition</w:t>
      </w:r>
      <w:r>
        <w:rPr>
          <w:rFonts w:ascii="Times New Roman" w:hAnsi="Times New Roman"/>
          <w:sz w:val="28"/>
          <w:szCs w:val="28"/>
        </w:rPr>
        <w:t>.</w:t>
      </w:r>
    </w:p>
    <w:p w14:paraId="71BB6433" w14:textId="77777777" w:rsidR="00420484" w:rsidRDefault="00420484" w:rsidP="00F83BF1">
      <w:pPr>
        <w:spacing w:line="480" w:lineRule="auto"/>
        <w:jc w:val="both"/>
        <w:rPr>
          <w:rFonts w:ascii="Times New Roman" w:hAnsi="Times New Roman"/>
          <w:sz w:val="28"/>
          <w:szCs w:val="28"/>
        </w:rPr>
      </w:pPr>
    </w:p>
    <w:p w14:paraId="268AB80E" w14:textId="17F996B7" w:rsidR="00DC38DE" w:rsidRPr="0014499B" w:rsidRDefault="00DC38DE" w:rsidP="00CA5689">
      <w:pPr>
        <w:spacing w:line="480" w:lineRule="auto"/>
        <w:ind w:firstLine="720"/>
        <w:jc w:val="both"/>
        <w:rPr>
          <w:rFonts w:ascii="Times New Roman" w:hAnsi="Times New Roman"/>
          <w:sz w:val="28"/>
          <w:szCs w:val="28"/>
        </w:rPr>
      </w:pPr>
      <w:r w:rsidRPr="0014499B">
        <w:rPr>
          <w:rFonts w:ascii="Times New Roman" w:hAnsi="Times New Roman"/>
          <w:sz w:val="28"/>
          <w:szCs w:val="28"/>
        </w:rPr>
        <w:t>DATED:  May</w:t>
      </w:r>
      <w:r w:rsidR="006E5E11">
        <w:rPr>
          <w:rFonts w:ascii="Times New Roman" w:hAnsi="Times New Roman"/>
          <w:sz w:val="28"/>
          <w:szCs w:val="28"/>
        </w:rPr>
        <w:t xml:space="preserve"> 1</w:t>
      </w:r>
      <w:r>
        <w:rPr>
          <w:rFonts w:ascii="Times New Roman" w:hAnsi="Times New Roman"/>
          <w:sz w:val="28"/>
          <w:szCs w:val="28"/>
        </w:rPr>
        <w:t>,</w:t>
      </w:r>
      <w:r w:rsidRPr="0014499B">
        <w:rPr>
          <w:rFonts w:ascii="Times New Roman" w:hAnsi="Times New Roman"/>
          <w:sz w:val="28"/>
          <w:szCs w:val="28"/>
        </w:rPr>
        <w:t xml:space="preserve"> 20</w:t>
      </w:r>
      <w:r w:rsidR="006E5E11">
        <w:rPr>
          <w:rFonts w:ascii="Times New Roman" w:hAnsi="Times New Roman"/>
          <w:sz w:val="28"/>
          <w:szCs w:val="28"/>
        </w:rPr>
        <w:t>20</w:t>
      </w:r>
      <w:r w:rsidRPr="0014499B">
        <w:rPr>
          <w:rFonts w:ascii="Times New Roman" w:hAnsi="Times New Roman"/>
          <w:sz w:val="28"/>
          <w:szCs w:val="28"/>
        </w:rPr>
        <w:t>.</w:t>
      </w:r>
    </w:p>
    <w:p w14:paraId="27ADC0FD" w14:textId="77777777" w:rsidR="00A629F8" w:rsidRDefault="00A629F8" w:rsidP="00DC38DE">
      <w:pPr>
        <w:spacing w:line="240" w:lineRule="auto"/>
        <w:rPr>
          <w:rFonts w:ascii="Times New Roman" w:hAnsi="Times New Roman"/>
          <w:sz w:val="28"/>
          <w:szCs w:val="28"/>
        </w:rPr>
      </w:pPr>
    </w:p>
    <w:p w14:paraId="268AB811" w14:textId="77777777" w:rsidR="00DC38DE" w:rsidRPr="0014499B" w:rsidRDefault="00DC38DE" w:rsidP="00DC38DE">
      <w:pPr>
        <w:spacing w:line="240" w:lineRule="auto"/>
        <w:rPr>
          <w:rFonts w:ascii="Times New Roman" w:hAnsi="Times New Roman"/>
          <w:sz w:val="28"/>
          <w:szCs w:val="28"/>
        </w:rPr>
      </w:pPr>
    </w:p>
    <w:p w14:paraId="268AB812" w14:textId="6613912E" w:rsidR="000347CF" w:rsidRDefault="00DC38DE" w:rsidP="00DC38DE">
      <w:pPr>
        <w:spacing w:line="240" w:lineRule="auto"/>
        <w:rPr>
          <w:rFonts w:ascii="Times New Roman" w:hAnsi="Times New Roman"/>
          <w:sz w:val="28"/>
          <w:szCs w:val="28"/>
        </w:rPr>
      </w:pPr>
      <w:r w:rsidRPr="0014499B">
        <w:rPr>
          <w:rFonts w:ascii="Times New Roman" w:hAnsi="Times New Roman"/>
          <w:sz w:val="28"/>
          <w:szCs w:val="28"/>
        </w:rPr>
        <w:t>By</w:t>
      </w:r>
      <w:r>
        <w:rPr>
          <w:rFonts w:ascii="Times New Roman" w:hAnsi="Times New Roman"/>
          <w:sz w:val="28"/>
          <w:szCs w:val="28"/>
        </w:rPr>
        <w:t xml:space="preserve"> </w:t>
      </w:r>
      <w:r>
        <w:rPr>
          <w:rFonts w:ascii="Times New Roman" w:hAnsi="Times New Roman"/>
          <w:sz w:val="28"/>
          <w:szCs w:val="28"/>
          <w:u w:val="single"/>
        </w:rPr>
        <w:t>/s/</w:t>
      </w:r>
      <w:r w:rsidR="006E5E11">
        <w:rPr>
          <w:rFonts w:ascii="Times New Roman" w:hAnsi="Times New Roman"/>
          <w:sz w:val="28"/>
          <w:szCs w:val="28"/>
          <w:u w:val="single"/>
        </w:rPr>
        <w:t xml:space="preserve"> </w:t>
      </w:r>
      <w:r w:rsidR="00D0294B">
        <w:rPr>
          <w:rFonts w:ascii="Times New Roman" w:hAnsi="Times New Roman"/>
          <w:sz w:val="28"/>
          <w:szCs w:val="28"/>
          <w:u w:val="single"/>
        </w:rPr>
        <w:t>David J. Euchner</w:t>
      </w:r>
      <w:r w:rsidRPr="00D9658B">
        <w:rPr>
          <w:rFonts w:ascii="Times New Roman" w:hAnsi="Times New Roman"/>
          <w:sz w:val="28"/>
          <w:szCs w:val="28"/>
          <w:u w:val="single"/>
        </w:rPr>
        <w:tab/>
      </w:r>
      <w:r w:rsidRPr="00D9658B">
        <w:rPr>
          <w:rFonts w:ascii="Times New Roman" w:hAnsi="Times New Roman"/>
          <w:sz w:val="28"/>
          <w:szCs w:val="28"/>
          <w:u w:val="single"/>
        </w:rPr>
        <w:tab/>
      </w:r>
      <w:r w:rsidRPr="00D9658B">
        <w:rPr>
          <w:rFonts w:ascii="Times New Roman" w:hAnsi="Times New Roman"/>
          <w:sz w:val="28"/>
          <w:szCs w:val="28"/>
          <w:u w:val="single"/>
        </w:rPr>
        <w:tab/>
      </w:r>
      <w:r>
        <w:rPr>
          <w:rFonts w:ascii="Times New Roman" w:hAnsi="Times New Roman"/>
          <w:sz w:val="28"/>
          <w:szCs w:val="28"/>
        </w:rPr>
        <w:tab/>
      </w:r>
    </w:p>
    <w:p w14:paraId="268AB813" w14:textId="74FA0CD3" w:rsidR="006235B5" w:rsidRDefault="006235B5" w:rsidP="006235B5">
      <w:pPr>
        <w:spacing w:line="240" w:lineRule="auto"/>
        <w:ind w:firstLine="720"/>
        <w:rPr>
          <w:rFonts w:ascii="Times New Roman" w:hAnsi="Times New Roman"/>
          <w:sz w:val="28"/>
          <w:szCs w:val="28"/>
        </w:rPr>
      </w:pPr>
      <w:r>
        <w:rPr>
          <w:rFonts w:ascii="Times New Roman" w:hAnsi="Times New Roman"/>
          <w:sz w:val="28"/>
          <w:szCs w:val="28"/>
        </w:rPr>
        <w:t>David J. Euchner</w:t>
      </w:r>
    </w:p>
    <w:p w14:paraId="450CBE42" w14:textId="77777777" w:rsidR="00B16F3E" w:rsidRDefault="00B16F3E" w:rsidP="00DC38DE">
      <w:pPr>
        <w:spacing w:line="240" w:lineRule="auto"/>
        <w:rPr>
          <w:rFonts w:ascii="Times New Roman" w:hAnsi="Times New Roman"/>
          <w:sz w:val="28"/>
          <w:szCs w:val="28"/>
        </w:rPr>
      </w:pPr>
    </w:p>
    <w:p w14:paraId="3E44EA8D" w14:textId="77777777" w:rsidR="00420484" w:rsidRPr="0014499B" w:rsidRDefault="00420484" w:rsidP="00420484">
      <w:pPr>
        <w:spacing w:line="240" w:lineRule="auto"/>
        <w:rPr>
          <w:rFonts w:ascii="Times New Roman" w:hAnsi="Times New Roman"/>
          <w:sz w:val="28"/>
          <w:szCs w:val="28"/>
        </w:rPr>
      </w:pPr>
    </w:p>
    <w:p w14:paraId="2DC4AD34" w14:textId="77777777" w:rsidR="00854B4F" w:rsidRDefault="00854B4F" w:rsidP="00DC38DE">
      <w:pPr>
        <w:spacing w:line="240" w:lineRule="auto"/>
        <w:rPr>
          <w:rFonts w:ascii="Times New Roman" w:hAnsi="Times New Roman"/>
          <w:sz w:val="28"/>
          <w:szCs w:val="28"/>
        </w:rPr>
      </w:pPr>
    </w:p>
    <w:p w14:paraId="268AB817" w14:textId="4100FFFE"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This comment</w:t>
      </w:r>
      <w:r>
        <w:rPr>
          <w:rFonts w:ascii="Times New Roman" w:hAnsi="Times New Roman"/>
          <w:sz w:val="28"/>
          <w:szCs w:val="28"/>
        </w:rPr>
        <w:t xml:space="preserve"> e-filed</w:t>
      </w:r>
      <w:r w:rsidRPr="0014499B">
        <w:rPr>
          <w:rFonts w:ascii="Times New Roman" w:hAnsi="Times New Roman"/>
          <w:sz w:val="28"/>
          <w:szCs w:val="28"/>
        </w:rPr>
        <w:t xml:space="preserve"> this </w:t>
      </w:r>
      <w:r>
        <w:rPr>
          <w:rFonts w:ascii="Times New Roman" w:hAnsi="Times New Roman"/>
          <w:sz w:val="28"/>
          <w:szCs w:val="28"/>
        </w:rPr>
        <w:t>date</w:t>
      </w:r>
      <w:r w:rsidRPr="0014499B">
        <w:rPr>
          <w:rFonts w:ascii="Times New Roman" w:hAnsi="Times New Roman"/>
          <w:sz w:val="28"/>
          <w:szCs w:val="28"/>
        </w:rPr>
        <w:t xml:space="preserve"> </w:t>
      </w:r>
      <w:r>
        <w:rPr>
          <w:rFonts w:ascii="Times New Roman" w:hAnsi="Times New Roman"/>
          <w:sz w:val="28"/>
          <w:szCs w:val="28"/>
        </w:rPr>
        <w:t>with</w:t>
      </w:r>
      <w:r w:rsidRPr="0014499B">
        <w:rPr>
          <w:rFonts w:ascii="Times New Roman" w:hAnsi="Times New Roman"/>
          <w:sz w:val="28"/>
          <w:szCs w:val="28"/>
        </w:rPr>
        <w:t>:</w:t>
      </w:r>
    </w:p>
    <w:p w14:paraId="268AB818" w14:textId="77777777" w:rsidR="00DC38DE" w:rsidRPr="0014499B" w:rsidRDefault="00DC38DE" w:rsidP="00DC38DE">
      <w:pPr>
        <w:spacing w:line="240" w:lineRule="auto"/>
        <w:rPr>
          <w:rFonts w:ascii="Times New Roman" w:hAnsi="Times New Roman"/>
          <w:sz w:val="28"/>
          <w:szCs w:val="28"/>
        </w:rPr>
      </w:pPr>
    </w:p>
    <w:p w14:paraId="268AB819" w14:textId="77777777"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Supreme Court of Arizona</w:t>
      </w:r>
    </w:p>
    <w:p w14:paraId="268AB81C" w14:textId="77777777" w:rsidR="00DC38DE" w:rsidRPr="0014499B" w:rsidRDefault="00DC38DE" w:rsidP="00DC38DE">
      <w:pPr>
        <w:spacing w:line="240" w:lineRule="auto"/>
        <w:rPr>
          <w:rFonts w:ascii="Times New Roman" w:hAnsi="Times New Roman"/>
          <w:sz w:val="28"/>
          <w:szCs w:val="28"/>
        </w:rPr>
      </w:pPr>
    </w:p>
    <w:p w14:paraId="268AB81D" w14:textId="3484CB91" w:rsidR="00DC38DE" w:rsidRPr="0014499B" w:rsidRDefault="00DC38DE" w:rsidP="00DC38DE">
      <w:pPr>
        <w:spacing w:line="240" w:lineRule="auto"/>
        <w:rPr>
          <w:rFonts w:ascii="Times New Roman" w:hAnsi="Times New Roman"/>
          <w:sz w:val="28"/>
          <w:szCs w:val="28"/>
        </w:rPr>
      </w:pPr>
      <w:r w:rsidRPr="0014499B">
        <w:rPr>
          <w:rFonts w:ascii="Times New Roman" w:hAnsi="Times New Roman"/>
          <w:sz w:val="28"/>
          <w:szCs w:val="28"/>
        </w:rPr>
        <w:t>Cop</w:t>
      </w:r>
      <w:r w:rsidR="00744748">
        <w:rPr>
          <w:rFonts w:ascii="Times New Roman" w:hAnsi="Times New Roman"/>
          <w:sz w:val="28"/>
          <w:szCs w:val="28"/>
        </w:rPr>
        <w:t>y</w:t>
      </w:r>
      <w:r w:rsidRPr="0014499B">
        <w:rPr>
          <w:rFonts w:ascii="Times New Roman" w:hAnsi="Times New Roman"/>
          <w:sz w:val="28"/>
          <w:szCs w:val="28"/>
        </w:rPr>
        <w:t xml:space="preserve"> of this Comment</w:t>
      </w:r>
    </w:p>
    <w:p w14:paraId="268AB81E" w14:textId="6628D12E" w:rsidR="00DC38DE" w:rsidRPr="0014499B" w:rsidRDefault="00901B5C" w:rsidP="00DC38DE">
      <w:pPr>
        <w:spacing w:line="240" w:lineRule="auto"/>
        <w:rPr>
          <w:rFonts w:ascii="Times New Roman" w:hAnsi="Times New Roman"/>
          <w:sz w:val="28"/>
          <w:szCs w:val="28"/>
        </w:rPr>
      </w:pPr>
      <w:r>
        <w:rPr>
          <w:rFonts w:ascii="Times New Roman" w:hAnsi="Times New Roman"/>
          <w:sz w:val="28"/>
          <w:szCs w:val="28"/>
        </w:rPr>
        <w:t>M</w:t>
      </w:r>
      <w:r w:rsidR="00DC38DE">
        <w:rPr>
          <w:rFonts w:ascii="Times New Roman" w:hAnsi="Times New Roman"/>
          <w:sz w:val="28"/>
          <w:szCs w:val="28"/>
        </w:rPr>
        <w:t>ailed</w:t>
      </w:r>
      <w:r w:rsidR="00DC38DE" w:rsidRPr="0014499B">
        <w:rPr>
          <w:rFonts w:ascii="Times New Roman" w:hAnsi="Times New Roman"/>
          <w:sz w:val="28"/>
          <w:szCs w:val="28"/>
        </w:rPr>
        <w:t xml:space="preserve"> this </w:t>
      </w:r>
      <w:r w:rsidR="00DC38DE" w:rsidRPr="000A06FE">
        <w:rPr>
          <w:rFonts w:ascii="Times New Roman" w:hAnsi="Times New Roman"/>
          <w:sz w:val="28"/>
          <w:szCs w:val="28"/>
        </w:rPr>
        <w:t>date</w:t>
      </w:r>
      <w:r w:rsidR="00DC38DE" w:rsidRPr="0014499B">
        <w:rPr>
          <w:rFonts w:ascii="Times New Roman" w:hAnsi="Times New Roman"/>
          <w:sz w:val="28"/>
          <w:szCs w:val="28"/>
        </w:rPr>
        <w:t xml:space="preserve"> to:</w:t>
      </w:r>
    </w:p>
    <w:p w14:paraId="268AB81F" w14:textId="77777777" w:rsidR="00DC38DE" w:rsidRPr="0014499B" w:rsidRDefault="00DC38DE" w:rsidP="00DC38DE">
      <w:pPr>
        <w:spacing w:line="240" w:lineRule="auto"/>
        <w:rPr>
          <w:rFonts w:ascii="Times New Roman" w:hAnsi="Times New Roman"/>
          <w:sz w:val="28"/>
          <w:szCs w:val="28"/>
        </w:rPr>
      </w:pPr>
    </w:p>
    <w:p w14:paraId="7E3E06B2" w14:textId="144462F6" w:rsidR="00901B5C" w:rsidRDefault="00901B5C" w:rsidP="00DC38DE">
      <w:pPr>
        <w:spacing w:line="240" w:lineRule="auto"/>
        <w:rPr>
          <w:rFonts w:ascii="Times New Roman" w:hAnsi="Times New Roman"/>
          <w:sz w:val="28"/>
          <w:szCs w:val="28"/>
        </w:rPr>
      </w:pPr>
      <w:r>
        <w:rPr>
          <w:rFonts w:ascii="Times New Roman" w:hAnsi="Times New Roman"/>
          <w:sz w:val="28"/>
          <w:szCs w:val="28"/>
        </w:rPr>
        <w:t>Hon. Sara J. Agne</w:t>
      </w:r>
    </w:p>
    <w:p w14:paraId="3D6A3C68" w14:textId="4FD6F22F" w:rsidR="00E466AC" w:rsidRDefault="00901B5C" w:rsidP="00DC38DE">
      <w:pPr>
        <w:spacing w:line="240" w:lineRule="auto"/>
        <w:rPr>
          <w:rFonts w:ascii="Times New Roman" w:hAnsi="Times New Roman"/>
          <w:sz w:val="28"/>
          <w:szCs w:val="28"/>
        </w:rPr>
      </w:pPr>
      <w:r>
        <w:rPr>
          <w:rFonts w:ascii="Times New Roman" w:hAnsi="Times New Roman"/>
          <w:sz w:val="28"/>
          <w:szCs w:val="28"/>
        </w:rPr>
        <w:t>Co-Chair, Advisory Committee on Rules of Evidence</w:t>
      </w:r>
    </w:p>
    <w:p w14:paraId="0415D822" w14:textId="40FA7105" w:rsidR="00901B5C" w:rsidRDefault="00901B5C" w:rsidP="00DC38DE">
      <w:pPr>
        <w:spacing w:line="240" w:lineRule="auto"/>
        <w:rPr>
          <w:rFonts w:ascii="Times New Roman" w:hAnsi="Times New Roman"/>
          <w:sz w:val="28"/>
          <w:szCs w:val="28"/>
        </w:rPr>
      </w:pPr>
      <w:r>
        <w:rPr>
          <w:rFonts w:ascii="Times New Roman" w:hAnsi="Times New Roman"/>
          <w:sz w:val="28"/>
          <w:szCs w:val="28"/>
        </w:rPr>
        <w:t>Judge, Maricopa County Superior Court</w:t>
      </w:r>
    </w:p>
    <w:p w14:paraId="62CEB4AA" w14:textId="46180F1C" w:rsidR="00901B5C" w:rsidRDefault="00901B5C" w:rsidP="00DC38DE">
      <w:pPr>
        <w:spacing w:line="240" w:lineRule="auto"/>
        <w:rPr>
          <w:rFonts w:ascii="Times New Roman" w:hAnsi="Times New Roman"/>
          <w:sz w:val="28"/>
          <w:szCs w:val="28"/>
        </w:rPr>
      </w:pPr>
      <w:r>
        <w:rPr>
          <w:rFonts w:ascii="Times New Roman" w:hAnsi="Times New Roman"/>
          <w:sz w:val="28"/>
          <w:szCs w:val="28"/>
        </w:rPr>
        <w:t>3131 W. Durango Street</w:t>
      </w:r>
    </w:p>
    <w:p w14:paraId="24087E1D" w14:textId="28373555" w:rsidR="00901B5C" w:rsidRDefault="00901B5C" w:rsidP="00DC38DE">
      <w:pPr>
        <w:spacing w:line="240" w:lineRule="auto"/>
        <w:rPr>
          <w:rFonts w:ascii="Times New Roman" w:hAnsi="Times New Roman"/>
          <w:sz w:val="28"/>
          <w:szCs w:val="28"/>
        </w:rPr>
      </w:pPr>
      <w:r>
        <w:rPr>
          <w:rFonts w:ascii="Times New Roman" w:hAnsi="Times New Roman"/>
          <w:sz w:val="28"/>
          <w:szCs w:val="28"/>
        </w:rPr>
        <w:t>Phoenix, AZ 85009</w:t>
      </w:r>
    </w:p>
    <w:p w14:paraId="6905BC24" w14:textId="0D25C232" w:rsidR="00901B5C" w:rsidRDefault="00901B5C" w:rsidP="00DC38DE">
      <w:pPr>
        <w:spacing w:line="240" w:lineRule="auto"/>
        <w:rPr>
          <w:rFonts w:ascii="Times New Roman" w:hAnsi="Times New Roman"/>
          <w:sz w:val="28"/>
          <w:szCs w:val="28"/>
        </w:rPr>
      </w:pPr>
    </w:p>
    <w:p w14:paraId="7C97AB30" w14:textId="77A0B7CF" w:rsidR="00901B5C" w:rsidRDefault="00901B5C" w:rsidP="00DC38DE">
      <w:pPr>
        <w:spacing w:line="240" w:lineRule="auto"/>
        <w:rPr>
          <w:rFonts w:ascii="Times New Roman" w:hAnsi="Times New Roman"/>
          <w:sz w:val="28"/>
          <w:szCs w:val="28"/>
        </w:rPr>
      </w:pPr>
      <w:r>
        <w:rPr>
          <w:rFonts w:ascii="Times New Roman" w:hAnsi="Times New Roman"/>
          <w:sz w:val="28"/>
          <w:szCs w:val="28"/>
        </w:rPr>
        <w:t>Hon. Maria Elena Cruz</w:t>
      </w:r>
    </w:p>
    <w:p w14:paraId="01B015C5" w14:textId="77777777" w:rsidR="00901B5C" w:rsidRDefault="00901B5C" w:rsidP="00901B5C">
      <w:pPr>
        <w:spacing w:line="240" w:lineRule="auto"/>
        <w:rPr>
          <w:rFonts w:ascii="Times New Roman" w:hAnsi="Times New Roman"/>
          <w:sz w:val="28"/>
          <w:szCs w:val="28"/>
        </w:rPr>
      </w:pPr>
      <w:r>
        <w:rPr>
          <w:rFonts w:ascii="Times New Roman" w:hAnsi="Times New Roman"/>
          <w:sz w:val="28"/>
          <w:szCs w:val="28"/>
        </w:rPr>
        <w:t>Co-Chair, Advisory Committee on Rules of Evidence</w:t>
      </w:r>
    </w:p>
    <w:p w14:paraId="5B3FE069" w14:textId="18C5868C" w:rsidR="00901B5C" w:rsidRDefault="00901B5C" w:rsidP="00901B5C">
      <w:pPr>
        <w:spacing w:line="240" w:lineRule="auto"/>
        <w:rPr>
          <w:rFonts w:ascii="Times New Roman" w:hAnsi="Times New Roman"/>
          <w:sz w:val="28"/>
          <w:szCs w:val="28"/>
        </w:rPr>
      </w:pPr>
      <w:r>
        <w:rPr>
          <w:rFonts w:ascii="Times New Roman" w:hAnsi="Times New Roman"/>
          <w:sz w:val="28"/>
          <w:szCs w:val="28"/>
        </w:rPr>
        <w:t>Judge, Arizona Court of Appeals, Division One</w:t>
      </w:r>
    </w:p>
    <w:p w14:paraId="6CC7688C" w14:textId="26C62E69" w:rsidR="00901B5C" w:rsidRDefault="00901B5C" w:rsidP="00901B5C">
      <w:pPr>
        <w:spacing w:line="240" w:lineRule="auto"/>
        <w:rPr>
          <w:rFonts w:ascii="Times New Roman" w:hAnsi="Times New Roman"/>
          <w:sz w:val="28"/>
          <w:szCs w:val="28"/>
        </w:rPr>
      </w:pPr>
      <w:r>
        <w:rPr>
          <w:rFonts w:ascii="Times New Roman" w:hAnsi="Times New Roman"/>
          <w:sz w:val="28"/>
          <w:szCs w:val="28"/>
        </w:rPr>
        <w:t>1501 W. Washington</w:t>
      </w:r>
    </w:p>
    <w:p w14:paraId="1BEF35BB" w14:textId="4F9A1A46" w:rsidR="00901B5C" w:rsidRDefault="00901B5C" w:rsidP="00901B5C">
      <w:pPr>
        <w:spacing w:line="240" w:lineRule="auto"/>
        <w:rPr>
          <w:rFonts w:ascii="Times New Roman" w:hAnsi="Times New Roman"/>
          <w:sz w:val="28"/>
          <w:szCs w:val="28"/>
        </w:rPr>
      </w:pPr>
      <w:r>
        <w:rPr>
          <w:rFonts w:ascii="Times New Roman" w:hAnsi="Times New Roman"/>
          <w:sz w:val="28"/>
          <w:szCs w:val="28"/>
        </w:rPr>
        <w:t>Phoenix, AZ 85007</w:t>
      </w:r>
    </w:p>
    <w:p w14:paraId="6BB87D8D" w14:textId="77777777" w:rsidR="00901B5C" w:rsidRDefault="00901B5C" w:rsidP="00DC38DE">
      <w:pPr>
        <w:spacing w:line="240" w:lineRule="auto"/>
        <w:rPr>
          <w:rFonts w:ascii="Times New Roman" w:hAnsi="Times New Roman"/>
          <w:sz w:val="28"/>
          <w:szCs w:val="28"/>
        </w:rPr>
      </w:pPr>
    </w:p>
    <w:p w14:paraId="07E27DB9" w14:textId="77777777" w:rsidR="00901B5C" w:rsidRDefault="00901B5C" w:rsidP="00DC38DE">
      <w:pPr>
        <w:spacing w:line="240" w:lineRule="auto"/>
        <w:rPr>
          <w:rFonts w:ascii="Times New Roman" w:hAnsi="Times New Roman"/>
          <w:sz w:val="28"/>
          <w:szCs w:val="28"/>
        </w:rPr>
      </w:pPr>
    </w:p>
    <w:p w14:paraId="04959E18" w14:textId="77777777" w:rsidR="00E466AC" w:rsidRDefault="00E466AC" w:rsidP="00DC38DE">
      <w:pPr>
        <w:spacing w:line="240" w:lineRule="auto"/>
        <w:rPr>
          <w:rFonts w:ascii="Times New Roman" w:hAnsi="Times New Roman"/>
          <w:sz w:val="28"/>
          <w:szCs w:val="28"/>
        </w:rPr>
      </w:pPr>
    </w:p>
    <w:sectPr w:rsidR="00E466AC" w:rsidSect="00F54AAE">
      <w:footerReference w:type="even"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4A26" w14:textId="77777777" w:rsidR="0091770C" w:rsidRDefault="0091770C">
      <w:r>
        <w:separator/>
      </w:r>
    </w:p>
  </w:endnote>
  <w:endnote w:type="continuationSeparator" w:id="0">
    <w:p w14:paraId="0594FD5E" w14:textId="77777777" w:rsidR="0091770C" w:rsidRDefault="0091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B" w14:textId="77777777"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AB82C" w14:textId="77777777" w:rsidR="00BB652F" w:rsidRDefault="00BB6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B82D" w14:textId="310596EB" w:rsidR="00BB652F" w:rsidRDefault="00BB652F" w:rsidP="004B34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75B6">
      <w:rPr>
        <w:rStyle w:val="PageNumber"/>
        <w:noProof/>
      </w:rPr>
      <w:t>8</w:t>
    </w:r>
    <w:r>
      <w:rPr>
        <w:rStyle w:val="PageNumber"/>
      </w:rPr>
      <w:fldChar w:fldCharType="end"/>
    </w:r>
  </w:p>
  <w:p w14:paraId="268AB82E" w14:textId="77777777" w:rsidR="00BB652F" w:rsidRDefault="00BB6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3FD4C" w14:textId="77777777" w:rsidR="0091770C" w:rsidRDefault="0091770C">
      <w:r>
        <w:separator/>
      </w:r>
    </w:p>
  </w:footnote>
  <w:footnote w:type="continuationSeparator" w:id="0">
    <w:p w14:paraId="01010D3A" w14:textId="77777777" w:rsidR="0091770C" w:rsidRDefault="0091770C">
      <w:r>
        <w:continuationSeparator/>
      </w:r>
    </w:p>
  </w:footnote>
  <w:footnote w:id="1">
    <w:p w14:paraId="5C9D0541" w14:textId="63B0BC71" w:rsidR="007E3F63" w:rsidRPr="00CD6A76" w:rsidRDefault="007E3F63" w:rsidP="007E3F63">
      <w:pPr>
        <w:pStyle w:val="FootnoteText"/>
        <w:spacing w:line="240" w:lineRule="auto"/>
        <w:jc w:val="both"/>
        <w:rPr>
          <w:rFonts w:ascii="Times New Roman" w:hAnsi="Times New Roman"/>
          <w:sz w:val="28"/>
          <w:szCs w:val="28"/>
        </w:rPr>
      </w:pPr>
      <w:r w:rsidRPr="00CD6A76">
        <w:rPr>
          <w:rStyle w:val="FootnoteReference"/>
          <w:rFonts w:ascii="Times New Roman" w:hAnsi="Times New Roman"/>
          <w:sz w:val="28"/>
          <w:szCs w:val="28"/>
        </w:rPr>
        <w:footnoteRef/>
      </w:r>
      <w:r w:rsidRPr="00CD6A76">
        <w:rPr>
          <w:rFonts w:ascii="Times New Roman" w:hAnsi="Times New Roman"/>
          <w:sz w:val="28"/>
          <w:szCs w:val="28"/>
        </w:rPr>
        <w:t xml:space="preserve"> </w:t>
      </w:r>
      <w:r>
        <w:rPr>
          <w:rFonts w:ascii="Times New Roman" w:hAnsi="Times New Roman"/>
          <w:sz w:val="28"/>
          <w:szCs w:val="28"/>
        </w:rPr>
        <w:t>Division Two’s e-filer system allows for hyperlinking to the court file. This comment uses that capability.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80A"/>
    <w:multiLevelType w:val="hybridMultilevel"/>
    <w:tmpl w:val="878A61B6"/>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155EA"/>
    <w:multiLevelType w:val="hybridMultilevel"/>
    <w:tmpl w:val="69183324"/>
    <w:lvl w:ilvl="0" w:tplc="FA8C5166">
      <w:start w:val="1"/>
      <w:numFmt w:val="decimal"/>
      <w:lvlText w:val="¶%1"/>
      <w:lvlJc w:val="left"/>
      <w:pPr>
        <w:tabs>
          <w:tab w:val="num" w:pos="1440"/>
        </w:tabs>
        <w:ind w:left="0" w:firstLine="0"/>
      </w:pPr>
      <w:rPr>
        <w:rFonts w:ascii="Times New Roman" w:hAnsi="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470B24"/>
    <w:multiLevelType w:val="hybridMultilevel"/>
    <w:tmpl w:val="0C52E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A5AD0"/>
    <w:multiLevelType w:val="hybridMultilevel"/>
    <w:tmpl w:val="45C281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715F0"/>
    <w:multiLevelType w:val="hybridMultilevel"/>
    <w:tmpl w:val="76E0F8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4205A"/>
    <w:multiLevelType w:val="hybridMultilevel"/>
    <w:tmpl w:val="93C467B8"/>
    <w:lvl w:ilvl="0" w:tplc="61E61F92">
      <w:start w:val="5"/>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38A7428"/>
    <w:multiLevelType w:val="hybridMultilevel"/>
    <w:tmpl w:val="C65E7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2C9490B"/>
    <w:multiLevelType w:val="hybridMultilevel"/>
    <w:tmpl w:val="C3ECBC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BD"/>
    <w:rsid w:val="00003247"/>
    <w:rsid w:val="000170EA"/>
    <w:rsid w:val="00030DFC"/>
    <w:rsid w:val="000347CF"/>
    <w:rsid w:val="00036CF2"/>
    <w:rsid w:val="000506CE"/>
    <w:rsid w:val="000539C9"/>
    <w:rsid w:val="00057960"/>
    <w:rsid w:val="00061BE6"/>
    <w:rsid w:val="000759BB"/>
    <w:rsid w:val="000763D7"/>
    <w:rsid w:val="00076CBE"/>
    <w:rsid w:val="00077E06"/>
    <w:rsid w:val="00092D1D"/>
    <w:rsid w:val="00095786"/>
    <w:rsid w:val="000B1D0D"/>
    <w:rsid w:val="000B3D5C"/>
    <w:rsid w:val="000E2821"/>
    <w:rsid w:val="000E4E45"/>
    <w:rsid w:val="000E6C47"/>
    <w:rsid w:val="000E7FAC"/>
    <w:rsid w:val="00117CB3"/>
    <w:rsid w:val="00125A1E"/>
    <w:rsid w:val="001269D9"/>
    <w:rsid w:val="00141C61"/>
    <w:rsid w:val="001516C5"/>
    <w:rsid w:val="0016125C"/>
    <w:rsid w:val="00175B0A"/>
    <w:rsid w:val="00181DEB"/>
    <w:rsid w:val="00186903"/>
    <w:rsid w:val="001A27C7"/>
    <w:rsid w:val="001B62F8"/>
    <w:rsid w:val="001C02C6"/>
    <w:rsid w:val="001C30CE"/>
    <w:rsid w:val="001C60A4"/>
    <w:rsid w:val="001D0E6C"/>
    <w:rsid w:val="00200607"/>
    <w:rsid w:val="00205E43"/>
    <w:rsid w:val="00221A90"/>
    <w:rsid w:val="00230545"/>
    <w:rsid w:val="00235C89"/>
    <w:rsid w:val="00247855"/>
    <w:rsid w:val="00284E5B"/>
    <w:rsid w:val="00285283"/>
    <w:rsid w:val="00295ADD"/>
    <w:rsid w:val="002A3420"/>
    <w:rsid w:val="002A36E1"/>
    <w:rsid w:val="002B5B1B"/>
    <w:rsid w:val="002C0EDD"/>
    <w:rsid w:val="002E545E"/>
    <w:rsid w:val="002F0B9F"/>
    <w:rsid w:val="002F1FBD"/>
    <w:rsid w:val="003055A7"/>
    <w:rsid w:val="00305CB1"/>
    <w:rsid w:val="00311552"/>
    <w:rsid w:val="00327BAA"/>
    <w:rsid w:val="00357C78"/>
    <w:rsid w:val="00370284"/>
    <w:rsid w:val="003732CB"/>
    <w:rsid w:val="00380B0B"/>
    <w:rsid w:val="00386CFE"/>
    <w:rsid w:val="003A2343"/>
    <w:rsid w:val="003A63AE"/>
    <w:rsid w:val="003B384D"/>
    <w:rsid w:val="003C15EA"/>
    <w:rsid w:val="003C6246"/>
    <w:rsid w:val="003E2487"/>
    <w:rsid w:val="003E5927"/>
    <w:rsid w:val="0041282A"/>
    <w:rsid w:val="00420484"/>
    <w:rsid w:val="00421E9E"/>
    <w:rsid w:val="00422E72"/>
    <w:rsid w:val="00431887"/>
    <w:rsid w:val="004434F1"/>
    <w:rsid w:val="00444BE7"/>
    <w:rsid w:val="00451F00"/>
    <w:rsid w:val="00454AE0"/>
    <w:rsid w:val="0047497F"/>
    <w:rsid w:val="0048373C"/>
    <w:rsid w:val="00485FAA"/>
    <w:rsid w:val="00493A61"/>
    <w:rsid w:val="004963BA"/>
    <w:rsid w:val="004A2829"/>
    <w:rsid w:val="004B3410"/>
    <w:rsid w:val="004C7133"/>
    <w:rsid w:val="004D0144"/>
    <w:rsid w:val="004D72A3"/>
    <w:rsid w:val="004E66AE"/>
    <w:rsid w:val="004E6839"/>
    <w:rsid w:val="004F3B51"/>
    <w:rsid w:val="00502211"/>
    <w:rsid w:val="00512EB9"/>
    <w:rsid w:val="005252FB"/>
    <w:rsid w:val="0054468B"/>
    <w:rsid w:val="005453BE"/>
    <w:rsid w:val="00553515"/>
    <w:rsid w:val="00556A2D"/>
    <w:rsid w:val="005924A7"/>
    <w:rsid w:val="005B0C4F"/>
    <w:rsid w:val="005B53BE"/>
    <w:rsid w:val="005B7899"/>
    <w:rsid w:val="005C0ED4"/>
    <w:rsid w:val="005C109B"/>
    <w:rsid w:val="005C6E61"/>
    <w:rsid w:val="005D06D5"/>
    <w:rsid w:val="005D7DCC"/>
    <w:rsid w:val="005E3003"/>
    <w:rsid w:val="005F0195"/>
    <w:rsid w:val="005F4669"/>
    <w:rsid w:val="0060208D"/>
    <w:rsid w:val="0060353C"/>
    <w:rsid w:val="006114B6"/>
    <w:rsid w:val="006235B5"/>
    <w:rsid w:val="0062703F"/>
    <w:rsid w:val="00627DBE"/>
    <w:rsid w:val="00635786"/>
    <w:rsid w:val="006378F2"/>
    <w:rsid w:val="006463AE"/>
    <w:rsid w:val="00646589"/>
    <w:rsid w:val="0064750C"/>
    <w:rsid w:val="00656061"/>
    <w:rsid w:val="00671A36"/>
    <w:rsid w:val="00674178"/>
    <w:rsid w:val="00692962"/>
    <w:rsid w:val="006C0F08"/>
    <w:rsid w:val="006C2808"/>
    <w:rsid w:val="006C3DAE"/>
    <w:rsid w:val="006C5B68"/>
    <w:rsid w:val="006C648E"/>
    <w:rsid w:val="006D0A62"/>
    <w:rsid w:val="006D4397"/>
    <w:rsid w:val="006E34AB"/>
    <w:rsid w:val="006E5E11"/>
    <w:rsid w:val="006F5562"/>
    <w:rsid w:val="006F594D"/>
    <w:rsid w:val="00701CE7"/>
    <w:rsid w:val="0070604A"/>
    <w:rsid w:val="007109BB"/>
    <w:rsid w:val="00720596"/>
    <w:rsid w:val="007275B6"/>
    <w:rsid w:val="00734F6C"/>
    <w:rsid w:val="00744748"/>
    <w:rsid w:val="00760549"/>
    <w:rsid w:val="007626EF"/>
    <w:rsid w:val="00764591"/>
    <w:rsid w:val="007669E7"/>
    <w:rsid w:val="007741E6"/>
    <w:rsid w:val="00781317"/>
    <w:rsid w:val="00787905"/>
    <w:rsid w:val="00794743"/>
    <w:rsid w:val="007973A8"/>
    <w:rsid w:val="007A3B11"/>
    <w:rsid w:val="007A5AD8"/>
    <w:rsid w:val="007B4B94"/>
    <w:rsid w:val="007C17AC"/>
    <w:rsid w:val="007D2D04"/>
    <w:rsid w:val="007E229C"/>
    <w:rsid w:val="007E3F63"/>
    <w:rsid w:val="007F091F"/>
    <w:rsid w:val="007F35A8"/>
    <w:rsid w:val="0081534B"/>
    <w:rsid w:val="008272AA"/>
    <w:rsid w:val="00831FE6"/>
    <w:rsid w:val="0083406F"/>
    <w:rsid w:val="008409ED"/>
    <w:rsid w:val="00841AB1"/>
    <w:rsid w:val="008425DB"/>
    <w:rsid w:val="0085222A"/>
    <w:rsid w:val="0085452D"/>
    <w:rsid w:val="00854B4F"/>
    <w:rsid w:val="008579E3"/>
    <w:rsid w:val="0086599B"/>
    <w:rsid w:val="00876503"/>
    <w:rsid w:val="008940B3"/>
    <w:rsid w:val="008B4F0F"/>
    <w:rsid w:val="008B54C8"/>
    <w:rsid w:val="008B6F6A"/>
    <w:rsid w:val="008B7D55"/>
    <w:rsid w:val="008C682F"/>
    <w:rsid w:val="008D1F4D"/>
    <w:rsid w:val="008D575C"/>
    <w:rsid w:val="008E04BA"/>
    <w:rsid w:val="008E1DD6"/>
    <w:rsid w:val="00901B5C"/>
    <w:rsid w:val="009049C6"/>
    <w:rsid w:val="0091770C"/>
    <w:rsid w:val="00923420"/>
    <w:rsid w:val="00936450"/>
    <w:rsid w:val="00956F98"/>
    <w:rsid w:val="009630C1"/>
    <w:rsid w:val="009815B4"/>
    <w:rsid w:val="009823DE"/>
    <w:rsid w:val="009923CC"/>
    <w:rsid w:val="009C525E"/>
    <w:rsid w:val="009F0CE6"/>
    <w:rsid w:val="00A00B20"/>
    <w:rsid w:val="00A0443C"/>
    <w:rsid w:val="00A42EAA"/>
    <w:rsid w:val="00A629F8"/>
    <w:rsid w:val="00A86C90"/>
    <w:rsid w:val="00AB2212"/>
    <w:rsid w:val="00AB5BD4"/>
    <w:rsid w:val="00B07A76"/>
    <w:rsid w:val="00B16F3E"/>
    <w:rsid w:val="00B40EF1"/>
    <w:rsid w:val="00B43E0F"/>
    <w:rsid w:val="00B73ACD"/>
    <w:rsid w:val="00B90C53"/>
    <w:rsid w:val="00BA7D16"/>
    <w:rsid w:val="00BB1D01"/>
    <w:rsid w:val="00BB2A3A"/>
    <w:rsid w:val="00BB652F"/>
    <w:rsid w:val="00BF346E"/>
    <w:rsid w:val="00BF6973"/>
    <w:rsid w:val="00C10845"/>
    <w:rsid w:val="00C30A6D"/>
    <w:rsid w:val="00C3108B"/>
    <w:rsid w:val="00C347AE"/>
    <w:rsid w:val="00C3520D"/>
    <w:rsid w:val="00C37271"/>
    <w:rsid w:val="00C40941"/>
    <w:rsid w:val="00C44CA0"/>
    <w:rsid w:val="00C516BC"/>
    <w:rsid w:val="00C71726"/>
    <w:rsid w:val="00C838EB"/>
    <w:rsid w:val="00C8556E"/>
    <w:rsid w:val="00C97315"/>
    <w:rsid w:val="00C9771B"/>
    <w:rsid w:val="00CA18B8"/>
    <w:rsid w:val="00CA5449"/>
    <w:rsid w:val="00CA5689"/>
    <w:rsid w:val="00CC3610"/>
    <w:rsid w:val="00CD45E7"/>
    <w:rsid w:val="00CD6A76"/>
    <w:rsid w:val="00CE08E0"/>
    <w:rsid w:val="00CF43EE"/>
    <w:rsid w:val="00D0294B"/>
    <w:rsid w:val="00D145C4"/>
    <w:rsid w:val="00D26ED2"/>
    <w:rsid w:val="00D37836"/>
    <w:rsid w:val="00D407F7"/>
    <w:rsid w:val="00D43EF2"/>
    <w:rsid w:val="00D77E36"/>
    <w:rsid w:val="00D94D24"/>
    <w:rsid w:val="00DA2BE7"/>
    <w:rsid w:val="00DB048B"/>
    <w:rsid w:val="00DB2614"/>
    <w:rsid w:val="00DB3C6C"/>
    <w:rsid w:val="00DC38DE"/>
    <w:rsid w:val="00DC6C0A"/>
    <w:rsid w:val="00DC787E"/>
    <w:rsid w:val="00DD121E"/>
    <w:rsid w:val="00E16B5B"/>
    <w:rsid w:val="00E2055B"/>
    <w:rsid w:val="00E23568"/>
    <w:rsid w:val="00E33388"/>
    <w:rsid w:val="00E34337"/>
    <w:rsid w:val="00E379BB"/>
    <w:rsid w:val="00E45F50"/>
    <w:rsid w:val="00E466AC"/>
    <w:rsid w:val="00E72B8D"/>
    <w:rsid w:val="00E82BBA"/>
    <w:rsid w:val="00E833FA"/>
    <w:rsid w:val="00E84532"/>
    <w:rsid w:val="00E92880"/>
    <w:rsid w:val="00EE2ABA"/>
    <w:rsid w:val="00EF5061"/>
    <w:rsid w:val="00F01BD2"/>
    <w:rsid w:val="00F03F5F"/>
    <w:rsid w:val="00F05072"/>
    <w:rsid w:val="00F16ADA"/>
    <w:rsid w:val="00F306C9"/>
    <w:rsid w:val="00F33A8F"/>
    <w:rsid w:val="00F4743E"/>
    <w:rsid w:val="00F5250E"/>
    <w:rsid w:val="00F54AAE"/>
    <w:rsid w:val="00F72E82"/>
    <w:rsid w:val="00F81718"/>
    <w:rsid w:val="00F82A1D"/>
    <w:rsid w:val="00F83BF1"/>
    <w:rsid w:val="00F83D96"/>
    <w:rsid w:val="00FA3DAA"/>
    <w:rsid w:val="00FB756E"/>
    <w:rsid w:val="00FD7015"/>
    <w:rsid w:val="00FF0BFD"/>
    <w:rsid w:val="00FF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AB7E9"/>
  <w15:docId w15:val="{A9DF6C9A-3324-466C-A57E-54B5353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8DE"/>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orneyName">
    <w:name w:val="Attorney Name"/>
    <w:basedOn w:val="Normal"/>
    <w:rsid w:val="002F1FBD"/>
    <w:pPr>
      <w:spacing w:line="227" w:lineRule="exact"/>
    </w:pPr>
  </w:style>
  <w:style w:type="paragraph" w:customStyle="1" w:styleId="SingleSpacing">
    <w:name w:val="Single Spacing"/>
    <w:basedOn w:val="Normal"/>
    <w:rsid w:val="002F1FBD"/>
    <w:pPr>
      <w:spacing w:line="227" w:lineRule="exact"/>
    </w:pPr>
  </w:style>
  <w:style w:type="paragraph" w:styleId="BalloonText">
    <w:name w:val="Balloon Text"/>
    <w:basedOn w:val="Normal"/>
    <w:semiHidden/>
    <w:rsid w:val="00794743"/>
    <w:rPr>
      <w:rFonts w:ascii="Tahoma" w:hAnsi="Tahoma" w:cs="Tahoma"/>
      <w:sz w:val="16"/>
      <w:szCs w:val="16"/>
    </w:rPr>
  </w:style>
  <w:style w:type="paragraph" w:styleId="Footer">
    <w:name w:val="footer"/>
    <w:basedOn w:val="Normal"/>
    <w:rsid w:val="00F54AAE"/>
    <w:pPr>
      <w:tabs>
        <w:tab w:val="center" w:pos="4320"/>
        <w:tab w:val="right" w:pos="8640"/>
      </w:tabs>
    </w:pPr>
  </w:style>
  <w:style w:type="character" w:styleId="PageNumber">
    <w:name w:val="page number"/>
    <w:basedOn w:val="DefaultParagraphFont"/>
    <w:rsid w:val="00F54AAE"/>
  </w:style>
  <w:style w:type="character" w:styleId="Hyperlink">
    <w:name w:val="Hyperlink"/>
    <w:basedOn w:val="DefaultParagraphFont"/>
    <w:rsid w:val="007F091F"/>
    <w:rPr>
      <w:color w:val="0000FF"/>
      <w:u w:val="single"/>
    </w:rPr>
  </w:style>
  <w:style w:type="paragraph" w:styleId="FootnoteText">
    <w:name w:val="footnote text"/>
    <w:basedOn w:val="Normal"/>
    <w:semiHidden/>
    <w:rsid w:val="000B1D0D"/>
    <w:rPr>
      <w:sz w:val="20"/>
    </w:rPr>
  </w:style>
  <w:style w:type="character" w:styleId="FootnoteReference">
    <w:name w:val="footnote reference"/>
    <w:basedOn w:val="DefaultParagraphFont"/>
    <w:semiHidden/>
    <w:rsid w:val="000B1D0D"/>
    <w:rPr>
      <w:vertAlign w:val="superscript"/>
    </w:rPr>
  </w:style>
  <w:style w:type="character" w:styleId="CommentReference">
    <w:name w:val="annotation reference"/>
    <w:basedOn w:val="DefaultParagraphFont"/>
    <w:semiHidden/>
    <w:unhideWhenUsed/>
    <w:rsid w:val="005D7DCC"/>
    <w:rPr>
      <w:sz w:val="16"/>
      <w:szCs w:val="16"/>
    </w:rPr>
  </w:style>
  <w:style w:type="paragraph" w:styleId="CommentText">
    <w:name w:val="annotation text"/>
    <w:basedOn w:val="Normal"/>
    <w:link w:val="CommentTextChar"/>
    <w:semiHidden/>
    <w:unhideWhenUsed/>
    <w:rsid w:val="005D7DCC"/>
    <w:pPr>
      <w:spacing w:line="240" w:lineRule="auto"/>
    </w:pPr>
    <w:rPr>
      <w:sz w:val="20"/>
    </w:rPr>
  </w:style>
  <w:style w:type="character" w:customStyle="1" w:styleId="CommentTextChar">
    <w:name w:val="Comment Text Char"/>
    <w:basedOn w:val="DefaultParagraphFont"/>
    <w:link w:val="CommentText"/>
    <w:semiHidden/>
    <w:rsid w:val="005D7DCC"/>
    <w:rPr>
      <w:rFonts w:ascii="Courier New" w:hAnsi="Courier New"/>
    </w:rPr>
  </w:style>
  <w:style w:type="paragraph" w:styleId="CommentSubject">
    <w:name w:val="annotation subject"/>
    <w:basedOn w:val="CommentText"/>
    <w:next w:val="CommentText"/>
    <w:link w:val="CommentSubjectChar"/>
    <w:semiHidden/>
    <w:unhideWhenUsed/>
    <w:rsid w:val="005D7DCC"/>
    <w:rPr>
      <w:b/>
      <w:bCs/>
    </w:rPr>
  </w:style>
  <w:style w:type="character" w:customStyle="1" w:styleId="CommentSubjectChar">
    <w:name w:val="Comment Subject Char"/>
    <w:basedOn w:val="CommentTextChar"/>
    <w:link w:val="CommentSubject"/>
    <w:semiHidden/>
    <w:rsid w:val="005D7DCC"/>
    <w:rPr>
      <w:rFonts w:ascii="Courier New" w:hAnsi="Courier New"/>
      <w:b/>
      <w:bCs/>
    </w:rPr>
  </w:style>
  <w:style w:type="paragraph" w:styleId="ListParagraph">
    <w:name w:val="List Paragraph"/>
    <w:basedOn w:val="Normal"/>
    <w:uiPriority w:val="34"/>
    <w:qFormat/>
    <w:rsid w:val="007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peals2.az.gov/APL2NewDocs1/COA/605/3042025.pdf" TargetMode="External"/><Relationship Id="rId18" Type="http://schemas.openxmlformats.org/officeDocument/2006/relationships/hyperlink" Target="https://www.appeals2.az.gov/APL2NewDocs1/COA/673/3177625.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ppeals2.az.gov/APL2NewDocs1/COA/673/3177625.pdf" TargetMode="External"/><Relationship Id="rId7" Type="http://schemas.openxmlformats.org/officeDocument/2006/relationships/settings" Target="settings.xml"/><Relationship Id="rId12" Type="http://schemas.openxmlformats.org/officeDocument/2006/relationships/hyperlink" Target="https://www.appeals2.az.gov/APL2NewDocs1/COA/607/3045633.TIF" TargetMode="External"/><Relationship Id="rId17" Type="http://schemas.openxmlformats.org/officeDocument/2006/relationships/hyperlink" Target="https://www.appeals2.az.gov/APL2NewDocs1/COA/646/3123907.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ppeals2.az.gov/APL2NewDocs1/COA/605/3042025.pdf" TargetMode="External"/><Relationship Id="rId20" Type="http://schemas.openxmlformats.org/officeDocument/2006/relationships/hyperlink" Target="https://www.appeals2.az.gov/APL2NewDocs1/COA/673/31776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Euchner@pima.go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ppeals2.az.gov/APL2NewDocs1/COA/605/3042025.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ppeals2.az.gov/APL2NewDocs1/COA/673/31776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eals2.az.gov/APL2NewDocs1/COA/605/3042025.pdf" TargetMode="External"/><Relationship Id="rId22" Type="http://schemas.openxmlformats.org/officeDocument/2006/relationships/hyperlink" Target="https://www.appeals2.az.gov/APL2NewDocs1/COA/683/3197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DD1E31301084E991A34898C21D66E" ma:contentTypeVersion="0" ma:contentTypeDescription="Create a new document." ma:contentTypeScope="" ma:versionID="ebcf635d7b9556c5b3b87272c8e18c6b">
  <xsd:schema xmlns:xsd="http://www.w3.org/2001/XMLSchema" xmlns:xs="http://www.w3.org/2001/XMLSchema" xmlns:p="http://schemas.microsoft.com/office/2006/metadata/properties" targetNamespace="http://schemas.microsoft.com/office/2006/metadata/properties" ma:root="true" ma:fieldsID="3e8e1a7645794c32a341bd1249f259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F770A-0ECD-4A51-B3BF-FFB76681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3EAA7-D7F2-4FB9-89F1-0611830192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EB8ABB-4209-42EC-8F85-63A41CC355B9}">
  <ds:schemaRefs>
    <ds:schemaRef ds:uri="http://schemas.microsoft.com/sharepoint/v3/contenttype/forms"/>
  </ds:schemaRefs>
</ds:datastoreItem>
</file>

<file path=customXml/itemProps4.xml><?xml version="1.0" encoding="utf-8"?>
<ds:datastoreItem xmlns:ds="http://schemas.openxmlformats.org/officeDocument/2006/customXml" ds:itemID="{0E77AF1D-2C6C-41FA-B64E-FA533ED9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rule change comment</vt:lpstr>
    </vt:vector>
  </TitlesOfParts>
  <Company>Pima County</Company>
  <LinksUpToDate>false</LinksUpToDate>
  <CharactersWithSpaces>12252</CharactersWithSpaces>
  <SharedDoc>false</SharedDoc>
  <HLinks>
    <vt:vector size="18" baseType="variant">
      <vt:variant>
        <vt:i4>7340057</vt:i4>
      </vt:variant>
      <vt:variant>
        <vt:i4>6</vt:i4>
      </vt:variant>
      <vt:variant>
        <vt:i4>0</vt:i4>
      </vt:variant>
      <vt:variant>
        <vt:i4>5</vt:i4>
      </vt:variant>
      <vt:variant>
        <vt:lpwstr>mailto:Joel.Feinman@pima.gov</vt:lpwstr>
      </vt:variant>
      <vt:variant>
        <vt:lpwstr/>
      </vt:variant>
      <vt:variant>
        <vt:i4>5177383</vt:i4>
      </vt:variant>
      <vt:variant>
        <vt:i4>3</vt:i4>
      </vt:variant>
      <vt:variant>
        <vt:i4>0</vt:i4>
      </vt:variant>
      <vt:variant>
        <vt:i4>5</vt:i4>
      </vt:variant>
      <vt:variant>
        <vt:lpwstr>mailto:Joy.Athena@pima.gov</vt:lpwstr>
      </vt:variant>
      <vt:variant>
        <vt:lpwstr/>
      </vt:variant>
      <vt:variant>
        <vt:i4>5374011</vt:i4>
      </vt:variant>
      <vt:variant>
        <vt:i4>0</vt:i4>
      </vt:variant>
      <vt:variant>
        <vt:i4>0</vt:i4>
      </vt:variant>
      <vt:variant>
        <vt:i4>5</vt:i4>
      </vt:variant>
      <vt:variant>
        <vt:lpwstr>mailto:David.Euchner@pima.gov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comment</dc:title>
  <dc:creator>deuchner</dc:creator>
  <cp:lastModifiedBy>David Euchner</cp:lastModifiedBy>
  <cp:revision>6</cp:revision>
  <cp:lastPrinted>2012-05-18T16:39:00Z</cp:lastPrinted>
  <dcterms:created xsi:type="dcterms:W3CDTF">2020-04-28T20:34:00Z</dcterms:created>
  <dcterms:modified xsi:type="dcterms:W3CDTF">2020-04-30T00:22:00Z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0x010100AECDD1E31301084E991A34898C21D66E</vt:lpwstr>
  </property>
  <property fmtid="{D5CDD505-2E9C-101B-9397-08002B2CF9AE}" pid="3" name="IsMyDocuments">
    <vt:bool>true</vt:bool>
  </property>
</Properties>
</file>