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9" w14:textId="18EDA09A" w:rsidR="00DC38DE" w:rsidRDefault="00DC38DE" w:rsidP="00F72E82">
      <w:pPr>
        <w:pStyle w:val="AttorneyName"/>
        <w:spacing w:line="240" w:lineRule="auto"/>
        <w:rPr>
          <w:rFonts w:ascii="Times New Roman" w:hAnsi="Times New Roman"/>
          <w:b/>
          <w:sz w:val="28"/>
          <w:szCs w:val="28"/>
        </w:rPr>
      </w:pPr>
      <w:r w:rsidRPr="00F72E82">
        <w:rPr>
          <w:rFonts w:ascii="Times New Roman" w:hAnsi="Times New Roman"/>
          <w:b/>
          <w:sz w:val="28"/>
          <w:szCs w:val="28"/>
        </w:rPr>
        <w:t>ARIZONA ATTORNEYS FOR CRIMINAL JUSTICE</w:t>
      </w:r>
    </w:p>
    <w:p w14:paraId="6F36E1A6" w14:textId="77777777" w:rsidR="00200607" w:rsidRPr="00F72E82" w:rsidRDefault="00200607" w:rsidP="00F72E82">
      <w:pPr>
        <w:pStyle w:val="AttorneyName"/>
        <w:spacing w:line="240" w:lineRule="auto"/>
        <w:rPr>
          <w:rFonts w:ascii="Times New Roman" w:hAnsi="Times New Roman"/>
          <w:b/>
          <w:sz w:val="28"/>
          <w:szCs w:val="28"/>
        </w:rPr>
      </w:pPr>
    </w:p>
    <w:p w14:paraId="4964F3F2" w14:textId="30FEFAE0" w:rsidR="00420484" w:rsidRDefault="00200607" w:rsidP="00420484">
      <w:pPr>
        <w:pStyle w:val="AttorneyName"/>
        <w:spacing w:line="240" w:lineRule="auto"/>
        <w:rPr>
          <w:rFonts w:ascii="Times New Roman" w:hAnsi="Times New Roman"/>
          <w:b/>
          <w:sz w:val="28"/>
          <w:szCs w:val="28"/>
        </w:rPr>
      </w:pPr>
      <w:r>
        <w:rPr>
          <w:rFonts w:ascii="Times New Roman" w:hAnsi="Times New Roman"/>
          <w:b/>
          <w:sz w:val="28"/>
          <w:szCs w:val="28"/>
        </w:rPr>
        <w:t xml:space="preserve">GRANT </w:t>
      </w:r>
      <w:r w:rsidR="00D336BC">
        <w:rPr>
          <w:rFonts w:ascii="Times New Roman" w:hAnsi="Times New Roman"/>
          <w:b/>
          <w:sz w:val="28"/>
          <w:szCs w:val="28"/>
        </w:rPr>
        <w:t xml:space="preserve">D. </w:t>
      </w:r>
      <w:r>
        <w:rPr>
          <w:rFonts w:ascii="Times New Roman" w:hAnsi="Times New Roman"/>
          <w:b/>
          <w:sz w:val="28"/>
          <w:szCs w:val="28"/>
        </w:rPr>
        <w:t>WILLE</w:t>
      </w:r>
      <w:r w:rsidR="00420484" w:rsidRPr="006E5E11">
        <w:rPr>
          <w:rFonts w:ascii="Times New Roman" w:hAnsi="Times New Roman"/>
          <w:b/>
          <w:sz w:val="28"/>
          <w:szCs w:val="28"/>
        </w:rPr>
        <w:t>, SB#0</w:t>
      </w:r>
      <w:r>
        <w:rPr>
          <w:rFonts w:ascii="Times New Roman" w:hAnsi="Times New Roman"/>
          <w:b/>
          <w:sz w:val="28"/>
          <w:szCs w:val="28"/>
        </w:rPr>
        <w:t>31989</w:t>
      </w:r>
    </w:p>
    <w:p w14:paraId="794B0AB9" w14:textId="6AC849F8" w:rsidR="00200607" w:rsidRDefault="00244C98" w:rsidP="00420484">
      <w:pPr>
        <w:pStyle w:val="AttorneyName"/>
        <w:spacing w:line="240" w:lineRule="auto"/>
        <w:rPr>
          <w:rFonts w:ascii="Times New Roman" w:hAnsi="Times New Roman"/>
          <w:b/>
          <w:sz w:val="28"/>
          <w:szCs w:val="28"/>
        </w:rPr>
      </w:pPr>
      <w:hyperlink r:id="rId11" w:history="1">
        <w:r w:rsidR="00200607" w:rsidRPr="005E21DA">
          <w:rPr>
            <w:rStyle w:val="Hyperlink"/>
            <w:rFonts w:ascii="Times New Roman" w:hAnsi="Times New Roman"/>
            <w:b/>
            <w:sz w:val="28"/>
            <w:szCs w:val="28"/>
          </w:rPr>
          <w:t>grant@rallslawoffice.com</w:t>
        </w:r>
      </w:hyperlink>
      <w:r w:rsidR="00200607">
        <w:rPr>
          <w:rFonts w:ascii="Times New Roman" w:hAnsi="Times New Roman"/>
          <w:b/>
          <w:sz w:val="28"/>
          <w:szCs w:val="28"/>
        </w:rPr>
        <w:t xml:space="preserve"> </w:t>
      </w:r>
    </w:p>
    <w:p w14:paraId="0E0EBE4E" w14:textId="44488B2A" w:rsidR="00420484" w:rsidRDefault="00867581" w:rsidP="00420484">
      <w:pPr>
        <w:pStyle w:val="AttorneyName"/>
        <w:spacing w:line="240" w:lineRule="auto"/>
        <w:rPr>
          <w:rFonts w:ascii="Times New Roman" w:hAnsi="Times New Roman"/>
          <w:b/>
          <w:sz w:val="28"/>
          <w:szCs w:val="28"/>
        </w:rPr>
      </w:pPr>
      <w:r>
        <w:rPr>
          <w:rFonts w:ascii="Times New Roman" w:hAnsi="Times New Roman"/>
          <w:b/>
          <w:sz w:val="28"/>
          <w:szCs w:val="28"/>
        </w:rPr>
        <w:t>Ralls &amp; Wille, P.C.</w:t>
      </w:r>
    </w:p>
    <w:p w14:paraId="2E0FA4D9" w14:textId="2AB5D8BF" w:rsidR="00867581" w:rsidRDefault="00867581" w:rsidP="00420484">
      <w:pPr>
        <w:pStyle w:val="AttorneyName"/>
        <w:spacing w:line="240" w:lineRule="auto"/>
        <w:rPr>
          <w:rFonts w:ascii="Times New Roman" w:hAnsi="Times New Roman"/>
          <w:b/>
          <w:sz w:val="28"/>
          <w:szCs w:val="28"/>
        </w:rPr>
      </w:pPr>
      <w:r>
        <w:rPr>
          <w:rFonts w:ascii="Times New Roman" w:hAnsi="Times New Roman"/>
          <w:b/>
          <w:sz w:val="28"/>
          <w:szCs w:val="28"/>
        </w:rPr>
        <w:t>314 S. Sixth Ave.</w:t>
      </w:r>
    </w:p>
    <w:p w14:paraId="2A4C46DD" w14:textId="77777777" w:rsidR="00200607" w:rsidRDefault="00200607" w:rsidP="00200607">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4B4750EB" w14:textId="5D3093FB" w:rsidR="00200607" w:rsidRDefault="00200607" w:rsidP="00200607">
      <w:pPr>
        <w:pStyle w:val="AttorneyName"/>
        <w:spacing w:line="240" w:lineRule="auto"/>
        <w:rPr>
          <w:rFonts w:ascii="Times New Roman" w:hAnsi="Times New Roman"/>
          <w:b/>
          <w:sz w:val="28"/>
          <w:szCs w:val="28"/>
        </w:rPr>
      </w:pPr>
      <w:r>
        <w:rPr>
          <w:rFonts w:ascii="Times New Roman" w:hAnsi="Times New Roman"/>
          <w:b/>
          <w:sz w:val="28"/>
          <w:szCs w:val="28"/>
        </w:rPr>
        <w:t xml:space="preserve">(520) </w:t>
      </w:r>
      <w:r w:rsidR="00867581">
        <w:rPr>
          <w:rFonts w:ascii="Times New Roman" w:hAnsi="Times New Roman"/>
          <w:b/>
          <w:sz w:val="28"/>
          <w:szCs w:val="28"/>
        </w:rPr>
        <w:t>88</w:t>
      </w:r>
      <w:r>
        <w:rPr>
          <w:rFonts w:ascii="Times New Roman" w:hAnsi="Times New Roman"/>
          <w:b/>
          <w:sz w:val="28"/>
          <w:szCs w:val="28"/>
        </w:rPr>
        <w:t>4-</w:t>
      </w:r>
      <w:r w:rsidR="00867581">
        <w:rPr>
          <w:rFonts w:ascii="Times New Roman" w:hAnsi="Times New Roman"/>
          <w:b/>
          <w:sz w:val="28"/>
          <w:szCs w:val="28"/>
        </w:rPr>
        <w:t>1234</w:t>
      </w:r>
    </w:p>
    <w:p w14:paraId="5F8674B6" w14:textId="77777777" w:rsidR="00420484" w:rsidRDefault="00420484" w:rsidP="00420484">
      <w:pPr>
        <w:pStyle w:val="AttorneyName"/>
        <w:spacing w:line="240" w:lineRule="auto"/>
        <w:rPr>
          <w:rFonts w:ascii="Times New Roman" w:hAnsi="Times New Roman"/>
          <w:b/>
          <w:sz w:val="28"/>
          <w:szCs w:val="28"/>
        </w:rPr>
      </w:pPr>
    </w:p>
    <w:p w14:paraId="0EC85895" w14:textId="77777777" w:rsidR="00867581" w:rsidRPr="006E5E11" w:rsidRDefault="00867581" w:rsidP="00867581">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36FB000E" w14:textId="77777777" w:rsidR="00867581" w:rsidRPr="006E5E11" w:rsidRDefault="00244C98" w:rsidP="00867581">
      <w:pPr>
        <w:pStyle w:val="AttorneyName"/>
        <w:spacing w:line="240" w:lineRule="auto"/>
        <w:rPr>
          <w:rFonts w:ascii="Times New Roman" w:hAnsi="Times New Roman"/>
          <w:b/>
          <w:sz w:val="28"/>
          <w:szCs w:val="28"/>
        </w:rPr>
      </w:pPr>
      <w:hyperlink r:id="rId12" w:history="1">
        <w:r w:rsidR="00867581" w:rsidRPr="006E5E11">
          <w:rPr>
            <w:rStyle w:val="Hyperlink"/>
            <w:rFonts w:ascii="Times New Roman" w:hAnsi="Times New Roman"/>
            <w:b/>
            <w:sz w:val="28"/>
            <w:szCs w:val="28"/>
          </w:rPr>
          <w:t>David.Euchner@pima.gov</w:t>
        </w:r>
      </w:hyperlink>
    </w:p>
    <w:p w14:paraId="563DEE34" w14:textId="77777777" w:rsidR="00867581" w:rsidRDefault="00867581" w:rsidP="00867581">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0E827EB" w14:textId="77777777" w:rsidR="00867581" w:rsidRDefault="00867581" w:rsidP="00867581">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055032D9" w14:textId="77777777" w:rsidR="00867581" w:rsidRDefault="00867581" w:rsidP="00867581">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70BB6574" w14:textId="77777777" w:rsidR="00867581" w:rsidRDefault="00867581" w:rsidP="00867581">
      <w:pPr>
        <w:pStyle w:val="AttorneyName"/>
        <w:spacing w:line="240" w:lineRule="auto"/>
        <w:rPr>
          <w:rFonts w:ascii="Times New Roman" w:hAnsi="Times New Roman"/>
          <w:b/>
          <w:sz w:val="28"/>
          <w:szCs w:val="28"/>
        </w:rPr>
      </w:pP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72C63964" w:rsidR="00DC38DE" w:rsidRPr="0014499B" w:rsidRDefault="00DC38DE" w:rsidP="00E466AC">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E466AC">
              <w:rPr>
                <w:rFonts w:ascii="Times New Roman" w:hAnsi="Times New Roman"/>
                <w:sz w:val="28"/>
                <w:szCs w:val="28"/>
              </w:rPr>
              <w:t>Rule 404 of the</w:t>
            </w:r>
            <w:r w:rsidR="00D0294B">
              <w:rPr>
                <w:rFonts w:ascii="Times New Roman" w:hAnsi="Times New Roman"/>
                <w:sz w:val="28"/>
                <w:szCs w:val="28"/>
              </w:rPr>
              <w:t xml:space="preserve"> </w:t>
            </w:r>
            <w:r>
              <w:rPr>
                <w:rFonts w:ascii="Times New Roman" w:hAnsi="Times New Roman"/>
                <w:sz w:val="28"/>
                <w:szCs w:val="28"/>
              </w:rPr>
              <w:t xml:space="preserve">Arizona Rules of </w:t>
            </w:r>
            <w:r w:rsidR="00E466AC">
              <w:rPr>
                <w:rFonts w:ascii="Times New Roman" w:hAnsi="Times New Roman"/>
                <w:sz w:val="28"/>
                <w:szCs w:val="28"/>
              </w:rPr>
              <w:t>Evidence</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D"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3AEACD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26459248"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20</w:t>
            </w:r>
            <w:r w:rsidRPr="0014499B">
              <w:rPr>
                <w:rFonts w:ascii="Times New Roman" w:hAnsi="Times New Roman"/>
                <w:sz w:val="28"/>
                <w:szCs w:val="28"/>
              </w:rPr>
              <w:t>-00</w:t>
            </w:r>
            <w:r w:rsidR="00E466AC">
              <w:rPr>
                <w:rFonts w:ascii="Times New Roman" w:hAnsi="Times New Roman"/>
                <w:sz w:val="28"/>
                <w:szCs w:val="28"/>
              </w:rPr>
              <w:t>2</w:t>
            </w:r>
            <w:r w:rsidR="004D0144">
              <w:rPr>
                <w:rFonts w:ascii="Times New Roman" w:hAnsi="Times New Roman"/>
                <w:sz w:val="28"/>
                <w:szCs w:val="28"/>
              </w:rPr>
              <w:t>3</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403B2787" w:rsidR="00DC38DE" w:rsidRPr="00F84E06" w:rsidRDefault="00DC38DE" w:rsidP="00E466AC">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 REGARDING</w:t>
            </w:r>
            <w:r w:rsidRPr="0014499B">
              <w:rPr>
                <w:rFonts w:ascii="Times New Roman" w:hAnsi="Times New Roman"/>
                <w:b/>
                <w:sz w:val="28"/>
                <w:szCs w:val="28"/>
              </w:rPr>
              <w:t xml:space="preserve"> PETITION TO A</w:t>
            </w:r>
            <w:r w:rsidR="00D0294B">
              <w:rPr>
                <w:rFonts w:ascii="Times New Roman" w:hAnsi="Times New Roman"/>
                <w:b/>
                <w:sz w:val="28"/>
                <w:szCs w:val="28"/>
              </w:rPr>
              <w:t>MEN</w:t>
            </w:r>
            <w:r w:rsidRPr="0014499B">
              <w:rPr>
                <w:rFonts w:ascii="Times New Roman" w:hAnsi="Times New Roman"/>
                <w:b/>
                <w:sz w:val="28"/>
                <w:szCs w:val="28"/>
              </w:rPr>
              <w:t>D</w:t>
            </w:r>
            <w:r w:rsidR="00E466AC">
              <w:rPr>
                <w:rFonts w:ascii="Times New Roman" w:hAnsi="Times New Roman"/>
                <w:b/>
                <w:sz w:val="28"/>
                <w:szCs w:val="28"/>
              </w:rPr>
              <w:t xml:space="preserve"> RULE 404 OF</w:t>
            </w:r>
            <w:r w:rsidRPr="0014499B">
              <w:rPr>
                <w:rFonts w:ascii="Times New Roman" w:hAnsi="Times New Roman"/>
                <w:b/>
                <w:sz w:val="28"/>
                <w:szCs w:val="28"/>
              </w:rPr>
              <w:t xml:space="preserve"> </w:t>
            </w:r>
            <w:r w:rsidR="004D0144">
              <w:rPr>
                <w:rFonts w:ascii="Times New Roman" w:hAnsi="Times New Roman"/>
                <w:b/>
                <w:sz w:val="28"/>
                <w:szCs w:val="28"/>
              </w:rPr>
              <w:t>THE</w:t>
            </w:r>
            <w:r w:rsidRPr="0014499B">
              <w:rPr>
                <w:rFonts w:ascii="Times New Roman" w:hAnsi="Times New Roman"/>
                <w:b/>
                <w:sz w:val="28"/>
                <w:szCs w:val="28"/>
              </w:rPr>
              <w:t xml:space="preserve"> ARIZONA RULES OF </w:t>
            </w:r>
            <w:r w:rsidR="00E466AC">
              <w:rPr>
                <w:rFonts w:ascii="Times New Roman" w:hAnsi="Times New Roman"/>
                <w:b/>
                <w:sz w:val="28"/>
                <w:szCs w:val="28"/>
              </w:rPr>
              <w:t>EVIDENCE</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1D395276"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hereby submit</w:t>
      </w:r>
      <w:r w:rsidR="00D336BC">
        <w:rPr>
          <w:rFonts w:ascii="Times New Roman" w:hAnsi="Times New Roman"/>
          <w:sz w:val="28"/>
          <w:szCs w:val="28"/>
        </w:rPr>
        <w:t>s</w:t>
      </w:r>
      <w:r w:rsidRPr="0014499B">
        <w:rPr>
          <w:rFonts w:ascii="Times New Roman" w:hAnsi="Times New Roman"/>
          <w:sz w:val="28"/>
          <w:szCs w:val="28"/>
        </w:rPr>
        <w:t xml:space="preserve"> the following comment to</w:t>
      </w:r>
      <w:r w:rsidR="00D336BC">
        <w:rPr>
          <w:rFonts w:ascii="Times New Roman" w:hAnsi="Times New Roman"/>
          <w:sz w:val="28"/>
          <w:szCs w:val="28"/>
        </w:rPr>
        <w:t xml:space="preserve"> the above-referenced petition.</w:t>
      </w:r>
    </w:p>
    <w:p w14:paraId="268AB806" w14:textId="4D49C366"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w:t>
      </w:r>
      <w:r w:rsidRPr="00A629F8">
        <w:rPr>
          <w:rFonts w:ascii="Times New Roman" w:hAnsi="Times New Roman"/>
          <w:sz w:val="28"/>
          <w:szCs w:val="28"/>
        </w:rPr>
        <w:lastRenderedPageBreak/>
        <w:t>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21DA0057" w14:textId="554F525E" w:rsidR="00E466AC" w:rsidRDefault="00E466AC" w:rsidP="001D0E6C">
      <w:pPr>
        <w:spacing w:line="480" w:lineRule="auto"/>
        <w:ind w:firstLine="720"/>
        <w:jc w:val="both"/>
        <w:rPr>
          <w:rFonts w:ascii="Times New Roman" w:hAnsi="Times New Roman"/>
          <w:sz w:val="28"/>
          <w:szCs w:val="28"/>
        </w:rPr>
      </w:pPr>
      <w:r>
        <w:rPr>
          <w:rFonts w:ascii="Times New Roman" w:hAnsi="Times New Roman"/>
          <w:sz w:val="28"/>
          <w:szCs w:val="28"/>
        </w:rPr>
        <w:t>AACJ opposes the Pima County Attorney’s petition to add a new subsection (d) to Ariz. R. Evid. 404.</w:t>
      </w:r>
      <w:r w:rsidR="00D52717">
        <w:rPr>
          <w:rFonts w:ascii="Times New Roman" w:hAnsi="Times New Roman"/>
          <w:sz w:val="28"/>
          <w:szCs w:val="28"/>
        </w:rPr>
        <w:t xml:space="preserve"> </w:t>
      </w:r>
      <w:r w:rsidR="00D52717" w:rsidRPr="00D52717">
        <w:rPr>
          <w:rFonts w:ascii="Times New Roman" w:hAnsi="Times New Roman"/>
          <w:sz w:val="28"/>
          <w:szCs w:val="28"/>
        </w:rPr>
        <w:tab/>
      </w:r>
      <w:r w:rsidR="00D52717">
        <w:rPr>
          <w:rFonts w:ascii="Times New Roman" w:hAnsi="Times New Roman"/>
          <w:sz w:val="28"/>
          <w:szCs w:val="28"/>
        </w:rPr>
        <w:t>Not only are t</w:t>
      </w:r>
      <w:r w:rsidR="00D52717" w:rsidRPr="00D52717">
        <w:rPr>
          <w:rFonts w:ascii="Times New Roman" w:hAnsi="Times New Roman"/>
          <w:sz w:val="28"/>
          <w:szCs w:val="28"/>
        </w:rPr>
        <w:t xml:space="preserve">he factual </w:t>
      </w:r>
      <w:r w:rsidR="00D52717">
        <w:rPr>
          <w:rFonts w:ascii="Times New Roman" w:hAnsi="Times New Roman"/>
          <w:sz w:val="28"/>
          <w:szCs w:val="28"/>
        </w:rPr>
        <w:t>assumptions</w:t>
      </w:r>
      <w:r w:rsidR="00D52717" w:rsidRPr="00D52717">
        <w:rPr>
          <w:rFonts w:ascii="Times New Roman" w:hAnsi="Times New Roman"/>
          <w:sz w:val="28"/>
          <w:szCs w:val="28"/>
        </w:rPr>
        <w:t xml:space="preserve"> </w:t>
      </w:r>
      <w:r w:rsidR="00D52717">
        <w:rPr>
          <w:rFonts w:ascii="Times New Roman" w:hAnsi="Times New Roman"/>
          <w:sz w:val="28"/>
          <w:szCs w:val="28"/>
        </w:rPr>
        <w:t>supporting</w:t>
      </w:r>
      <w:r w:rsidR="00D52717" w:rsidRPr="00D52717">
        <w:rPr>
          <w:rFonts w:ascii="Times New Roman" w:hAnsi="Times New Roman"/>
          <w:sz w:val="28"/>
          <w:szCs w:val="28"/>
        </w:rPr>
        <w:t xml:space="preserve"> the propos</w:t>
      </w:r>
      <w:r w:rsidR="00D52717">
        <w:rPr>
          <w:rFonts w:ascii="Times New Roman" w:hAnsi="Times New Roman"/>
          <w:sz w:val="28"/>
          <w:szCs w:val="28"/>
        </w:rPr>
        <w:t>al</w:t>
      </w:r>
      <w:r w:rsidR="00D52717" w:rsidRPr="00D52717">
        <w:rPr>
          <w:rFonts w:ascii="Times New Roman" w:hAnsi="Times New Roman"/>
          <w:sz w:val="28"/>
          <w:szCs w:val="28"/>
        </w:rPr>
        <w:t xml:space="preserve"> </w:t>
      </w:r>
      <w:r w:rsidR="00D52717">
        <w:rPr>
          <w:rFonts w:ascii="Times New Roman" w:hAnsi="Times New Roman"/>
          <w:sz w:val="28"/>
          <w:szCs w:val="28"/>
        </w:rPr>
        <w:t>fundamentally</w:t>
      </w:r>
      <w:r w:rsidR="00D52717" w:rsidRPr="00D52717">
        <w:rPr>
          <w:rFonts w:ascii="Times New Roman" w:hAnsi="Times New Roman"/>
          <w:sz w:val="28"/>
          <w:szCs w:val="28"/>
        </w:rPr>
        <w:t xml:space="preserve"> flawed</w:t>
      </w:r>
      <w:r w:rsidR="00D52717">
        <w:rPr>
          <w:rFonts w:ascii="Times New Roman" w:hAnsi="Times New Roman"/>
          <w:sz w:val="28"/>
          <w:szCs w:val="28"/>
        </w:rPr>
        <w:t>, but t</w:t>
      </w:r>
      <w:r w:rsidR="00D52717" w:rsidRPr="00D52717">
        <w:rPr>
          <w:rFonts w:ascii="Times New Roman" w:hAnsi="Times New Roman"/>
          <w:sz w:val="28"/>
          <w:szCs w:val="28"/>
        </w:rPr>
        <w:t>h</w:t>
      </w:r>
      <w:r w:rsidR="00D52717">
        <w:rPr>
          <w:rFonts w:ascii="Times New Roman" w:hAnsi="Times New Roman"/>
          <w:sz w:val="28"/>
          <w:szCs w:val="28"/>
        </w:rPr>
        <w:t>e proposal</w:t>
      </w:r>
      <w:r w:rsidR="00D52717" w:rsidRPr="00D52717">
        <w:rPr>
          <w:rFonts w:ascii="Times New Roman" w:hAnsi="Times New Roman"/>
          <w:sz w:val="28"/>
          <w:szCs w:val="28"/>
        </w:rPr>
        <w:t xml:space="preserve"> </w:t>
      </w:r>
      <w:r w:rsidR="00D52717">
        <w:rPr>
          <w:rFonts w:ascii="Times New Roman" w:hAnsi="Times New Roman"/>
          <w:sz w:val="28"/>
          <w:szCs w:val="28"/>
        </w:rPr>
        <w:t>undercuts</w:t>
      </w:r>
      <w:r w:rsidR="00D52717" w:rsidRPr="00D52717">
        <w:rPr>
          <w:rFonts w:ascii="Times New Roman" w:hAnsi="Times New Roman"/>
          <w:sz w:val="28"/>
          <w:szCs w:val="28"/>
        </w:rPr>
        <w:t xml:space="preserve"> the </w:t>
      </w:r>
      <w:r w:rsidR="00D52717">
        <w:rPr>
          <w:rFonts w:ascii="Times New Roman" w:hAnsi="Times New Roman"/>
          <w:sz w:val="28"/>
          <w:szCs w:val="28"/>
        </w:rPr>
        <w:t>basic principle in</w:t>
      </w:r>
      <w:r w:rsidR="00D52717" w:rsidRPr="00D52717">
        <w:rPr>
          <w:rFonts w:ascii="Times New Roman" w:hAnsi="Times New Roman"/>
          <w:sz w:val="28"/>
          <w:szCs w:val="28"/>
        </w:rPr>
        <w:t xml:space="preserve"> criminal </w:t>
      </w:r>
      <w:r w:rsidR="00D52717">
        <w:rPr>
          <w:rFonts w:ascii="Times New Roman" w:hAnsi="Times New Roman"/>
          <w:sz w:val="28"/>
          <w:szCs w:val="28"/>
        </w:rPr>
        <w:t>law that the accused</w:t>
      </w:r>
      <w:r w:rsidR="00D52717" w:rsidRPr="00D52717">
        <w:rPr>
          <w:rFonts w:ascii="Times New Roman" w:hAnsi="Times New Roman"/>
          <w:sz w:val="28"/>
          <w:szCs w:val="28"/>
        </w:rPr>
        <w:t xml:space="preserve"> </w:t>
      </w:r>
      <w:r w:rsidR="00D52717">
        <w:rPr>
          <w:rFonts w:ascii="Times New Roman" w:hAnsi="Times New Roman"/>
          <w:sz w:val="28"/>
          <w:szCs w:val="28"/>
        </w:rPr>
        <w:t>is to be tried</w:t>
      </w:r>
      <w:r w:rsidR="00D52717" w:rsidRPr="00D52717">
        <w:rPr>
          <w:rFonts w:ascii="Times New Roman" w:hAnsi="Times New Roman"/>
          <w:sz w:val="28"/>
          <w:szCs w:val="28"/>
        </w:rPr>
        <w:t xml:space="preserve"> for what they </w:t>
      </w:r>
      <w:r w:rsidR="00D52717">
        <w:rPr>
          <w:rFonts w:ascii="Times New Roman" w:hAnsi="Times New Roman"/>
          <w:sz w:val="28"/>
          <w:szCs w:val="28"/>
        </w:rPr>
        <w:t>did in this case</w:t>
      </w:r>
      <w:r w:rsidR="00D52717" w:rsidRPr="00D52717">
        <w:rPr>
          <w:rFonts w:ascii="Times New Roman" w:hAnsi="Times New Roman"/>
          <w:sz w:val="28"/>
          <w:szCs w:val="28"/>
        </w:rPr>
        <w:t>, and not for who they are</w:t>
      </w:r>
      <w:r w:rsidR="00D52717">
        <w:rPr>
          <w:rFonts w:ascii="Times New Roman" w:hAnsi="Times New Roman"/>
          <w:sz w:val="28"/>
          <w:szCs w:val="28"/>
        </w:rPr>
        <w:t xml:space="preserve"> or what they have done in the past</w:t>
      </w:r>
      <w:r w:rsidR="00D52717" w:rsidRPr="00D52717">
        <w:rPr>
          <w:rFonts w:ascii="Times New Roman" w:hAnsi="Times New Roman"/>
          <w:sz w:val="28"/>
          <w:szCs w:val="28"/>
        </w:rPr>
        <w:t xml:space="preserve">. </w:t>
      </w:r>
      <w:r w:rsidR="00D52717">
        <w:rPr>
          <w:rFonts w:ascii="Times New Roman" w:hAnsi="Times New Roman"/>
          <w:sz w:val="28"/>
          <w:szCs w:val="28"/>
        </w:rPr>
        <w:t xml:space="preserve">Rule 404, as it currently stands, </w:t>
      </w:r>
      <w:r w:rsidR="00D52717" w:rsidRPr="00D52717">
        <w:rPr>
          <w:rFonts w:ascii="Times New Roman" w:hAnsi="Times New Roman"/>
          <w:sz w:val="28"/>
          <w:szCs w:val="28"/>
        </w:rPr>
        <w:t>is careful to strike the right balance and is sufficient to address other acts in domestic violence cases</w:t>
      </w:r>
      <w:r w:rsidR="00D52717">
        <w:rPr>
          <w:rFonts w:ascii="Times New Roman" w:hAnsi="Times New Roman"/>
          <w:sz w:val="28"/>
          <w:szCs w:val="28"/>
        </w:rPr>
        <w:t>. Moreover</w:t>
      </w:r>
      <w:r w:rsidR="00D52717" w:rsidRPr="00D52717">
        <w:rPr>
          <w:rFonts w:ascii="Times New Roman" w:hAnsi="Times New Roman"/>
          <w:sz w:val="28"/>
          <w:szCs w:val="28"/>
        </w:rPr>
        <w:t>, the societal problems the petition seeks to address through propensity evidence are either already addressed in other contexts or would be more appropriate for the Legislature to consider and address through legislation.</w:t>
      </w:r>
    </w:p>
    <w:p w14:paraId="6BA3424F" w14:textId="77777777" w:rsidR="00D52717" w:rsidRPr="00D52717" w:rsidRDefault="00D52717" w:rsidP="00D52717">
      <w:pPr>
        <w:pStyle w:val="ListParagraph"/>
        <w:numPr>
          <w:ilvl w:val="0"/>
          <w:numId w:val="9"/>
        </w:numPr>
        <w:spacing w:line="240" w:lineRule="auto"/>
        <w:jc w:val="both"/>
        <w:rPr>
          <w:rFonts w:ascii="Times New Roman" w:hAnsi="Times New Roman"/>
          <w:b/>
          <w:sz w:val="28"/>
          <w:szCs w:val="28"/>
        </w:rPr>
      </w:pPr>
      <w:r w:rsidRPr="00D52717">
        <w:rPr>
          <w:rFonts w:ascii="Times New Roman" w:hAnsi="Times New Roman"/>
          <w:b/>
          <w:sz w:val="28"/>
          <w:szCs w:val="28"/>
          <w:u w:val="single"/>
        </w:rPr>
        <w:t>Background</w:t>
      </w:r>
    </w:p>
    <w:p w14:paraId="7133BF97" w14:textId="77777777" w:rsidR="00D52717" w:rsidRPr="00D52717" w:rsidRDefault="00D52717" w:rsidP="00D52717">
      <w:pPr>
        <w:spacing w:line="240" w:lineRule="auto"/>
        <w:rPr>
          <w:rFonts w:ascii="Times New Roman" w:hAnsi="Times New Roman"/>
          <w:b/>
          <w:sz w:val="28"/>
          <w:szCs w:val="28"/>
        </w:rPr>
      </w:pPr>
    </w:p>
    <w:p w14:paraId="0FF04926" w14:textId="777A7AA1" w:rsidR="00D52717" w:rsidRPr="004D7C8C" w:rsidRDefault="00D52717" w:rsidP="00D52717">
      <w:pPr>
        <w:spacing w:line="480" w:lineRule="auto"/>
        <w:ind w:firstLine="720"/>
        <w:jc w:val="both"/>
        <w:rPr>
          <w:rFonts w:ascii="Times New Roman" w:hAnsi="Times New Roman"/>
          <w:bCs/>
          <w:sz w:val="28"/>
          <w:szCs w:val="28"/>
        </w:rPr>
      </w:pPr>
      <w:r>
        <w:rPr>
          <w:rFonts w:ascii="Times New Roman" w:hAnsi="Times New Roman"/>
          <w:bCs/>
          <w:sz w:val="28"/>
          <w:szCs w:val="28"/>
        </w:rPr>
        <w:t>“</w:t>
      </w:r>
      <w:r w:rsidRPr="004D7C8C">
        <w:rPr>
          <w:rFonts w:ascii="Times New Roman" w:hAnsi="Times New Roman"/>
          <w:bCs/>
          <w:sz w:val="28"/>
          <w:szCs w:val="28"/>
        </w:rPr>
        <w:t>A concomitant of the presumption of innocence is that a defendant must be tried for what he did, not for who he is.</w:t>
      </w:r>
      <w:r>
        <w:rPr>
          <w:rFonts w:ascii="Times New Roman" w:hAnsi="Times New Roman"/>
          <w:bCs/>
          <w:sz w:val="28"/>
          <w:szCs w:val="28"/>
        </w:rPr>
        <w:t xml:space="preserve">” </w:t>
      </w:r>
      <w:r w:rsidRPr="004D7C8C">
        <w:rPr>
          <w:rFonts w:ascii="Times New Roman" w:hAnsi="Times New Roman"/>
          <w:bCs/>
          <w:i/>
          <w:iCs/>
          <w:sz w:val="28"/>
          <w:szCs w:val="28"/>
        </w:rPr>
        <w:t>United States v. Myers</w:t>
      </w:r>
      <w:r w:rsidRPr="004D7C8C">
        <w:rPr>
          <w:rFonts w:ascii="Times New Roman" w:hAnsi="Times New Roman"/>
          <w:bCs/>
          <w:sz w:val="28"/>
          <w:szCs w:val="28"/>
        </w:rPr>
        <w:t>, 550 F.2d 1036, 1044 (5th Cir. 1977)</w:t>
      </w:r>
      <w:r>
        <w:rPr>
          <w:rFonts w:ascii="Times New Roman" w:hAnsi="Times New Roman"/>
          <w:bCs/>
          <w:sz w:val="28"/>
          <w:szCs w:val="28"/>
        </w:rPr>
        <w:t>. Long ago</w:t>
      </w:r>
      <w:r w:rsidRPr="004D7C8C">
        <w:rPr>
          <w:rFonts w:ascii="Times New Roman" w:hAnsi="Times New Roman"/>
          <w:bCs/>
          <w:sz w:val="28"/>
          <w:szCs w:val="28"/>
        </w:rPr>
        <w:t xml:space="preserve">, the </w:t>
      </w:r>
      <w:r>
        <w:rPr>
          <w:rFonts w:ascii="Times New Roman" w:hAnsi="Times New Roman"/>
          <w:bCs/>
          <w:sz w:val="28"/>
          <w:szCs w:val="28"/>
        </w:rPr>
        <w:t xml:space="preserve">U.S. </w:t>
      </w:r>
      <w:r w:rsidRPr="004D7C8C">
        <w:rPr>
          <w:rFonts w:ascii="Times New Roman" w:hAnsi="Times New Roman"/>
          <w:bCs/>
          <w:sz w:val="28"/>
          <w:szCs w:val="28"/>
        </w:rPr>
        <w:t xml:space="preserve">Supreme Court reiterated the universal conclusion of courts of the common-law tradition—that propensity evidence, though </w:t>
      </w:r>
      <w:r w:rsidRPr="004D7C8C">
        <w:rPr>
          <w:rFonts w:ascii="Times New Roman" w:hAnsi="Times New Roman"/>
          <w:bCs/>
          <w:sz w:val="28"/>
          <w:szCs w:val="28"/>
        </w:rPr>
        <w:lastRenderedPageBreak/>
        <w:t>relevant, must</w:t>
      </w:r>
      <w:r>
        <w:rPr>
          <w:rFonts w:ascii="Times New Roman" w:hAnsi="Times New Roman"/>
          <w:bCs/>
          <w:sz w:val="28"/>
          <w:szCs w:val="28"/>
        </w:rPr>
        <w:t xml:space="preserve"> generally</w:t>
      </w:r>
      <w:r w:rsidRPr="004D7C8C">
        <w:rPr>
          <w:rFonts w:ascii="Times New Roman" w:hAnsi="Times New Roman"/>
          <w:bCs/>
          <w:sz w:val="28"/>
          <w:szCs w:val="28"/>
        </w:rPr>
        <w:t xml:space="preserve"> be excluded to prevent undue prejudice and prevent confusion of the issue at hand during a trial. </w:t>
      </w:r>
      <w:r w:rsidRPr="004D7C8C">
        <w:rPr>
          <w:rFonts w:ascii="Times New Roman" w:hAnsi="Times New Roman"/>
          <w:bCs/>
          <w:i/>
          <w:iCs/>
          <w:sz w:val="28"/>
          <w:szCs w:val="28"/>
        </w:rPr>
        <w:t>Michelson v. United States</w:t>
      </w:r>
      <w:r w:rsidRPr="004D7C8C">
        <w:rPr>
          <w:rFonts w:ascii="Times New Roman" w:hAnsi="Times New Roman"/>
          <w:bCs/>
          <w:sz w:val="28"/>
          <w:szCs w:val="28"/>
        </w:rPr>
        <w:t xml:space="preserve">, 335 U.S. 469, 475-76 (1948). </w:t>
      </w:r>
      <w:r w:rsidR="009A23A4" w:rsidRPr="009A23A4">
        <w:rPr>
          <w:rFonts w:ascii="Times New Roman" w:hAnsi="Times New Roman"/>
          <w:bCs/>
          <w:sz w:val="28"/>
          <w:szCs w:val="28"/>
        </w:rPr>
        <w:t>“The rationale in the exclusionary rule concerning evidence of other bad acts or crimes is the prejudice to the accused and the questionable relevancy of such evidence to the offense charged.</w:t>
      </w:r>
      <w:r w:rsidR="009A23A4">
        <w:rPr>
          <w:rFonts w:ascii="Times New Roman" w:hAnsi="Times New Roman"/>
          <w:bCs/>
          <w:sz w:val="28"/>
          <w:szCs w:val="28"/>
        </w:rPr>
        <w:t xml:space="preserve">” </w:t>
      </w:r>
      <w:r w:rsidR="009A23A4" w:rsidRPr="009A23A4">
        <w:rPr>
          <w:rFonts w:ascii="Times New Roman" w:hAnsi="Times New Roman"/>
          <w:bCs/>
          <w:i/>
          <w:sz w:val="28"/>
          <w:szCs w:val="28"/>
        </w:rPr>
        <w:t>State v. McFarlin</w:t>
      </w:r>
      <w:r w:rsidR="009A23A4">
        <w:rPr>
          <w:rFonts w:ascii="Times New Roman" w:hAnsi="Times New Roman"/>
          <w:bCs/>
          <w:sz w:val="28"/>
          <w:szCs w:val="28"/>
        </w:rPr>
        <w:t>, 110 Ariz. 225, 228 (1973)</w:t>
      </w:r>
      <w:r w:rsidR="00F37CBD">
        <w:rPr>
          <w:rFonts w:ascii="Times New Roman" w:hAnsi="Times New Roman"/>
          <w:bCs/>
          <w:sz w:val="28"/>
          <w:szCs w:val="28"/>
        </w:rPr>
        <w:t xml:space="preserve">, </w:t>
      </w:r>
      <w:r w:rsidR="00F37CBD" w:rsidRPr="00F37CBD">
        <w:rPr>
          <w:rFonts w:ascii="Times New Roman" w:hAnsi="Times New Roman"/>
          <w:bCs/>
          <w:i/>
          <w:sz w:val="28"/>
          <w:szCs w:val="28"/>
        </w:rPr>
        <w:t>superseded by</w:t>
      </w:r>
      <w:r w:rsidR="00F37CBD">
        <w:rPr>
          <w:rFonts w:ascii="Times New Roman" w:hAnsi="Times New Roman"/>
          <w:bCs/>
          <w:sz w:val="28"/>
          <w:szCs w:val="28"/>
        </w:rPr>
        <w:t xml:space="preserve"> Rule 404(b)</w:t>
      </w:r>
      <w:r w:rsidR="009A23A4">
        <w:rPr>
          <w:rFonts w:ascii="Times New Roman" w:hAnsi="Times New Roman"/>
          <w:bCs/>
          <w:sz w:val="28"/>
          <w:szCs w:val="28"/>
        </w:rPr>
        <w:t>.</w:t>
      </w:r>
      <w:r w:rsidR="009A23A4" w:rsidRPr="009A23A4">
        <w:rPr>
          <w:rFonts w:ascii="Times New Roman" w:hAnsi="Times New Roman"/>
          <w:bCs/>
          <w:sz w:val="28"/>
          <w:szCs w:val="28"/>
        </w:rPr>
        <w:t xml:space="preserve"> </w:t>
      </w:r>
      <w:r w:rsidRPr="004D7C8C">
        <w:rPr>
          <w:rFonts w:ascii="Times New Roman" w:hAnsi="Times New Roman"/>
          <w:bCs/>
          <w:sz w:val="28"/>
          <w:szCs w:val="28"/>
        </w:rPr>
        <w:t xml:space="preserve">Today, the Federal </w:t>
      </w:r>
      <w:r>
        <w:rPr>
          <w:rFonts w:ascii="Times New Roman" w:hAnsi="Times New Roman"/>
          <w:bCs/>
          <w:sz w:val="28"/>
          <w:szCs w:val="28"/>
        </w:rPr>
        <w:t xml:space="preserve">Rules of Evidence </w:t>
      </w:r>
      <w:r w:rsidRPr="004D7C8C">
        <w:rPr>
          <w:rFonts w:ascii="Times New Roman" w:hAnsi="Times New Roman"/>
          <w:bCs/>
          <w:sz w:val="28"/>
          <w:szCs w:val="28"/>
        </w:rPr>
        <w:t xml:space="preserve">and Arizona Rules of Evidence continue to uphold this guiding principle, with a number of carefully crafted exceptions. </w:t>
      </w:r>
      <w:r w:rsidRPr="00D52717">
        <w:rPr>
          <w:rFonts w:ascii="Times New Roman" w:hAnsi="Times New Roman"/>
          <w:bCs/>
          <w:i/>
          <w:sz w:val="28"/>
          <w:szCs w:val="28"/>
        </w:rPr>
        <w:t>See generally</w:t>
      </w:r>
      <w:r>
        <w:rPr>
          <w:rFonts w:ascii="Times New Roman" w:hAnsi="Times New Roman"/>
          <w:bCs/>
          <w:sz w:val="28"/>
          <w:szCs w:val="28"/>
        </w:rPr>
        <w:t xml:space="preserve"> </w:t>
      </w:r>
      <w:r w:rsidRPr="004D7C8C">
        <w:rPr>
          <w:rFonts w:ascii="Times New Roman" w:hAnsi="Times New Roman"/>
          <w:bCs/>
          <w:sz w:val="28"/>
          <w:szCs w:val="28"/>
        </w:rPr>
        <w:t xml:space="preserve">Ariz. R. Evid. 404. Most notably, Rule 404 permits the introduction of character evidence when the defendant opens the door to the issue, Ariz. R. Evid. 404(a)(1), when the character of a victim is placed in issue, Ariz. R. Evid. 404(a)(2), to challenge the character of a witness, Ariz. R. Evid. 404(a)(3), or, in the case of specific acts, to support some evidentiary theory other than propensity, “such as proof of motive, opportunity, intent, preparation, plan, knowledge, identity, or absence of mistake or accident.”  Ariz. R. Evid. 404(b); </w:t>
      </w:r>
      <w:r w:rsidRPr="004D7C8C">
        <w:rPr>
          <w:rFonts w:ascii="Times New Roman" w:hAnsi="Times New Roman"/>
          <w:bCs/>
          <w:i/>
          <w:iCs/>
          <w:sz w:val="28"/>
          <w:szCs w:val="28"/>
        </w:rPr>
        <w:t>see State v. Rami</w:t>
      </w:r>
      <w:r>
        <w:rPr>
          <w:rFonts w:ascii="Times New Roman" w:hAnsi="Times New Roman"/>
          <w:bCs/>
          <w:i/>
          <w:iCs/>
          <w:sz w:val="28"/>
          <w:szCs w:val="28"/>
        </w:rPr>
        <w:t>r</w:t>
      </w:r>
      <w:r w:rsidRPr="004D7C8C">
        <w:rPr>
          <w:rFonts w:ascii="Times New Roman" w:hAnsi="Times New Roman"/>
          <w:bCs/>
          <w:i/>
          <w:iCs/>
          <w:sz w:val="28"/>
          <w:szCs w:val="28"/>
        </w:rPr>
        <w:t>ez Enriquez</w:t>
      </w:r>
      <w:r w:rsidRPr="004D7C8C">
        <w:rPr>
          <w:rFonts w:ascii="Times New Roman" w:hAnsi="Times New Roman"/>
          <w:bCs/>
          <w:sz w:val="28"/>
          <w:szCs w:val="28"/>
        </w:rPr>
        <w:t>, 153 Ariz. 431, 432-33 (App. 1987) (“If [the evidence] tends to show a disposition toward criminality from which guilt on this occasion is to be inferred, it is inadmissible. If it establishes guilt in some other way, it is admissible.”).</w:t>
      </w:r>
    </w:p>
    <w:p w14:paraId="1032DFF2" w14:textId="5C454811" w:rsidR="00D52717" w:rsidRPr="004D7C8C" w:rsidRDefault="00D52717" w:rsidP="00D52717">
      <w:pPr>
        <w:spacing w:line="480" w:lineRule="auto"/>
        <w:jc w:val="both"/>
        <w:rPr>
          <w:rFonts w:ascii="Times New Roman" w:hAnsi="Times New Roman"/>
          <w:bCs/>
          <w:sz w:val="28"/>
          <w:szCs w:val="28"/>
        </w:rPr>
      </w:pPr>
      <w:r w:rsidRPr="004D7C8C">
        <w:rPr>
          <w:rFonts w:ascii="Times New Roman" w:hAnsi="Times New Roman"/>
          <w:bCs/>
          <w:sz w:val="28"/>
          <w:szCs w:val="28"/>
        </w:rPr>
        <w:tab/>
        <w:t>Even under these exceptions, however, Arizona courts have emphasized the danger of propensity evidence</w:t>
      </w:r>
      <w:r>
        <w:rPr>
          <w:rFonts w:ascii="Times New Roman" w:hAnsi="Times New Roman"/>
          <w:bCs/>
          <w:sz w:val="28"/>
          <w:szCs w:val="28"/>
        </w:rPr>
        <w:t>:</w:t>
      </w:r>
    </w:p>
    <w:p w14:paraId="0AC5EFAE" w14:textId="77777777" w:rsidR="00D52717" w:rsidRPr="004D7C8C" w:rsidRDefault="00D52717" w:rsidP="00D52717">
      <w:pPr>
        <w:spacing w:line="240" w:lineRule="auto"/>
        <w:ind w:left="720" w:right="720"/>
        <w:jc w:val="both"/>
        <w:rPr>
          <w:rFonts w:ascii="Times New Roman" w:hAnsi="Times New Roman"/>
          <w:sz w:val="28"/>
          <w:szCs w:val="28"/>
        </w:rPr>
      </w:pPr>
      <w:r w:rsidRPr="004D7C8C">
        <w:rPr>
          <w:rFonts w:ascii="Times New Roman" w:hAnsi="Times New Roman"/>
          <w:sz w:val="28"/>
          <w:szCs w:val="28"/>
        </w:rPr>
        <w:lastRenderedPageBreak/>
        <w:t>Such evidence is quite capable of having an impact beyond its relevance to the crime charged and may influence the jury’s decision on issues other than those on which it was received, despite cautionary instructions from the judge. . . . Studies confirm that the introduction of a defendant’s prior bad acts can easily tip the balance against the defendant. . . . Because of the high probability of prejudice from the admission of prior bad acts, the court must ensure that the evidence against the defendant directly establishes that the defendant took part in the collateral act, and to shield the accused from prejudicial evidence based upon highly circumstantial inferences. . . . We have recently noted the potentially prejudicial effects of prior bad acts evidence and cautioned trial courts and counsel to exercise extreme care in its use, even where it is admissible.</w:t>
      </w:r>
    </w:p>
    <w:p w14:paraId="6688927E" w14:textId="77777777" w:rsidR="00D52717" w:rsidRPr="004D7C8C" w:rsidRDefault="00D52717" w:rsidP="00D52717">
      <w:pPr>
        <w:spacing w:line="240" w:lineRule="auto"/>
        <w:ind w:left="720" w:right="1440"/>
        <w:jc w:val="both"/>
        <w:rPr>
          <w:rFonts w:ascii="Times New Roman" w:hAnsi="Times New Roman"/>
          <w:bCs/>
          <w:sz w:val="28"/>
          <w:szCs w:val="28"/>
        </w:rPr>
      </w:pPr>
    </w:p>
    <w:p w14:paraId="2068D307" w14:textId="2DA7E51F" w:rsidR="00D52717" w:rsidRPr="004D7C8C" w:rsidRDefault="00D52717" w:rsidP="00D52717">
      <w:pPr>
        <w:spacing w:line="480" w:lineRule="auto"/>
        <w:jc w:val="both"/>
        <w:rPr>
          <w:rFonts w:ascii="Times New Roman" w:hAnsi="Times New Roman"/>
          <w:bCs/>
          <w:sz w:val="28"/>
          <w:szCs w:val="28"/>
        </w:rPr>
      </w:pPr>
      <w:r w:rsidRPr="004D7C8C">
        <w:rPr>
          <w:rFonts w:ascii="Times New Roman" w:hAnsi="Times New Roman"/>
          <w:bCs/>
          <w:i/>
          <w:iCs/>
          <w:sz w:val="28"/>
          <w:szCs w:val="28"/>
        </w:rPr>
        <w:t>State v. Terrazas</w:t>
      </w:r>
      <w:r w:rsidRPr="004D7C8C">
        <w:rPr>
          <w:rFonts w:ascii="Times New Roman" w:hAnsi="Times New Roman"/>
          <w:bCs/>
          <w:sz w:val="28"/>
          <w:szCs w:val="28"/>
        </w:rPr>
        <w:t>,</w:t>
      </w:r>
      <w:r>
        <w:rPr>
          <w:rFonts w:ascii="Times New Roman" w:hAnsi="Times New Roman"/>
          <w:bCs/>
          <w:sz w:val="28"/>
          <w:szCs w:val="28"/>
        </w:rPr>
        <w:t xml:space="preserve"> </w:t>
      </w:r>
      <w:r w:rsidRPr="004D7C8C">
        <w:rPr>
          <w:rFonts w:ascii="Times New Roman" w:hAnsi="Times New Roman"/>
          <w:bCs/>
          <w:sz w:val="28"/>
          <w:szCs w:val="28"/>
        </w:rPr>
        <w:t xml:space="preserve">189 Ariz. 580, 584 (1997) (internal quotations and citations omitted).  Based on these concerns, the Court concluded that, before admitting other acts evidence under Rule 404(b), a clear-and-convincing standard a proof applied.  </w:t>
      </w:r>
      <w:r w:rsidRPr="004D7C8C">
        <w:rPr>
          <w:rFonts w:ascii="Times New Roman" w:hAnsi="Times New Roman"/>
          <w:bCs/>
          <w:i/>
          <w:iCs/>
          <w:sz w:val="28"/>
          <w:szCs w:val="28"/>
        </w:rPr>
        <w:t>Id.</w:t>
      </w:r>
      <w:r w:rsidRPr="004D7C8C">
        <w:rPr>
          <w:rFonts w:ascii="Times New Roman" w:hAnsi="Times New Roman"/>
          <w:bCs/>
          <w:sz w:val="28"/>
          <w:szCs w:val="28"/>
        </w:rPr>
        <w:t xml:space="preserve"> at 582; </w:t>
      </w:r>
      <w:r w:rsidRPr="004D7C8C">
        <w:rPr>
          <w:rFonts w:ascii="Times New Roman" w:hAnsi="Times New Roman"/>
          <w:bCs/>
          <w:i/>
          <w:iCs/>
          <w:sz w:val="28"/>
          <w:szCs w:val="28"/>
        </w:rPr>
        <w:t>see also</w:t>
      </w:r>
      <w:r w:rsidRPr="004D7C8C">
        <w:rPr>
          <w:rFonts w:ascii="Times New Roman" w:hAnsi="Times New Roman"/>
          <w:bCs/>
          <w:sz w:val="28"/>
          <w:szCs w:val="28"/>
        </w:rPr>
        <w:t xml:space="preserve"> Ariz. R. Evid. 403 (balancing test addressing undue prejudice).</w:t>
      </w:r>
    </w:p>
    <w:p w14:paraId="7074728E" w14:textId="5E222926" w:rsidR="00D52717" w:rsidRDefault="00D52717" w:rsidP="00D52717">
      <w:pPr>
        <w:spacing w:line="480" w:lineRule="auto"/>
        <w:jc w:val="both"/>
        <w:rPr>
          <w:rFonts w:ascii="Times New Roman" w:hAnsi="Times New Roman"/>
          <w:bCs/>
          <w:sz w:val="28"/>
          <w:szCs w:val="28"/>
        </w:rPr>
      </w:pPr>
      <w:r w:rsidRPr="004D7C8C">
        <w:rPr>
          <w:rFonts w:ascii="Times New Roman" w:hAnsi="Times New Roman"/>
          <w:b/>
          <w:sz w:val="28"/>
          <w:szCs w:val="28"/>
        </w:rPr>
        <w:tab/>
      </w:r>
      <w:r>
        <w:rPr>
          <w:rFonts w:ascii="Times New Roman" w:hAnsi="Times New Roman"/>
          <w:bCs/>
          <w:sz w:val="28"/>
          <w:szCs w:val="28"/>
        </w:rPr>
        <w:t>Regardless of these procedural safeguards, however</w:t>
      </w:r>
      <w:r w:rsidRPr="004D7C8C">
        <w:rPr>
          <w:rFonts w:ascii="Times New Roman" w:hAnsi="Times New Roman"/>
          <w:bCs/>
          <w:sz w:val="28"/>
          <w:szCs w:val="28"/>
        </w:rPr>
        <w:t xml:space="preserve">, parties in Arizona have demonstrated sufficient capacity to pursue and support arguments based on other acts evidence using </w:t>
      </w:r>
      <w:r>
        <w:rPr>
          <w:rFonts w:ascii="Times New Roman" w:hAnsi="Times New Roman"/>
          <w:bCs/>
          <w:sz w:val="28"/>
          <w:szCs w:val="28"/>
        </w:rPr>
        <w:t xml:space="preserve">proper, </w:t>
      </w:r>
      <w:r w:rsidRPr="004D7C8C">
        <w:rPr>
          <w:rFonts w:ascii="Times New Roman" w:hAnsi="Times New Roman"/>
          <w:bCs/>
          <w:sz w:val="28"/>
          <w:szCs w:val="28"/>
        </w:rPr>
        <w:t xml:space="preserve">non-propensity theories.  </w:t>
      </w:r>
      <w:r w:rsidRPr="004D7C8C">
        <w:rPr>
          <w:rFonts w:ascii="Times New Roman" w:hAnsi="Times New Roman"/>
          <w:bCs/>
          <w:i/>
          <w:iCs/>
          <w:sz w:val="28"/>
          <w:szCs w:val="28"/>
        </w:rPr>
        <w:t>See, e.g.</w:t>
      </w:r>
      <w:r w:rsidRPr="004D7C8C">
        <w:rPr>
          <w:rFonts w:ascii="Times New Roman" w:hAnsi="Times New Roman"/>
          <w:bCs/>
          <w:sz w:val="28"/>
          <w:szCs w:val="28"/>
        </w:rPr>
        <w:t xml:space="preserve">, </w:t>
      </w:r>
      <w:r w:rsidRPr="004D7C8C">
        <w:rPr>
          <w:rFonts w:ascii="Times New Roman" w:hAnsi="Times New Roman"/>
          <w:bCs/>
          <w:i/>
          <w:iCs/>
          <w:sz w:val="28"/>
          <w:szCs w:val="28"/>
        </w:rPr>
        <w:t>State v. Williams</w:t>
      </w:r>
      <w:r w:rsidRPr="004D7C8C">
        <w:rPr>
          <w:rFonts w:ascii="Times New Roman" w:hAnsi="Times New Roman"/>
          <w:bCs/>
          <w:sz w:val="28"/>
          <w:szCs w:val="28"/>
        </w:rPr>
        <w:t>, 183 Ariz. 368, 37</w:t>
      </w:r>
      <w:r w:rsidR="00FF5E9E">
        <w:rPr>
          <w:rFonts w:ascii="Times New Roman" w:hAnsi="Times New Roman"/>
          <w:bCs/>
          <w:sz w:val="28"/>
          <w:szCs w:val="28"/>
        </w:rPr>
        <w:t>5-7</w:t>
      </w:r>
      <w:r w:rsidRPr="004D7C8C">
        <w:rPr>
          <w:rFonts w:ascii="Times New Roman" w:hAnsi="Times New Roman"/>
          <w:bCs/>
          <w:sz w:val="28"/>
          <w:szCs w:val="28"/>
        </w:rPr>
        <w:t xml:space="preserve">6 (1995); </w:t>
      </w:r>
      <w:r w:rsidRPr="004D7C8C">
        <w:rPr>
          <w:rFonts w:ascii="Times New Roman" w:hAnsi="Times New Roman"/>
          <w:bCs/>
          <w:i/>
          <w:iCs/>
          <w:sz w:val="28"/>
          <w:szCs w:val="28"/>
        </w:rPr>
        <w:t>State v. Schackart</w:t>
      </w:r>
      <w:r w:rsidRPr="004D7C8C">
        <w:rPr>
          <w:rFonts w:ascii="Times New Roman" w:hAnsi="Times New Roman"/>
          <w:bCs/>
          <w:sz w:val="28"/>
          <w:szCs w:val="28"/>
        </w:rPr>
        <w:t>, 153 Ariz. 4</w:t>
      </w:r>
      <w:r w:rsidR="00FF5E9E">
        <w:rPr>
          <w:rFonts w:ascii="Times New Roman" w:hAnsi="Times New Roman"/>
          <w:bCs/>
          <w:sz w:val="28"/>
          <w:szCs w:val="28"/>
        </w:rPr>
        <w:t>2</w:t>
      </w:r>
      <w:r w:rsidRPr="004D7C8C">
        <w:rPr>
          <w:rFonts w:ascii="Times New Roman" w:hAnsi="Times New Roman"/>
          <w:bCs/>
          <w:sz w:val="28"/>
          <w:szCs w:val="28"/>
        </w:rPr>
        <w:t xml:space="preserve">2, 424 (App. 1987), </w:t>
      </w:r>
      <w:r w:rsidRPr="004D7C8C">
        <w:rPr>
          <w:rFonts w:ascii="Times New Roman" w:hAnsi="Times New Roman"/>
          <w:bCs/>
          <w:i/>
          <w:iCs/>
          <w:sz w:val="28"/>
          <w:szCs w:val="28"/>
        </w:rPr>
        <w:t>citing State v. Jeffers</w:t>
      </w:r>
      <w:r w:rsidRPr="004D7C8C">
        <w:rPr>
          <w:rFonts w:ascii="Times New Roman" w:hAnsi="Times New Roman"/>
          <w:bCs/>
          <w:sz w:val="28"/>
          <w:szCs w:val="28"/>
        </w:rPr>
        <w:t>, 135 Ariz. 404, 417 (1983) (“[I]f evidence is relevant for any purpose other than that of showing the defendant’s criminal propensities, it is admissible even though it refers to his prior bad acts.”).</w:t>
      </w:r>
      <w:r w:rsidRPr="004D7C8C">
        <w:rPr>
          <w:rStyle w:val="FootnoteReference"/>
          <w:rFonts w:ascii="Times New Roman" w:hAnsi="Times New Roman"/>
          <w:bCs/>
          <w:sz w:val="28"/>
          <w:szCs w:val="28"/>
        </w:rPr>
        <w:footnoteReference w:id="1"/>
      </w:r>
      <w:r w:rsidRPr="004D7C8C">
        <w:rPr>
          <w:rFonts w:ascii="Times New Roman" w:hAnsi="Times New Roman"/>
          <w:bCs/>
          <w:sz w:val="28"/>
          <w:szCs w:val="28"/>
        </w:rPr>
        <w:t xml:space="preserve">  </w:t>
      </w:r>
    </w:p>
    <w:p w14:paraId="4438946A" w14:textId="77777777" w:rsidR="002D2F1D" w:rsidRPr="002D2F1D" w:rsidRDefault="002D2F1D" w:rsidP="002D2F1D">
      <w:pPr>
        <w:pStyle w:val="ListParagraph"/>
        <w:numPr>
          <w:ilvl w:val="0"/>
          <w:numId w:val="9"/>
        </w:numPr>
        <w:spacing w:line="480" w:lineRule="auto"/>
        <w:jc w:val="both"/>
        <w:rPr>
          <w:rFonts w:ascii="Times New Roman" w:hAnsi="Times New Roman"/>
          <w:b/>
          <w:sz w:val="28"/>
          <w:szCs w:val="28"/>
        </w:rPr>
      </w:pPr>
      <w:r w:rsidRPr="002D2F1D">
        <w:rPr>
          <w:rFonts w:ascii="Times New Roman" w:hAnsi="Times New Roman"/>
          <w:b/>
          <w:sz w:val="28"/>
          <w:szCs w:val="28"/>
          <w:u w:val="single"/>
        </w:rPr>
        <w:lastRenderedPageBreak/>
        <w:t>The Factual Basis Underlying The Petition Is Flawed</w:t>
      </w:r>
      <w:r w:rsidRPr="002D2F1D">
        <w:rPr>
          <w:rFonts w:ascii="Times New Roman" w:hAnsi="Times New Roman"/>
          <w:b/>
          <w:sz w:val="28"/>
          <w:szCs w:val="28"/>
        </w:rPr>
        <w:t>.</w:t>
      </w:r>
    </w:p>
    <w:p w14:paraId="49A290D5" w14:textId="4E4410BC" w:rsidR="002D2F1D" w:rsidRPr="004D7C8C" w:rsidRDefault="002D2F1D" w:rsidP="002D2F1D">
      <w:pPr>
        <w:spacing w:line="480" w:lineRule="auto"/>
        <w:ind w:firstLine="720"/>
        <w:jc w:val="both"/>
        <w:rPr>
          <w:rFonts w:ascii="Times New Roman" w:hAnsi="Times New Roman"/>
          <w:bCs/>
          <w:sz w:val="28"/>
          <w:szCs w:val="28"/>
        </w:rPr>
      </w:pPr>
      <w:r w:rsidRPr="004D7C8C">
        <w:rPr>
          <w:rFonts w:ascii="Times New Roman" w:hAnsi="Times New Roman"/>
          <w:bCs/>
          <w:sz w:val="28"/>
          <w:szCs w:val="28"/>
        </w:rPr>
        <w:t>The petition proposes</w:t>
      </w:r>
      <w:r w:rsidR="008A6FEF">
        <w:rPr>
          <w:rFonts w:ascii="Times New Roman" w:hAnsi="Times New Roman"/>
          <w:bCs/>
          <w:sz w:val="28"/>
          <w:szCs w:val="28"/>
        </w:rPr>
        <w:t xml:space="preserve"> </w:t>
      </w:r>
      <w:r w:rsidR="008A6FEF" w:rsidRPr="004D7C8C">
        <w:rPr>
          <w:rFonts w:ascii="Times New Roman" w:hAnsi="Times New Roman"/>
          <w:bCs/>
          <w:sz w:val="28"/>
          <w:szCs w:val="28"/>
        </w:rPr>
        <w:t xml:space="preserve">an amendment to Rule 404(b) </w:t>
      </w:r>
      <w:r w:rsidR="008A6FEF">
        <w:rPr>
          <w:rFonts w:ascii="Times New Roman" w:hAnsi="Times New Roman"/>
          <w:bCs/>
          <w:sz w:val="28"/>
          <w:szCs w:val="28"/>
        </w:rPr>
        <w:t>and addition of a new subsection to Rule 404</w:t>
      </w:r>
      <w:r w:rsidRPr="004D7C8C">
        <w:rPr>
          <w:rFonts w:ascii="Times New Roman" w:hAnsi="Times New Roman"/>
          <w:bCs/>
          <w:sz w:val="28"/>
          <w:szCs w:val="28"/>
        </w:rPr>
        <w:t xml:space="preserve"> that would </w:t>
      </w:r>
      <w:r>
        <w:rPr>
          <w:rFonts w:ascii="Times New Roman" w:hAnsi="Times New Roman"/>
          <w:bCs/>
          <w:sz w:val="28"/>
          <w:szCs w:val="28"/>
        </w:rPr>
        <w:t>permit</w:t>
      </w:r>
      <w:r w:rsidRPr="004D7C8C">
        <w:rPr>
          <w:rFonts w:ascii="Times New Roman" w:hAnsi="Times New Roman"/>
          <w:bCs/>
          <w:sz w:val="28"/>
          <w:szCs w:val="28"/>
        </w:rPr>
        <w:t xml:space="preserve"> the admission of other acts of domestic violence as cha</w:t>
      </w:r>
      <w:r w:rsidR="008A6FEF">
        <w:rPr>
          <w:rFonts w:ascii="Times New Roman" w:hAnsi="Times New Roman"/>
          <w:bCs/>
          <w:sz w:val="28"/>
          <w:szCs w:val="28"/>
        </w:rPr>
        <w:t xml:space="preserve">racter or propensity evidence. </w:t>
      </w:r>
      <w:r w:rsidRPr="004D7C8C">
        <w:rPr>
          <w:rFonts w:ascii="Times New Roman" w:hAnsi="Times New Roman"/>
          <w:bCs/>
          <w:sz w:val="28"/>
          <w:szCs w:val="28"/>
        </w:rPr>
        <w:t>The petition’s factual justification for this proposal is that “[d]omestic violence is very rarely a momentary loss of temper. It is, instead, a pattern of abuse that is obsessional in nature rather than a onetime event.” Petition</w:t>
      </w:r>
      <w:r>
        <w:rPr>
          <w:rFonts w:ascii="Times New Roman" w:hAnsi="Times New Roman"/>
          <w:bCs/>
          <w:sz w:val="28"/>
          <w:szCs w:val="28"/>
        </w:rPr>
        <w:t xml:space="preserve"> at 2</w:t>
      </w:r>
      <w:r w:rsidRPr="004D7C8C">
        <w:rPr>
          <w:rFonts w:ascii="Times New Roman" w:hAnsi="Times New Roman"/>
          <w:bCs/>
          <w:sz w:val="28"/>
          <w:szCs w:val="28"/>
        </w:rPr>
        <w:t xml:space="preserve">, </w:t>
      </w:r>
      <w:r w:rsidRPr="004D7C8C">
        <w:rPr>
          <w:rFonts w:ascii="Times New Roman" w:hAnsi="Times New Roman"/>
          <w:bCs/>
          <w:i/>
          <w:iCs/>
          <w:sz w:val="28"/>
          <w:szCs w:val="28"/>
        </w:rPr>
        <w:t>quoting Isabel Scott &amp; Nancy McKenna</w:t>
      </w:r>
      <w:r w:rsidRPr="004D7C8C">
        <w:rPr>
          <w:rFonts w:ascii="Times New Roman" w:hAnsi="Times New Roman"/>
          <w:bCs/>
          <w:sz w:val="28"/>
          <w:szCs w:val="28"/>
        </w:rPr>
        <w:t xml:space="preserve">, Domestic Violence Practice and Procedure § 1:4 (2018).  Based on this assumption—that almost all </w:t>
      </w:r>
      <w:r>
        <w:rPr>
          <w:rFonts w:ascii="Times New Roman" w:hAnsi="Times New Roman"/>
          <w:bCs/>
          <w:sz w:val="28"/>
          <w:szCs w:val="28"/>
        </w:rPr>
        <w:t>cases</w:t>
      </w:r>
      <w:r w:rsidRPr="004D7C8C">
        <w:rPr>
          <w:rFonts w:ascii="Times New Roman" w:hAnsi="Times New Roman"/>
          <w:bCs/>
          <w:sz w:val="28"/>
          <w:szCs w:val="28"/>
        </w:rPr>
        <w:t xml:space="preserve"> of domestic violence </w:t>
      </w:r>
      <w:r>
        <w:rPr>
          <w:rFonts w:ascii="Times New Roman" w:hAnsi="Times New Roman"/>
          <w:bCs/>
          <w:sz w:val="28"/>
          <w:szCs w:val="28"/>
        </w:rPr>
        <w:t>stem from</w:t>
      </w:r>
      <w:r w:rsidRPr="004D7C8C">
        <w:rPr>
          <w:rFonts w:ascii="Times New Roman" w:hAnsi="Times New Roman"/>
          <w:bCs/>
          <w:sz w:val="28"/>
          <w:szCs w:val="28"/>
        </w:rPr>
        <w:t xml:space="preserve"> this cycle or repetition of abuse—the petition proposes a rule that would apply to all acts of domestic violence, including acts co</w:t>
      </w:r>
      <w:r w:rsidR="008A6FEF">
        <w:rPr>
          <w:rFonts w:ascii="Times New Roman" w:hAnsi="Times New Roman"/>
          <w:bCs/>
          <w:sz w:val="28"/>
          <w:szCs w:val="28"/>
        </w:rPr>
        <w:t>mmitted against other victims.</w:t>
      </w:r>
    </w:p>
    <w:p w14:paraId="39AAF728" w14:textId="2EDD625E" w:rsidR="002D2F1D" w:rsidRPr="004D7C8C" w:rsidRDefault="002D2F1D" w:rsidP="002D2F1D">
      <w:pPr>
        <w:spacing w:line="480" w:lineRule="auto"/>
        <w:ind w:firstLine="720"/>
        <w:jc w:val="both"/>
        <w:rPr>
          <w:rFonts w:ascii="Times New Roman" w:hAnsi="Times New Roman"/>
          <w:bCs/>
          <w:sz w:val="28"/>
          <w:szCs w:val="28"/>
        </w:rPr>
      </w:pPr>
      <w:r w:rsidRPr="004D7C8C">
        <w:rPr>
          <w:rFonts w:ascii="Times New Roman" w:hAnsi="Times New Roman"/>
          <w:bCs/>
          <w:sz w:val="28"/>
          <w:szCs w:val="28"/>
        </w:rPr>
        <w:t>The three-phase cycle of domestic violence described by the petition—tension building, battery, and the honeymoon—</w:t>
      </w:r>
      <w:r w:rsidR="003E46A0">
        <w:rPr>
          <w:rFonts w:ascii="Times New Roman" w:hAnsi="Times New Roman"/>
          <w:bCs/>
          <w:sz w:val="28"/>
          <w:szCs w:val="28"/>
        </w:rPr>
        <w:t xml:space="preserve">appears to </w:t>
      </w:r>
      <w:r w:rsidRPr="004D7C8C">
        <w:rPr>
          <w:rFonts w:ascii="Times New Roman" w:hAnsi="Times New Roman"/>
          <w:bCs/>
          <w:sz w:val="28"/>
          <w:szCs w:val="28"/>
        </w:rPr>
        <w:t>relate to intimate</w:t>
      </w:r>
      <w:r w:rsidR="008A6FEF">
        <w:rPr>
          <w:rFonts w:ascii="Times New Roman" w:hAnsi="Times New Roman"/>
          <w:bCs/>
          <w:sz w:val="28"/>
          <w:szCs w:val="28"/>
        </w:rPr>
        <w:t>-</w:t>
      </w:r>
      <w:r w:rsidRPr="004D7C8C">
        <w:rPr>
          <w:rFonts w:ascii="Times New Roman" w:hAnsi="Times New Roman"/>
          <w:bCs/>
          <w:sz w:val="28"/>
          <w:szCs w:val="28"/>
        </w:rPr>
        <w:t xml:space="preserve">partner violence (IPV) </w:t>
      </w:r>
      <w:r w:rsidR="003E46A0">
        <w:rPr>
          <w:rFonts w:ascii="Times New Roman" w:hAnsi="Times New Roman"/>
          <w:bCs/>
          <w:sz w:val="28"/>
          <w:szCs w:val="28"/>
        </w:rPr>
        <w:t>and was first</w:t>
      </w:r>
      <w:r w:rsidRPr="004D7C8C">
        <w:rPr>
          <w:rFonts w:ascii="Times New Roman" w:hAnsi="Times New Roman"/>
          <w:bCs/>
          <w:sz w:val="28"/>
          <w:szCs w:val="28"/>
        </w:rPr>
        <w:t xml:space="preserve"> described by Lenore Walker’s 1979 book, </w:t>
      </w:r>
      <w:r w:rsidRPr="004D7C8C">
        <w:rPr>
          <w:rFonts w:ascii="Times New Roman" w:hAnsi="Times New Roman"/>
          <w:bCs/>
          <w:i/>
          <w:iCs/>
          <w:sz w:val="28"/>
          <w:szCs w:val="28"/>
        </w:rPr>
        <w:t>The Battered Woman</w:t>
      </w:r>
      <w:r w:rsidRPr="004D7C8C">
        <w:rPr>
          <w:rFonts w:ascii="Times New Roman" w:hAnsi="Times New Roman"/>
          <w:bCs/>
          <w:sz w:val="28"/>
          <w:szCs w:val="28"/>
        </w:rPr>
        <w:t xml:space="preserve">. </w:t>
      </w:r>
      <w:r w:rsidRPr="004D7C8C">
        <w:rPr>
          <w:rFonts w:ascii="Times New Roman" w:hAnsi="Times New Roman"/>
          <w:bCs/>
          <w:sz w:val="28"/>
          <w:szCs w:val="28"/>
        </w:rPr>
        <w:lastRenderedPageBreak/>
        <w:t xml:space="preserve">In Arizona, however, our legislature has defined domestic violence to broadly include many forms of relationship that do not involve intimacy. </w:t>
      </w:r>
      <w:r w:rsidR="003E46A0">
        <w:rPr>
          <w:rFonts w:ascii="Times New Roman" w:hAnsi="Times New Roman"/>
          <w:bCs/>
          <w:sz w:val="28"/>
          <w:szCs w:val="28"/>
        </w:rPr>
        <w:t>Section</w:t>
      </w:r>
      <w:r w:rsidR="008A6FEF">
        <w:rPr>
          <w:rFonts w:ascii="Times New Roman" w:hAnsi="Times New Roman"/>
          <w:bCs/>
          <w:sz w:val="28"/>
          <w:szCs w:val="28"/>
        </w:rPr>
        <w:t xml:space="preserve"> </w:t>
      </w:r>
      <w:r w:rsidRPr="004D7C8C">
        <w:rPr>
          <w:rFonts w:ascii="Times New Roman" w:hAnsi="Times New Roman"/>
          <w:bCs/>
          <w:sz w:val="28"/>
          <w:szCs w:val="28"/>
        </w:rPr>
        <w:t>13-3601</w:t>
      </w:r>
      <w:r w:rsidR="003E46A0">
        <w:rPr>
          <w:rFonts w:ascii="Times New Roman" w:hAnsi="Times New Roman"/>
          <w:bCs/>
          <w:sz w:val="28"/>
          <w:szCs w:val="28"/>
        </w:rPr>
        <w:t>, A.R.S.,</w:t>
      </w:r>
      <w:r w:rsidRPr="004D7C8C">
        <w:rPr>
          <w:rFonts w:ascii="Times New Roman" w:hAnsi="Times New Roman"/>
          <w:bCs/>
          <w:sz w:val="28"/>
          <w:szCs w:val="28"/>
        </w:rPr>
        <w:t xml:space="preserve"> defines domestic violence as any situation in which:</w:t>
      </w:r>
    </w:p>
    <w:p w14:paraId="75569649" w14:textId="77777777" w:rsidR="002D2F1D" w:rsidRPr="002D2F1D" w:rsidRDefault="002D2F1D" w:rsidP="002D2F1D">
      <w:pPr>
        <w:spacing w:line="240" w:lineRule="auto"/>
        <w:ind w:left="720" w:right="720"/>
        <w:jc w:val="both"/>
        <w:rPr>
          <w:rFonts w:ascii="Times New Roman" w:hAnsi="Times New Roman"/>
          <w:sz w:val="28"/>
          <w:szCs w:val="28"/>
        </w:rPr>
      </w:pPr>
      <w:r w:rsidRPr="002D2F1D">
        <w:rPr>
          <w:rFonts w:ascii="Times New Roman" w:hAnsi="Times New Roman"/>
          <w:sz w:val="28"/>
          <w:szCs w:val="28"/>
        </w:rPr>
        <w:t>1. The relationship between the victim and the defendant is one of marriage or former marriage or of persons residing or having resided in the same household.</w:t>
      </w:r>
    </w:p>
    <w:p w14:paraId="15D0534D" w14:textId="77777777" w:rsidR="002D2F1D" w:rsidRPr="002D2F1D" w:rsidRDefault="002D2F1D" w:rsidP="002D2F1D">
      <w:pPr>
        <w:spacing w:line="240" w:lineRule="auto"/>
        <w:ind w:left="720" w:right="720"/>
        <w:jc w:val="both"/>
        <w:rPr>
          <w:rFonts w:ascii="Times New Roman" w:hAnsi="Times New Roman"/>
          <w:sz w:val="28"/>
          <w:szCs w:val="28"/>
        </w:rPr>
      </w:pPr>
    </w:p>
    <w:p w14:paraId="74187049" w14:textId="77777777" w:rsidR="002D2F1D" w:rsidRPr="002D2F1D" w:rsidRDefault="002D2F1D" w:rsidP="002D2F1D">
      <w:pPr>
        <w:spacing w:line="240" w:lineRule="auto"/>
        <w:ind w:left="720" w:right="720"/>
        <w:jc w:val="both"/>
        <w:rPr>
          <w:rFonts w:ascii="Times New Roman" w:hAnsi="Times New Roman"/>
          <w:sz w:val="28"/>
          <w:szCs w:val="28"/>
        </w:rPr>
      </w:pPr>
      <w:r w:rsidRPr="002D2F1D">
        <w:rPr>
          <w:rFonts w:ascii="Times New Roman" w:hAnsi="Times New Roman"/>
          <w:sz w:val="28"/>
          <w:szCs w:val="28"/>
        </w:rPr>
        <w:t>2. The victim and the defendant have a child in common.</w:t>
      </w:r>
    </w:p>
    <w:p w14:paraId="68988D03" w14:textId="77777777" w:rsidR="002D2F1D" w:rsidRPr="002D2F1D" w:rsidRDefault="002D2F1D" w:rsidP="002D2F1D">
      <w:pPr>
        <w:spacing w:line="240" w:lineRule="auto"/>
        <w:ind w:left="720" w:right="720"/>
        <w:jc w:val="both"/>
        <w:rPr>
          <w:rFonts w:ascii="Times New Roman" w:hAnsi="Times New Roman"/>
          <w:sz w:val="28"/>
          <w:szCs w:val="28"/>
        </w:rPr>
      </w:pPr>
    </w:p>
    <w:p w14:paraId="3F66ACE4" w14:textId="77777777" w:rsidR="002D2F1D" w:rsidRPr="002D2F1D" w:rsidRDefault="002D2F1D" w:rsidP="002D2F1D">
      <w:pPr>
        <w:spacing w:line="240" w:lineRule="auto"/>
        <w:ind w:left="720" w:right="720"/>
        <w:jc w:val="both"/>
        <w:rPr>
          <w:rFonts w:ascii="Times New Roman" w:hAnsi="Times New Roman"/>
          <w:sz w:val="28"/>
          <w:szCs w:val="28"/>
        </w:rPr>
      </w:pPr>
      <w:r w:rsidRPr="002D2F1D">
        <w:rPr>
          <w:rFonts w:ascii="Times New Roman" w:hAnsi="Times New Roman"/>
          <w:sz w:val="28"/>
          <w:szCs w:val="28"/>
        </w:rPr>
        <w:t>3. The victim or the defendant is pregnant by the other party.</w:t>
      </w:r>
    </w:p>
    <w:p w14:paraId="610389E2" w14:textId="77777777" w:rsidR="002D2F1D" w:rsidRPr="002D2F1D" w:rsidRDefault="002D2F1D" w:rsidP="002D2F1D">
      <w:pPr>
        <w:spacing w:line="240" w:lineRule="auto"/>
        <w:ind w:left="720" w:right="720"/>
        <w:jc w:val="both"/>
        <w:rPr>
          <w:rFonts w:ascii="Times New Roman" w:hAnsi="Times New Roman"/>
          <w:sz w:val="28"/>
          <w:szCs w:val="28"/>
        </w:rPr>
      </w:pPr>
    </w:p>
    <w:p w14:paraId="5FCD81E2" w14:textId="77777777" w:rsidR="002D2F1D" w:rsidRPr="002D2F1D" w:rsidRDefault="002D2F1D" w:rsidP="002D2F1D">
      <w:pPr>
        <w:spacing w:line="240" w:lineRule="auto"/>
        <w:ind w:left="720" w:right="720"/>
        <w:jc w:val="both"/>
        <w:rPr>
          <w:rFonts w:ascii="Times New Roman" w:hAnsi="Times New Roman"/>
          <w:sz w:val="28"/>
          <w:szCs w:val="28"/>
        </w:rPr>
      </w:pPr>
      <w:r w:rsidRPr="002D2F1D">
        <w:rPr>
          <w:rFonts w:ascii="Times New Roman" w:hAnsi="Times New Roman"/>
          <w:sz w:val="28"/>
          <w:szCs w:val="28"/>
        </w:rPr>
        <w:t>4. The victim is related to the defendant or the defendant's spouse by blood or court order as a parent, grandparent, child, grandchild, brother or sister or by marriage as a parent-in-law, grandparent-in-law, stepparent, step-grandparent, stepchild, step-grandchild, brother-in-law or sister-in-law.</w:t>
      </w:r>
    </w:p>
    <w:p w14:paraId="69FCB2AF" w14:textId="77777777" w:rsidR="002D2F1D" w:rsidRPr="002D2F1D" w:rsidRDefault="002D2F1D" w:rsidP="002D2F1D">
      <w:pPr>
        <w:spacing w:line="240" w:lineRule="auto"/>
        <w:ind w:left="720" w:right="720"/>
        <w:jc w:val="both"/>
        <w:rPr>
          <w:rFonts w:ascii="Times New Roman" w:hAnsi="Times New Roman"/>
          <w:sz w:val="28"/>
          <w:szCs w:val="28"/>
        </w:rPr>
      </w:pPr>
    </w:p>
    <w:p w14:paraId="1E5FDFE2" w14:textId="77777777" w:rsidR="002D2F1D" w:rsidRPr="002D2F1D" w:rsidRDefault="002D2F1D" w:rsidP="002D2F1D">
      <w:pPr>
        <w:spacing w:line="240" w:lineRule="auto"/>
        <w:ind w:left="720" w:right="720"/>
        <w:jc w:val="both"/>
        <w:rPr>
          <w:rFonts w:ascii="Times New Roman" w:hAnsi="Times New Roman"/>
          <w:sz w:val="28"/>
          <w:szCs w:val="28"/>
        </w:rPr>
      </w:pPr>
      <w:r w:rsidRPr="002D2F1D">
        <w:rPr>
          <w:rFonts w:ascii="Times New Roman" w:hAnsi="Times New Roman"/>
          <w:sz w:val="28"/>
          <w:szCs w:val="28"/>
        </w:rPr>
        <w:t>5. The victim is a child who resides or has resided in the same household as the defendant and is related by blood to a former spouse of the defendant or to a person who resides or who has resided in the same household as the defendant.</w:t>
      </w:r>
    </w:p>
    <w:p w14:paraId="5F1CA1B0" w14:textId="77777777" w:rsidR="002D2F1D" w:rsidRPr="002D2F1D" w:rsidRDefault="002D2F1D" w:rsidP="002D2F1D">
      <w:pPr>
        <w:spacing w:line="240" w:lineRule="auto"/>
        <w:ind w:left="720" w:right="720"/>
        <w:jc w:val="both"/>
        <w:rPr>
          <w:rFonts w:ascii="Times New Roman" w:hAnsi="Times New Roman"/>
          <w:sz w:val="28"/>
          <w:szCs w:val="28"/>
        </w:rPr>
      </w:pPr>
    </w:p>
    <w:p w14:paraId="6873CCCE" w14:textId="77777777" w:rsidR="002D2F1D" w:rsidRPr="002D2F1D" w:rsidRDefault="002D2F1D" w:rsidP="002D2F1D">
      <w:pPr>
        <w:spacing w:line="240" w:lineRule="auto"/>
        <w:ind w:left="720" w:right="720"/>
        <w:jc w:val="both"/>
        <w:rPr>
          <w:rFonts w:ascii="Times New Roman" w:hAnsi="Times New Roman"/>
          <w:sz w:val="28"/>
          <w:szCs w:val="28"/>
        </w:rPr>
      </w:pPr>
      <w:r w:rsidRPr="002D2F1D">
        <w:rPr>
          <w:rFonts w:ascii="Times New Roman" w:hAnsi="Times New Roman"/>
          <w:sz w:val="28"/>
          <w:szCs w:val="28"/>
        </w:rPr>
        <w:t>6. The relationship between the victim and the defendant is currently or was previously a romantic or sexual relationship. . . .</w:t>
      </w:r>
    </w:p>
    <w:p w14:paraId="7FF66325" w14:textId="2D38C126" w:rsidR="002D2F1D" w:rsidRPr="004D7C8C" w:rsidRDefault="002D2F1D" w:rsidP="002D2F1D">
      <w:pPr>
        <w:spacing w:line="240" w:lineRule="auto"/>
        <w:ind w:left="720" w:right="720"/>
        <w:jc w:val="both"/>
        <w:rPr>
          <w:rFonts w:ascii="Times New Roman" w:hAnsi="Times New Roman"/>
          <w:sz w:val="28"/>
          <w:szCs w:val="28"/>
        </w:rPr>
      </w:pPr>
    </w:p>
    <w:p w14:paraId="111E518D" w14:textId="11737C61" w:rsidR="002D2F1D" w:rsidRDefault="002D2F1D" w:rsidP="008A6FEF">
      <w:pPr>
        <w:spacing w:line="480" w:lineRule="auto"/>
        <w:jc w:val="both"/>
        <w:rPr>
          <w:rFonts w:ascii="Times New Roman" w:hAnsi="Times New Roman"/>
          <w:bCs/>
          <w:sz w:val="28"/>
          <w:szCs w:val="28"/>
        </w:rPr>
      </w:pPr>
      <w:r w:rsidRPr="004D7C8C">
        <w:rPr>
          <w:rFonts w:ascii="Times New Roman" w:hAnsi="Times New Roman"/>
          <w:bCs/>
          <w:sz w:val="28"/>
          <w:szCs w:val="28"/>
        </w:rPr>
        <w:t xml:space="preserve">Because of this expansive definition, domestic violence in Arizona can include </w:t>
      </w:r>
      <w:r>
        <w:rPr>
          <w:rFonts w:ascii="Times New Roman" w:hAnsi="Times New Roman"/>
          <w:bCs/>
          <w:sz w:val="28"/>
          <w:szCs w:val="28"/>
        </w:rPr>
        <w:t>a</w:t>
      </w:r>
      <w:r w:rsidRPr="004D7C8C">
        <w:rPr>
          <w:rFonts w:ascii="Times New Roman" w:hAnsi="Times New Roman"/>
          <w:bCs/>
          <w:sz w:val="28"/>
          <w:szCs w:val="28"/>
        </w:rPr>
        <w:t xml:space="preserve"> crime committed by a college student against his or her roommate, a troubled </w:t>
      </w:r>
      <w:r w:rsidR="008A6FEF">
        <w:rPr>
          <w:rFonts w:ascii="Times New Roman" w:hAnsi="Times New Roman"/>
          <w:bCs/>
          <w:sz w:val="28"/>
          <w:szCs w:val="28"/>
        </w:rPr>
        <w:t>child</w:t>
      </w:r>
      <w:r w:rsidRPr="004D7C8C">
        <w:rPr>
          <w:rFonts w:ascii="Times New Roman" w:hAnsi="Times New Roman"/>
          <w:bCs/>
          <w:sz w:val="28"/>
          <w:szCs w:val="28"/>
        </w:rPr>
        <w:t xml:space="preserve"> against his </w:t>
      </w:r>
      <w:r w:rsidR="008A6FEF">
        <w:rPr>
          <w:rFonts w:ascii="Times New Roman" w:hAnsi="Times New Roman"/>
          <w:bCs/>
          <w:sz w:val="28"/>
          <w:szCs w:val="28"/>
        </w:rPr>
        <w:t xml:space="preserve">or her </w:t>
      </w:r>
      <w:r w:rsidRPr="004D7C8C">
        <w:rPr>
          <w:rFonts w:ascii="Times New Roman" w:hAnsi="Times New Roman"/>
          <w:bCs/>
          <w:sz w:val="28"/>
          <w:szCs w:val="28"/>
        </w:rPr>
        <w:t xml:space="preserve">parents, or any </w:t>
      </w:r>
      <w:r w:rsidR="008A6FEF">
        <w:rPr>
          <w:rFonts w:ascii="Times New Roman" w:hAnsi="Times New Roman"/>
          <w:bCs/>
          <w:sz w:val="28"/>
          <w:szCs w:val="28"/>
        </w:rPr>
        <w:t>person</w:t>
      </w:r>
      <w:r w:rsidRPr="004D7C8C">
        <w:rPr>
          <w:rFonts w:ascii="Times New Roman" w:hAnsi="Times New Roman"/>
          <w:bCs/>
          <w:sz w:val="28"/>
          <w:szCs w:val="28"/>
        </w:rPr>
        <w:t xml:space="preserve"> against </w:t>
      </w:r>
      <w:r w:rsidR="008A6FEF">
        <w:rPr>
          <w:rFonts w:ascii="Times New Roman" w:hAnsi="Times New Roman"/>
          <w:bCs/>
          <w:sz w:val="28"/>
          <w:szCs w:val="28"/>
        </w:rPr>
        <w:t>a member of the</w:t>
      </w:r>
      <w:r w:rsidRPr="004D7C8C">
        <w:rPr>
          <w:rFonts w:ascii="Times New Roman" w:hAnsi="Times New Roman"/>
          <w:bCs/>
          <w:sz w:val="28"/>
          <w:szCs w:val="28"/>
        </w:rPr>
        <w:t xml:space="preserve"> extended family. Moreover, as acknowledged by one of the scholars cited by the petition, even in the context of an intimate relationship, the three-phase cycle “does not fit every case of domestic violence.” Lisa Marie De Sanctis, </w:t>
      </w:r>
      <w:r w:rsidRPr="004D7C8C">
        <w:rPr>
          <w:rFonts w:ascii="Times New Roman" w:hAnsi="Times New Roman"/>
          <w:bCs/>
          <w:i/>
          <w:iCs/>
          <w:sz w:val="28"/>
          <w:szCs w:val="28"/>
        </w:rPr>
        <w:t xml:space="preserve">Bridging the Gap Between the Rules of </w:t>
      </w:r>
      <w:r w:rsidRPr="004D7C8C">
        <w:rPr>
          <w:rFonts w:ascii="Times New Roman" w:hAnsi="Times New Roman"/>
          <w:bCs/>
          <w:i/>
          <w:iCs/>
          <w:sz w:val="28"/>
          <w:szCs w:val="28"/>
        </w:rPr>
        <w:lastRenderedPageBreak/>
        <w:t>Evidence and Justice for Victims of Domestic Violence</w:t>
      </w:r>
      <w:r w:rsidRPr="004D7C8C">
        <w:rPr>
          <w:rFonts w:ascii="Times New Roman" w:hAnsi="Times New Roman"/>
          <w:bCs/>
          <w:sz w:val="28"/>
          <w:szCs w:val="28"/>
        </w:rPr>
        <w:t>, 8 Yale J.L. &amp; Feminism 359, 381 (1996) (“</w:t>
      </w:r>
      <w:r w:rsidRPr="004D7C8C">
        <w:rPr>
          <w:rFonts w:ascii="Times New Roman" w:hAnsi="Times New Roman"/>
          <w:bCs/>
          <w:i/>
          <w:iCs/>
          <w:sz w:val="28"/>
          <w:szCs w:val="28"/>
        </w:rPr>
        <w:t>Bridging the Gap</w:t>
      </w:r>
      <w:r w:rsidRPr="004D7C8C">
        <w:rPr>
          <w:rFonts w:ascii="Times New Roman" w:hAnsi="Times New Roman"/>
          <w:bCs/>
          <w:sz w:val="28"/>
          <w:szCs w:val="28"/>
        </w:rPr>
        <w:t>”). As a result, the factual premise underlying the petition—that all domestic violence is systemic—is flawed. Instead, because of the wide variety of forms in which domestic violence can occur in Arizona, as defined by § 13-3601, a case</w:t>
      </w:r>
      <w:r>
        <w:rPr>
          <w:rFonts w:ascii="Times New Roman" w:hAnsi="Times New Roman"/>
          <w:bCs/>
          <w:sz w:val="28"/>
          <w:szCs w:val="28"/>
        </w:rPr>
        <w:t>-</w:t>
      </w:r>
      <w:r w:rsidRPr="004D7C8C">
        <w:rPr>
          <w:rFonts w:ascii="Times New Roman" w:hAnsi="Times New Roman"/>
          <w:bCs/>
          <w:sz w:val="28"/>
          <w:szCs w:val="28"/>
        </w:rPr>
        <w:t>by</w:t>
      </w:r>
      <w:r>
        <w:rPr>
          <w:rFonts w:ascii="Times New Roman" w:hAnsi="Times New Roman"/>
          <w:bCs/>
          <w:sz w:val="28"/>
          <w:szCs w:val="28"/>
        </w:rPr>
        <w:t>-</w:t>
      </w:r>
      <w:r w:rsidRPr="004D7C8C">
        <w:rPr>
          <w:rFonts w:ascii="Times New Roman" w:hAnsi="Times New Roman"/>
          <w:bCs/>
          <w:sz w:val="28"/>
          <w:szCs w:val="28"/>
        </w:rPr>
        <w:t>case analysis is more appropriate.</w:t>
      </w:r>
      <w:r>
        <w:rPr>
          <w:rFonts w:ascii="Times New Roman" w:hAnsi="Times New Roman"/>
          <w:bCs/>
          <w:sz w:val="28"/>
          <w:szCs w:val="28"/>
        </w:rPr>
        <w:t xml:space="preserve"> That case-by-case analysis is exactly what the current rule provides, as described below.</w:t>
      </w:r>
    </w:p>
    <w:p w14:paraId="374653ED" w14:textId="3DDA73C7" w:rsidR="008A6FEF" w:rsidRPr="002D2F1D" w:rsidRDefault="008A6FEF" w:rsidP="008A6FEF">
      <w:pPr>
        <w:pStyle w:val="ListParagraph"/>
        <w:numPr>
          <w:ilvl w:val="0"/>
          <w:numId w:val="9"/>
        </w:numPr>
        <w:spacing w:line="240" w:lineRule="auto"/>
        <w:jc w:val="both"/>
        <w:rPr>
          <w:rFonts w:ascii="Times New Roman" w:hAnsi="Times New Roman"/>
          <w:b/>
          <w:sz w:val="28"/>
          <w:szCs w:val="28"/>
        </w:rPr>
      </w:pPr>
      <w:r w:rsidRPr="008A6FEF">
        <w:rPr>
          <w:rFonts w:ascii="Times New Roman" w:hAnsi="Times New Roman"/>
          <w:b/>
          <w:sz w:val="28"/>
          <w:szCs w:val="28"/>
          <w:u w:val="single"/>
        </w:rPr>
        <w:t>The Current Rule Provides Adequate Tools To Overcome The Evidentiary Obstacles Referenced By The Petition</w:t>
      </w:r>
      <w:r w:rsidRPr="002D2F1D">
        <w:rPr>
          <w:rFonts w:ascii="Times New Roman" w:hAnsi="Times New Roman"/>
          <w:b/>
          <w:sz w:val="28"/>
          <w:szCs w:val="28"/>
        </w:rPr>
        <w:t>.</w:t>
      </w:r>
    </w:p>
    <w:p w14:paraId="6A7103C8" w14:textId="3959483A" w:rsidR="008A6FEF" w:rsidRDefault="008A6FEF" w:rsidP="008A6FEF">
      <w:pPr>
        <w:spacing w:line="240" w:lineRule="auto"/>
        <w:jc w:val="both"/>
        <w:rPr>
          <w:rFonts w:ascii="Times New Roman" w:hAnsi="Times New Roman"/>
          <w:bCs/>
          <w:sz w:val="28"/>
          <w:szCs w:val="28"/>
        </w:rPr>
      </w:pPr>
    </w:p>
    <w:p w14:paraId="58E58A3A" w14:textId="74D1E3B4" w:rsidR="008A6FEF" w:rsidRPr="004D7C8C" w:rsidRDefault="008A6FEF" w:rsidP="008A6FEF">
      <w:pPr>
        <w:spacing w:line="480" w:lineRule="auto"/>
        <w:ind w:firstLine="720"/>
        <w:jc w:val="both"/>
        <w:rPr>
          <w:rFonts w:ascii="Times New Roman" w:hAnsi="Times New Roman"/>
          <w:bCs/>
          <w:sz w:val="28"/>
          <w:szCs w:val="28"/>
        </w:rPr>
      </w:pPr>
      <w:r w:rsidRPr="004D7C8C">
        <w:rPr>
          <w:rFonts w:ascii="Times New Roman" w:hAnsi="Times New Roman"/>
          <w:bCs/>
          <w:sz w:val="28"/>
          <w:szCs w:val="28"/>
        </w:rPr>
        <w:t xml:space="preserve">As noted by the comment </w:t>
      </w:r>
      <w:r>
        <w:rPr>
          <w:rFonts w:ascii="Times New Roman" w:hAnsi="Times New Roman"/>
          <w:bCs/>
          <w:sz w:val="28"/>
          <w:szCs w:val="28"/>
        </w:rPr>
        <w:t xml:space="preserve">filed on April 25, 2020, by the </w:t>
      </w:r>
      <w:r w:rsidRPr="004D7C8C">
        <w:rPr>
          <w:rFonts w:ascii="Times New Roman" w:hAnsi="Times New Roman"/>
          <w:bCs/>
          <w:sz w:val="28"/>
          <w:szCs w:val="28"/>
        </w:rPr>
        <w:t>Advisory Committee on Rules of Evidence, the petition does not reference any evidentiary problems, “either empirically or anecdotally,” in the state of Arizona in the context of domestic violence. At most, the petition asserts that “[t]he prosecution of an abuse usually takes place during the last, ‘honeymoon,’ stage of the cycle, which makes it more difficult to investigate and even leads to the victim recanting or r</w:t>
      </w:r>
      <w:r>
        <w:rPr>
          <w:rFonts w:ascii="Times New Roman" w:hAnsi="Times New Roman"/>
          <w:bCs/>
          <w:sz w:val="28"/>
          <w:szCs w:val="28"/>
        </w:rPr>
        <w:t xml:space="preserve">efusing to testify.” Petition at </w:t>
      </w:r>
      <w:r w:rsidRPr="004D7C8C">
        <w:rPr>
          <w:rFonts w:ascii="Times New Roman" w:hAnsi="Times New Roman"/>
          <w:bCs/>
          <w:sz w:val="28"/>
          <w:szCs w:val="28"/>
        </w:rPr>
        <w:t xml:space="preserve">3, 5.  </w:t>
      </w:r>
    </w:p>
    <w:p w14:paraId="78F4CA47" w14:textId="2A62E535" w:rsidR="008A6FEF" w:rsidRPr="004D7C8C" w:rsidRDefault="00B23149" w:rsidP="008A6FEF">
      <w:pPr>
        <w:spacing w:line="480" w:lineRule="auto"/>
        <w:ind w:firstLine="720"/>
        <w:jc w:val="both"/>
        <w:rPr>
          <w:rFonts w:ascii="Times New Roman" w:hAnsi="Times New Roman"/>
          <w:bCs/>
          <w:sz w:val="28"/>
          <w:szCs w:val="28"/>
        </w:rPr>
      </w:pPr>
      <w:r>
        <w:rPr>
          <w:rFonts w:ascii="Times New Roman" w:hAnsi="Times New Roman"/>
          <w:bCs/>
          <w:sz w:val="28"/>
          <w:szCs w:val="28"/>
        </w:rPr>
        <w:t>Rule 404(b)</w:t>
      </w:r>
      <w:r w:rsidR="008A6FEF" w:rsidRPr="004D7C8C">
        <w:rPr>
          <w:rFonts w:ascii="Times New Roman" w:hAnsi="Times New Roman"/>
          <w:bCs/>
          <w:sz w:val="28"/>
          <w:szCs w:val="28"/>
        </w:rPr>
        <w:t xml:space="preserve"> already provides the prosecution</w:t>
      </w:r>
      <w:r>
        <w:rPr>
          <w:rFonts w:ascii="Times New Roman" w:hAnsi="Times New Roman"/>
          <w:bCs/>
          <w:sz w:val="28"/>
          <w:szCs w:val="28"/>
        </w:rPr>
        <w:t xml:space="preserve"> with</w:t>
      </w:r>
      <w:r w:rsidR="008A6FEF" w:rsidRPr="004D7C8C">
        <w:rPr>
          <w:rFonts w:ascii="Times New Roman" w:hAnsi="Times New Roman"/>
          <w:bCs/>
          <w:sz w:val="28"/>
          <w:szCs w:val="28"/>
        </w:rPr>
        <w:t xml:space="preserve"> the ability to address evidentiary problems through the use of other acts that may arise in the event that a victim recants or refuses to testify. For example, </w:t>
      </w:r>
      <w:r>
        <w:rPr>
          <w:rFonts w:ascii="Times New Roman" w:hAnsi="Times New Roman"/>
          <w:bCs/>
          <w:sz w:val="28"/>
          <w:szCs w:val="28"/>
        </w:rPr>
        <w:t>other acts are admissible to rebut a claim</w:t>
      </w:r>
      <w:r w:rsidR="008A6FEF">
        <w:rPr>
          <w:rFonts w:ascii="Times New Roman" w:hAnsi="Times New Roman"/>
          <w:bCs/>
          <w:sz w:val="28"/>
          <w:szCs w:val="28"/>
        </w:rPr>
        <w:t xml:space="preserve"> that the defendant committed the act</w:t>
      </w:r>
      <w:r w:rsidR="008A6FEF" w:rsidRPr="004D7C8C">
        <w:rPr>
          <w:rFonts w:ascii="Times New Roman" w:hAnsi="Times New Roman"/>
          <w:bCs/>
          <w:sz w:val="28"/>
          <w:szCs w:val="28"/>
        </w:rPr>
        <w:t xml:space="preserve"> but assert</w:t>
      </w:r>
      <w:r>
        <w:rPr>
          <w:rFonts w:ascii="Times New Roman" w:hAnsi="Times New Roman"/>
          <w:bCs/>
          <w:sz w:val="28"/>
          <w:szCs w:val="28"/>
        </w:rPr>
        <w:t>s</w:t>
      </w:r>
      <w:r w:rsidR="008A6FEF" w:rsidRPr="004D7C8C">
        <w:rPr>
          <w:rFonts w:ascii="Times New Roman" w:hAnsi="Times New Roman"/>
          <w:bCs/>
          <w:sz w:val="28"/>
          <w:szCs w:val="28"/>
        </w:rPr>
        <w:t xml:space="preserve"> it was a mistake, accident, or self-defense, </w:t>
      </w:r>
      <w:r>
        <w:rPr>
          <w:rFonts w:ascii="Times New Roman" w:hAnsi="Times New Roman"/>
          <w:bCs/>
          <w:sz w:val="28"/>
          <w:szCs w:val="28"/>
        </w:rPr>
        <w:t>as well as</w:t>
      </w:r>
      <w:r w:rsidR="008A6FEF" w:rsidRPr="004D7C8C">
        <w:rPr>
          <w:rFonts w:ascii="Times New Roman" w:hAnsi="Times New Roman"/>
          <w:bCs/>
          <w:sz w:val="28"/>
          <w:szCs w:val="28"/>
        </w:rPr>
        <w:t xml:space="preserve"> intent or motive. </w:t>
      </w:r>
      <w:r w:rsidR="008A6FEF" w:rsidRPr="004D7C8C">
        <w:rPr>
          <w:rFonts w:ascii="Times New Roman" w:hAnsi="Times New Roman"/>
          <w:bCs/>
          <w:i/>
          <w:iCs/>
          <w:sz w:val="28"/>
          <w:szCs w:val="28"/>
        </w:rPr>
        <w:t>Williams</w:t>
      </w:r>
      <w:r w:rsidR="008A6FEF" w:rsidRPr="004D7C8C">
        <w:rPr>
          <w:rFonts w:ascii="Times New Roman" w:hAnsi="Times New Roman"/>
          <w:bCs/>
          <w:sz w:val="28"/>
          <w:szCs w:val="28"/>
        </w:rPr>
        <w:t xml:space="preserve">, 183 Ariz. at 377. Similarly, if a defendant denies that the act occurred, modus operandi or plan may be an </w:t>
      </w:r>
      <w:r w:rsidR="008A6FEF" w:rsidRPr="004D7C8C">
        <w:rPr>
          <w:rFonts w:ascii="Times New Roman" w:hAnsi="Times New Roman"/>
          <w:bCs/>
          <w:sz w:val="28"/>
          <w:szCs w:val="28"/>
        </w:rPr>
        <w:lastRenderedPageBreak/>
        <w:t>appropriate theory of admissibility; or, if a defendant admits the act occurred but disputes being the perpetrator, other acts may be admissible under an ide</w:t>
      </w:r>
      <w:r w:rsidR="008A6FEF">
        <w:rPr>
          <w:rFonts w:ascii="Times New Roman" w:hAnsi="Times New Roman"/>
          <w:bCs/>
          <w:sz w:val="28"/>
          <w:szCs w:val="28"/>
        </w:rPr>
        <w:t xml:space="preserve">ntity theory of admissibility. </w:t>
      </w:r>
      <w:r w:rsidR="008A6FEF" w:rsidRPr="004D7C8C">
        <w:rPr>
          <w:rFonts w:ascii="Times New Roman" w:hAnsi="Times New Roman"/>
          <w:bCs/>
          <w:sz w:val="28"/>
          <w:szCs w:val="28"/>
        </w:rPr>
        <w:t>In every case, Rule 404(b) already suggests theories of admissibility to address these sorts of defenses, amplifying the scope of evidence a prosecution can use to meet those defenses, and provides due process protection to defendants in so doing.</w:t>
      </w:r>
      <w:r w:rsidR="008A6FEF">
        <w:rPr>
          <w:rFonts w:ascii="Times New Roman" w:hAnsi="Times New Roman"/>
          <w:bCs/>
          <w:sz w:val="28"/>
          <w:szCs w:val="28"/>
        </w:rPr>
        <w:t xml:space="preserve"> And because Rule 404(b) is stated in non-exhaustive terms, practitioners are free to pursue other, non-propensity theories of admissibility, thereby providing litigants with the flexibility required under the circumstances of a particular case.</w:t>
      </w:r>
      <w:r w:rsidR="008A6FEF" w:rsidRPr="00127194">
        <w:rPr>
          <w:rFonts w:ascii="Times New Roman" w:hAnsi="Times New Roman"/>
          <w:bCs/>
          <w:i/>
          <w:iCs/>
          <w:sz w:val="28"/>
          <w:szCs w:val="28"/>
        </w:rPr>
        <w:t xml:space="preserve"> </w:t>
      </w:r>
      <w:r w:rsidR="008A6FEF">
        <w:rPr>
          <w:rFonts w:ascii="Times New Roman" w:hAnsi="Times New Roman"/>
          <w:bCs/>
          <w:i/>
          <w:iCs/>
          <w:sz w:val="28"/>
          <w:szCs w:val="28"/>
        </w:rPr>
        <w:t xml:space="preserve">See </w:t>
      </w:r>
      <w:r w:rsidR="008A6FEF" w:rsidRPr="004D7C8C">
        <w:rPr>
          <w:rFonts w:ascii="Times New Roman" w:hAnsi="Times New Roman"/>
          <w:bCs/>
          <w:i/>
          <w:iCs/>
          <w:sz w:val="28"/>
          <w:szCs w:val="28"/>
        </w:rPr>
        <w:t>Jeffers</w:t>
      </w:r>
      <w:r w:rsidR="008A6FEF" w:rsidRPr="004D7C8C">
        <w:rPr>
          <w:rFonts w:ascii="Times New Roman" w:hAnsi="Times New Roman"/>
          <w:bCs/>
          <w:sz w:val="28"/>
          <w:szCs w:val="28"/>
        </w:rPr>
        <w:t xml:space="preserve">, 135 Ariz. </w:t>
      </w:r>
      <w:r w:rsidR="008A6FEF">
        <w:rPr>
          <w:rFonts w:ascii="Times New Roman" w:hAnsi="Times New Roman"/>
          <w:bCs/>
          <w:sz w:val="28"/>
          <w:szCs w:val="28"/>
        </w:rPr>
        <w:t>at</w:t>
      </w:r>
      <w:r w:rsidR="008A6FEF" w:rsidRPr="004D7C8C">
        <w:rPr>
          <w:rFonts w:ascii="Times New Roman" w:hAnsi="Times New Roman"/>
          <w:bCs/>
          <w:sz w:val="28"/>
          <w:szCs w:val="28"/>
        </w:rPr>
        <w:t xml:space="preserve"> 417</w:t>
      </w:r>
      <w:r w:rsidR="008A6FEF">
        <w:rPr>
          <w:rFonts w:ascii="Times New Roman" w:hAnsi="Times New Roman"/>
          <w:bCs/>
          <w:sz w:val="28"/>
          <w:szCs w:val="28"/>
        </w:rPr>
        <w:t>.</w:t>
      </w:r>
    </w:p>
    <w:p w14:paraId="6201059E" w14:textId="00BA58F6" w:rsidR="008A6FEF" w:rsidRPr="004D7C8C" w:rsidRDefault="008A6FEF" w:rsidP="008A6FEF">
      <w:pPr>
        <w:spacing w:line="480" w:lineRule="auto"/>
        <w:ind w:firstLine="720"/>
        <w:jc w:val="both"/>
        <w:rPr>
          <w:rFonts w:ascii="Times New Roman" w:hAnsi="Times New Roman"/>
          <w:bCs/>
          <w:sz w:val="28"/>
          <w:szCs w:val="28"/>
        </w:rPr>
      </w:pPr>
      <w:r w:rsidRPr="004D7C8C">
        <w:rPr>
          <w:rFonts w:ascii="Times New Roman" w:hAnsi="Times New Roman"/>
          <w:bCs/>
          <w:sz w:val="28"/>
          <w:szCs w:val="28"/>
        </w:rPr>
        <w:t>Moreover, th</w:t>
      </w:r>
      <w:r>
        <w:rPr>
          <w:rFonts w:ascii="Times New Roman" w:hAnsi="Times New Roman"/>
          <w:bCs/>
          <w:sz w:val="28"/>
          <w:szCs w:val="28"/>
        </w:rPr>
        <w:t>is</w:t>
      </w:r>
      <w:r w:rsidRPr="004D7C8C">
        <w:rPr>
          <w:rFonts w:ascii="Times New Roman" w:hAnsi="Times New Roman"/>
          <w:bCs/>
          <w:sz w:val="28"/>
          <w:szCs w:val="28"/>
        </w:rPr>
        <w:t xml:space="preserve"> Court has previously affirmed the use of “expert testimony that explains a victim’s seemingly inconsistent behavior [in order] to aid jurors in evaluating the victim’s credibility.” </w:t>
      </w:r>
      <w:r w:rsidRPr="004D7C8C">
        <w:rPr>
          <w:rFonts w:ascii="Times New Roman" w:hAnsi="Times New Roman"/>
          <w:bCs/>
          <w:i/>
          <w:iCs/>
          <w:sz w:val="28"/>
          <w:szCs w:val="28"/>
        </w:rPr>
        <w:t>State v. Haskie</w:t>
      </w:r>
      <w:r w:rsidRPr="004D7C8C">
        <w:rPr>
          <w:rFonts w:ascii="Times New Roman" w:hAnsi="Times New Roman"/>
          <w:bCs/>
          <w:sz w:val="28"/>
          <w:szCs w:val="28"/>
        </w:rPr>
        <w:t xml:space="preserve">, 242 Ariz. 582, </w:t>
      </w:r>
      <w:r>
        <w:rPr>
          <w:rFonts w:ascii="Times New Roman" w:hAnsi="Times New Roman"/>
          <w:bCs/>
          <w:sz w:val="28"/>
          <w:szCs w:val="28"/>
        </w:rPr>
        <w:t xml:space="preserve">586 </w:t>
      </w:r>
      <w:r w:rsidRPr="004D7C8C">
        <w:rPr>
          <w:rFonts w:ascii="Times New Roman" w:hAnsi="Times New Roman"/>
          <w:bCs/>
          <w:sz w:val="28"/>
          <w:szCs w:val="28"/>
        </w:rPr>
        <w:t xml:space="preserve">¶16 (2017). In so doing, the </w:t>
      </w:r>
      <w:r>
        <w:rPr>
          <w:rFonts w:ascii="Times New Roman" w:hAnsi="Times New Roman"/>
          <w:bCs/>
          <w:sz w:val="28"/>
          <w:szCs w:val="28"/>
        </w:rPr>
        <w:t>C</w:t>
      </w:r>
      <w:r w:rsidRPr="004D7C8C">
        <w:rPr>
          <w:rFonts w:ascii="Times New Roman" w:hAnsi="Times New Roman"/>
          <w:bCs/>
          <w:sz w:val="28"/>
          <w:szCs w:val="28"/>
        </w:rPr>
        <w:t>ourt acknowledge</w:t>
      </w:r>
      <w:r w:rsidR="003E46A0">
        <w:rPr>
          <w:rFonts w:ascii="Times New Roman" w:hAnsi="Times New Roman"/>
          <w:bCs/>
          <w:sz w:val="28"/>
          <w:szCs w:val="28"/>
        </w:rPr>
        <w:t>d</w:t>
      </w:r>
      <w:r w:rsidRPr="004D7C8C">
        <w:rPr>
          <w:rFonts w:ascii="Times New Roman" w:hAnsi="Times New Roman"/>
          <w:bCs/>
          <w:sz w:val="28"/>
          <w:szCs w:val="28"/>
        </w:rPr>
        <w:t xml:space="preserve"> that such evidence may “describe[] or refer[] to a perpetrator’s characteristics”—</w:t>
      </w:r>
      <w:r w:rsidRPr="004D7C8C">
        <w:rPr>
          <w:rFonts w:ascii="Times New Roman" w:hAnsi="Times New Roman"/>
          <w:bCs/>
          <w:i/>
          <w:iCs/>
          <w:sz w:val="28"/>
          <w:szCs w:val="28"/>
        </w:rPr>
        <w:t>i.e.</w:t>
      </w:r>
      <w:r w:rsidRPr="004D7C8C">
        <w:rPr>
          <w:rFonts w:ascii="Times New Roman" w:hAnsi="Times New Roman"/>
          <w:bCs/>
          <w:sz w:val="28"/>
          <w:szCs w:val="28"/>
        </w:rPr>
        <w:t>, propensity evidence—so long as the evidence is relevant, related to a proper purpo</w:t>
      </w:r>
      <w:r>
        <w:rPr>
          <w:rFonts w:ascii="Times New Roman" w:hAnsi="Times New Roman"/>
          <w:bCs/>
          <w:sz w:val="28"/>
          <w:szCs w:val="28"/>
        </w:rPr>
        <w:t>se, and not unduly prejudicial.</w:t>
      </w:r>
      <w:r w:rsidRPr="004D7C8C">
        <w:rPr>
          <w:rFonts w:ascii="Times New Roman" w:hAnsi="Times New Roman"/>
          <w:bCs/>
          <w:sz w:val="28"/>
          <w:szCs w:val="28"/>
        </w:rPr>
        <w:t xml:space="preserve"> </w:t>
      </w:r>
      <w:r w:rsidRPr="004D7C8C">
        <w:rPr>
          <w:rFonts w:ascii="Times New Roman" w:hAnsi="Times New Roman"/>
          <w:bCs/>
          <w:i/>
          <w:iCs/>
          <w:sz w:val="28"/>
          <w:szCs w:val="28"/>
        </w:rPr>
        <w:t>Id.</w:t>
      </w:r>
    </w:p>
    <w:p w14:paraId="5C417A1B" w14:textId="2C2B315B" w:rsidR="008A6FEF" w:rsidRDefault="008A6FEF" w:rsidP="008A6FEF">
      <w:pPr>
        <w:spacing w:line="480" w:lineRule="auto"/>
        <w:ind w:firstLine="720"/>
        <w:jc w:val="both"/>
        <w:rPr>
          <w:rFonts w:ascii="Times New Roman" w:hAnsi="Times New Roman"/>
          <w:bCs/>
          <w:sz w:val="28"/>
          <w:szCs w:val="28"/>
        </w:rPr>
      </w:pPr>
      <w:r w:rsidRPr="004D7C8C">
        <w:rPr>
          <w:rFonts w:ascii="Times New Roman" w:hAnsi="Times New Roman"/>
          <w:bCs/>
          <w:sz w:val="28"/>
          <w:szCs w:val="28"/>
        </w:rPr>
        <w:t>The petition</w:t>
      </w:r>
      <w:r>
        <w:rPr>
          <w:rFonts w:ascii="Times New Roman" w:hAnsi="Times New Roman"/>
          <w:bCs/>
          <w:sz w:val="28"/>
          <w:szCs w:val="28"/>
        </w:rPr>
        <w:t xml:space="preserve"> also</w:t>
      </w:r>
      <w:r w:rsidRPr="004D7C8C">
        <w:rPr>
          <w:rFonts w:ascii="Times New Roman" w:hAnsi="Times New Roman"/>
          <w:bCs/>
          <w:sz w:val="28"/>
          <w:szCs w:val="28"/>
        </w:rPr>
        <w:t xml:space="preserve"> references difficulties in investigating cases that involve uncooperative victims. Petition</w:t>
      </w:r>
      <w:r>
        <w:rPr>
          <w:rFonts w:ascii="Times New Roman" w:hAnsi="Times New Roman"/>
          <w:bCs/>
          <w:sz w:val="28"/>
          <w:szCs w:val="28"/>
        </w:rPr>
        <w:t xml:space="preserve"> at</w:t>
      </w:r>
      <w:r w:rsidRPr="004D7C8C">
        <w:rPr>
          <w:rFonts w:ascii="Times New Roman" w:hAnsi="Times New Roman"/>
          <w:bCs/>
          <w:sz w:val="28"/>
          <w:szCs w:val="28"/>
        </w:rPr>
        <w:t xml:space="preserve"> 3. This complaint is repeated by many of the scholarly authors cited by the petition, but most those articles were published </w:t>
      </w:r>
      <w:r w:rsidR="00B23149">
        <w:rPr>
          <w:rFonts w:ascii="Times New Roman" w:hAnsi="Times New Roman"/>
          <w:bCs/>
          <w:sz w:val="28"/>
          <w:szCs w:val="28"/>
        </w:rPr>
        <w:t>twenty years ago or more</w:t>
      </w:r>
      <w:r w:rsidRPr="004D7C8C">
        <w:rPr>
          <w:rFonts w:ascii="Times New Roman" w:hAnsi="Times New Roman"/>
          <w:bCs/>
          <w:sz w:val="28"/>
          <w:szCs w:val="28"/>
        </w:rPr>
        <w:t xml:space="preserve">. </w:t>
      </w:r>
      <w:r w:rsidR="00B23149">
        <w:rPr>
          <w:rFonts w:ascii="Times New Roman" w:hAnsi="Times New Roman"/>
          <w:bCs/>
          <w:sz w:val="28"/>
          <w:szCs w:val="28"/>
        </w:rPr>
        <w:t>Maybe</w:t>
      </w:r>
      <w:r w:rsidRPr="004D7C8C">
        <w:rPr>
          <w:rFonts w:ascii="Times New Roman" w:hAnsi="Times New Roman"/>
          <w:bCs/>
          <w:sz w:val="28"/>
          <w:szCs w:val="28"/>
        </w:rPr>
        <w:t xml:space="preserve"> in the past</w:t>
      </w:r>
      <w:r w:rsidR="00B23149">
        <w:rPr>
          <w:rFonts w:ascii="Times New Roman" w:hAnsi="Times New Roman"/>
          <w:bCs/>
          <w:sz w:val="28"/>
          <w:szCs w:val="28"/>
        </w:rPr>
        <w:t xml:space="preserve"> it was true that</w:t>
      </w:r>
      <w:r w:rsidRPr="004D7C8C">
        <w:rPr>
          <w:rFonts w:ascii="Times New Roman" w:hAnsi="Times New Roman"/>
          <w:bCs/>
          <w:sz w:val="28"/>
          <w:szCs w:val="28"/>
        </w:rPr>
        <w:t xml:space="preserve"> domestic violence cases boiled down to swearing matches that hinged on</w:t>
      </w:r>
      <w:r>
        <w:rPr>
          <w:rFonts w:ascii="Times New Roman" w:hAnsi="Times New Roman"/>
          <w:bCs/>
          <w:sz w:val="28"/>
          <w:szCs w:val="28"/>
        </w:rPr>
        <w:t xml:space="preserve"> a</w:t>
      </w:r>
      <w:r w:rsidRPr="004D7C8C">
        <w:rPr>
          <w:rFonts w:ascii="Times New Roman" w:hAnsi="Times New Roman"/>
          <w:bCs/>
          <w:sz w:val="28"/>
          <w:szCs w:val="28"/>
        </w:rPr>
        <w:t xml:space="preserve"> victim</w:t>
      </w:r>
      <w:r>
        <w:rPr>
          <w:rFonts w:ascii="Times New Roman" w:hAnsi="Times New Roman"/>
          <w:bCs/>
          <w:sz w:val="28"/>
          <w:szCs w:val="28"/>
        </w:rPr>
        <w:t>’s</w:t>
      </w:r>
      <w:r w:rsidRPr="004D7C8C">
        <w:rPr>
          <w:rFonts w:ascii="Times New Roman" w:hAnsi="Times New Roman"/>
          <w:bCs/>
          <w:sz w:val="28"/>
          <w:szCs w:val="28"/>
        </w:rPr>
        <w:t xml:space="preserve"> credibility</w:t>
      </w:r>
      <w:r w:rsidR="00B23149">
        <w:rPr>
          <w:rFonts w:ascii="Times New Roman" w:hAnsi="Times New Roman"/>
          <w:bCs/>
          <w:sz w:val="28"/>
          <w:szCs w:val="28"/>
        </w:rPr>
        <w:t>; but</w:t>
      </w:r>
      <w:r w:rsidRPr="004D7C8C">
        <w:rPr>
          <w:rFonts w:ascii="Times New Roman" w:hAnsi="Times New Roman"/>
          <w:bCs/>
          <w:sz w:val="28"/>
          <w:szCs w:val="28"/>
        </w:rPr>
        <w:t xml:space="preserve"> today, advances </w:t>
      </w:r>
      <w:r w:rsidRPr="004D7C8C">
        <w:rPr>
          <w:rFonts w:ascii="Times New Roman" w:hAnsi="Times New Roman"/>
          <w:bCs/>
          <w:sz w:val="28"/>
          <w:szCs w:val="28"/>
        </w:rPr>
        <w:lastRenderedPageBreak/>
        <w:t xml:space="preserve">in technology and training have helped law enforcement generate objective, reliable evidence for prosecution. </w:t>
      </w:r>
      <w:r w:rsidR="006C7301" w:rsidRPr="004D7C8C">
        <w:rPr>
          <w:rFonts w:ascii="Times New Roman" w:hAnsi="Times New Roman"/>
          <w:bCs/>
          <w:sz w:val="28"/>
          <w:szCs w:val="28"/>
        </w:rPr>
        <w:t xml:space="preserve">Almost all law enforcement officers </w:t>
      </w:r>
      <w:r w:rsidR="006C7301">
        <w:rPr>
          <w:rFonts w:ascii="Times New Roman" w:hAnsi="Times New Roman"/>
          <w:bCs/>
          <w:sz w:val="28"/>
          <w:szCs w:val="28"/>
        </w:rPr>
        <w:t xml:space="preserve">have body-worn </w:t>
      </w:r>
      <w:r w:rsidR="006C7301" w:rsidRPr="004D7C8C">
        <w:rPr>
          <w:rFonts w:ascii="Times New Roman" w:hAnsi="Times New Roman"/>
          <w:bCs/>
          <w:sz w:val="28"/>
          <w:szCs w:val="28"/>
        </w:rPr>
        <w:t xml:space="preserve">cameras that can easily document the state of the victim at the time the event. </w:t>
      </w:r>
      <w:r w:rsidRPr="004D7C8C">
        <w:rPr>
          <w:rFonts w:ascii="Times New Roman" w:hAnsi="Times New Roman"/>
          <w:bCs/>
          <w:sz w:val="28"/>
          <w:szCs w:val="28"/>
        </w:rPr>
        <w:t xml:space="preserve">Specially trained officers are dispatched to domestic violence incidents to document subtle signs of domestic violence, </w:t>
      </w:r>
      <w:r>
        <w:rPr>
          <w:rFonts w:ascii="Times New Roman" w:hAnsi="Times New Roman"/>
          <w:bCs/>
          <w:sz w:val="28"/>
          <w:szCs w:val="28"/>
        </w:rPr>
        <w:t>such as</w:t>
      </w:r>
      <w:r w:rsidRPr="004D7C8C">
        <w:rPr>
          <w:rFonts w:ascii="Times New Roman" w:hAnsi="Times New Roman"/>
          <w:bCs/>
          <w:sz w:val="28"/>
          <w:szCs w:val="28"/>
        </w:rPr>
        <w:t xml:space="preserve"> signs of strangulation</w:t>
      </w:r>
      <w:r>
        <w:rPr>
          <w:rFonts w:ascii="Times New Roman" w:hAnsi="Times New Roman"/>
          <w:bCs/>
          <w:sz w:val="28"/>
          <w:szCs w:val="28"/>
        </w:rPr>
        <w:t xml:space="preserve"> (</w:t>
      </w:r>
      <w:r w:rsidRPr="004D7C8C">
        <w:rPr>
          <w:rFonts w:ascii="Times New Roman" w:hAnsi="Times New Roman"/>
          <w:bCs/>
          <w:sz w:val="28"/>
          <w:szCs w:val="28"/>
        </w:rPr>
        <w:t>blood-shot eyes, petechiae, a hoarse voice, flush skin, and a swollen tongue or lips</w:t>
      </w:r>
      <w:r>
        <w:rPr>
          <w:rFonts w:ascii="Times New Roman" w:hAnsi="Times New Roman"/>
          <w:bCs/>
          <w:sz w:val="28"/>
          <w:szCs w:val="28"/>
        </w:rPr>
        <w:t>, etc.)</w:t>
      </w:r>
      <w:r w:rsidRPr="004D7C8C">
        <w:rPr>
          <w:rFonts w:ascii="Times New Roman" w:hAnsi="Times New Roman"/>
          <w:bCs/>
          <w:sz w:val="28"/>
          <w:szCs w:val="28"/>
        </w:rPr>
        <w:t>. Perhaps most importantly, advances in the understanding of domestic violence victims and an increase in resources for those victims have helped prosecutors and victim advocates better communicate with victims and provide them with the resources they need in order to establish the independence neces</w:t>
      </w:r>
      <w:r>
        <w:rPr>
          <w:rFonts w:ascii="Times New Roman" w:hAnsi="Times New Roman"/>
          <w:bCs/>
          <w:sz w:val="28"/>
          <w:szCs w:val="28"/>
        </w:rPr>
        <w:t>sary to confront their abusers.</w:t>
      </w:r>
      <w:r w:rsidRPr="004D7C8C">
        <w:rPr>
          <w:rFonts w:ascii="Times New Roman" w:hAnsi="Times New Roman"/>
          <w:bCs/>
          <w:sz w:val="28"/>
          <w:szCs w:val="28"/>
        </w:rPr>
        <w:t xml:space="preserve"> </w:t>
      </w:r>
      <w:r w:rsidRPr="004D7C8C">
        <w:rPr>
          <w:rFonts w:ascii="Times New Roman" w:hAnsi="Times New Roman"/>
          <w:bCs/>
          <w:i/>
          <w:iCs/>
          <w:sz w:val="28"/>
          <w:szCs w:val="28"/>
        </w:rPr>
        <w:t xml:space="preserve">See </w:t>
      </w:r>
      <w:r w:rsidRPr="004D7C8C">
        <w:rPr>
          <w:rFonts w:ascii="Times New Roman" w:hAnsi="Times New Roman"/>
          <w:bCs/>
          <w:sz w:val="28"/>
          <w:szCs w:val="28"/>
        </w:rPr>
        <w:t>Jennice Vilhauer</w:t>
      </w:r>
      <w:r w:rsidRPr="004D7C8C">
        <w:rPr>
          <w:rFonts w:ascii="Times New Roman" w:hAnsi="Times New Roman"/>
          <w:bCs/>
          <w:i/>
          <w:iCs/>
          <w:sz w:val="28"/>
          <w:szCs w:val="28"/>
        </w:rPr>
        <w:t>, Understanding the Victim: A Guide to Aid in the Prosecution of Domestic Violence</w:t>
      </w:r>
      <w:r w:rsidRPr="004D7C8C">
        <w:rPr>
          <w:rFonts w:ascii="Times New Roman" w:hAnsi="Times New Roman"/>
          <w:bCs/>
          <w:sz w:val="28"/>
          <w:szCs w:val="28"/>
        </w:rPr>
        <w:t xml:space="preserve">, 27 Fordham Urb. L.J. 953, 956-63 (2000) (“The probability of victim cooperation has been better predicted by the conduct of the prosecutor than by the conduct of the victim or defendant.”); </w:t>
      </w:r>
      <w:r w:rsidRPr="004D7C8C">
        <w:rPr>
          <w:rFonts w:ascii="Times New Roman" w:hAnsi="Times New Roman"/>
          <w:bCs/>
          <w:i/>
          <w:iCs/>
          <w:sz w:val="28"/>
          <w:szCs w:val="28"/>
        </w:rPr>
        <w:t>see also</w:t>
      </w:r>
      <w:r w:rsidRPr="004D7C8C">
        <w:rPr>
          <w:rFonts w:ascii="Times New Roman" w:hAnsi="Times New Roman"/>
          <w:bCs/>
          <w:sz w:val="28"/>
          <w:szCs w:val="28"/>
        </w:rPr>
        <w:t xml:space="preserve"> Heather Fleniken Cochran, </w:t>
      </w:r>
      <w:r w:rsidRPr="004D7C8C">
        <w:rPr>
          <w:rFonts w:ascii="Times New Roman" w:hAnsi="Times New Roman"/>
          <w:bCs/>
          <w:i/>
          <w:iCs/>
          <w:sz w:val="28"/>
          <w:szCs w:val="28"/>
        </w:rPr>
        <w:t>Improving Prosecution of Battering Partners: Some Innovations in the Law of Evidence</w:t>
      </w:r>
      <w:r w:rsidRPr="004D7C8C">
        <w:rPr>
          <w:rFonts w:ascii="Times New Roman" w:hAnsi="Times New Roman"/>
          <w:bCs/>
          <w:sz w:val="28"/>
          <w:szCs w:val="28"/>
        </w:rPr>
        <w:t>, 7 Tex. J. Women &amp; L. 89, 109 (1997).</w:t>
      </w:r>
    </w:p>
    <w:p w14:paraId="1011348C" w14:textId="51E04188" w:rsidR="006C7301" w:rsidRPr="004D7C8C" w:rsidRDefault="006C7301" w:rsidP="008A6FEF">
      <w:pPr>
        <w:spacing w:line="480" w:lineRule="auto"/>
        <w:ind w:firstLine="720"/>
        <w:jc w:val="both"/>
        <w:rPr>
          <w:rFonts w:ascii="Times New Roman" w:hAnsi="Times New Roman"/>
          <w:bCs/>
          <w:sz w:val="28"/>
          <w:szCs w:val="28"/>
        </w:rPr>
      </w:pPr>
      <w:r>
        <w:rPr>
          <w:rFonts w:ascii="Times New Roman" w:hAnsi="Times New Roman"/>
          <w:bCs/>
          <w:sz w:val="28"/>
          <w:szCs w:val="28"/>
        </w:rPr>
        <w:t xml:space="preserve">Even after </w:t>
      </w:r>
      <w:r w:rsidRPr="006C7301">
        <w:rPr>
          <w:rFonts w:ascii="Times New Roman" w:hAnsi="Times New Roman"/>
          <w:bCs/>
          <w:i/>
          <w:sz w:val="28"/>
          <w:szCs w:val="28"/>
        </w:rPr>
        <w:t>Crawford v. Washington</w:t>
      </w:r>
      <w:r>
        <w:rPr>
          <w:rFonts w:ascii="Times New Roman" w:hAnsi="Times New Roman"/>
          <w:bCs/>
          <w:sz w:val="28"/>
          <w:szCs w:val="28"/>
        </w:rPr>
        <w:t xml:space="preserve">, 541 U.S. 36 (2004), courts recognize that some out-of-court statements are not testimonial and thus may be admitted pursuant to hearsay rules. </w:t>
      </w:r>
      <w:r w:rsidRPr="004D7C8C">
        <w:rPr>
          <w:rFonts w:ascii="Times New Roman" w:hAnsi="Times New Roman"/>
          <w:bCs/>
          <w:sz w:val="28"/>
          <w:szCs w:val="28"/>
        </w:rPr>
        <w:t xml:space="preserve">Calls to 911 are routinely recorded, capturing admissible </w:t>
      </w:r>
      <w:r>
        <w:rPr>
          <w:rFonts w:ascii="Times New Roman" w:hAnsi="Times New Roman"/>
          <w:bCs/>
          <w:sz w:val="28"/>
          <w:szCs w:val="28"/>
        </w:rPr>
        <w:t>“cries for help.”</w:t>
      </w:r>
      <w:r w:rsidRPr="004D7C8C">
        <w:rPr>
          <w:rFonts w:ascii="Times New Roman" w:hAnsi="Times New Roman"/>
          <w:bCs/>
          <w:sz w:val="28"/>
          <w:szCs w:val="28"/>
        </w:rPr>
        <w:t xml:space="preserve"> </w:t>
      </w:r>
      <w:r w:rsidR="00530894">
        <w:rPr>
          <w:rFonts w:ascii="Times New Roman" w:hAnsi="Times New Roman"/>
          <w:bCs/>
          <w:i/>
          <w:iCs/>
          <w:sz w:val="28"/>
          <w:szCs w:val="28"/>
        </w:rPr>
        <w:t xml:space="preserve">See </w:t>
      </w:r>
      <w:r w:rsidRPr="006C7301">
        <w:rPr>
          <w:rFonts w:ascii="Times New Roman" w:hAnsi="Times New Roman"/>
          <w:bCs/>
          <w:i/>
          <w:sz w:val="28"/>
          <w:szCs w:val="28"/>
        </w:rPr>
        <w:t>Davis v. Washington</w:t>
      </w:r>
      <w:r>
        <w:rPr>
          <w:rFonts w:ascii="Times New Roman" w:hAnsi="Times New Roman"/>
          <w:bCs/>
          <w:sz w:val="28"/>
          <w:szCs w:val="28"/>
        </w:rPr>
        <w:t>, 547 U.S. 813 (2006). S</w:t>
      </w:r>
      <w:r w:rsidRPr="004D7C8C">
        <w:rPr>
          <w:rFonts w:ascii="Times New Roman" w:hAnsi="Times New Roman"/>
          <w:bCs/>
          <w:sz w:val="28"/>
          <w:szCs w:val="28"/>
        </w:rPr>
        <w:t xml:space="preserve">tatements made for the </w:t>
      </w:r>
      <w:r w:rsidRPr="004D7C8C">
        <w:rPr>
          <w:rFonts w:ascii="Times New Roman" w:hAnsi="Times New Roman"/>
          <w:bCs/>
          <w:sz w:val="28"/>
          <w:szCs w:val="28"/>
        </w:rPr>
        <w:lastRenderedPageBreak/>
        <w:t>purpose of medical treatment</w:t>
      </w:r>
      <w:r>
        <w:rPr>
          <w:rFonts w:ascii="Times New Roman" w:hAnsi="Times New Roman"/>
          <w:bCs/>
          <w:sz w:val="28"/>
          <w:szCs w:val="28"/>
        </w:rPr>
        <w:t xml:space="preserve"> are also admissible as nontestimonial. </w:t>
      </w:r>
      <w:r w:rsidRPr="00B23149">
        <w:rPr>
          <w:rFonts w:ascii="Times New Roman" w:hAnsi="Times New Roman"/>
          <w:bCs/>
          <w:i/>
          <w:sz w:val="28"/>
          <w:szCs w:val="28"/>
        </w:rPr>
        <w:t>State v. Hill</w:t>
      </w:r>
      <w:r>
        <w:rPr>
          <w:rFonts w:ascii="Times New Roman" w:hAnsi="Times New Roman"/>
          <w:bCs/>
          <w:sz w:val="28"/>
          <w:szCs w:val="28"/>
        </w:rPr>
        <w:t>,</w:t>
      </w:r>
      <w:r w:rsidRPr="006C7301">
        <w:t xml:space="preserve"> </w:t>
      </w:r>
      <w:r w:rsidRPr="006C7301">
        <w:rPr>
          <w:rFonts w:ascii="Times New Roman" w:hAnsi="Times New Roman"/>
          <w:bCs/>
          <w:sz w:val="28"/>
          <w:szCs w:val="28"/>
        </w:rPr>
        <w:t>236 Ariz. 162</w:t>
      </w:r>
      <w:r>
        <w:rPr>
          <w:rFonts w:ascii="Times New Roman" w:hAnsi="Times New Roman"/>
          <w:bCs/>
          <w:sz w:val="28"/>
          <w:szCs w:val="28"/>
        </w:rPr>
        <w:t xml:space="preserve"> (App. 2014)</w:t>
      </w:r>
      <w:r w:rsidRPr="004D7C8C">
        <w:rPr>
          <w:rFonts w:ascii="Times New Roman" w:hAnsi="Times New Roman"/>
          <w:bCs/>
          <w:sz w:val="28"/>
          <w:szCs w:val="28"/>
        </w:rPr>
        <w:t>.</w:t>
      </w:r>
      <w:r w:rsidR="0017156D">
        <w:rPr>
          <w:rFonts w:ascii="Times New Roman" w:hAnsi="Times New Roman"/>
          <w:bCs/>
          <w:sz w:val="28"/>
          <w:szCs w:val="28"/>
        </w:rPr>
        <w:t xml:space="preserve"> If a victim makes a statement to police and then recants, then the victim’s unsworn prior inconsistent statements are admissible under Rule 801(d)(1)(A), not just as impeachment but as substantive evidence of the defendant’s guilt. In 2011, when considering Petition R-10-0035 that restyled the Arizona Rules to largely conform to the federal rules, this Court specifically chose not to adopt the language of the federal rule that restricted such use of prior inconsistent statements to those that are sworn, as requested by prosecutors as well as the </w:t>
      </w:r>
      <w:r w:rsidR="0017156D">
        <w:rPr>
          <w:rFonts w:ascii="Times New Roman" w:hAnsi="Times New Roman"/>
          <w:sz w:val="28"/>
          <w:szCs w:val="28"/>
        </w:rPr>
        <w:t>Arizona Coalition Against Domestic Violence.</w:t>
      </w:r>
    </w:p>
    <w:p w14:paraId="3134A9EB" w14:textId="335C16E8" w:rsidR="008A6FEF" w:rsidRDefault="008A6FEF" w:rsidP="008A6FEF">
      <w:pPr>
        <w:spacing w:line="480" w:lineRule="auto"/>
        <w:ind w:firstLine="720"/>
        <w:jc w:val="both"/>
        <w:rPr>
          <w:rFonts w:ascii="Times New Roman" w:hAnsi="Times New Roman"/>
          <w:bCs/>
          <w:sz w:val="28"/>
          <w:szCs w:val="28"/>
        </w:rPr>
      </w:pPr>
      <w:r w:rsidRPr="004D7C8C">
        <w:rPr>
          <w:rFonts w:ascii="Times New Roman" w:hAnsi="Times New Roman"/>
          <w:bCs/>
          <w:sz w:val="28"/>
          <w:szCs w:val="28"/>
        </w:rPr>
        <w:t>Lastly, the petition briefly references difficulties with biased juries in the context of domestic violence. Specifically, the petition states that propensity evidence is necessary to “‘counteract[] juror’s mistaken beliefs—including gender and class biases and the myth that the victim would leave her abuser if she had really experienced the alleged violence.’” Petition</w:t>
      </w:r>
      <w:r>
        <w:rPr>
          <w:rFonts w:ascii="Times New Roman" w:hAnsi="Times New Roman"/>
          <w:bCs/>
          <w:sz w:val="28"/>
          <w:szCs w:val="28"/>
        </w:rPr>
        <w:t xml:space="preserve"> at</w:t>
      </w:r>
      <w:r w:rsidRPr="004D7C8C">
        <w:rPr>
          <w:rFonts w:ascii="Times New Roman" w:hAnsi="Times New Roman"/>
          <w:bCs/>
          <w:sz w:val="28"/>
          <w:szCs w:val="28"/>
        </w:rPr>
        <w:t xml:space="preserve"> 5, </w:t>
      </w:r>
      <w:r w:rsidRPr="004D7C8C">
        <w:rPr>
          <w:rFonts w:ascii="Times New Roman" w:hAnsi="Times New Roman"/>
          <w:bCs/>
          <w:i/>
          <w:iCs/>
          <w:sz w:val="28"/>
          <w:szCs w:val="28"/>
        </w:rPr>
        <w:t xml:space="preserve">quoting </w:t>
      </w:r>
      <w:r w:rsidRPr="004D7C8C">
        <w:rPr>
          <w:rFonts w:ascii="Times New Roman" w:hAnsi="Times New Roman"/>
          <w:bCs/>
          <w:sz w:val="28"/>
          <w:szCs w:val="28"/>
        </w:rPr>
        <w:t xml:space="preserve">Linell A. Letendre, </w:t>
      </w:r>
      <w:r w:rsidRPr="004D7C8C">
        <w:rPr>
          <w:rFonts w:ascii="Times New Roman" w:hAnsi="Times New Roman"/>
          <w:bCs/>
          <w:i/>
          <w:iCs/>
          <w:sz w:val="28"/>
          <w:szCs w:val="28"/>
        </w:rPr>
        <w:t>Beating Again and Again and Again: Why Washington Needs a New Rule of Evidence Admitting Prior Acts of Domestic Violence</w:t>
      </w:r>
      <w:r w:rsidRPr="004D7C8C">
        <w:rPr>
          <w:rFonts w:ascii="Times New Roman" w:hAnsi="Times New Roman"/>
          <w:bCs/>
          <w:sz w:val="28"/>
          <w:szCs w:val="28"/>
        </w:rPr>
        <w:t>, 75 Wash. L. Rev. 973, 979, 998-1000 (2000). But this alleged problem is also sufficiently addressed under our current legal system. First, prosecuto</w:t>
      </w:r>
      <w:r w:rsidR="00867581">
        <w:rPr>
          <w:rFonts w:ascii="Times New Roman" w:hAnsi="Times New Roman"/>
          <w:bCs/>
          <w:sz w:val="28"/>
          <w:szCs w:val="28"/>
        </w:rPr>
        <w:t>r</w:t>
      </w:r>
      <w:r w:rsidRPr="004D7C8C">
        <w:rPr>
          <w:rFonts w:ascii="Times New Roman" w:hAnsi="Times New Roman"/>
          <w:bCs/>
          <w:sz w:val="28"/>
          <w:szCs w:val="28"/>
        </w:rPr>
        <w:t>s</w:t>
      </w:r>
      <w:r w:rsidR="00867581">
        <w:rPr>
          <w:rFonts w:ascii="Times New Roman" w:hAnsi="Times New Roman"/>
          <w:bCs/>
          <w:sz w:val="28"/>
          <w:szCs w:val="28"/>
        </w:rPr>
        <w:t xml:space="preserve"> are</w:t>
      </w:r>
      <w:r w:rsidRPr="004D7C8C">
        <w:rPr>
          <w:rFonts w:ascii="Times New Roman" w:hAnsi="Times New Roman"/>
          <w:bCs/>
          <w:sz w:val="28"/>
          <w:szCs w:val="28"/>
        </w:rPr>
        <w:t xml:space="preserve"> entitled to</w:t>
      </w:r>
      <w:r w:rsidR="00867581">
        <w:rPr>
          <w:rFonts w:ascii="Times New Roman" w:hAnsi="Times New Roman"/>
          <w:bCs/>
          <w:sz w:val="28"/>
          <w:szCs w:val="28"/>
        </w:rPr>
        <w:t xml:space="preserve"> explore such juror biases through</w:t>
      </w:r>
      <w:r w:rsidRPr="004D7C8C">
        <w:rPr>
          <w:rFonts w:ascii="Times New Roman" w:hAnsi="Times New Roman"/>
          <w:bCs/>
          <w:sz w:val="28"/>
          <w:szCs w:val="28"/>
        </w:rPr>
        <w:t xml:space="preserve"> </w:t>
      </w:r>
      <w:r w:rsidRPr="004D7C8C">
        <w:rPr>
          <w:rFonts w:ascii="Times New Roman" w:hAnsi="Times New Roman"/>
          <w:bCs/>
          <w:i/>
          <w:iCs/>
          <w:sz w:val="28"/>
          <w:szCs w:val="28"/>
        </w:rPr>
        <w:t>voir dire</w:t>
      </w:r>
      <w:r w:rsidRPr="004D7C8C">
        <w:rPr>
          <w:rFonts w:ascii="Times New Roman" w:hAnsi="Times New Roman"/>
          <w:bCs/>
          <w:sz w:val="28"/>
          <w:szCs w:val="28"/>
        </w:rPr>
        <w:t xml:space="preserve">, </w:t>
      </w:r>
      <w:r w:rsidR="00867581">
        <w:rPr>
          <w:rFonts w:ascii="Times New Roman" w:hAnsi="Times New Roman"/>
          <w:bCs/>
          <w:sz w:val="28"/>
          <w:szCs w:val="28"/>
        </w:rPr>
        <w:t xml:space="preserve">and they can have jurors removed either through </w:t>
      </w:r>
      <w:r w:rsidRPr="004D7C8C">
        <w:rPr>
          <w:rFonts w:ascii="Times New Roman" w:hAnsi="Times New Roman"/>
          <w:bCs/>
          <w:sz w:val="28"/>
          <w:szCs w:val="28"/>
        </w:rPr>
        <w:t>challenges for cause</w:t>
      </w:r>
      <w:r w:rsidR="00867581">
        <w:rPr>
          <w:rFonts w:ascii="Times New Roman" w:hAnsi="Times New Roman"/>
          <w:bCs/>
          <w:sz w:val="28"/>
          <w:szCs w:val="28"/>
        </w:rPr>
        <w:t xml:space="preserve"> or by using</w:t>
      </w:r>
      <w:r w:rsidRPr="004D7C8C">
        <w:rPr>
          <w:rFonts w:ascii="Times New Roman" w:hAnsi="Times New Roman"/>
          <w:bCs/>
          <w:sz w:val="28"/>
          <w:szCs w:val="28"/>
        </w:rPr>
        <w:t xml:space="preserve"> peremptory strikes. Ariz. R. Crim. P. 18.4. Moreover, as </w:t>
      </w:r>
      <w:r w:rsidR="00867581">
        <w:rPr>
          <w:rFonts w:ascii="Times New Roman" w:hAnsi="Times New Roman"/>
          <w:bCs/>
          <w:sz w:val="28"/>
          <w:szCs w:val="28"/>
        </w:rPr>
        <w:t xml:space="preserve">this Court explained </w:t>
      </w:r>
      <w:r w:rsidR="00867581">
        <w:rPr>
          <w:rFonts w:ascii="Times New Roman" w:hAnsi="Times New Roman"/>
          <w:bCs/>
          <w:sz w:val="28"/>
          <w:szCs w:val="28"/>
        </w:rPr>
        <w:lastRenderedPageBreak/>
        <w:t xml:space="preserve">in </w:t>
      </w:r>
      <w:r w:rsidR="00867581" w:rsidRPr="00867581">
        <w:rPr>
          <w:rFonts w:ascii="Times New Roman" w:hAnsi="Times New Roman"/>
          <w:bCs/>
          <w:i/>
          <w:sz w:val="28"/>
          <w:szCs w:val="28"/>
        </w:rPr>
        <w:t>Haskie</w:t>
      </w:r>
      <w:r w:rsidRPr="004D7C8C">
        <w:rPr>
          <w:rFonts w:ascii="Times New Roman" w:hAnsi="Times New Roman"/>
          <w:bCs/>
          <w:sz w:val="28"/>
          <w:szCs w:val="28"/>
        </w:rPr>
        <w:t>, expert testimony can and has been used to dispel such myths. Thus, absent any specific examples or empirical evidence from the petitioner</w:t>
      </w:r>
      <w:r w:rsidR="00867581">
        <w:rPr>
          <w:rFonts w:ascii="Times New Roman" w:hAnsi="Times New Roman"/>
          <w:bCs/>
          <w:sz w:val="28"/>
          <w:szCs w:val="28"/>
        </w:rPr>
        <w:t xml:space="preserve"> demonstrating a substantial problem</w:t>
      </w:r>
      <w:r w:rsidRPr="004D7C8C">
        <w:rPr>
          <w:rFonts w:ascii="Times New Roman" w:hAnsi="Times New Roman"/>
          <w:bCs/>
          <w:sz w:val="28"/>
          <w:szCs w:val="28"/>
        </w:rPr>
        <w:t>, it appears that none of the trial and evidentiary obstacles alleged in the petition actually exist in present-day Arizona.</w:t>
      </w:r>
    </w:p>
    <w:p w14:paraId="20CDA3DB" w14:textId="7C63F3D4" w:rsidR="00867581" w:rsidRPr="002D2F1D" w:rsidRDefault="00D336BC" w:rsidP="00867581">
      <w:pPr>
        <w:pStyle w:val="ListParagraph"/>
        <w:numPr>
          <w:ilvl w:val="0"/>
          <w:numId w:val="9"/>
        </w:numPr>
        <w:spacing w:line="240" w:lineRule="auto"/>
        <w:jc w:val="both"/>
        <w:rPr>
          <w:rFonts w:ascii="Times New Roman" w:hAnsi="Times New Roman"/>
          <w:b/>
          <w:sz w:val="28"/>
          <w:szCs w:val="28"/>
        </w:rPr>
      </w:pPr>
      <w:r>
        <w:rPr>
          <w:rFonts w:ascii="Times New Roman" w:hAnsi="Times New Roman"/>
          <w:b/>
          <w:sz w:val="28"/>
          <w:szCs w:val="28"/>
          <w:u w:val="single"/>
        </w:rPr>
        <w:t>Proposed Rule 404(d) contains no due process protections</w:t>
      </w:r>
      <w:r w:rsidR="00867581" w:rsidRPr="002D2F1D">
        <w:rPr>
          <w:rFonts w:ascii="Times New Roman" w:hAnsi="Times New Roman"/>
          <w:b/>
          <w:sz w:val="28"/>
          <w:szCs w:val="28"/>
        </w:rPr>
        <w:t>.</w:t>
      </w:r>
    </w:p>
    <w:p w14:paraId="0C13D1B1" w14:textId="77777777" w:rsidR="00867581" w:rsidRDefault="00867581" w:rsidP="00867581">
      <w:pPr>
        <w:spacing w:line="240" w:lineRule="auto"/>
        <w:jc w:val="both"/>
        <w:rPr>
          <w:rFonts w:ascii="Times New Roman" w:hAnsi="Times New Roman"/>
          <w:bCs/>
          <w:sz w:val="28"/>
          <w:szCs w:val="28"/>
        </w:rPr>
      </w:pPr>
    </w:p>
    <w:p w14:paraId="6E6FF78C" w14:textId="5A67DB8B" w:rsidR="008A6FEF" w:rsidRDefault="00D336BC" w:rsidP="00D336BC">
      <w:pPr>
        <w:spacing w:line="480" w:lineRule="auto"/>
        <w:ind w:firstLine="720"/>
        <w:jc w:val="both"/>
        <w:rPr>
          <w:rFonts w:ascii="Times New Roman" w:hAnsi="Times New Roman"/>
          <w:bCs/>
          <w:sz w:val="28"/>
          <w:szCs w:val="28"/>
        </w:rPr>
      </w:pPr>
      <w:r>
        <w:rPr>
          <w:rFonts w:ascii="Times New Roman" w:hAnsi="Times New Roman"/>
          <w:bCs/>
          <w:sz w:val="28"/>
          <w:szCs w:val="28"/>
        </w:rPr>
        <w:t xml:space="preserve">As observed by both the </w:t>
      </w:r>
      <w:r w:rsidRPr="004D7C8C">
        <w:rPr>
          <w:rFonts w:ascii="Times New Roman" w:hAnsi="Times New Roman"/>
          <w:bCs/>
          <w:sz w:val="28"/>
          <w:szCs w:val="28"/>
        </w:rPr>
        <w:t>Advisory Committee on Rules of Evidence</w:t>
      </w:r>
      <w:r>
        <w:rPr>
          <w:rFonts w:ascii="Times New Roman" w:hAnsi="Times New Roman"/>
          <w:bCs/>
          <w:sz w:val="28"/>
          <w:szCs w:val="28"/>
        </w:rPr>
        <w:t xml:space="preserve"> and the Arizona Prosecuting Attorneys Advisory Council, proposed Rule 404(d) provides none of the due process protections that exist in Rule 404(c) for admitting evidence of the defendant’s aberrant sexual propensity. </w:t>
      </w:r>
      <w:r w:rsidR="007E5D15">
        <w:rPr>
          <w:rFonts w:ascii="Times New Roman" w:hAnsi="Times New Roman"/>
          <w:bCs/>
          <w:sz w:val="28"/>
          <w:szCs w:val="28"/>
        </w:rPr>
        <w:t>AACJ agrees with those criticisms.</w:t>
      </w:r>
    </w:p>
    <w:p w14:paraId="5D5E4C05" w14:textId="1C059A94" w:rsidR="007E5D15" w:rsidRDefault="007E5D15" w:rsidP="003B739C">
      <w:pPr>
        <w:spacing w:line="480" w:lineRule="auto"/>
        <w:ind w:firstLine="720"/>
        <w:jc w:val="both"/>
        <w:rPr>
          <w:rFonts w:ascii="Times New Roman" w:hAnsi="Times New Roman"/>
          <w:bCs/>
          <w:sz w:val="28"/>
          <w:szCs w:val="28"/>
        </w:rPr>
      </w:pPr>
      <w:r>
        <w:rPr>
          <w:rFonts w:ascii="Times New Roman" w:hAnsi="Times New Roman"/>
          <w:bCs/>
          <w:sz w:val="28"/>
          <w:szCs w:val="28"/>
        </w:rPr>
        <w:t xml:space="preserve">However, AACJ is more concerned with the logic of the proposal that if Rule 404(c) allows evidence of one’s aberrant sexual propensity, then there is no reason not to allow the same kind of evidence in for domestic violence. This is a slippery slope argument. If there is a Rule 404(d) for domestic violence evidence, </w:t>
      </w:r>
      <w:r w:rsidR="00DC1F20">
        <w:rPr>
          <w:rFonts w:ascii="Times New Roman" w:hAnsi="Times New Roman"/>
          <w:bCs/>
          <w:sz w:val="28"/>
          <w:szCs w:val="28"/>
        </w:rPr>
        <w:t xml:space="preserve">then </w:t>
      </w:r>
      <w:r>
        <w:rPr>
          <w:rFonts w:ascii="Times New Roman" w:hAnsi="Times New Roman"/>
          <w:bCs/>
          <w:sz w:val="28"/>
          <w:szCs w:val="28"/>
        </w:rPr>
        <w:t xml:space="preserve">why should there not also be a </w:t>
      </w:r>
      <w:r w:rsidR="00DC1F20">
        <w:rPr>
          <w:rFonts w:ascii="Times New Roman" w:hAnsi="Times New Roman"/>
          <w:bCs/>
          <w:sz w:val="28"/>
          <w:szCs w:val="28"/>
        </w:rPr>
        <w:t xml:space="preserve">proposal for </w:t>
      </w:r>
      <w:r>
        <w:rPr>
          <w:rFonts w:ascii="Times New Roman" w:hAnsi="Times New Roman"/>
          <w:bCs/>
          <w:sz w:val="28"/>
          <w:szCs w:val="28"/>
        </w:rPr>
        <w:t xml:space="preserve">Rule 404(e) </w:t>
      </w:r>
      <w:r w:rsidR="0015738C">
        <w:rPr>
          <w:rFonts w:ascii="Times New Roman" w:hAnsi="Times New Roman"/>
          <w:bCs/>
          <w:sz w:val="28"/>
          <w:szCs w:val="28"/>
        </w:rPr>
        <w:t>to allow</w:t>
      </w:r>
      <w:r>
        <w:rPr>
          <w:rFonts w:ascii="Times New Roman" w:hAnsi="Times New Roman"/>
          <w:bCs/>
          <w:sz w:val="28"/>
          <w:szCs w:val="28"/>
        </w:rPr>
        <w:t xml:space="preserve"> </w:t>
      </w:r>
      <w:r w:rsidR="00DC1F20">
        <w:rPr>
          <w:rFonts w:ascii="Times New Roman" w:hAnsi="Times New Roman"/>
          <w:bCs/>
          <w:sz w:val="28"/>
          <w:szCs w:val="28"/>
        </w:rPr>
        <w:t xml:space="preserve">prior drug </w:t>
      </w:r>
      <w:r w:rsidR="0015738C">
        <w:rPr>
          <w:rFonts w:ascii="Times New Roman" w:hAnsi="Times New Roman"/>
          <w:bCs/>
          <w:sz w:val="28"/>
          <w:szCs w:val="28"/>
        </w:rPr>
        <w:t xml:space="preserve">convictions as evidence in a drug possession trial, since drug addiction results in a propensity to use drugs? Arizona courts recognize that such evidence serves no purpose but to </w:t>
      </w:r>
      <w:r w:rsidR="003B739C">
        <w:rPr>
          <w:rFonts w:ascii="Times New Roman" w:hAnsi="Times New Roman"/>
          <w:bCs/>
          <w:sz w:val="28"/>
          <w:szCs w:val="28"/>
        </w:rPr>
        <w:t xml:space="preserve">invite the jury to conclude that the defendant did it before and must have done it again. </w:t>
      </w:r>
      <w:r w:rsidR="003B739C" w:rsidRPr="00530894">
        <w:rPr>
          <w:rFonts w:ascii="Times New Roman" w:hAnsi="Times New Roman"/>
          <w:bCs/>
          <w:i/>
          <w:iCs/>
          <w:sz w:val="28"/>
          <w:szCs w:val="28"/>
        </w:rPr>
        <w:t>See State v. Torres</w:t>
      </w:r>
      <w:r w:rsidR="003B739C">
        <w:rPr>
          <w:rFonts w:ascii="Times New Roman" w:hAnsi="Times New Roman"/>
          <w:bCs/>
          <w:sz w:val="28"/>
          <w:szCs w:val="28"/>
        </w:rPr>
        <w:t>, 162 Ariz. 70, 73 (App. 1989) (“</w:t>
      </w:r>
      <w:r w:rsidR="003B739C" w:rsidRPr="003B739C">
        <w:rPr>
          <w:rFonts w:ascii="Times New Roman" w:hAnsi="Times New Roman"/>
          <w:bCs/>
          <w:sz w:val="28"/>
          <w:szCs w:val="28"/>
        </w:rPr>
        <w:t>The evidence of prior</w:t>
      </w:r>
      <w:r w:rsidR="003B739C">
        <w:rPr>
          <w:rFonts w:ascii="Times New Roman" w:hAnsi="Times New Roman"/>
          <w:bCs/>
          <w:sz w:val="28"/>
          <w:szCs w:val="28"/>
        </w:rPr>
        <w:t xml:space="preserve"> </w:t>
      </w:r>
      <w:r w:rsidR="003B739C" w:rsidRPr="003B739C">
        <w:rPr>
          <w:rFonts w:ascii="Times New Roman" w:hAnsi="Times New Roman"/>
          <w:bCs/>
          <w:sz w:val="28"/>
          <w:szCs w:val="28"/>
        </w:rPr>
        <w:t>use of heroin was relevant for only one purpose</w:t>
      </w:r>
      <w:r w:rsidR="003B739C">
        <w:rPr>
          <w:rFonts w:ascii="Times New Roman" w:hAnsi="Times New Roman"/>
          <w:bCs/>
          <w:sz w:val="28"/>
          <w:szCs w:val="28"/>
        </w:rPr>
        <w:t>—</w:t>
      </w:r>
      <w:r w:rsidR="003B739C" w:rsidRPr="003B739C">
        <w:rPr>
          <w:rFonts w:ascii="Times New Roman" w:hAnsi="Times New Roman"/>
          <w:bCs/>
          <w:sz w:val="28"/>
          <w:szCs w:val="28"/>
        </w:rPr>
        <w:t>to</w:t>
      </w:r>
      <w:r w:rsidR="003B739C">
        <w:rPr>
          <w:rFonts w:ascii="Times New Roman" w:hAnsi="Times New Roman"/>
          <w:bCs/>
          <w:sz w:val="28"/>
          <w:szCs w:val="28"/>
        </w:rPr>
        <w:t xml:space="preserve"> </w:t>
      </w:r>
      <w:r w:rsidR="003B739C" w:rsidRPr="003B739C">
        <w:rPr>
          <w:rFonts w:ascii="Times New Roman" w:hAnsi="Times New Roman"/>
          <w:bCs/>
          <w:sz w:val="28"/>
          <w:szCs w:val="28"/>
        </w:rPr>
        <w:t xml:space="preserve">show that because the defendant </w:t>
      </w:r>
      <w:r w:rsidR="003B739C" w:rsidRPr="003B739C">
        <w:rPr>
          <w:rFonts w:ascii="Times New Roman" w:hAnsi="Times New Roman"/>
          <w:bCs/>
          <w:sz w:val="28"/>
          <w:szCs w:val="28"/>
        </w:rPr>
        <w:lastRenderedPageBreak/>
        <w:t>had once at some</w:t>
      </w:r>
      <w:r w:rsidR="003B739C">
        <w:rPr>
          <w:rFonts w:ascii="Times New Roman" w:hAnsi="Times New Roman"/>
          <w:bCs/>
          <w:sz w:val="28"/>
          <w:szCs w:val="28"/>
        </w:rPr>
        <w:t xml:space="preserve"> </w:t>
      </w:r>
      <w:r w:rsidR="003B739C" w:rsidRPr="003B739C">
        <w:rPr>
          <w:rFonts w:ascii="Times New Roman" w:hAnsi="Times New Roman"/>
          <w:bCs/>
          <w:sz w:val="28"/>
          <w:szCs w:val="28"/>
        </w:rPr>
        <w:t xml:space="preserve">unspecified time in the past used </w:t>
      </w:r>
      <w:r w:rsidR="003B739C">
        <w:rPr>
          <w:rFonts w:ascii="Times New Roman" w:hAnsi="Times New Roman"/>
          <w:bCs/>
          <w:sz w:val="28"/>
          <w:szCs w:val="28"/>
        </w:rPr>
        <w:t>heroin</w:t>
      </w:r>
      <w:r w:rsidR="003B739C" w:rsidRPr="003B739C">
        <w:rPr>
          <w:rFonts w:ascii="Times New Roman" w:hAnsi="Times New Roman"/>
          <w:bCs/>
          <w:sz w:val="28"/>
          <w:szCs w:val="28"/>
        </w:rPr>
        <w:t>, he must</w:t>
      </w:r>
      <w:r w:rsidR="003B739C">
        <w:rPr>
          <w:rFonts w:ascii="Times New Roman" w:hAnsi="Times New Roman"/>
          <w:bCs/>
          <w:sz w:val="28"/>
          <w:szCs w:val="28"/>
        </w:rPr>
        <w:t xml:space="preserve"> </w:t>
      </w:r>
      <w:r w:rsidR="003B739C" w:rsidRPr="003B739C">
        <w:rPr>
          <w:rFonts w:ascii="Times New Roman" w:hAnsi="Times New Roman"/>
          <w:bCs/>
          <w:sz w:val="28"/>
          <w:szCs w:val="28"/>
        </w:rPr>
        <w:t>have been in the car for the purpose of purchasing</w:t>
      </w:r>
      <w:r w:rsidR="003B739C">
        <w:rPr>
          <w:rFonts w:ascii="Times New Roman" w:hAnsi="Times New Roman"/>
          <w:bCs/>
          <w:sz w:val="28"/>
          <w:szCs w:val="28"/>
        </w:rPr>
        <w:t xml:space="preserve"> </w:t>
      </w:r>
      <w:r w:rsidR="003B739C" w:rsidRPr="003B739C">
        <w:rPr>
          <w:rFonts w:ascii="Times New Roman" w:hAnsi="Times New Roman"/>
          <w:bCs/>
          <w:sz w:val="28"/>
          <w:szCs w:val="28"/>
        </w:rPr>
        <w:t>the drug on this occasion.</w:t>
      </w:r>
      <w:r w:rsidR="003B739C">
        <w:rPr>
          <w:rFonts w:ascii="Times New Roman" w:hAnsi="Times New Roman"/>
          <w:bCs/>
          <w:sz w:val="28"/>
          <w:szCs w:val="28"/>
        </w:rPr>
        <w:t>”).</w:t>
      </w:r>
    </w:p>
    <w:p w14:paraId="055B9771" w14:textId="69271B4F" w:rsidR="0015738C" w:rsidRDefault="0015738C" w:rsidP="00D336BC">
      <w:pPr>
        <w:spacing w:line="480" w:lineRule="auto"/>
        <w:ind w:firstLine="720"/>
        <w:jc w:val="both"/>
        <w:rPr>
          <w:rFonts w:ascii="Times New Roman" w:hAnsi="Times New Roman"/>
          <w:bCs/>
          <w:sz w:val="28"/>
          <w:szCs w:val="28"/>
        </w:rPr>
      </w:pPr>
      <w:r>
        <w:rPr>
          <w:rFonts w:ascii="Times New Roman" w:hAnsi="Times New Roman"/>
          <w:bCs/>
          <w:sz w:val="28"/>
          <w:szCs w:val="28"/>
        </w:rPr>
        <w:t xml:space="preserve">Moreover, the proposal fails </w:t>
      </w:r>
      <w:r w:rsidR="003B739C">
        <w:rPr>
          <w:rFonts w:ascii="Times New Roman" w:hAnsi="Times New Roman"/>
          <w:bCs/>
          <w:sz w:val="28"/>
          <w:szCs w:val="28"/>
        </w:rPr>
        <w:t>to note that past acts of violence are particularly likely to inflame the passions of the jury against the defendant:</w:t>
      </w:r>
    </w:p>
    <w:p w14:paraId="0FBC4385" w14:textId="037AE3B0" w:rsidR="0015738C" w:rsidRDefault="0015738C" w:rsidP="0015738C">
      <w:pPr>
        <w:spacing w:line="240" w:lineRule="auto"/>
        <w:ind w:left="720" w:right="720"/>
        <w:jc w:val="both"/>
        <w:rPr>
          <w:rFonts w:ascii="Times New Roman" w:hAnsi="Times New Roman"/>
          <w:bCs/>
          <w:sz w:val="28"/>
          <w:szCs w:val="28"/>
        </w:rPr>
      </w:pPr>
      <w:r w:rsidRPr="0015738C">
        <w:rPr>
          <w:rFonts w:ascii="Times New Roman" w:hAnsi="Times New Roman"/>
          <w:bCs/>
          <w:sz w:val="28"/>
          <w:szCs w:val="28"/>
        </w:rPr>
        <w:t>The natural and inevitable tendency of the tribunal—whether judge or jury—is to give excessive weight to the vicious record of crime thus exhibited and either to allow it to bear too strongly on the present charge or to take the proof of it as justifying a condemnation, irrespective of the accused</w:t>
      </w:r>
      <w:r>
        <w:rPr>
          <w:rFonts w:ascii="Times New Roman" w:hAnsi="Times New Roman"/>
          <w:bCs/>
          <w:sz w:val="28"/>
          <w:szCs w:val="28"/>
        </w:rPr>
        <w:t>’</w:t>
      </w:r>
      <w:r w:rsidRPr="0015738C">
        <w:rPr>
          <w:rFonts w:ascii="Times New Roman" w:hAnsi="Times New Roman"/>
          <w:bCs/>
          <w:sz w:val="28"/>
          <w:szCs w:val="28"/>
        </w:rPr>
        <w:t>s guilt of the present charge.</w:t>
      </w:r>
    </w:p>
    <w:p w14:paraId="5ADBA0DF" w14:textId="6E205E81" w:rsidR="0015738C" w:rsidRDefault="0015738C" w:rsidP="0015738C">
      <w:pPr>
        <w:spacing w:line="240" w:lineRule="auto"/>
        <w:ind w:left="720" w:right="720"/>
        <w:jc w:val="both"/>
        <w:rPr>
          <w:rFonts w:ascii="Times New Roman" w:hAnsi="Times New Roman"/>
          <w:bCs/>
          <w:sz w:val="28"/>
          <w:szCs w:val="28"/>
        </w:rPr>
      </w:pPr>
    </w:p>
    <w:p w14:paraId="6AD675BE" w14:textId="283F4B08" w:rsidR="0015738C" w:rsidRDefault="003B739C" w:rsidP="003B739C">
      <w:pPr>
        <w:spacing w:line="480" w:lineRule="auto"/>
        <w:jc w:val="both"/>
        <w:rPr>
          <w:rFonts w:ascii="Times New Roman" w:hAnsi="Times New Roman"/>
          <w:bCs/>
          <w:sz w:val="28"/>
          <w:szCs w:val="28"/>
        </w:rPr>
      </w:pPr>
      <w:r w:rsidRPr="003B739C">
        <w:rPr>
          <w:rFonts w:ascii="Times New Roman" w:hAnsi="Times New Roman"/>
          <w:bCs/>
          <w:i/>
          <w:sz w:val="28"/>
          <w:szCs w:val="28"/>
        </w:rPr>
        <w:t>State v. Hughes</w:t>
      </w:r>
      <w:r>
        <w:rPr>
          <w:rFonts w:ascii="Times New Roman" w:hAnsi="Times New Roman"/>
          <w:bCs/>
          <w:sz w:val="28"/>
          <w:szCs w:val="28"/>
        </w:rPr>
        <w:t>, 189 Ariz. 62, 68 (1997)</w:t>
      </w:r>
      <w:r w:rsidR="00530894">
        <w:rPr>
          <w:rFonts w:ascii="Times New Roman" w:hAnsi="Times New Roman"/>
          <w:bCs/>
          <w:sz w:val="28"/>
          <w:szCs w:val="28"/>
        </w:rPr>
        <w:t xml:space="preserve">, </w:t>
      </w:r>
      <w:r w:rsidR="00530894">
        <w:rPr>
          <w:rFonts w:ascii="Times New Roman" w:hAnsi="Times New Roman"/>
          <w:bCs/>
          <w:i/>
          <w:iCs/>
          <w:sz w:val="28"/>
          <w:szCs w:val="28"/>
        </w:rPr>
        <w:t xml:space="preserve">quoting </w:t>
      </w:r>
      <w:r w:rsidRPr="003B739C">
        <w:rPr>
          <w:rFonts w:ascii="Times New Roman" w:hAnsi="Times New Roman"/>
          <w:bCs/>
          <w:sz w:val="28"/>
          <w:szCs w:val="28"/>
        </w:rPr>
        <w:t>1A John H. Wigmore, Evidence § 58.2, at 1212 (Tillers rev.</w:t>
      </w:r>
      <w:r>
        <w:rPr>
          <w:rFonts w:ascii="Times New Roman" w:hAnsi="Times New Roman"/>
          <w:bCs/>
          <w:sz w:val="28"/>
          <w:szCs w:val="28"/>
        </w:rPr>
        <w:t xml:space="preserve"> </w:t>
      </w:r>
      <w:r w:rsidRPr="003B739C">
        <w:rPr>
          <w:rFonts w:ascii="Times New Roman" w:hAnsi="Times New Roman"/>
          <w:bCs/>
          <w:sz w:val="28"/>
          <w:szCs w:val="28"/>
        </w:rPr>
        <w:t>1983</w:t>
      </w:r>
      <w:r>
        <w:rPr>
          <w:rFonts w:ascii="Times New Roman" w:hAnsi="Times New Roman"/>
          <w:bCs/>
          <w:sz w:val="28"/>
          <w:szCs w:val="28"/>
        </w:rPr>
        <w:t xml:space="preserve">). </w:t>
      </w:r>
      <w:r w:rsidR="0088380C">
        <w:rPr>
          <w:rFonts w:ascii="Times New Roman" w:hAnsi="Times New Roman"/>
          <w:bCs/>
          <w:sz w:val="28"/>
          <w:szCs w:val="28"/>
        </w:rPr>
        <w:t xml:space="preserve">For this reason, </w:t>
      </w:r>
      <w:r w:rsidR="0088380C" w:rsidRPr="0088380C">
        <w:rPr>
          <w:rFonts w:ascii="Times New Roman" w:hAnsi="Times New Roman"/>
          <w:bCs/>
          <w:sz w:val="28"/>
          <w:szCs w:val="28"/>
        </w:rPr>
        <w:t>“‘</w:t>
      </w:r>
      <w:r w:rsidR="0088380C">
        <w:rPr>
          <w:rFonts w:ascii="Times New Roman" w:hAnsi="Times New Roman"/>
          <w:bCs/>
          <w:sz w:val="28"/>
          <w:szCs w:val="28"/>
        </w:rPr>
        <w:t>[t]</w:t>
      </w:r>
      <w:r w:rsidR="0088380C" w:rsidRPr="0088380C">
        <w:rPr>
          <w:rFonts w:ascii="Times New Roman" w:hAnsi="Times New Roman"/>
          <w:bCs/>
          <w:sz w:val="28"/>
          <w:szCs w:val="28"/>
        </w:rPr>
        <w:t>he discretion of</w:t>
      </w:r>
      <w:bookmarkStart w:id="2" w:name="_GoBack"/>
      <w:bookmarkEnd w:id="2"/>
      <w:r w:rsidR="0088380C" w:rsidRPr="0088380C">
        <w:rPr>
          <w:rFonts w:ascii="Times New Roman" w:hAnsi="Times New Roman"/>
          <w:bCs/>
          <w:sz w:val="28"/>
          <w:szCs w:val="28"/>
        </w:rPr>
        <w:t xml:space="preserve"> the trial judge under Rule 403 to exclude otherwise relevant evidence because of the risk of prejudice should find its most frequent application in t</w:t>
      </w:r>
      <w:r w:rsidR="0088380C">
        <w:rPr>
          <w:rFonts w:ascii="Times New Roman" w:hAnsi="Times New Roman"/>
          <w:bCs/>
          <w:sz w:val="28"/>
          <w:szCs w:val="28"/>
        </w:rPr>
        <w:t>his area [of Rule 404(b) evidence].’”</w:t>
      </w:r>
      <w:r w:rsidR="0088380C" w:rsidRPr="0088380C">
        <w:rPr>
          <w:rFonts w:ascii="Times New Roman" w:hAnsi="Times New Roman"/>
          <w:bCs/>
          <w:sz w:val="28"/>
          <w:szCs w:val="28"/>
        </w:rPr>
        <w:t xml:space="preserve"> </w:t>
      </w:r>
      <w:r w:rsidR="0088380C" w:rsidRPr="0088380C">
        <w:rPr>
          <w:rFonts w:ascii="Times New Roman" w:hAnsi="Times New Roman"/>
          <w:bCs/>
          <w:i/>
          <w:sz w:val="28"/>
          <w:szCs w:val="28"/>
        </w:rPr>
        <w:t>State v. Taylor</w:t>
      </w:r>
      <w:r w:rsidR="0088380C" w:rsidRPr="0088380C">
        <w:rPr>
          <w:rFonts w:ascii="Times New Roman" w:hAnsi="Times New Roman"/>
          <w:bCs/>
          <w:sz w:val="28"/>
          <w:szCs w:val="28"/>
        </w:rPr>
        <w:t>, 169 Ariz. 121, 12</w:t>
      </w:r>
      <w:r w:rsidR="00530894">
        <w:rPr>
          <w:rFonts w:ascii="Times New Roman" w:hAnsi="Times New Roman"/>
          <w:bCs/>
          <w:sz w:val="28"/>
          <w:szCs w:val="28"/>
        </w:rPr>
        <w:t>5</w:t>
      </w:r>
      <w:r w:rsidR="0088380C" w:rsidRPr="0088380C">
        <w:rPr>
          <w:rFonts w:ascii="Times New Roman" w:hAnsi="Times New Roman"/>
          <w:bCs/>
          <w:sz w:val="28"/>
          <w:szCs w:val="28"/>
        </w:rPr>
        <w:t xml:space="preserve"> (1991)</w:t>
      </w:r>
      <w:r w:rsidR="00530894">
        <w:rPr>
          <w:rFonts w:ascii="Times New Roman" w:hAnsi="Times New Roman"/>
          <w:bCs/>
          <w:sz w:val="28"/>
          <w:szCs w:val="28"/>
        </w:rPr>
        <w:t xml:space="preserve">, </w:t>
      </w:r>
      <w:r w:rsidR="0088380C" w:rsidRPr="00530894">
        <w:rPr>
          <w:rFonts w:ascii="Times New Roman" w:hAnsi="Times New Roman"/>
          <w:bCs/>
          <w:i/>
          <w:iCs/>
          <w:sz w:val="28"/>
          <w:szCs w:val="28"/>
        </w:rPr>
        <w:t>quoting</w:t>
      </w:r>
      <w:r w:rsidR="0088380C" w:rsidRPr="0088380C">
        <w:rPr>
          <w:rFonts w:ascii="Times New Roman" w:hAnsi="Times New Roman"/>
          <w:bCs/>
          <w:sz w:val="28"/>
          <w:szCs w:val="28"/>
        </w:rPr>
        <w:t xml:space="preserve"> 1 Morris Udall et al., </w:t>
      </w:r>
      <w:r w:rsidR="0088380C" w:rsidRPr="0088380C">
        <w:rPr>
          <w:rFonts w:ascii="Times New Roman" w:hAnsi="Times New Roman"/>
          <w:bCs/>
          <w:i/>
          <w:sz w:val="28"/>
          <w:szCs w:val="28"/>
        </w:rPr>
        <w:t>Arizona Practice: Law of Evidence</w:t>
      </w:r>
      <w:r w:rsidR="0088380C" w:rsidRPr="0088380C">
        <w:rPr>
          <w:rFonts w:ascii="Times New Roman" w:hAnsi="Times New Roman"/>
          <w:bCs/>
          <w:sz w:val="28"/>
          <w:szCs w:val="28"/>
        </w:rPr>
        <w:t xml:space="preserve"> § 84 (3d ed. 1991).</w:t>
      </w:r>
      <w:r w:rsidR="0088380C">
        <w:rPr>
          <w:rFonts w:ascii="Times New Roman" w:hAnsi="Times New Roman"/>
          <w:bCs/>
          <w:sz w:val="28"/>
          <w:szCs w:val="28"/>
        </w:rPr>
        <w:t xml:space="preserve"> </w:t>
      </w:r>
      <w:r>
        <w:rPr>
          <w:rFonts w:ascii="Times New Roman" w:hAnsi="Times New Roman"/>
          <w:bCs/>
          <w:sz w:val="28"/>
          <w:szCs w:val="28"/>
        </w:rPr>
        <w:t xml:space="preserve">Even if the court gives a limiting instruction, </w:t>
      </w:r>
      <w:r w:rsidR="0088380C">
        <w:rPr>
          <w:rFonts w:ascii="Times New Roman" w:hAnsi="Times New Roman"/>
          <w:bCs/>
          <w:sz w:val="28"/>
          <w:szCs w:val="28"/>
        </w:rPr>
        <w:t xml:space="preserve">where the evidence is extremely inflammatory, </w:t>
      </w:r>
      <w:r>
        <w:rPr>
          <w:rFonts w:ascii="Times New Roman" w:hAnsi="Times New Roman"/>
          <w:bCs/>
          <w:sz w:val="28"/>
          <w:szCs w:val="28"/>
        </w:rPr>
        <w:t xml:space="preserve">there is little assurance that the jury will </w:t>
      </w:r>
      <w:r w:rsidR="0088380C">
        <w:rPr>
          <w:rFonts w:ascii="Times New Roman" w:hAnsi="Times New Roman"/>
          <w:bCs/>
          <w:sz w:val="28"/>
          <w:szCs w:val="28"/>
        </w:rPr>
        <w:t xml:space="preserve">follow the limiting instruction. </w:t>
      </w:r>
      <w:r w:rsidR="0088380C" w:rsidRPr="0088380C">
        <w:rPr>
          <w:rFonts w:ascii="Times New Roman" w:hAnsi="Times New Roman"/>
          <w:bCs/>
          <w:i/>
          <w:sz w:val="28"/>
          <w:szCs w:val="28"/>
        </w:rPr>
        <w:t>State v. Anthony</w:t>
      </w:r>
      <w:r w:rsidR="0088380C">
        <w:rPr>
          <w:rFonts w:ascii="Times New Roman" w:hAnsi="Times New Roman"/>
          <w:bCs/>
          <w:sz w:val="28"/>
          <w:szCs w:val="28"/>
        </w:rPr>
        <w:t>, 218 Ariz. 439, 446 ¶ 40 (2008) (“</w:t>
      </w:r>
      <w:r w:rsidR="0088380C" w:rsidRPr="0088380C">
        <w:rPr>
          <w:rFonts w:ascii="Times New Roman" w:hAnsi="Times New Roman"/>
          <w:bCs/>
          <w:sz w:val="28"/>
          <w:szCs w:val="28"/>
        </w:rPr>
        <w:t xml:space="preserve">The danger of prejudice is markedly heightened when the </w:t>
      </w:r>
      <w:r w:rsidR="0088380C">
        <w:rPr>
          <w:rFonts w:ascii="Times New Roman" w:hAnsi="Times New Roman"/>
          <w:bCs/>
          <w:sz w:val="28"/>
          <w:szCs w:val="28"/>
        </w:rPr>
        <w:t>‘</w:t>
      </w:r>
      <w:r w:rsidR="0088380C" w:rsidRPr="0088380C">
        <w:rPr>
          <w:rFonts w:ascii="Times New Roman" w:hAnsi="Times New Roman"/>
          <w:bCs/>
          <w:sz w:val="28"/>
          <w:szCs w:val="28"/>
        </w:rPr>
        <w:t>other act</w:t>
      </w:r>
      <w:r w:rsidR="0088380C">
        <w:rPr>
          <w:rFonts w:ascii="Times New Roman" w:hAnsi="Times New Roman"/>
          <w:bCs/>
          <w:sz w:val="28"/>
          <w:szCs w:val="28"/>
        </w:rPr>
        <w:t>’</w:t>
      </w:r>
      <w:r w:rsidR="0088380C" w:rsidRPr="0088380C">
        <w:rPr>
          <w:rFonts w:ascii="Times New Roman" w:hAnsi="Times New Roman"/>
          <w:bCs/>
          <w:sz w:val="28"/>
          <w:szCs w:val="28"/>
        </w:rPr>
        <w:t xml:space="preserve"> allegation is that the defendant molested his step-daughter</w:t>
      </w:r>
      <w:r w:rsidR="0088380C">
        <w:rPr>
          <w:rFonts w:ascii="Times New Roman" w:hAnsi="Times New Roman"/>
          <w:bCs/>
          <w:sz w:val="28"/>
          <w:szCs w:val="28"/>
        </w:rPr>
        <w:t>.”).</w:t>
      </w:r>
    </w:p>
    <w:p w14:paraId="564154C6" w14:textId="77777777" w:rsidR="00867581" w:rsidRPr="004D7C8C" w:rsidRDefault="00867581" w:rsidP="008A6FEF">
      <w:pPr>
        <w:spacing w:line="480" w:lineRule="auto"/>
        <w:jc w:val="both"/>
        <w:rPr>
          <w:rFonts w:ascii="Times New Roman" w:hAnsi="Times New Roman"/>
          <w:bCs/>
          <w:sz w:val="28"/>
          <w:szCs w:val="28"/>
        </w:rPr>
      </w:pPr>
    </w:p>
    <w:p w14:paraId="3F8F771A" w14:textId="77777777" w:rsidR="00A547B3" w:rsidRDefault="00A547B3">
      <w:pPr>
        <w:spacing w:line="240" w:lineRule="auto"/>
        <w:rPr>
          <w:rFonts w:ascii="Times New Roman" w:hAnsi="Times New Roman"/>
          <w:b/>
          <w:sz w:val="28"/>
          <w:szCs w:val="28"/>
          <w:u w:val="single"/>
        </w:rPr>
      </w:pPr>
      <w:r>
        <w:rPr>
          <w:rFonts w:ascii="Times New Roman" w:hAnsi="Times New Roman"/>
          <w:b/>
          <w:sz w:val="28"/>
          <w:szCs w:val="28"/>
          <w:u w:val="single"/>
        </w:rPr>
        <w:br w:type="page"/>
      </w:r>
    </w:p>
    <w:p w14:paraId="1BC84C49" w14:textId="7500ECF5" w:rsidR="00421CA4" w:rsidRPr="002D2F1D" w:rsidRDefault="00421CA4" w:rsidP="00421CA4">
      <w:pPr>
        <w:pStyle w:val="ListParagraph"/>
        <w:numPr>
          <w:ilvl w:val="0"/>
          <w:numId w:val="9"/>
        </w:numPr>
        <w:spacing w:line="240" w:lineRule="auto"/>
        <w:jc w:val="both"/>
        <w:rPr>
          <w:rFonts w:ascii="Times New Roman" w:hAnsi="Times New Roman"/>
          <w:b/>
          <w:sz w:val="28"/>
          <w:szCs w:val="28"/>
        </w:rPr>
      </w:pPr>
      <w:r>
        <w:rPr>
          <w:rFonts w:ascii="Times New Roman" w:hAnsi="Times New Roman"/>
          <w:b/>
          <w:sz w:val="28"/>
          <w:szCs w:val="28"/>
          <w:u w:val="single"/>
        </w:rPr>
        <w:lastRenderedPageBreak/>
        <w:t>Conclusion</w:t>
      </w:r>
      <w:r w:rsidRPr="002D2F1D">
        <w:rPr>
          <w:rFonts w:ascii="Times New Roman" w:hAnsi="Times New Roman"/>
          <w:b/>
          <w:sz w:val="28"/>
          <w:szCs w:val="28"/>
        </w:rPr>
        <w:t>.</w:t>
      </w:r>
    </w:p>
    <w:p w14:paraId="6E2356D9" w14:textId="77777777" w:rsidR="00421CA4" w:rsidRDefault="00421CA4" w:rsidP="00421CA4">
      <w:pPr>
        <w:spacing w:line="240" w:lineRule="auto"/>
        <w:jc w:val="both"/>
        <w:rPr>
          <w:rFonts w:ascii="Times New Roman" w:hAnsi="Times New Roman"/>
          <w:bCs/>
          <w:sz w:val="28"/>
          <w:szCs w:val="28"/>
        </w:rPr>
      </w:pPr>
    </w:p>
    <w:p w14:paraId="2ED64C26" w14:textId="74A09499" w:rsidR="006E5E11" w:rsidRDefault="00A547B3" w:rsidP="00A547B3">
      <w:pPr>
        <w:spacing w:line="480" w:lineRule="auto"/>
        <w:ind w:firstLine="720"/>
        <w:jc w:val="both"/>
        <w:rPr>
          <w:rFonts w:ascii="Times New Roman" w:hAnsi="Times New Roman"/>
          <w:sz w:val="28"/>
          <w:szCs w:val="28"/>
        </w:rPr>
      </w:pPr>
      <w:r>
        <w:rPr>
          <w:rFonts w:ascii="Times New Roman" w:hAnsi="Times New Roman"/>
          <w:sz w:val="28"/>
          <w:szCs w:val="28"/>
        </w:rPr>
        <w:t xml:space="preserve">There is no question that domestic violence </w:t>
      </w:r>
      <w:r w:rsidR="003A1077">
        <w:rPr>
          <w:rFonts w:ascii="Times New Roman" w:hAnsi="Times New Roman"/>
          <w:sz w:val="28"/>
          <w:szCs w:val="28"/>
        </w:rPr>
        <w:t xml:space="preserve">is a serious crime and that repetitive offenders need to be punished more severely. The Legislature responded to this policy rationale by creating the offense of aggravated domestic violence, a class 5 felony with mandatory minimum jail sentences. </w:t>
      </w:r>
      <w:r w:rsidR="003A1077" w:rsidRPr="000C448F">
        <w:rPr>
          <w:rFonts w:ascii="Times New Roman" w:hAnsi="Times New Roman"/>
          <w:i/>
          <w:sz w:val="28"/>
          <w:szCs w:val="28"/>
        </w:rPr>
        <w:t>See</w:t>
      </w:r>
      <w:r w:rsidR="003A1077">
        <w:rPr>
          <w:rFonts w:ascii="Times New Roman" w:hAnsi="Times New Roman"/>
          <w:sz w:val="28"/>
          <w:szCs w:val="28"/>
        </w:rPr>
        <w:t xml:space="preserve"> A.R.S. § 13-3601.02</w:t>
      </w:r>
      <w:r w:rsidR="000C448F">
        <w:rPr>
          <w:rFonts w:ascii="Times New Roman" w:hAnsi="Times New Roman"/>
          <w:sz w:val="28"/>
          <w:szCs w:val="28"/>
        </w:rPr>
        <w:t xml:space="preserve">(A), (B), (C). </w:t>
      </w:r>
      <w:r w:rsidR="000C448F">
        <w:rPr>
          <w:rFonts w:ascii="Times New Roman" w:hAnsi="Times New Roman"/>
          <w:bCs/>
          <w:sz w:val="28"/>
          <w:szCs w:val="28"/>
        </w:rPr>
        <w:t>But t</w:t>
      </w:r>
      <w:r>
        <w:rPr>
          <w:rFonts w:ascii="Times New Roman" w:hAnsi="Times New Roman"/>
          <w:bCs/>
          <w:sz w:val="28"/>
          <w:szCs w:val="28"/>
        </w:rPr>
        <w:t xml:space="preserve">he Pima County Attorney has provided no compelling rationale to upset generations of scholarship </w:t>
      </w:r>
      <w:r w:rsidR="000C448F">
        <w:rPr>
          <w:rFonts w:ascii="Times New Roman" w:hAnsi="Times New Roman"/>
          <w:bCs/>
          <w:sz w:val="28"/>
          <w:szCs w:val="28"/>
        </w:rPr>
        <w:t>and case law describing</w:t>
      </w:r>
      <w:r>
        <w:rPr>
          <w:rFonts w:ascii="Times New Roman" w:hAnsi="Times New Roman"/>
          <w:bCs/>
          <w:sz w:val="28"/>
          <w:szCs w:val="28"/>
        </w:rPr>
        <w:t xml:space="preserve"> the dangers of admitting other-act evidence for propensity purposes. </w:t>
      </w:r>
      <w:r w:rsidR="008B6F6A">
        <w:rPr>
          <w:rFonts w:ascii="Times New Roman" w:hAnsi="Times New Roman"/>
          <w:sz w:val="28"/>
          <w:szCs w:val="28"/>
        </w:rPr>
        <w:t xml:space="preserve">For these reasons, </w:t>
      </w:r>
      <w:r w:rsidR="00420484">
        <w:rPr>
          <w:rFonts w:ascii="Times New Roman" w:hAnsi="Times New Roman"/>
          <w:sz w:val="28"/>
          <w:szCs w:val="28"/>
        </w:rPr>
        <w:t xml:space="preserve">AACJ </w:t>
      </w:r>
      <w:r w:rsidR="008B6F6A">
        <w:rPr>
          <w:rFonts w:ascii="Times New Roman" w:hAnsi="Times New Roman"/>
          <w:sz w:val="28"/>
          <w:szCs w:val="28"/>
        </w:rPr>
        <w:t>request</w:t>
      </w:r>
      <w:r w:rsidR="00E466AC">
        <w:rPr>
          <w:rFonts w:ascii="Times New Roman" w:hAnsi="Times New Roman"/>
          <w:sz w:val="28"/>
          <w:szCs w:val="28"/>
        </w:rPr>
        <w:t>s</w:t>
      </w:r>
      <w:r w:rsidR="008B6F6A">
        <w:rPr>
          <w:rFonts w:ascii="Times New Roman" w:hAnsi="Times New Roman"/>
          <w:sz w:val="28"/>
          <w:szCs w:val="28"/>
        </w:rPr>
        <w:t xml:space="preserve"> this Court deny the petition.</w:t>
      </w:r>
    </w:p>
    <w:p w14:paraId="268AB80E" w14:textId="17F996B7"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1</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20</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548775E4" w:rsidR="006235B5" w:rsidRDefault="00421CA4" w:rsidP="006235B5">
      <w:pPr>
        <w:spacing w:line="240" w:lineRule="auto"/>
        <w:ind w:firstLine="720"/>
        <w:rPr>
          <w:rFonts w:ascii="Times New Roman" w:hAnsi="Times New Roman"/>
          <w:sz w:val="28"/>
          <w:szCs w:val="28"/>
        </w:rPr>
      </w:pPr>
      <w:r>
        <w:rPr>
          <w:rFonts w:ascii="Times New Roman" w:hAnsi="Times New Roman"/>
          <w:sz w:val="28"/>
          <w:szCs w:val="28"/>
        </w:rPr>
        <w:t xml:space="preserve">Grant Wille &amp; </w:t>
      </w:r>
      <w:r w:rsidR="006235B5">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3E44EA8D" w14:textId="77777777" w:rsidR="00420484" w:rsidRPr="0014499B" w:rsidRDefault="00420484" w:rsidP="00420484">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3B1CC5AF" w:rsidR="00DC38DE" w:rsidRPr="0014499B" w:rsidRDefault="006E5E11" w:rsidP="00DC38DE">
      <w:pPr>
        <w:spacing w:line="240" w:lineRule="auto"/>
        <w:rPr>
          <w:rFonts w:ascii="Times New Roman" w:hAnsi="Times New Roman"/>
          <w:sz w:val="28"/>
          <w:szCs w:val="28"/>
        </w:rPr>
      </w:pPr>
      <w:r>
        <w:rPr>
          <w:rFonts w:ascii="Times New Roman" w:hAnsi="Times New Roman"/>
          <w:sz w:val="28"/>
          <w:szCs w:val="28"/>
        </w:rPr>
        <w:t>Electronically m</w:t>
      </w:r>
      <w:r w:rsidR="00DC38DE">
        <w:rPr>
          <w:rFonts w:ascii="Times New Roman" w:hAnsi="Times New Roman"/>
          <w:sz w:val="28"/>
          <w:szCs w:val="28"/>
        </w:rPr>
        <w:t>ailed</w:t>
      </w:r>
      <w:r w:rsidR="00DC38DE" w:rsidRPr="0014499B">
        <w:rPr>
          <w:rFonts w:ascii="Times New Roman" w:hAnsi="Times New Roman"/>
          <w:sz w:val="28"/>
          <w:szCs w:val="28"/>
        </w:rPr>
        <w:t xml:space="preserve"> this </w:t>
      </w:r>
      <w:r w:rsidR="00DC38DE" w:rsidRPr="000A06FE">
        <w:rPr>
          <w:rFonts w:ascii="Times New Roman" w:hAnsi="Times New Roman"/>
          <w:sz w:val="28"/>
          <w:szCs w:val="28"/>
        </w:rPr>
        <w:t>date</w:t>
      </w:r>
      <w:r w:rsidR="00DC38DE"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49CA4668" w14:textId="70AFE32E" w:rsidR="006E5E11" w:rsidRDefault="00E466AC" w:rsidP="00DC38DE">
      <w:pPr>
        <w:spacing w:line="240" w:lineRule="auto"/>
        <w:rPr>
          <w:rFonts w:ascii="Times New Roman" w:hAnsi="Times New Roman"/>
          <w:sz w:val="28"/>
          <w:szCs w:val="28"/>
        </w:rPr>
      </w:pPr>
      <w:r>
        <w:rPr>
          <w:rFonts w:ascii="Times New Roman" w:hAnsi="Times New Roman"/>
          <w:sz w:val="28"/>
          <w:szCs w:val="28"/>
        </w:rPr>
        <w:t>Barbara LaWall</w:t>
      </w:r>
    </w:p>
    <w:p w14:paraId="26AB5399" w14:textId="4E708CB4" w:rsidR="00E466AC" w:rsidRDefault="00244C98" w:rsidP="00DC38DE">
      <w:pPr>
        <w:spacing w:line="240" w:lineRule="auto"/>
        <w:rPr>
          <w:rFonts w:ascii="Times New Roman" w:hAnsi="Times New Roman"/>
          <w:sz w:val="28"/>
          <w:szCs w:val="28"/>
        </w:rPr>
      </w:pPr>
      <w:hyperlink r:id="rId13" w:history="1">
        <w:r w:rsidR="00E466AC" w:rsidRPr="005E21DA">
          <w:rPr>
            <w:rStyle w:val="Hyperlink"/>
            <w:rFonts w:ascii="Times New Roman" w:hAnsi="Times New Roman"/>
            <w:sz w:val="28"/>
            <w:szCs w:val="28"/>
          </w:rPr>
          <w:t>Barbara.LaWall@pcao.pima.gov</w:t>
        </w:r>
      </w:hyperlink>
      <w:r w:rsidR="00E466AC">
        <w:rPr>
          <w:rFonts w:ascii="Times New Roman" w:hAnsi="Times New Roman"/>
          <w:sz w:val="28"/>
          <w:szCs w:val="28"/>
        </w:rPr>
        <w:t xml:space="preserve"> </w:t>
      </w:r>
    </w:p>
    <w:p w14:paraId="3D6A3C68" w14:textId="2A1F0F2B" w:rsidR="00E466AC" w:rsidRDefault="00E466AC" w:rsidP="00DC38DE">
      <w:pPr>
        <w:spacing w:line="240" w:lineRule="auto"/>
        <w:rPr>
          <w:rFonts w:ascii="Times New Roman" w:hAnsi="Times New Roman"/>
          <w:sz w:val="28"/>
          <w:szCs w:val="28"/>
        </w:rPr>
      </w:pPr>
      <w:r>
        <w:rPr>
          <w:rFonts w:ascii="Times New Roman" w:hAnsi="Times New Roman"/>
          <w:sz w:val="28"/>
          <w:szCs w:val="28"/>
        </w:rPr>
        <w:t>Pima County Attorney</w:t>
      </w:r>
    </w:p>
    <w:p w14:paraId="04959E18" w14:textId="77777777" w:rsidR="00E466AC" w:rsidRDefault="00E466AC" w:rsidP="00DC38DE">
      <w:pPr>
        <w:spacing w:line="240" w:lineRule="auto"/>
        <w:rPr>
          <w:rFonts w:ascii="Times New Roman" w:hAnsi="Times New Roman"/>
          <w:sz w:val="28"/>
          <w:szCs w:val="28"/>
        </w:rPr>
      </w:pPr>
    </w:p>
    <w:sectPr w:rsidR="00E466AC" w:rsidSect="00F54AAE">
      <w:footerReference w:type="even" r:id="rId14"/>
      <w:footerReference w:type="default" r:id="rId15"/>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FE21D" w16cid:durableId="22566748"/>
  <w16cid:commentId w16cid:paraId="796557BA" w16cid:durableId="225671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B7FFE" w14:textId="77777777" w:rsidR="00244C98" w:rsidRDefault="00244C98">
      <w:r>
        <w:separator/>
      </w:r>
    </w:p>
  </w:endnote>
  <w:endnote w:type="continuationSeparator" w:id="0">
    <w:p w14:paraId="21B42175" w14:textId="77777777" w:rsidR="00244C98" w:rsidRDefault="0024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66B63FA6"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7CBD">
      <w:rPr>
        <w:rStyle w:val="PageNumber"/>
        <w:noProof/>
      </w:rPr>
      <w:t>12</w:t>
    </w:r>
    <w:r>
      <w:rPr>
        <w:rStyle w:val="PageNumber"/>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DED32" w14:textId="77777777" w:rsidR="00244C98" w:rsidRDefault="00244C98">
      <w:r>
        <w:separator/>
      </w:r>
    </w:p>
  </w:footnote>
  <w:footnote w:type="continuationSeparator" w:id="0">
    <w:p w14:paraId="7B708060" w14:textId="77777777" w:rsidR="00244C98" w:rsidRDefault="00244C98">
      <w:r>
        <w:continuationSeparator/>
      </w:r>
    </w:p>
  </w:footnote>
  <w:footnote w:id="1">
    <w:p w14:paraId="5D5ED3F6" w14:textId="59D7CC41" w:rsidR="00D52717" w:rsidRPr="00D336BC" w:rsidRDefault="00D52717" w:rsidP="00D336BC">
      <w:pPr>
        <w:spacing w:line="240" w:lineRule="auto"/>
        <w:ind w:firstLine="720"/>
        <w:jc w:val="both"/>
        <w:rPr>
          <w:rFonts w:ascii="Times New Roman" w:hAnsi="Times New Roman"/>
          <w:bCs/>
          <w:sz w:val="28"/>
          <w:szCs w:val="28"/>
        </w:rPr>
      </w:pPr>
      <w:r w:rsidRPr="00C9433D">
        <w:rPr>
          <w:rStyle w:val="FootnoteReference"/>
          <w:rFonts w:ascii="Times New Roman" w:hAnsi="Times New Roman"/>
          <w:sz w:val="28"/>
          <w:szCs w:val="28"/>
        </w:rPr>
        <w:footnoteRef/>
      </w:r>
      <w:r w:rsidRPr="00C9433D">
        <w:rPr>
          <w:rFonts w:ascii="Times New Roman" w:hAnsi="Times New Roman"/>
          <w:sz w:val="28"/>
          <w:szCs w:val="28"/>
        </w:rPr>
        <w:t xml:space="preserve"> </w:t>
      </w:r>
      <w:r w:rsidRPr="00C9433D">
        <w:rPr>
          <w:rFonts w:ascii="Times New Roman" w:hAnsi="Times New Roman"/>
          <w:bCs/>
          <w:sz w:val="28"/>
          <w:szCs w:val="28"/>
        </w:rPr>
        <w:t xml:space="preserve">This trend is consistent with cases from other states that, like Arizona, do not </w:t>
      </w:r>
      <w:r>
        <w:rPr>
          <w:rFonts w:ascii="Times New Roman" w:hAnsi="Times New Roman"/>
          <w:bCs/>
          <w:sz w:val="28"/>
          <w:szCs w:val="28"/>
        </w:rPr>
        <w:t>interpret</w:t>
      </w:r>
      <w:r w:rsidRPr="00C9433D">
        <w:rPr>
          <w:rFonts w:ascii="Times New Roman" w:hAnsi="Times New Roman"/>
          <w:bCs/>
          <w:sz w:val="28"/>
          <w:szCs w:val="28"/>
        </w:rPr>
        <w:t xml:space="preserve"> Rule 404(b) as an exhaustive list of non-propensity purposes.  </w:t>
      </w:r>
      <w:r w:rsidRPr="00C9433D">
        <w:rPr>
          <w:rFonts w:ascii="Times New Roman" w:hAnsi="Times New Roman"/>
          <w:bCs/>
          <w:i/>
          <w:iCs/>
          <w:sz w:val="28"/>
          <w:szCs w:val="28"/>
        </w:rPr>
        <w:t>See Jeffers</w:t>
      </w:r>
      <w:r w:rsidRPr="00C9433D">
        <w:rPr>
          <w:rFonts w:ascii="Times New Roman" w:hAnsi="Times New Roman"/>
          <w:bCs/>
          <w:sz w:val="28"/>
          <w:szCs w:val="28"/>
        </w:rPr>
        <w:t xml:space="preserve">, 135 Ariz. at 417; </w:t>
      </w:r>
      <w:r w:rsidRPr="00C9433D">
        <w:rPr>
          <w:rFonts w:ascii="Times New Roman" w:hAnsi="Times New Roman"/>
          <w:bCs/>
          <w:i/>
          <w:iCs/>
          <w:sz w:val="28"/>
          <w:szCs w:val="28"/>
        </w:rPr>
        <w:t>e.g.</w:t>
      </w:r>
      <w:r w:rsidRPr="00C9433D">
        <w:rPr>
          <w:rFonts w:ascii="Times New Roman" w:hAnsi="Times New Roman"/>
          <w:bCs/>
          <w:sz w:val="28"/>
          <w:szCs w:val="28"/>
        </w:rPr>
        <w:t xml:space="preserve">, </w:t>
      </w:r>
      <w:r w:rsidRPr="00C9433D">
        <w:rPr>
          <w:rFonts w:ascii="Times New Roman" w:hAnsi="Times New Roman"/>
          <w:bCs/>
          <w:i/>
          <w:iCs/>
          <w:sz w:val="28"/>
          <w:szCs w:val="28"/>
        </w:rPr>
        <w:t>State v. Gunby</w:t>
      </w:r>
      <w:r w:rsidRPr="00C9433D">
        <w:rPr>
          <w:rFonts w:ascii="Times New Roman" w:hAnsi="Times New Roman"/>
          <w:bCs/>
          <w:sz w:val="28"/>
          <w:szCs w:val="28"/>
        </w:rPr>
        <w:t>, 144 P.3d 647, 658-</w:t>
      </w:r>
      <w:r w:rsidR="00AA36BB">
        <w:rPr>
          <w:rFonts w:ascii="Times New Roman" w:hAnsi="Times New Roman"/>
          <w:bCs/>
          <w:sz w:val="28"/>
          <w:szCs w:val="28"/>
        </w:rPr>
        <w:t>5</w:t>
      </w:r>
      <w:r w:rsidRPr="00C9433D">
        <w:rPr>
          <w:rFonts w:ascii="Times New Roman" w:hAnsi="Times New Roman"/>
          <w:bCs/>
          <w:sz w:val="28"/>
          <w:szCs w:val="28"/>
        </w:rPr>
        <w:t xml:space="preserve">9 (Kan. 2006) (listing myriad of applications but emphasizing procedural safeguards); </w:t>
      </w:r>
      <w:r w:rsidRPr="00C9433D">
        <w:rPr>
          <w:rFonts w:ascii="Times New Roman" w:hAnsi="Times New Roman"/>
          <w:bCs/>
          <w:i/>
          <w:iCs/>
          <w:sz w:val="28"/>
          <w:szCs w:val="28"/>
        </w:rPr>
        <w:t>State v. Mills</w:t>
      </w:r>
      <w:r w:rsidRPr="00C9433D">
        <w:rPr>
          <w:rFonts w:ascii="Times New Roman" w:hAnsi="Times New Roman"/>
          <w:bCs/>
          <w:sz w:val="28"/>
          <w:szCs w:val="28"/>
        </w:rPr>
        <w:t>, 562 N.W.2d 276</w:t>
      </w:r>
      <w:r w:rsidR="00AA36BB">
        <w:rPr>
          <w:rFonts w:ascii="Times New Roman" w:hAnsi="Times New Roman"/>
          <w:bCs/>
          <w:sz w:val="28"/>
          <w:szCs w:val="28"/>
        </w:rPr>
        <w:t>, 285</w:t>
      </w:r>
      <w:r w:rsidRPr="00C9433D">
        <w:rPr>
          <w:rFonts w:ascii="Times New Roman" w:hAnsi="Times New Roman"/>
          <w:bCs/>
          <w:sz w:val="28"/>
          <w:szCs w:val="28"/>
        </w:rPr>
        <w:t xml:space="preserve"> (Minn. 1997) (permitting other acts to show “strained relationship”), </w:t>
      </w:r>
      <w:r w:rsidRPr="00C9433D">
        <w:rPr>
          <w:rFonts w:ascii="Times New Roman" w:hAnsi="Times New Roman"/>
          <w:bCs/>
          <w:i/>
          <w:iCs/>
          <w:sz w:val="28"/>
          <w:szCs w:val="28"/>
        </w:rPr>
        <w:t>overruled on other grounds</w:t>
      </w:r>
      <w:r w:rsidRPr="00C9433D">
        <w:rPr>
          <w:rFonts w:ascii="Times New Roman" w:hAnsi="Times New Roman"/>
          <w:bCs/>
          <w:sz w:val="28"/>
          <w:szCs w:val="28"/>
        </w:rPr>
        <w:t xml:space="preserve">, </w:t>
      </w:r>
      <w:r w:rsidRPr="00C9433D">
        <w:rPr>
          <w:rFonts w:ascii="Times New Roman" w:hAnsi="Times New Roman"/>
          <w:bCs/>
          <w:i/>
          <w:iCs/>
          <w:sz w:val="28"/>
          <w:szCs w:val="28"/>
        </w:rPr>
        <w:t>State v. McCoy</w:t>
      </w:r>
      <w:r w:rsidRPr="00C9433D">
        <w:rPr>
          <w:rFonts w:ascii="Times New Roman" w:hAnsi="Times New Roman"/>
          <w:bCs/>
          <w:sz w:val="28"/>
          <w:szCs w:val="28"/>
        </w:rPr>
        <w:t>, 682 N.W.2d 153 (</w:t>
      </w:r>
      <w:r w:rsidR="003E46A0">
        <w:rPr>
          <w:rFonts w:ascii="Times New Roman" w:hAnsi="Times New Roman"/>
          <w:bCs/>
          <w:sz w:val="28"/>
          <w:szCs w:val="28"/>
        </w:rPr>
        <w:t xml:space="preserve">Minn. </w:t>
      </w:r>
      <w:r w:rsidRPr="00C9433D">
        <w:rPr>
          <w:rFonts w:ascii="Times New Roman" w:hAnsi="Times New Roman"/>
          <w:bCs/>
          <w:sz w:val="28"/>
          <w:szCs w:val="28"/>
        </w:rPr>
        <w:t xml:space="preserve">2004); </w:t>
      </w:r>
      <w:r w:rsidRPr="00C9433D">
        <w:rPr>
          <w:rFonts w:ascii="Times New Roman" w:hAnsi="Times New Roman"/>
          <w:bCs/>
          <w:i/>
          <w:iCs/>
          <w:sz w:val="28"/>
          <w:szCs w:val="28"/>
        </w:rPr>
        <w:t>Ortega v. State</w:t>
      </w:r>
      <w:r w:rsidRPr="00C9433D">
        <w:rPr>
          <w:rFonts w:ascii="Times New Roman" w:hAnsi="Times New Roman"/>
          <w:bCs/>
          <w:sz w:val="28"/>
          <w:szCs w:val="28"/>
        </w:rPr>
        <w:t>, 669 P.2d 935, 944 (Wy</w:t>
      </w:r>
      <w:r w:rsidR="00AA36BB">
        <w:rPr>
          <w:rFonts w:ascii="Times New Roman" w:hAnsi="Times New Roman"/>
          <w:bCs/>
          <w:sz w:val="28"/>
          <w:szCs w:val="28"/>
        </w:rPr>
        <w:t>o</w:t>
      </w:r>
      <w:r w:rsidRPr="00C9433D">
        <w:rPr>
          <w:rFonts w:ascii="Times New Roman" w:hAnsi="Times New Roman"/>
          <w:bCs/>
          <w:sz w:val="28"/>
          <w:szCs w:val="28"/>
        </w:rPr>
        <w:t xml:space="preserve">. 1983) (other act demonstrated “complete lack of respect for the spouse as a human being”), </w:t>
      </w:r>
      <w:r w:rsidRPr="00C9433D">
        <w:rPr>
          <w:rFonts w:ascii="Times New Roman" w:hAnsi="Times New Roman"/>
          <w:bCs/>
          <w:i/>
          <w:iCs/>
          <w:sz w:val="28"/>
          <w:szCs w:val="28"/>
        </w:rPr>
        <w:t>overruled on other grounds</w:t>
      </w:r>
      <w:r w:rsidRPr="00C9433D">
        <w:rPr>
          <w:rFonts w:ascii="Times New Roman" w:hAnsi="Times New Roman"/>
          <w:bCs/>
          <w:sz w:val="28"/>
          <w:szCs w:val="28"/>
        </w:rPr>
        <w:t xml:space="preserve">, </w:t>
      </w:r>
      <w:r w:rsidRPr="00C9433D">
        <w:rPr>
          <w:rFonts w:ascii="Times New Roman" w:hAnsi="Times New Roman"/>
          <w:bCs/>
          <w:i/>
          <w:iCs/>
          <w:sz w:val="28"/>
          <w:szCs w:val="28"/>
        </w:rPr>
        <w:t>Jones v. State</w:t>
      </w:r>
      <w:r w:rsidRPr="00C9433D">
        <w:rPr>
          <w:rFonts w:ascii="Times New Roman" w:hAnsi="Times New Roman"/>
          <w:bCs/>
          <w:sz w:val="28"/>
          <w:szCs w:val="28"/>
        </w:rPr>
        <w:t>, 902 P.2d 686 (</w:t>
      </w:r>
      <w:r w:rsidR="003E46A0">
        <w:rPr>
          <w:rFonts w:ascii="Times New Roman" w:hAnsi="Times New Roman"/>
          <w:bCs/>
          <w:sz w:val="28"/>
          <w:szCs w:val="28"/>
        </w:rPr>
        <w:t xml:space="preserve">Wyo. </w:t>
      </w:r>
      <w:r w:rsidRPr="00C9433D">
        <w:rPr>
          <w:rFonts w:ascii="Times New Roman" w:hAnsi="Times New Roman"/>
          <w:bCs/>
          <w:sz w:val="28"/>
          <w:szCs w:val="28"/>
        </w:rPr>
        <w:t xml:space="preserve">1995); </w:t>
      </w:r>
      <w:r w:rsidRPr="00C9433D">
        <w:rPr>
          <w:rFonts w:ascii="Times New Roman" w:hAnsi="Times New Roman"/>
          <w:bCs/>
          <w:i/>
          <w:iCs/>
          <w:sz w:val="28"/>
          <w:szCs w:val="28"/>
        </w:rPr>
        <w:t>see also</w:t>
      </w:r>
      <w:r w:rsidRPr="00C9433D">
        <w:rPr>
          <w:rFonts w:ascii="Times New Roman" w:hAnsi="Times New Roman"/>
          <w:bCs/>
          <w:sz w:val="28"/>
          <w:szCs w:val="28"/>
        </w:rPr>
        <w:t xml:space="preserve"> </w:t>
      </w:r>
      <w:r w:rsidRPr="00C9433D">
        <w:rPr>
          <w:rFonts w:ascii="Times New Roman" w:hAnsi="Times New Roman"/>
          <w:bCs/>
          <w:i/>
          <w:iCs/>
          <w:sz w:val="28"/>
          <w:szCs w:val="28"/>
        </w:rPr>
        <w:t>State v. Tanner</w:t>
      </w:r>
      <w:r w:rsidRPr="00C9433D">
        <w:rPr>
          <w:rFonts w:ascii="Times New Roman" w:hAnsi="Times New Roman"/>
          <w:bCs/>
          <w:sz w:val="28"/>
          <w:szCs w:val="28"/>
        </w:rPr>
        <w:t>, 675 P.2d 539, 546-47 (</w:t>
      </w:r>
      <w:r w:rsidR="003E46A0">
        <w:rPr>
          <w:rFonts w:ascii="Times New Roman" w:hAnsi="Times New Roman"/>
          <w:bCs/>
          <w:sz w:val="28"/>
          <w:szCs w:val="28"/>
        </w:rPr>
        <w:t xml:space="preserve">Utah </w:t>
      </w:r>
      <w:r w:rsidRPr="00C9433D">
        <w:rPr>
          <w:rFonts w:ascii="Times New Roman" w:hAnsi="Times New Roman"/>
          <w:bCs/>
          <w:sz w:val="28"/>
          <w:szCs w:val="28"/>
        </w:rPr>
        <w:t xml:space="preserve">1983) (in child abuse case, pattern of prior ill treatment directed at specific victim distinct from defendant’s disposition for violence or ill-will), </w:t>
      </w:r>
      <w:r w:rsidRPr="00C9433D">
        <w:rPr>
          <w:rFonts w:ascii="Times New Roman" w:hAnsi="Times New Roman"/>
          <w:bCs/>
          <w:i/>
          <w:iCs/>
          <w:sz w:val="28"/>
          <w:szCs w:val="28"/>
        </w:rPr>
        <w:t>abrogated on other grounds</w:t>
      </w:r>
      <w:r w:rsidRPr="00C9433D">
        <w:rPr>
          <w:rFonts w:ascii="Times New Roman" w:hAnsi="Times New Roman"/>
          <w:bCs/>
          <w:sz w:val="28"/>
          <w:szCs w:val="28"/>
        </w:rPr>
        <w:t xml:space="preserve">, </w:t>
      </w:r>
      <w:r w:rsidRPr="00C9433D">
        <w:rPr>
          <w:rFonts w:ascii="Times New Roman" w:hAnsi="Times New Roman"/>
          <w:bCs/>
          <w:i/>
          <w:iCs/>
          <w:sz w:val="28"/>
          <w:szCs w:val="28"/>
        </w:rPr>
        <w:t>State v. Doporto</w:t>
      </w:r>
      <w:r w:rsidRPr="00C9433D">
        <w:rPr>
          <w:rFonts w:ascii="Times New Roman" w:hAnsi="Times New Roman"/>
          <w:bCs/>
          <w:sz w:val="28"/>
          <w:szCs w:val="28"/>
        </w:rPr>
        <w:t>, 935 P.2d 484 (</w:t>
      </w:r>
      <w:r w:rsidR="003E46A0">
        <w:rPr>
          <w:rFonts w:ascii="Times New Roman" w:hAnsi="Times New Roman"/>
          <w:bCs/>
          <w:sz w:val="28"/>
          <w:szCs w:val="28"/>
        </w:rPr>
        <w:t xml:space="preserve">Utah </w:t>
      </w:r>
      <w:r w:rsidRPr="00C9433D">
        <w:rPr>
          <w:rFonts w:ascii="Times New Roman" w:hAnsi="Times New Roman"/>
          <w:bCs/>
          <w:sz w:val="28"/>
          <w:szCs w:val="28"/>
        </w:rPr>
        <w:t>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17E"/>
    <w:multiLevelType w:val="hybridMultilevel"/>
    <w:tmpl w:val="C046F144"/>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0E6892"/>
    <w:multiLevelType w:val="hybridMultilevel"/>
    <w:tmpl w:val="F364CF2A"/>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43132D"/>
    <w:multiLevelType w:val="hybridMultilevel"/>
    <w:tmpl w:val="7850273A"/>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5"/>
  </w:num>
  <w:num w:numId="4">
    <w:abstractNumId w:val="3"/>
  </w:num>
  <w:num w:numId="5">
    <w:abstractNumId w:val="9"/>
  </w:num>
  <w:num w:numId="6">
    <w:abstractNumId w:val="10"/>
  </w:num>
  <w:num w:numId="7">
    <w:abstractNumId w:val="6"/>
  </w:num>
  <w:num w:numId="8">
    <w:abstractNumId w:val="8"/>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47CF"/>
    <w:rsid w:val="00036CF2"/>
    <w:rsid w:val="000506CE"/>
    <w:rsid w:val="000539C9"/>
    <w:rsid w:val="00057960"/>
    <w:rsid w:val="00061BE6"/>
    <w:rsid w:val="000759BB"/>
    <w:rsid w:val="000763D7"/>
    <w:rsid w:val="00076CBE"/>
    <w:rsid w:val="00092D1D"/>
    <w:rsid w:val="00095786"/>
    <w:rsid w:val="000B1D0D"/>
    <w:rsid w:val="000B3D5C"/>
    <w:rsid w:val="000C448F"/>
    <w:rsid w:val="000E2821"/>
    <w:rsid w:val="000E4E45"/>
    <w:rsid w:val="000E6C47"/>
    <w:rsid w:val="000E7FAC"/>
    <w:rsid w:val="00117CB3"/>
    <w:rsid w:val="00125A1E"/>
    <w:rsid w:val="001269D9"/>
    <w:rsid w:val="00141C61"/>
    <w:rsid w:val="001516C5"/>
    <w:rsid w:val="0015738C"/>
    <w:rsid w:val="0016125C"/>
    <w:rsid w:val="0017156D"/>
    <w:rsid w:val="00175B0A"/>
    <w:rsid w:val="00186903"/>
    <w:rsid w:val="001C02C6"/>
    <w:rsid w:val="001C30CE"/>
    <w:rsid w:val="001C60A4"/>
    <w:rsid w:val="001D0E6C"/>
    <w:rsid w:val="00200607"/>
    <w:rsid w:val="00205E43"/>
    <w:rsid w:val="00221A90"/>
    <w:rsid w:val="00230545"/>
    <w:rsid w:val="00235C89"/>
    <w:rsid w:val="00244C98"/>
    <w:rsid w:val="00284E5B"/>
    <w:rsid w:val="00285283"/>
    <w:rsid w:val="002A3420"/>
    <w:rsid w:val="002B5B1B"/>
    <w:rsid w:val="002C0EDD"/>
    <w:rsid w:val="002D2F1D"/>
    <w:rsid w:val="002E545E"/>
    <w:rsid w:val="002F0B9F"/>
    <w:rsid w:val="002F1FBD"/>
    <w:rsid w:val="003055A7"/>
    <w:rsid w:val="00305CB1"/>
    <w:rsid w:val="00311552"/>
    <w:rsid w:val="00357C78"/>
    <w:rsid w:val="00370284"/>
    <w:rsid w:val="003732CB"/>
    <w:rsid w:val="00380B0B"/>
    <w:rsid w:val="003A1077"/>
    <w:rsid w:val="003A2343"/>
    <w:rsid w:val="003A63AE"/>
    <w:rsid w:val="003B739C"/>
    <w:rsid w:val="003C15EA"/>
    <w:rsid w:val="003C6246"/>
    <w:rsid w:val="003E46A0"/>
    <w:rsid w:val="003E5927"/>
    <w:rsid w:val="0041282A"/>
    <w:rsid w:val="00420484"/>
    <w:rsid w:val="00421CA4"/>
    <w:rsid w:val="00421E9E"/>
    <w:rsid w:val="004434F1"/>
    <w:rsid w:val="00444BE7"/>
    <w:rsid w:val="00451F00"/>
    <w:rsid w:val="00454AE0"/>
    <w:rsid w:val="0047497F"/>
    <w:rsid w:val="00485FAA"/>
    <w:rsid w:val="00493A61"/>
    <w:rsid w:val="004963BA"/>
    <w:rsid w:val="004A2829"/>
    <w:rsid w:val="004B3410"/>
    <w:rsid w:val="004C7133"/>
    <w:rsid w:val="004D0144"/>
    <w:rsid w:val="004D72A3"/>
    <w:rsid w:val="004E66AE"/>
    <w:rsid w:val="004E6839"/>
    <w:rsid w:val="004F3B51"/>
    <w:rsid w:val="00502211"/>
    <w:rsid w:val="00512EB9"/>
    <w:rsid w:val="005252FB"/>
    <w:rsid w:val="00530894"/>
    <w:rsid w:val="0054468B"/>
    <w:rsid w:val="005453BE"/>
    <w:rsid w:val="00553515"/>
    <w:rsid w:val="00556A2D"/>
    <w:rsid w:val="005924A7"/>
    <w:rsid w:val="005B0C4F"/>
    <w:rsid w:val="005B53BE"/>
    <w:rsid w:val="005B7899"/>
    <w:rsid w:val="005C109B"/>
    <w:rsid w:val="005C6E61"/>
    <w:rsid w:val="005D06D5"/>
    <w:rsid w:val="005D7DCC"/>
    <w:rsid w:val="005F0195"/>
    <w:rsid w:val="005F4669"/>
    <w:rsid w:val="0060208D"/>
    <w:rsid w:val="006114B6"/>
    <w:rsid w:val="006235B5"/>
    <w:rsid w:val="0062703F"/>
    <w:rsid w:val="00627DBE"/>
    <w:rsid w:val="00635786"/>
    <w:rsid w:val="006378F2"/>
    <w:rsid w:val="006463AE"/>
    <w:rsid w:val="00646589"/>
    <w:rsid w:val="0064750C"/>
    <w:rsid w:val="00656061"/>
    <w:rsid w:val="00671A36"/>
    <w:rsid w:val="00674178"/>
    <w:rsid w:val="00692962"/>
    <w:rsid w:val="006A387B"/>
    <w:rsid w:val="006C0F08"/>
    <w:rsid w:val="006C2808"/>
    <w:rsid w:val="006C3DAE"/>
    <w:rsid w:val="006C5B68"/>
    <w:rsid w:val="006C648E"/>
    <w:rsid w:val="006C7301"/>
    <w:rsid w:val="006D4397"/>
    <w:rsid w:val="006E34AB"/>
    <w:rsid w:val="006E5E11"/>
    <w:rsid w:val="006F4CFA"/>
    <w:rsid w:val="006F5562"/>
    <w:rsid w:val="006F594D"/>
    <w:rsid w:val="00701CE7"/>
    <w:rsid w:val="0070604A"/>
    <w:rsid w:val="007109BB"/>
    <w:rsid w:val="00720596"/>
    <w:rsid w:val="00734F6C"/>
    <w:rsid w:val="00744748"/>
    <w:rsid w:val="00760549"/>
    <w:rsid w:val="007626EF"/>
    <w:rsid w:val="00764591"/>
    <w:rsid w:val="007669E7"/>
    <w:rsid w:val="007741E6"/>
    <w:rsid w:val="00781317"/>
    <w:rsid w:val="00787905"/>
    <w:rsid w:val="00794743"/>
    <w:rsid w:val="007973A8"/>
    <w:rsid w:val="007A3B11"/>
    <w:rsid w:val="007A5AD8"/>
    <w:rsid w:val="007B4B94"/>
    <w:rsid w:val="007C17AC"/>
    <w:rsid w:val="007D2D04"/>
    <w:rsid w:val="007E229C"/>
    <w:rsid w:val="007E5D15"/>
    <w:rsid w:val="007F091F"/>
    <w:rsid w:val="007F35A8"/>
    <w:rsid w:val="0081534B"/>
    <w:rsid w:val="008272AA"/>
    <w:rsid w:val="00831FE6"/>
    <w:rsid w:val="0083406F"/>
    <w:rsid w:val="008409ED"/>
    <w:rsid w:val="00841AB1"/>
    <w:rsid w:val="008425DB"/>
    <w:rsid w:val="0085222A"/>
    <w:rsid w:val="0085452D"/>
    <w:rsid w:val="00854B4F"/>
    <w:rsid w:val="008579E3"/>
    <w:rsid w:val="0086599B"/>
    <w:rsid w:val="00867581"/>
    <w:rsid w:val="00876503"/>
    <w:rsid w:val="0088380C"/>
    <w:rsid w:val="008940B3"/>
    <w:rsid w:val="008A6FEF"/>
    <w:rsid w:val="008B54C8"/>
    <w:rsid w:val="008B6F6A"/>
    <w:rsid w:val="008B7D55"/>
    <w:rsid w:val="008C682F"/>
    <w:rsid w:val="008D1F4D"/>
    <w:rsid w:val="008D575C"/>
    <w:rsid w:val="008E04BA"/>
    <w:rsid w:val="008E1DD6"/>
    <w:rsid w:val="009049C6"/>
    <w:rsid w:val="00923420"/>
    <w:rsid w:val="00936450"/>
    <w:rsid w:val="00956F98"/>
    <w:rsid w:val="009815B4"/>
    <w:rsid w:val="009823DE"/>
    <w:rsid w:val="009923CC"/>
    <w:rsid w:val="009A23A4"/>
    <w:rsid w:val="009C525E"/>
    <w:rsid w:val="009F0CE6"/>
    <w:rsid w:val="00A00B20"/>
    <w:rsid w:val="00A0443C"/>
    <w:rsid w:val="00A42EAA"/>
    <w:rsid w:val="00A547B3"/>
    <w:rsid w:val="00A629F8"/>
    <w:rsid w:val="00A86C90"/>
    <w:rsid w:val="00AA36BB"/>
    <w:rsid w:val="00AB2212"/>
    <w:rsid w:val="00AB5BD4"/>
    <w:rsid w:val="00B05095"/>
    <w:rsid w:val="00B16F3E"/>
    <w:rsid w:val="00B23149"/>
    <w:rsid w:val="00B40EF1"/>
    <w:rsid w:val="00B43E0F"/>
    <w:rsid w:val="00B73ACD"/>
    <w:rsid w:val="00B90C53"/>
    <w:rsid w:val="00BA7D16"/>
    <w:rsid w:val="00BB1D01"/>
    <w:rsid w:val="00BB2A3A"/>
    <w:rsid w:val="00BB652F"/>
    <w:rsid w:val="00BC7D9C"/>
    <w:rsid w:val="00BF346E"/>
    <w:rsid w:val="00BF6973"/>
    <w:rsid w:val="00C10845"/>
    <w:rsid w:val="00C30A6D"/>
    <w:rsid w:val="00C3108B"/>
    <w:rsid w:val="00C347AE"/>
    <w:rsid w:val="00C3520D"/>
    <w:rsid w:val="00C37271"/>
    <w:rsid w:val="00C40941"/>
    <w:rsid w:val="00C44CA0"/>
    <w:rsid w:val="00C516BC"/>
    <w:rsid w:val="00C71726"/>
    <w:rsid w:val="00C838EB"/>
    <w:rsid w:val="00C8556E"/>
    <w:rsid w:val="00C97315"/>
    <w:rsid w:val="00C9771B"/>
    <w:rsid w:val="00CA18B8"/>
    <w:rsid w:val="00CA5449"/>
    <w:rsid w:val="00CA5689"/>
    <w:rsid w:val="00CC3610"/>
    <w:rsid w:val="00CD45E7"/>
    <w:rsid w:val="00CD6A76"/>
    <w:rsid w:val="00CE08E0"/>
    <w:rsid w:val="00D0294B"/>
    <w:rsid w:val="00D145C4"/>
    <w:rsid w:val="00D26ED2"/>
    <w:rsid w:val="00D336BC"/>
    <w:rsid w:val="00D37836"/>
    <w:rsid w:val="00D407F7"/>
    <w:rsid w:val="00D43EF2"/>
    <w:rsid w:val="00D52717"/>
    <w:rsid w:val="00D77E36"/>
    <w:rsid w:val="00D94D24"/>
    <w:rsid w:val="00DA2BE7"/>
    <w:rsid w:val="00DB048B"/>
    <w:rsid w:val="00DB2614"/>
    <w:rsid w:val="00DB3C6C"/>
    <w:rsid w:val="00DC1F20"/>
    <w:rsid w:val="00DC38DE"/>
    <w:rsid w:val="00DC6C0A"/>
    <w:rsid w:val="00DD121E"/>
    <w:rsid w:val="00E16B5B"/>
    <w:rsid w:val="00E2055B"/>
    <w:rsid w:val="00E23568"/>
    <w:rsid w:val="00E33388"/>
    <w:rsid w:val="00E34337"/>
    <w:rsid w:val="00E379BB"/>
    <w:rsid w:val="00E45F50"/>
    <w:rsid w:val="00E466AC"/>
    <w:rsid w:val="00E72B8D"/>
    <w:rsid w:val="00E82BBA"/>
    <w:rsid w:val="00E833FA"/>
    <w:rsid w:val="00E84532"/>
    <w:rsid w:val="00E92880"/>
    <w:rsid w:val="00E96464"/>
    <w:rsid w:val="00EE2ABA"/>
    <w:rsid w:val="00EF5061"/>
    <w:rsid w:val="00F01BD2"/>
    <w:rsid w:val="00F03F5F"/>
    <w:rsid w:val="00F05072"/>
    <w:rsid w:val="00F16ADA"/>
    <w:rsid w:val="00F306C9"/>
    <w:rsid w:val="00F33A8F"/>
    <w:rsid w:val="00F37CBD"/>
    <w:rsid w:val="00F4743E"/>
    <w:rsid w:val="00F54AAE"/>
    <w:rsid w:val="00F6071A"/>
    <w:rsid w:val="00F72E82"/>
    <w:rsid w:val="00F81718"/>
    <w:rsid w:val="00F82A1D"/>
    <w:rsid w:val="00F83BF1"/>
    <w:rsid w:val="00F83D96"/>
    <w:rsid w:val="00FA17DF"/>
    <w:rsid w:val="00FA3DAA"/>
    <w:rsid w:val="00FB756E"/>
    <w:rsid w:val="00FD7015"/>
    <w:rsid w:val="00FF0BFD"/>
    <w:rsid w:val="00FF27CA"/>
    <w:rsid w:val="00FF5E9E"/>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link w:val="FootnoteTextChar"/>
    <w:uiPriority w:val="99"/>
    <w:semiHidden/>
    <w:rsid w:val="000B1D0D"/>
    <w:rPr>
      <w:sz w:val="20"/>
    </w:rPr>
  </w:style>
  <w:style w:type="character" w:styleId="FootnoteReference">
    <w:name w:val="footnote reference"/>
    <w:basedOn w:val="DefaultParagraphFont"/>
    <w:uiPriority w:val="99"/>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character" w:customStyle="1" w:styleId="FootnoteTextChar">
    <w:name w:val="Footnote Text Char"/>
    <w:basedOn w:val="DefaultParagraphFont"/>
    <w:link w:val="FootnoteText"/>
    <w:uiPriority w:val="99"/>
    <w:semiHidden/>
    <w:rsid w:val="00D5271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ra.LaWall@pcao.pima.gov"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Euchner@pim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rallslawoffi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899A2356-4F44-4B49-952E-7CCEB49F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18912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3</cp:revision>
  <cp:lastPrinted>2012-05-18T16:39:00Z</cp:lastPrinted>
  <dcterms:created xsi:type="dcterms:W3CDTF">2020-05-01T17:33:00Z</dcterms:created>
  <dcterms:modified xsi:type="dcterms:W3CDTF">2020-05-01T17:34:00Z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