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71EA" w:rsidRPr="0052594D" w:rsidRDefault="001971EA" w:rsidP="001E2704">
      <w:pPr>
        <w:widowControl/>
        <w:tabs>
          <w:tab w:val="left" w:pos="1440"/>
          <w:tab w:val="left" w:pos="2160"/>
          <w:tab w:val="left" w:pos="3600"/>
          <w:tab w:val="left" w:pos="4320"/>
          <w:tab w:val="left" w:pos="5040"/>
          <w:tab w:val="left" w:pos="5760"/>
          <w:tab w:val="left" w:pos="6480"/>
          <w:tab w:val="left" w:pos="7200"/>
          <w:tab w:val="left" w:pos="7920"/>
          <w:tab w:val="left" w:pos="8640"/>
        </w:tabs>
        <w:ind w:left="2606"/>
        <w:rPr>
          <w:sz w:val="26"/>
          <w:szCs w:val="26"/>
        </w:rPr>
      </w:pPr>
    </w:p>
    <w:p w:rsidR="00740FAB" w:rsidRPr="0052594D" w:rsidRDefault="007C24DB" w:rsidP="00AF5A7A">
      <w:pPr>
        <w:widowControl/>
        <w:tabs>
          <w:tab w:val="left" w:pos="1440"/>
          <w:tab w:val="left" w:pos="2160"/>
          <w:tab w:val="left" w:pos="3600"/>
          <w:tab w:val="left" w:pos="4320"/>
          <w:tab w:val="left" w:pos="5040"/>
          <w:tab w:val="left" w:pos="5760"/>
          <w:tab w:val="left" w:pos="6480"/>
          <w:tab w:val="left" w:pos="7200"/>
          <w:tab w:val="left" w:pos="7920"/>
          <w:tab w:val="left" w:pos="8640"/>
        </w:tabs>
        <w:rPr>
          <w:sz w:val="26"/>
          <w:szCs w:val="26"/>
        </w:rPr>
      </w:pPr>
      <w:r w:rsidRPr="0052594D">
        <w:rPr>
          <w:sz w:val="26"/>
          <w:szCs w:val="26"/>
        </w:rPr>
        <w:tab/>
      </w:r>
      <w:r w:rsidRPr="0052594D">
        <w:rPr>
          <w:sz w:val="26"/>
          <w:szCs w:val="26"/>
        </w:rPr>
        <w:tab/>
      </w:r>
      <w:r w:rsidRPr="0052594D">
        <w:rPr>
          <w:sz w:val="26"/>
          <w:szCs w:val="26"/>
        </w:rPr>
        <w:tab/>
      </w:r>
      <w:r w:rsidRPr="0052594D">
        <w:rPr>
          <w:sz w:val="26"/>
          <w:szCs w:val="26"/>
        </w:rPr>
        <w:tab/>
      </w:r>
      <w:r w:rsidRPr="0052594D">
        <w:rPr>
          <w:sz w:val="26"/>
          <w:szCs w:val="26"/>
        </w:rPr>
        <w:tab/>
      </w:r>
      <w:r w:rsidRPr="0052594D">
        <w:rPr>
          <w:sz w:val="26"/>
          <w:szCs w:val="26"/>
        </w:rPr>
        <w:tab/>
      </w:r>
    </w:p>
    <w:p w:rsidR="001971EA" w:rsidRPr="0052594D" w:rsidRDefault="0009593A" w:rsidP="00AF5A7A">
      <w:pPr>
        <w:widowControl/>
        <w:tabs>
          <w:tab w:val="left" w:pos="1440"/>
          <w:tab w:val="left" w:pos="2160"/>
          <w:tab w:val="left" w:pos="3600"/>
          <w:tab w:val="left" w:pos="4320"/>
          <w:tab w:val="left" w:pos="5040"/>
          <w:tab w:val="left" w:pos="5760"/>
          <w:tab w:val="left" w:pos="6480"/>
          <w:tab w:val="left" w:pos="7200"/>
          <w:tab w:val="left" w:pos="7920"/>
          <w:tab w:val="left" w:pos="8640"/>
        </w:tabs>
        <w:jc w:val="center"/>
        <w:rPr>
          <w:sz w:val="26"/>
          <w:szCs w:val="26"/>
        </w:rPr>
      </w:pPr>
      <w:bookmarkStart w:id="0" w:name="_GoBack"/>
      <w:bookmarkEnd w:id="0"/>
      <w:r>
        <w:rPr>
          <w:sz w:val="26"/>
          <w:szCs w:val="26"/>
        </w:rPr>
        <w:t xml:space="preserve">April </w:t>
      </w:r>
      <w:r w:rsidR="00E34B6E">
        <w:rPr>
          <w:sz w:val="26"/>
          <w:szCs w:val="26"/>
        </w:rPr>
        <w:t>16</w:t>
      </w:r>
      <w:r w:rsidR="0052594D" w:rsidRPr="00E34B6E">
        <w:rPr>
          <w:sz w:val="26"/>
          <w:szCs w:val="26"/>
        </w:rPr>
        <w:t>,</w:t>
      </w:r>
      <w:r w:rsidR="0052594D">
        <w:rPr>
          <w:sz w:val="26"/>
          <w:szCs w:val="26"/>
        </w:rPr>
        <w:t xml:space="preserve"> 2020</w:t>
      </w:r>
    </w:p>
    <w:p w:rsidR="001971EA" w:rsidRPr="0052594D" w:rsidRDefault="001971EA" w:rsidP="001E2704">
      <w:pPr>
        <w:widowControl/>
        <w:tabs>
          <w:tab w:val="left" w:pos="1440"/>
          <w:tab w:val="left" w:pos="2160"/>
          <w:tab w:val="left" w:pos="3600"/>
          <w:tab w:val="left" w:pos="4320"/>
          <w:tab w:val="left" w:pos="5040"/>
          <w:tab w:val="left" w:pos="5760"/>
          <w:tab w:val="left" w:pos="6480"/>
          <w:tab w:val="left" w:pos="7200"/>
          <w:tab w:val="left" w:pos="7920"/>
          <w:tab w:val="left" w:pos="8640"/>
        </w:tabs>
        <w:jc w:val="center"/>
        <w:rPr>
          <w:sz w:val="26"/>
          <w:szCs w:val="26"/>
        </w:rPr>
      </w:pPr>
    </w:p>
    <w:p w:rsidR="001971EA" w:rsidRPr="0052594D" w:rsidRDefault="001E6FA8" w:rsidP="001E2704">
      <w:pPr>
        <w:widowControl/>
        <w:tabs>
          <w:tab w:val="left" w:pos="1440"/>
          <w:tab w:val="left" w:pos="2160"/>
          <w:tab w:val="left" w:pos="3600"/>
          <w:tab w:val="left" w:pos="4320"/>
          <w:tab w:val="left" w:pos="5040"/>
          <w:tab w:val="left" w:pos="5760"/>
          <w:tab w:val="left" w:pos="6480"/>
          <w:tab w:val="left" w:pos="7200"/>
          <w:tab w:val="left" w:pos="7920"/>
          <w:tab w:val="left" w:pos="8640"/>
        </w:tabs>
        <w:rPr>
          <w:b/>
          <w:i/>
          <w:sz w:val="26"/>
          <w:szCs w:val="26"/>
          <w:u w:val="single"/>
        </w:rPr>
      </w:pPr>
      <w:r>
        <w:rPr>
          <w:b/>
          <w:i/>
          <w:sz w:val="26"/>
          <w:szCs w:val="26"/>
          <w:u w:val="single"/>
        </w:rPr>
        <w:t>SUBMITTED ELECTRONICALLY</w:t>
      </w:r>
      <w:r w:rsidR="0052594D" w:rsidRPr="0052594D">
        <w:rPr>
          <w:b/>
          <w:i/>
          <w:sz w:val="26"/>
          <w:szCs w:val="26"/>
          <w:u w:val="single"/>
        </w:rPr>
        <w:t xml:space="preserve"> ONLY</w:t>
      </w:r>
    </w:p>
    <w:p w:rsidR="001971EA" w:rsidRPr="0052594D" w:rsidRDefault="001971EA" w:rsidP="001E2704">
      <w:pPr>
        <w:widowControl/>
        <w:tabs>
          <w:tab w:val="left" w:pos="1440"/>
          <w:tab w:val="left" w:pos="2160"/>
          <w:tab w:val="left" w:pos="3600"/>
          <w:tab w:val="left" w:pos="4320"/>
          <w:tab w:val="left" w:pos="5040"/>
          <w:tab w:val="left" w:pos="5760"/>
          <w:tab w:val="left" w:pos="6480"/>
          <w:tab w:val="left" w:pos="7200"/>
          <w:tab w:val="left" w:pos="7920"/>
          <w:tab w:val="left" w:pos="8640"/>
        </w:tabs>
        <w:rPr>
          <w:i/>
          <w:sz w:val="26"/>
          <w:szCs w:val="26"/>
        </w:rPr>
      </w:pPr>
    </w:p>
    <w:p w:rsidR="00481F84" w:rsidRDefault="0009593A" w:rsidP="001E2704">
      <w:pPr>
        <w:rPr>
          <w:sz w:val="26"/>
          <w:szCs w:val="26"/>
        </w:rPr>
      </w:pPr>
      <w:r>
        <w:rPr>
          <w:sz w:val="26"/>
          <w:szCs w:val="26"/>
        </w:rPr>
        <w:t>Hon. Randall Howe, Vice-Chair</w:t>
      </w:r>
    </w:p>
    <w:p w:rsidR="0009593A" w:rsidRDefault="0009593A" w:rsidP="001E2704">
      <w:pPr>
        <w:rPr>
          <w:sz w:val="26"/>
          <w:szCs w:val="26"/>
        </w:rPr>
      </w:pPr>
      <w:r>
        <w:rPr>
          <w:sz w:val="26"/>
          <w:szCs w:val="26"/>
        </w:rPr>
        <w:t>Arizona State, Tribal, and Federal Court Forum</w:t>
      </w:r>
    </w:p>
    <w:p w:rsidR="0009593A" w:rsidRDefault="0009593A" w:rsidP="001E2704">
      <w:pPr>
        <w:rPr>
          <w:sz w:val="26"/>
          <w:szCs w:val="26"/>
        </w:rPr>
      </w:pPr>
      <w:r>
        <w:rPr>
          <w:sz w:val="26"/>
          <w:szCs w:val="26"/>
        </w:rPr>
        <w:t>Court of Appeals, Division 1</w:t>
      </w:r>
    </w:p>
    <w:p w:rsidR="0009593A" w:rsidRDefault="0009593A" w:rsidP="001E2704">
      <w:pPr>
        <w:rPr>
          <w:sz w:val="26"/>
          <w:szCs w:val="26"/>
        </w:rPr>
      </w:pPr>
      <w:r>
        <w:rPr>
          <w:sz w:val="26"/>
          <w:szCs w:val="26"/>
        </w:rPr>
        <w:t>1501 West Washington Street</w:t>
      </w:r>
    </w:p>
    <w:p w:rsidR="0009593A" w:rsidRDefault="0009593A" w:rsidP="001E2704">
      <w:pPr>
        <w:rPr>
          <w:sz w:val="26"/>
          <w:szCs w:val="26"/>
        </w:rPr>
      </w:pPr>
      <w:r>
        <w:rPr>
          <w:sz w:val="26"/>
          <w:szCs w:val="26"/>
        </w:rPr>
        <w:t>Phoenix, Arizona 85007</w:t>
      </w:r>
    </w:p>
    <w:p w:rsidR="0009593A" w:rsidRPr="0052594D" w:rsidRDefault="0009593A" w:rsidP="001E2704">
      <w:pPr>
        <w:rPr>
          <w:sz w:val="26"/>
          <w:szCs w:val="26"/>
        </w:rPr>
      </w:pPr>
      <w:r>
        <w:rPr>
          <w:sz w:val="26"/>
          <w:szCs w:val="26"/>
        </w:rPr>
        <w:t>TribalCourtForum@courts.az.gov</w:t>
      </w:r>
    </w:p>
    <w:p w:rsidR="001971EA" w:rsidRPr="0052594D" w:rsidRDefault="00481F84" w:rsidP="001E6FA8">
      <w:pPr>
        <w:rPr>
          <w:sz w:val="26"/>
          <w:szCs w:val="26"/>
        </w:rPr>
      </w:pPr>
      <w:r w:rsidRPr="0052594D">
        <w:rPr>
          <w:sz w:val="26"/>
          <w:szCs w:val="26"/>
        </w:rPr>
        <w:t xml:space="preserve"> </w:t>
      </w:r>
    </w:p>
    <w:p w:rsidR="001971EA" w:rsidRPr="0052594D" w:rsidRDefault="0009593A" w:rsidP="0009593A">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ind w:left="720" w:hanging="720"/>
        <w:jc w:val="both"/>
        <w:rPr>
          <w:sz w:val="26"/>
          <w:szCs w:val="26"/>
        </w:rPr>
      </w:pPr>
      <w:r w:rsidRPr="0009593A">
        <w:rPr>
          <w:b/>
          <w:sz w:val="26"/>
          <w:szCs w:val="26"/>
        </w:rPr>
        <w:t>Re:</w:t>
      </w:r>
      <w:r>
        <w:rPr>
          <w:sz w:val="26"/>
          <w:szCs w:val="26"/>
        </w:rPr>
        <w:tab/>
      </w:r>
      <w:r w:rsidR="001E4C9D" w:rsidRPr="0052594D">
        <w:rPr>
          <w:sz w:val="26"/>
          <w:szCs w:val="26"/>
        </w:rPr>
        <w:t>Gila River Indian Community</w:t>
      </w:r>
      <w:r w:rsidR="008938EE" w:rsidRPr="0052594D">
        <w:rPr>
          <w:sz w:val="26"/>
          <w:szCs w:val="26"/>
        </w:rPr>
        <w:t>’s Comments</w:t>
      </w:r>
      <w:r>
        <w:rPr>
          <w:sz w:val="26"/>
          <w:szCs w:val="26"/>
        </w:rPr>
        <w:t xml:space="preserve"> on the p</w:t>
      </w:r>
      <w:r w:rsidR="001E4C9D" w:rsidRPr="0052594D">
        <w:rPr>
          <w:sz w:val="26"/>
          <w:szCs w:val="26"/>
        </w:rPr>
        <w:t xml:space="preserve">roposed </w:t>
      </w:r>
      <w:r>
        <w:rPr>
          <w:sz w:val="26"/>
          <w:szCs w:val="26"/>
        </w:rPr>
        <w:t xml:space="preserve">amendment to </w:t>
      </w:r>
      <w:r w:rsidR="008938EE" w:rsidRPr="0052594D">
        <w:rPr>
          <w:sz w:val="26"/>
          <w:szCs w:val="26"/>
        </w:rPr>
        <w:t>Arizona Supreme Court Rule 39</w:t>
      </w:r>
      <w:r>
        <w:rPr>
          <w:sz w:val="26"/>
          <w:szCs w:val="26"/>
        </w:rPr>
        <w:t>,</w:t>
      </w:r>
      <w:r w:rsidR="008938EE" w:rsidRPr="0052594D">
        <w:rPr>
          <w:sz w:val="26"/>
          <w:szCs w:val="26"/>
        </w:rPr>
        <w:t xml:space="preserve"> </w:t>
      </w:r>
      <w:r>
        <w:rPr>
          <w:sz w:val="26"/>
          <w:szCs w:val="26"/>
        </w:rPr>
        <w:t>“</w:t>
      </w:r>
      <w:r w:rsidR="00D70B8C" w:rsidRPr="0052594D">
        <w:rPr>
          <w:sz w:val="26"/>
          <w:szCs w:val="26"/>
        </w:rPr>
        <w:t>Temporary Authorization to Practice Law</w:t>
      </w:r>
      <w:r>
        <w:rPr>
          <w:sz w:val="26"/>
          <w:szCs w:val="26"/>
        </w:rPr>
        <w:t>”</w:t>
      </w:r>
    </w:p>
    <w:p w:rsidR="001971EA" w:rsidRPr="0052594D" w:rsidRDefault="001971EA" w:rsidP="001E2704">
      <w:pPr>
        <w:widowControl/>
        <w:tabs>
          <w:tab w:val="left" w:pos="1440"/>
          <w:tab w:val="left" w:pos="2160"/>
          <w:tab w:val="left" w:pos="3600"/>
          <w:tab w:val="left" w:pos="4320"/>
          <w:tab w:val="left" w:pos="5040"/>
          <w:tab w:val="left" w:pos="5760"/>
          <w:tab w:val="left" w:pos="6480"/>
          <w:tab w:val="left" w:pos="7200"/>
          <w:tab w:val="left" w:pos="7920"/>
          <w:tab w:val="left" w:pos="8640"/>
        </w:tabs>
        <w:rPr>
          <w:sz w:val="26"/>
          <w:szCs w:val="26"/>
        </w:rPr>
      </w:pPr>
    </w:p>
    <w:p w:rsidR="001971EA" w:rsidRPr="0052594D" w:rsidRDefault="00C3069C" w:rsidP="001E2704">
      <w:pPr>
        <w:widowControl/>
        <w:tabs>
          <w:tab w:val="left" w:pos="1440"/>
          <w:tab w:val="left" w:pos="2160"/>
          <w:tab w:val="left" w:pos="3600"/>
          <w:tab w:val="left" w:pos="4320"/>
          <w:tab w:val="left" w:pos="5040"/>
          <w:tab w:val="left" w:pos="5760"/>
          <w:tab w:val="left" w:pos="6480"/>
          <w:tab w:val="left" w:pos="7200"/>
          <w:tab w:val="left" w:pos="7920"/>
          <w:tab w:val="left" w:pos="8640"/>
        </w:tabs>
        <w:rPr>
          <w:sz w:val="26"/>
          <w:szCs w:val="26"/>
        </w:rPr>
      </w:pPr>
      <w:r w:rsidRPr="0052594D">
        <w:rPr>
          <w:sz w:val="26"/>
          <w:szCs w:val="26"/>
        </w:rPr>
        <w:t>Dear</w:t>
      </w:r>
      <w:r w:rsidR="00CB058B" w:rsidRPr="0052594D">
        <w:rPr>
          <w:sz w:val="26"/>
          <w:szCs w:val="26"/>
        </w:rPr>
        <w:t xml:space="preserve"> </w:t>
      </w:r>
      <w:r w:rsidR="0009593A">
        <w:rPr>
          <w:sz w:val="26"/>
          <w:szCs w:val="26"/>
        </w:rPr>
        <w:t>Judge Howe</w:t>
      </w:r>
      <w:r w:rsidRPr="0052594D">
        <w:rPr>
          <w:sz w:val="26"/>
          <w:szCs w:val="26"/>
        </w:rPr>
        <w:t xml:space="preserve">,  </w:t>
      </w:r>
    </w:p>
    <w:p w:rsidR="00214CD3" w:rsidRPr="0052594D" w:rsidRDefault="00C3069C" w:rsidP="00481F84">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rPr>
          <w:sz w:val="26"/>
          <w:szCs w:val="26"/>
        </w:rPr>
      </w:pPr>
      <w:r w:rsidRPr="0052594D">
        <w:rPr>
          <w:sz w:val="26"/>
          <w:szCs w:val="26"/>
        </w:rPr>
        <w:tab/>
      </w:r>
    </w:p>
    <w:p w:rsidR="001E4C9D" w:rsidRPr="0052594D" w:rsidRDefault="007A4853" w:rsidP="007A4853">
      <w:pPr>
        <w:pStyle w:val="DoubleSpacing"/>
        <w:tabs>
          <w:tab w:val="left" w:pos="720"/>
        </w:tabs>
        <w:spacing w:line="240" w:lineRule="auto"/>
        <w:jc w:val="both"/>
        <w:rPr>
          <w:rFonts w:ascii="Times New Roman" w:hAnsi="Times New Roman" w:cs="Times New Roman"/>
          <w:sz w:val="26"/>
          <w:szCs w:val="26"/>
        </w:rPr>
      </w:pPr>
      <w:r>
        <w:rPr>
          <w:rFonts w:ascii="Times New Roman" w:hAnsi="Times New Roman" w:cs="Times New Roman"/>
          <w:sz w:val="26"/>
          <w:szCs w:val="26"/>
        </w:rPr>
        <w:tab/>
      </w:r>
      <w:r w:rsidR="00C3069C" w:rsidRPr="0052594D">
        <w:rPr>
          <w:rFonts w:ascii="Times New Roman" w:hAnsi="Times New Roman" w:cs="Times New Roman"/>
          <w:sz w:val="26"/>
          <w:szCs w:val="26"/>
        </w:rPr>
        <w:t xml:space="preserve">The Gila River Indian Community (the “Community”) </w:t>
      </w:r>
      <w:r w:rsidR="0009593A">
        <w:rPr>
          <w:rFonts w:ascii="Times New Roman" w:hAnsi="Times New Roman" w:cs="Times New Roman"/>
          <w:sz w:val="26"/>
          <w:szCs w:val="26"/>
        </w:rPr>
        <w:t xml:space="preserve">is pleased to submit its comments </w:t>
      </w:r>
      <w:r w:rsidR="00B85CD8">
        <w:rPr>
          <w:rFonts w:ascii="Times New Roman" w:hAnsi="Times New Roman" w:cs="Times New Roman"/>
          <w:sz w:val="26"/>
          <w:szCs w:val="26"/>
        </w:rPr>
        <w:t>generally</w:t>
      </w:r>
      <w:r w:rsidR="0009593A">
        <w:rPr>
          <w:rFonts w:ascii="Times New Roman" w:hAnsi="Times New Roman" w:cs="Times New Roman"/>
          <w:sz w:val="26"/>
          <w:szCs w:val="26"/>
        </w:rPr>
        <w:t xml:space="preserve"> support</w:t>
      </w:r>
      <w:r w:rsidR="00B85CD8">
        <w:rPr>
          <w:rFonts w:ascii="Times New Roman" w:hAnsi="Times New Roman" w:cs="Times New Roman"/>
          <w:sz w:val="26"/>
          <w:szCs w:val="26"/>
        </w:rPr>
        <w:t>ing</w:t>
      </w:r>
      <w:r w:rsidR="0009593A">
        <w:rPr>
          <w:rFonts w:ascii="Times New Roman" w:hAnsi="Times New Roman" w:cs="Times New Roman"/>
          <w:sz w:val="26"/>
          <w:szCs w:val="26"/>
        </w:rPr>
        <w:t xml:space="preserve"> the proposed amendment to </w:t>
      </w:r>
      <w:r w:rsidR="00D70B8C" w:rsidRPr="0052594D">
        <w:rPr>
          <w:rFonts w:ascii="Times New Roman" w:hAnsi="Times New Roman" w:cs="Times New Roman"/>
          <w:sz w:val="26"/>
          <w:szCs w:val="26"/>
        </w:rPr>
        <w:t>Arizona Supreme Court Rule 39</w:t>
      </w:r>
      <w:r w:rsidR="0009593A">
        <w:rPr>
          <w:rFonts w:ascii="Times New Roman" w:hAnsi="Times New Roman" w:cs="Times New Roman"/>
          <w:sz w:val="26"/>
          <w:szCs w:val="26"/>
        </w:rPr>
        <w:t>,</w:t>
      </w:r>
      <w:r w:rsidR="00D70B8C" w:rsidRPr="0052594D">
        <w:rPr>
          <w:rFonts w:ascii="Times New Roman" w:hAnsi="Times New Roman" w:cs="Times New Roman"/>
          <w:sz w:val="26"/>
          <w:szCs w:val="26"/>
        </w:rPr>
        <w:t xml:space="preserve"> </w:t>
      </w:r>
      <w:r w:rsidR="0009593A">
        <w:rPr>
          <w:rFonts w:ascii="Times New Roman" w:hAnsi="Times New Roman" w:cs="Times New Roman"/>
          <w:sz w:val="26"/>
          <w:szCs w:val="26"/>
        </w:rPr>
        <w:t>“</w:t>
      </w:r>
      <w:r w:rsidR="00D70B8C" w:rsidRPr="0052594D">
        <w:rPr>
          <w:rFonts w:ascii="Times New Roman" w:hAnsi="Times New Roman" w:cs="Times New Roman"/>
          <w:sz w:val="26"/>
          <w:szCs w:val="26"/>
        </w:rPr>
        <w:t>Temporary Authorization to Practice Law</w:t>
      </w:r>
      <w:r w:rsidR="0009593A">
        <w:rPr>
          <w:rFonts w:ascii="Times New Roman" w:hAnsi="Times New Roman" w:cs="Times New Roman"/>
          <w:sz w:val="26"/>
          <w:szCs w:val="26"/>
        </w:rPr>
        <w:t xml:space="preserve">,” which adds an exception to certain </w:t>
      </w:r>
      <w:r w:rsidR="0009593A" w:rsidRPr="0009593A">
        <w:rPr>
          <w:rFonts w:ascii="Times New Roman" w:hAnsi="Times New Roman" w:cs="Times New Roman"/>
          <w:i/>
          <w:sz w:val="26"/>
          <w:szCs w:val="26"/>
        </w:rPr>
        <w:t xml:space="preserve">pro </w:t>
      </w:r>
      <w:proofErr w:type="spellStart"/>
      <w:r w:rsidR="0009593A" w:rsidRPr="0009593A">
        <w:rPr>
          <w:rFonts w:ascii="Times New Roman" w:hAnsi="Times New Roman" w:cs="Times New Roman"/>
          <w:i/>
          <w:sz w:val="26"/>
          <w:szCs w:val="26"/>
        </w:rPr>
        <w:t>hac</w:t>
      </w:r>
      <w:proofErr w:type="spellEnd"/>
      <w:r w:rsidR="0009593A" w:rsidRPr="0009593A">
        <w:rPr>
          <w:rFonts w:ascii="Times New Roman" w:hAnsi="Times New Roman" w:cs="Times New Roman"/>
          <w:i/>
          <w:sz w:val="26"/>
          <w:szCs w:val="26"/>
        </w:rPr>
        <w:t xml:space="preserve"> vice</w:t>
      </w:r>
      <w:r w:rsidR="0009593A">
        <w:rPr>
          <w:rFonts w:ascii="Times New Roman" w:hAnsi="Times New Roman" w:cs="Times New Roman"/>
          <w:sz w:val="26"/>
          <w:szCs w:val="26"/>
        </w:rPr>
        <w:t xml:space="preserve"> requirements for </w:t>
      </w:r>
      <w:r w:rsidR="00E103D1">
        <w:rPr>
          <w:rFonts w:ascii="Times New Roman" w:hAnsi="Times New Roman" w:cs="Times New Roman"/>
          <w:sz w:val="26"/>
          <w:szCs w:val="26"/>
        </w:rPr>
        <w:t xml:space="preserve">child custody </w:t>
      </w:r>
      <w:r w:rsidR="0009593A">
        <w:rPr>
          <w:rFonts w:ascii="Times New Roman" w:hAnsi="Times New Roman" w:cs="Times New Roman"/>
          <w:sz w:val="26"/>
          <w:szCs w:val="26"/>
        </w:rPr>
        <w:t>cases subject to the Indian Child Welfare Act, 25 U.S.C. §</w:t>
      </w:r>
      <w:r w:rsidR="00D70B8C" w:rsidRPr="0052594D">
        <w:rPr>
          <w:rFonts w:ascii="Times New Roman" w:hAnsi="Times New Roman" w:cs="Times New Roman"/>
          <w:sz w:val="26"/>
          <w:szCs w:val="26"/>
        </w:rPr>
        <w:t xml:space="preserve"> </w:t>
      </w:r>
      <w:r w:rsidR="0009593A">
        <w:rPr>
          <w:rFonts w:ascii="Times New Roman" w:hAnsi="Times New Roman" w:cs="Times New Roman"/>
          <w:sz w:val="26"/>
          <w:szCs w:val="26"/>
        </w:rPr>
        <w:t xml:space="preserve">1901 </w:t>
      </w:r>
      <w:r w:rsidR="0009593A" w:rsidRPr="0009593A">
        <w:rPr>
          <w:rFonts w:ascii="Times New Roman" w:hAnsi="Times New Roman" w:cs="Times New Roman"/>
          <w:i/>
          <w:sz w:val="26"/>
          <w:szCs w:val="26"/>
        </w:rPr>
        <w:t>et seq.</w:t>
      </w:r>
      <w:r w:rsidR="00C3069C" w:rsidRPr="0052594D">
        <w:rPr>
          <w:rFonts w:ascii="Times New Roman" w:hAnsi="Times New Roman" w:cs="Times New Roman"/>
          <w:sz w:val="26"/>
          <w:szCs w:val="26"/>
        </w:rPr>
        <w:t xml:space="preserve"> </w:t>
      </w:r>
    </w:p>
    <w:p w:rsidR="001E4C9D" w:rsidRPr="0052594D" w:rsidRDefault="001E4C9D" w:rsidP="007A4853">
      <w:pPr>
        <w:pStyle w:val="DoubleSpacing"/>
        <w:tabs>
          <w:tab w:val="left" w:pos="720"/>
        </w:tabs>
        <w:spacing w:line="240" w:lineRule="auto"/>
        <w:jc w:val="both"/>
        <w:rPr>
          <w:rFonts w:ascii="Times New Roman" w:hAnsi="Times New Roman" w:cs="Times New Roman"/>
          <w:sz w:val="26"/>
          <w:szCs w:val="26"/>
        </w:rPr>
      </w:pPr>
    </w:p>
    <w:p w:rsidR="001E4C9D" w:rsidRPr="0052594D" w:rsidRDefault="00BF009A" w:rsidP="009B76B9">
      <w:pPr>
        <w:pStyle w:val="ListParagraph"/>
        <w:numPr>
          <w:ilvl w:val="0"/>
          <w:numId w:val="5"/>
        </w:numPr>
        <w:tabs>
          <w:tab w:val="left" w:pos="720"/>
        </w:tabs>
        <w:spacing w:after="0" w:line="240" w:lineRule="auto"/>
        <w:ind w:left="720"/>
        <w:rPr>
          <w:rFonts w:ascii="Times New Roman" w:hAnsi="Times New Roman" w:cs="Times New Roman"/>
          <w:b/>
          <w:sz w:val="26"/>
          <w:szCs w:val="26"/>
        </w:rPr>
      </w:pPr>
      <w:r>
        <w:rPr>
          <w:rFonts w:ascii="Times New Roman" w:hAnsi="Times New Roman" w:cs="Times New Roman"/>
          <w:b/>
          <w:sz w:val="26"/>
          <w:szCs w:val="26"/>
        </w:rPr>
        <w:t xml:space="preserve">ABOUT </w:t>
      </w:r>
      <w:r w:rsidR="0009593A">
        <w:rPr>
          <w:rFonts w:ascii="Times New Roman" w:hAnsi="Times New Roman" w:cs="Times New Roman"/>
          <w:b/>
          <w:sz w:val="26"/>
          <w:szCs w:val="26"/>
        </w:rPr>
        <w:t>THE GILA RIVER INDIAN COMMUNITY</w:t>
      </w:r>
      <w:r w:rsidR="009B76B9">
        <w:rPr>
          <w:rFonts w:ascii="Times New Roman" w:hAnsi="Times New Roman" w:cs="Times New Roman"/>
          <w:b/>
          <w:sz w:val="26"/>
          <w:szCs w:val="26"/>
        </w:rPr>
        <w:t xml:space="preserve"> AND THE INDIAN CHILD WELFARE ACT</w:t>
      </w:r>
    </w:p>
    <w:p w:rsidR="001E4C9D" w:rsidRPr="0052594D" w:rsidRDefault="001E4C9D" w:rsidP="007A4853">
      <w:pPr>
        <w:tabs>
          <w:tab w:val="left" w:pos="720"/>
        </w:tabs>
        <w:jc w:val="both"/>
        <w:rPr>
          <w:sz w:val="26"/>
          <w:szCs w:val="26"/>
        </w:rPr>
      </w:pPr>
    </w:p>
    <w:p w:rsidR="001E4C9D" w:rsidRPr="0052594D" w:rsidRDefault="007A4853" w:rsidP="007A4853">
      <w:pPr>
        <w:tabs>
          <w:tab w:val="left" w:pos="720"/>
        </w:tabs>
        <w:jc w:val="both"/>
        <w:rPr>
          <w:sz w:val="26"/>
          <w:szCs w:val="26"/>
        </w:rPr>
      </w:pPr>
      <w:r>
        <w:rPr>
          <w:sz w:val="26"/>
          <w:szCs w:val="26"/>
        </w:rPr>
        <w:tab/>
      </w:r>
      <w:r w:rsidR="00C3069C" w:rsidRPr="0052594D">
        <w:rPr>
          <w:sz w:val="26"/>
          <w:szCs w:val="26"/>
        </w:rPr>
        <w:t>The Community</w:t>
      </w:r>
      <w:r w:rsidR="00CB058B" w:rsidRPr="0052594D">
        <w:rPr>
          <w:sz w:val="26"/>
          <w:szCs w:val="26"/>
        </w:rPr>
        <w:t xml:space="preserve"> </w:t>
      </w:r>
      <w:r w:rsidR="001E6FA8">
        <w:rPr>
          <w:sz w:val="26"/>
          <w:szCs w:val="26"/>
        </w:rPr>
        <w:t>is a federally-</w:t>
      </w:r>
      <w:r w:rsidR="00C3069C" w:rsidRPr="0052594D">
        <w:rPr>
          <w:sz w:val="26"/>
          <w:szCs w:val="26"/>
        </w:rPr>
        <w:t>recognized Indian tribe co</w:t>
      </w:r>
      <w:r w:rsidR="009B35FE" w:rsidRPr="0052594D">
        <w:rPr>
          <w:sz w:val="26"/>
          <w:szCs w:val="26"/>
        </w:rPr>
        <w:t xml:space="preserve">mposed of the </w:t>
      </w:r>
      <w:proofErr w:type="spellStart"/>
      <w:r w:rsidR="009B35FE" w:rsidRPr="0052594D">
        <w:rPr>
          <w:sz w:val="26"/>
          <w:szCs w:val="26"/>
        </w:rPr>
        <w:t>Akimel</w:t>
      </w:r>
      <w:proofErr w:type="spellEnd"/>
      <w:r w:rsidR="009B35FE" w:rsidRPr="0052594D">
        <w:rPr>
          <w:sz w:val="26"/>
          <w:szCs w:val="26"/>
        </w:rPr>
        <w:t xml:space="preserve"> </w:t>
      </w:r>
      <w:proofErr w:type="spellStart"/>
      <w:r w:rsidR="009B35FE" w:rsidRPr="0052594D">
        <w:rPr>
          <w:sz w:val="26"/>
          <w:szCs w:val="26"/>
        </w:rPr>
        <w:t>O’Otha</w:t>
      </w:r>
      <w:r w:rsidR="00C3069C" w:rsidRPr="0052594D">
        <w:rPr>
          <w:sz w:val="26"/>
          <w:szCs w:val="26"/>
        </w:rPr>
        <w:t>m</w:t>
      </w:r>
      <w:proofErr w:type="spellEnd"/>
      <w:r w:rsidR="00C3069C" w:rsidRPr="0052594D">
        <w:rPr>
          <w:sz w:val="26"/>
          <w:szCs w:val="26"/>
        </w:rPr>
        <w:t xml:space="preserve"> (Pima) and Pee-Posh (Maricopa) </w:t>
      </w:r>
      <w:r w:rsidR="001E6FA8">
        <w:rPr>
          <w:sz w:val="26"/>
          <w:szCs w:val="26"/>
        </w:rPr>
        <w:t>peoples</w:t>
      </w:r>
      <w:r w:rsidR="009B76B9">
        <w:rPr>
          <w:sz w:val="26"/>
          <w:szCs w:val="26"/>
        </w:rPr>
        <w:t xml:space="preserve">. </w:t>
      </w:r>
      <w:r w:rsidR="00C3069C" w:rsidRPr="0052594D">
        <w:rPr>
          <w:sz w:val="26"/>
          <w:szCs w:val="26"/>
        </w:rPr>
        <w:t>The total enrollment of the Community is approximately 2</w:t>
      </w:r>
      <w:r w:rsidR="009E5F58" w:rsidRPr="0052594D">
        <w:rPr>
          <w:sz w:val="26"/>
          <w:szCs w:val="26"/>
        </w:rPr>
        <w:t>2</w:t>
      </w:r>
      <w:r w:rsidR="00C3069C" w:rsidRPr="0052594D">
        <w:rPr>
          <w:sz w:val="26"/>
          <w:szCs w:val="26"/>
        </w:rPr>
        <w:t>,</w:t>
      </w:r>
      <w:r w:rsidR="009E5F58" w:rsidRPr="0052594D">
        <w:rPr>
          <w:sz w:val="26"/>
          <w:szCs w:val="26"/>
        </w:rPr>
        <w:t>862</w:t>
      </w:r>
      <w:r w:rsidR="00C3069C" w:rsidRPr="0052594D">
        <w:rPr>
          <w:sz w:val="26"/>
          <w:szCs w:val="26"/>
        </w:rPr>
        <w:t xml:space="preserve"> members. The </w:t>
      </w:r>
      <w:r w:rsidR="001E6FA8">
        <w:rPr>
          <w:sz w:val="26"/>
          <w:szCs w:val="26"/>
        </w:rPr>
        <w:t xml:space="preserve">Community occupies the </w:t>
      </w:r>
      <w:r w:rsidR="00C3069C" w:rsidRPr="0052594D">
        <w:rPr>
          <w:sz w:val="26"/>
          <w:szCs w:val="26"/>
        </w:rPr>
        <w:t xml:space="preserve">Gila River Indian </w:t>
      </w:r>
      <w:r w:rsidR="001E6FA8">
        <w:rPr>
          <w:sz w:val="26"/>
          <w:szCs w:val="26"/>
        </w:rPr>
        <w:t xml:space="preserve">Reservation (the “Reservation”), </w:t>
      </w:r>
      <w:r w:rsidR="00C3069C" w:rsidRPr="0052594D">
        <w:rPr>
          <w:sz w:val="26"/>
          <w:szCs w:val="26"/>
        </w:rPr>
        <w:t>located in southern Ar</w:t>
      </w:r>
      <w:r w:rsidR="009B35FE" w:rsidRPr="0052594D">
        <w:rPr>
          <w:sz w:val="26"/>
          <w:szCs w:val="26"/>
        </w:rPr>
        <w:t>izona</w:t>
      </w:r>
      <w:r w:rsidR="001E6FA8">
        <w:rPr>
          <w:sz w:val="26"/>
          <w:szCs w:val="26"/>
        </w:rPr>
        <w:t>,</w:t>
      </w:r>
      <w:r w:rsidR="009B35FE" w:rsidRPr="0052594D">
        <w:rPr>
          <w:sz w:val="26"/>
          <w:szCs w:val="26"/>
        </w:rPr>
        <w:t xml:space="preserve"> and encompasses </w:t>
      </w:r>
      <w:r w:rsidR="001E6FA8">
        <w:rPr>
          <w:sz w:val="26"/>
          <w:szCs w:val="26"/>
        </w:rPr>
        <w:t>over</w:t>
      </w:r>
      <w:r w:rsidR="009B35FE" w:rsidRPr="0052594D">
        <w:rPr>
          <w:sz w:val="26"/>
          <w:szCs w:val="26"/>
        </w:rPr>
        <w:t xml:space="preserve"> 372,000 acres</w:t>
      </w:r>
      <w:r w:rsidR="00C3069C" w:rsidRPr="0052594D">
        <w:rPr>
          <w:sz w:val="26"/>
          <w:szCs w:val="26"/>
        </w:rPr>
        <w:t xml:space="preserve"> </w:t>
      </w:r>
      <w:r w:rsidR="00E103D1">
        <w:rPr>
          <w:sz w:val="26"/>
          <w:szCs w:val="26"/>
        </w:rPr>
        <w:t xml:space="preserve">of land </w:t>
      </w:r>
      <w:r w:rsidR="00C3069C" w:rsidRPr="0052594D">
        <w:rPr>
          <w:sz w:val="26"/>
          <w:szCs w:val="26"/>
        </w:rPr>
        <w:t xml:space="preserve">in Pinal and Maricopa counties. The Community is both an urban and rural </w:t>
      </w:r>
      <w:proofErr w:type="gramStart"/>
      <w:r w:rsidR="00C3069C" w:rsidRPr="0052594D">
        <w:rPr>
          <w:sz w:val="26"/>
          <w:szCs w:val="26"/>
        </w:rPr>
        <w:t>Community</w:t>
      </w:r>
      <w:r w:rsidR="001E6FA8">
        <w:rPr>
          <w:sz w:val="26"/>
          <w:szCs w:val="26"/>
        </w:rPr>
        <w:t>,</w:t>
      </w:r>
      <w:r w:rsidR="00C3069C" w:rsidRPr="0052594D">
        <w:rPr>
          <w:sz w:val="26"/>
          <w:szCs w:val="26"/>
        </w:rPr>
        <w:t xml:space="preserve"> and</w:t>
      </w:r>
      <w:proofErr w:type="gramEnd"/>
      <w:r w:rsidR="00C3069C" w:rsidRPr="0052594D">
        <w:rPr>
          <w:sz w:val="26"/>
          <w:szCs w:val="26"/>
        </w:rPr>
        <w:t xml:space="preserve"> shares a border with the </w:t>
      </w:r>
      <w:r w:rsidR="001E6FA8">
        <w:rPr>
          <w:sz w:val="26"/>
          <w:szCs w:val="26"/>
        </w:rPr>
        <w:t xml:space="preserve">Arizona </w:t>
      </w:r>
      <w:r w:rsidR="00C3069C" w:rsidRPr="0052594D">
        <w:rPr>
          <w:sz w:val="26"/>
          <w:szCs w:val="26"/>
        </w:rPr>
        <w:t xml:space="preserve">cities of Phoenix, Coolidge, Casa Grande, Gilbert, Maricopa and Queen Creek. </w:t>
      </w:r>
    </w:p>
    <w:p w:rsidR="001E4C9D" w:rsidRPr="0052594D" w:rsidRDefault="001E4C9D" w:rsidP="007A4853">
      <w:pPr>
        <w:tabs>
          <w:tab w:val="left" w:pos="720"/>
        </w:tabs>
        <w:rPr>
          <w:sz w:val="26"/>
          <w:szCs w:val="26"/>
        </w:rPr>
      </w:pPr>
    </w:p>
    <w:p w:rsidR="001E4C9D" w:rsidRDefault="007A4853" w:rsidP="007A4853">
      <w:pPr>
        <w:tabs>
          <w:tab w:val="left" w:pos="720"/>
        </w:tabs>
        <w:jc w:val="both"/>
        <w:rPr>
          <w:sz w:val="26"/>
          <w:szCs w:val="26"/>
        </w:rPr>
      </w:pPr>
      <w:r>
        <w:rPr>
          <w:sz w:val="26"/>
          <w:szCs w:val="26"/>
        </w:rPr>
        <w:tab/>
      </w:r>
      <w:r w:rsidR="00C3069C" w:rsidRPr="0052594D">
        <w:rPr>
          <w:sz w:val="26"/>
          <w:szCs w:val="26"/>
        </w:rPr>
        <w:t>The Commu</w:t>
      </w:r>
      <w:r w:rsidR="00CB058B" w:rsidRPr="0052594D">
        <w:rPr>
          <w:sz w:val="26"/>
          <w:szCs w:val="26"/>
        </w:rPr>
        <w:t xml:space="preserve">nity’s </w:t>
      </w:r>
      <w:proofErr w:type="gramStart"/>
      <w:r w:rsidR="00CB058B" w:rsidRPr="0052594D">
        <w:rPr>
          <w:sz w:val="26"/>
          <w:szCs w:val="26"/>
        </w:rPr>
        <w:t>close proximity</w:t>
      </w:r>
      <w:proofErr w:type="gramEnd"/>
      <w:r w:rsidR="00CB058B" w:rsidRPr="0052594D">
        <w:rPr>
          <w:sz w:val="26"/>
          <w:szCs w:val="26"/>
        </w:rPr>
        <w:t xml:space="preserve"> to </w:t>
      </w:r>
      <w:r w:rsidR="00E103D1">
        <w:rPr>
          <w:sz w:val="26"/>
          <w:szCs w:val="26"/>
        </w:rPr>
        <w:t>several</w:t>
      </w:r>
      <w:r w:rsidR="00E103D1" w:rsidRPr="0052594D">
        <w:rPr>
          <w:sz w:val="26"/>
          <w:szCs w:val="26"/>
        </w:rPr>
        <w:t xml:space="preserve"> </w:t>
      </w:r>
      <w:r w:rsidR="00E63137">
        <w:rPr>
          <w:sz w:val="26"/>
          <w:szCs w:val="26"/>
        </w:rPr>
        <w:t xml:space="preserve">Arizona </w:t>
      </w:r>
      <w:r w:rsidR="00CB058B" w:rsidRPr="0052594D">
        <w:rPr>
          <w:sz w:val="26"/>
          <w:szCs w:val="26"/>
        </w:rPr>
        <w:t>s</w:t>
      </w:r>
      <w:r w:rsidR="00C3069C" w:rsidRPr="0052594D">
        <w:rPr>
          <w:sz w:val="26"/>
          <w:szCs w:val="26"/>
        </w:rPr>
        <w:t>tate courts</w:t>
      </w:r>
      <w:r w:rsidR="00CB058B" w:rsidRPr="0052594D">
        <w:rPr>
          <w:sz w:val="26"/>
          <w:szCs w:val="26"/>
        </w:rPr>
        <w:t xml:space="preserve"> </w:t>
      </w:r>
      <w:r w:rsidR="00E63137">
        <w:rPr>
          <w:sz w:val="26"/>
          <w:szCs w:val="26"/>
        </w:rPr>
        <w:t xml:space="preserve">(including those in Pinal, Maricopa and Pima Counties) </w:t>
      </w:r>
      <w:r w:rsidR="00C3069C" w:rsidRPr="0052594D">
        <w:rPr>
          <w:sz w:val="26"/>
          <w:szCs w:val="26"/>
        </w:rPr>
        <w:t>allo</w:t>
      </w:r>
      <w:r w:rsidR="00CB058B" w:rsidRPr="0052594D">
        <w:rPr>
          <w:sz w:val="26"/>
          <w:szCs w:val="26"/>
        </w:rPr>
        <w:t xml:space="preserve">ws our tribal </w:t>
      </w:r>
      <w:r w:rsidR="00E63137">
        <w:rPr>
          <w:sz w:val="26"/>
          <w:szCs w:val="26"/>
        </w:rPr>
        <w:t>attorneys and Tribal Social S</w:t>
      </w:r>
      <w:r w:rsidR="00C3069C" w:rsidRPr="0052594D">
        <w:rPr>
          <w:sz w:val="26"/>
          <w:szCs w:val="26"/>
        </w:rPr>
        <w:t>ervices case managers to be actively involved in child dependency cases whe</w:t>
      </w:r>
      <w:r w:rsidR="00E103D1">
        <w:rPr>
          <w:sz w:val="26"/>
          <w:szCs w:val="26"/>
        </w:rPr>
        <w:t xml:space="preserve">n </w:t>
      </w:r>
      <w:r w:rsidR="00C3069C" w:rsidRPr="0052594D">
        <w:rPr>
          <w:sz w:val="26"/>
          <w:szCs w:val="26"/>
        </w:rPr>
        <w:t xml:space="preserve">Indian children </w:t>
      </w:r>
      <w:r w:rsidR="00E103D1">
        <w:rPr>
          <w:sz w:val="26"/>
          <w:szCs w:val="26"/>
        </w:rPr>
        <w:t xml:space="preserve">are </w:t>
      </w:r>
      <w:r w:rsidR="00C3069C" w:rsidRPr="0052594D">
        <w:rPr>
          <w:sz w:val="26"/>
          <w:szCs w:val="26"/>
        </w:rPr>
        <w:t>enrolled or eligible for</w:t>
      </w:r>
      <w:r w:rsidR="009B76B9">
        <w:rPr>
          <w:sz w:val="26"/>
          <w:szCs w:val="26"/>
        </w:rPr>
        <w:t xml:space="preserve"> enrollment with our Community. </w:t>
      </w:r>
      <w:r w:rsidR="00C3069C" w:rsidRPr="0052594D">
        <w:rPr>
          <w:sz w:val="26"/>
          <w:szCs w:val="26"/>
        </w:rPr>
        <w:t xml:space="preserve">Currently, the Community is involved in approximately </w:t>
      </w:r>
      <w:r w:rsidR="002541CE" w:rsidRPr="0052594D">
        <w:rPr>
          <w:sz w:val="26"/>
          <w:szCs w:val="26"/>
        </w:rPr>
        <w:t>26</w:t>
      </w:r>
      <w:r w:rsidR="0088376E" w:rsidRPr="0052594D">
        <w:rPr>
          <w:sz w:val="26"/>
          <w:szCs w:val="26"/>
        </w:rPr>
        <w:t xml:space="preserve"> </w:t>
      </w:r>
      <w:r w:rsidR="00C3069C" w:rsidRPr="0052594D">
        <w:rPr>
          <w:sz w:val="26"/>
          <w:szCs w:val="26"/>
        </w:rPr>
        <w:t xml:space="preserve">ICWA cases within the State of Arizona and approximately </w:t>
      </w:r>
      <w:r w:rsidR="0088376E" w:rsidRPr="0052594D">
        <w:rPr>
          <w:sz w:val="26"/>
          <w:szCs w:val="26"/>
        </w:rPr>
        <w:t>1</w:t>
      </w:r>
      <w:r w:rsidR="002541CE" w:rsidRPr="0052594D">
        <w:rPr>
          <w:sz w:val="26"/>
          <w:szCs w:val="26"/>
        </w:rPr>
        <w:t>1</w:t>
      </w:r>
      <w:r w:rsidR="0088376E" w:rsidRPr="0052594D">
        <w:rPr>
          <w:sz w:val="26"/>
          <w:szCs w:val="26"/>
        </w:rPr>
        <w:t xml:space="preserve"> </w:t>
      </w:r>
      <w:r w:rsidR="00C3069C" w:rsidRPr="0052594D">
        <w:rPr>
          <w:sz w:val="26"/>
          <w:szCs w:val="26"/>
        </w:rPr>
        <w:t>out-of-state ICWA cases</w:t>
      </w:r>
      <w:r w:rsidR="00E63137">
        <w:rPr>
          <w:sz w:val="26"/>
          <w:szCs w:val="26"/>
        </w:rPr>
        <w:t xml:space="preserve">, although those numbers </w:t>
      </w:r>
      <w:r w:rsidR="009B76B9">
        <w:rPr>
          <w:sz w:val="26"/>
          <w:szCs w:val="26"/>
        </w:rPr>
        <w:t xml:space="preserve">fluctuate and </w:t>
      </w:r>
      <w:r w:rsidR="00E63137">
        <w:rPr>
          <w:sz w:val="26"/>
          <w:szCs w:val="26"/>
        </w:rPr>
        <w:t>have been much higher in the past</w:t>
      </w:r>
      <w:r w:rsidR="009B76B9">
        <w:rPr>
          <w:sz w:val="26"/>
          <w:szCs w:val="26"/>
        </w:rPr>
        <w:t xml:space="preserve">. </w:t>
      </w:r>
      <w:r w:rsidR="00E63137">
        <w:rPr>
          <w:sz w:val="26"/>
          <w:szCs w:val="26"/>
        </w:rPr>
        <w:t>The</w:t>
      </w:r>
      <w:r w:rsidR="00375031">
        <w:rPr>
          <w:sz w:val="26"/>
          <w:szCs w:val="26"/>
        </w:rPr>
        <w:t xml:space="preserve"> Community</w:t>
      </w:r>
      <w:r w:rsidR="00C3069C" w:rsidRPr="0052594D">
        <w:rPr>
          <w:sz w:val="26"/>
          <w:szCs w:val="26"/>
        </w:rPr>
        <w:t xml:space="preserve"> intervene</w:t>
      </w:r>
      <w:r w:rsidR="00E63137">
        <w:rPr>
          <w:sz w:val="26"/>
          <w:szCs w:val="26"/>
        </w:rPr>
        <w:t>s</w:t>
      </w:r>
      <w:r w:rsidR="00C3069C" w:rsidRPr="0052594D">
        <w:rPr>
          <w:sz w:val="26"/>
          <w:szCs w:val="26"/>
        </w:rPr>
        <w:t xml:space="preserve"> in every ICWA case </w:t>
      </w:r>
      <w:r w:rsidR="00556BF9" w:rsidRPr="0052594D">
        <w:rPr>
          <w:sz w:val="26"/>
          <w:szCs w:val="26"/>
        </w:rPr>
        <w:t xml:space="preserve">in which our </w:t>
      </w:r>
      <w:r w:rsidR="00C3069C" w:rsidRPr="0052594D">
        <w:rPr>
          <w:sz w:val="26"/>
          <w:szCs w:val="26"/>
        </w:rPr>
        <w:t>chi</w:t>
      </w:r>
      <w:r w:rsidR="00E63137">
        <w:rPr>
          <w:sz w:val="26"/>
          <w:szCs w:val="26"/>
        </w:rPr>
        <w:t xml:space="preserve">ldren and families are involved, whether in Arizona or other states. </w:t>
      </w:r>
      <w:r w:rsidR="00C3069C" w:rsidRPr="0052594D">
        <w:rPr>
          <w:sz w:val="26"/>
          <w:szCs w:val="26"/>
        </w:rPr>
        <w:t xml:space="preserve">As a Community, we take great pride in becoming involved in </w:t>
      </w:r>
      <w:r w:rsidR="00CB058B" w:rsidRPr="0052594D">
        <w:rPr>
          <w:sz w:val="26"/>
          <w:szCs w:val="26"/>
        </w:rPr>
        <w:t>s</w:t>
      </w:r>
      <w:r w:rsidR="00C3069C" w:rsidRPr="0052594D">
        <w:rPr>
          <w:sz w:val="26"/>
          <w:szCs w:val="26"/>
        </w:rPr>
        <w:t xml:space="preserve">tate dependency cases as early as possible so that we may </w:t>
      </w:r>
      <w:r w:rsidR="00CB058B" w:rsidRPr="0052594D">
        <w:rPr>
          <w:sz w:val="26"/>
          <w:szCs w:val="26"/>
        </w:rPr>
        <w:t xml:space="preserve">assist with </w:t>
      </w:r>
      <w:r w:rsidR="00C3069C" w:rsidRPr="0052594D">
        <w:rPr>
          <w:sz w:val="26"/>
          <w:szCs w:val="26"/>
        </w:rPr>
        <w:t>identify</w:t>
      </w:r>
      <w:r w:rsidR="00CB058B" w:rsidRPr="0052594D">
        <w:rPr>
          <w:sz w:val="26"/>
          <w:szCs w:val="26"/>
        </w:rPr>
        <w:t>ing</w:t>
      </w:r>
      <w:r w:rsidR="00E63137">
        <w:rPr>
          <w:sz w:val="26"/>
          <w:szCs w:val="26"/>
        </w:rPr>
        <w:t xml:space="preserve"> ICWA-</w:t>
      </w:r>
      <w:r w:rsidR="00C3069C" w:rsidRPr="0052594D">
        <w:rPr>
          <w:sz w:val="26"/>
          <w:szCs w:val="26"/>
        </w:rPr>
        <w:t xml:space="preserve">compliant placements, </w:t>
      </w:r>
      <w:r w:rsidR="00C3069C" w:rsidRPr="0052594D">
        <w:rPr>
          <w:sz w:val="26"/>
          <w:szCs w:val="26"/>
        </w:rPr>
        <w:lastRenderedPageBreak/>
        <w:t>establish</w:t>
      </w:r>
      <w:r w:rsidR="00CB058B" w:rsidRPr="0052594D">
        <w:rPr>
          <w:sz w:val="26"/>
          <w:szCs w:val="26"/>
        </w:rPr>
        <w:t>ing</w:t>
      </w:r>
      <w:r w:rsidR="00C3069C" w:rsidRPr="0052594D">
        <w:rPr>
          <w:sz w:val="26"/>
          <w:szCs w:val="26"/>
        </w:rPr>
        <w:t xml:space="preserve"> </w:t>
      </w:r>
      <w:r w:rsidR="00E63137">
        <w:rPr>
          <w:sz w:val="26"/>
          <w:szCs w:val="26"/>
        </w:rPr>
        <w:t>communication and relationships</w:t>
      </w:r>
      <w:r w:rsidR="00C3069C" w:rsidRPr="0052594D">
        <w:rPr>
          <w:sz w:val="26"/>
          <w:szCs w:val="26"/>
        </w:rPr>
        <w:t xml:space="preserve"> with all</w:t>
      </w:r>
      <w:r w:rsidR="00E63137">
        <w:rPr>
          <w:sz w:val="26"/>
          <w:szCs w:val="26"/>
        </w:rPr>
        <w:t xml:space="preserve"> parties involved, </w:t>
      </w:r>
      <w:r w:rsidR="00CB058B" w:rsidRPr="0052594D">
        <w:rPr>
          <w:sz w:val="26"/>
          <w:szCs w:val="26"/>
        </w:rPr>
        <w:t>and work with state agencies to support</w:t>
      </w:r>
      <w:r w:rsidR="00C3069C" w:rsidRPr="0052594D">
        <w:rPr>
          <w:sz w:val="26"/>
          <w:szCs w:val="26"/>
        </w:rPr>
        <w:t xml:space="preserve"> the best interests of </w:t>
      </w:r>
      <w:r w:rsidR="00CB058B" w:rsidRPr="0052594D">
        <w:rPr>
          <w:sz w:val="26"/>
          <w:szCs w:val="26"/>
        </w:rPr>
        <w:t>our children</w:t>
      </w:r>
      <w:r w:rsidR="00C3069C" w:rsidRPr="0052594D">
        <w:rPr>
          <w:sz w:val="26"/>
          <w:szCs w:val="26"/>
        </w:rPr>
        <w:t xml:space="preserve">. </w:t>
      </w:r>
    </w:p>
    <w:p w:rsidR="00E63137" w:rsidRDefault="00E63137" w:rsidP="007A4853">
      <w:pPr>
        <w:tabs>
          <w:tab w:val="left" w:pos="720"/>
        </w:tabs>
        <w:jc w:val="both"/>
        <w:rPr>
          <w:sz w:val="26"/>
          <w:szCs w:val="26"/>
        </w:rPr>
      </w:pPr>
    </w:p>
    <w:p w:rsidR="00E63137" w:rsidRDefault="007A4853" w:rsidP="007A4853">
      <w:pPr>
        <w:tabs>
          <w:tab w:val="left" w:pos="720"/>
        </w:tabs>
        <w:jc w:val="both"/>
        <w:rPr>
          <w:sz w:val="26"/>
          <w:szCs w:val="26"/>
        </w:rPr>
      </w:pPr>
      <w:r>
        <w:rPr>
          <w:sz w:val="26"/>
          <w:szCs w:val="26"/>
        </w:rPr>
        <w:tab/>
      </w:r>
      <w:r w:rsidR="00E63137" w:rsidRPr="00E63137">
        <w:rPr>
          <w:sz w:val="26"/>
          <w:szCs w:val="26"/>
        </w:rPr>
        <w:t xml:space="preserve">The Community considers that one of the primary </w:t>
      </w:r>
      <w:r w:rsidR="009B76B9">
        <w:rPr>
          <w:sz w:val="26"/>
          <w:szCs w:val="26"/>
        </w:rPr>
        <w:t>purposes</w:t>
      </w:r>
      <w:r w:rsidR="00E63137" w:rsidRPr="00E63137">
        <w:rPr>
          <w:sz w:val="26"/>
          <w:szCs w:val="26"/>
        </w:rPr>
        <w:t xml:space="preserve"> of 25 U.S.C. § 1911(c), which permits Indian tribes to intervene in state child custody proceedings involving their children, is that it gives Indian tribes a voice in state court proceedings where, historically, tribes have been left behind. Although the Community is advantaged by its </w:t>
      </w:r>
      <w:proofErr w:type="gramStart"/>
      <w:r w:rsidR="00E63137" w:rsidRPr="00E63137">
        <w:rPr>
          <w:sz w:val="26"/>
          <w:szCs w:val="26"/>
        </w:rPr>
        <w:t>close proximity</w:t>
      </w:r>
      <w:proofErr w:type="gramEnd"/>
      <w:r w:rsidR="00E63137" w:rsidRPr="00E63137">
        <w:rPr>
          <w:sz w:val="26"/>
          <w:szCs w:val="26"/>
        </w:rPr>
        <w:t xml:space="preserve"> to Arizona courts, it has </w:t>
      </w:r>
      <w:r w:rsidR="00375031">
        <w:rPr>
          <w:sz w:val="26"/>
          <w:szCs w:val="26"/>
        </w:rPr>
        <w:t xml:space="preserve">also </w:t>
      </w:r>
      <w:r w:rsidR="00E63137" w:rsidRPr="00E63137">
        <w:rPr>
          <w:sz w:val="26"/>
          <w:szCs w:val="26"/>
        </w:rPr>
        <w:t xml:space="preserve">appeared and intervened in ICWA cases involving its children in Alabama, California, Colorado, Idaho, Illinois, Iowa, Minnesota, Missouri, Nebraska, Nevada, New Mexico, </w:t>
      </w:r>
      <w:r w:rsidR="00F0488F">
        <w:rPr>
          <w:sz w:val="26"/>
          <w:szCs w:val="26"/>
        </w:rPr>
        <w:t xml:space="preserve">Ohio, </w:t>
      </w:r>
      <w:r w:rsidR="00E63137" w:rsidRPr="00E63137">
        <w:rPr>
          <w:sz w:val="26"/>
          <w:szCs w:val="26"/>
        </w:rPr>
        <w:t>Oklahoma, Oregon, Texas, Utah, Washington and Wisconsin</w:t>
      </w:r>
      <w:r w:rsidR="00E63137">
        <w:rPr>
          <w:sz w:val="26"/>
          <w:szCs w:val="26"/>
        </w:rPr>
        <w:t>. Likewise, because of the size and diversity of the Phoenix metropolitan area,</w:t>
      </w:r>
      <w:r w:rsidR="00E103D1">
        <w:rPr>
          <w:sz w:val="26"/>
          <w:szCs w:val="26"/>
        </w:rPr>
        <w:t xml:space="preserve"> Indian</w:t>
      </w:r>
      <w:r w:rsidR="00E63137">
        <w:rPr>
          <w:sz w:val="26"/>
          <w:szCs w:val="26"/>
        </w:rPr>
        <w:t xml:space="preserve"> children from many out-of-state Indian tribes </w:t>
      </w:r>
      <w:r w:rsidR="00E103D1">
        <w:rPr>
          <w:sz w:val="26"/>
          <w:szCs w:val="26"/>
        </w:rPr>
        <w:t>are</w:t>
      </w:r>
      <w:r w:rsidR="00E63137">
        <w:rPr>
          <w:sz w:val="26"/>
          <w:szCs w:val="26"/>
        </w:rPr>
        <w:t xml:space="preserve"> involved in child custody proceedings in Arizona. Generally, state courts welcome tribal attorneys in ICWA cases because of the specialized knowledge they bring to the proceeding</w:t>
      </w:r>
      <w:r w:rsidR="00E103D1">
        <w:rPr>
          <w:sz w:val="26"/>
          <w:szCs w:val="26"/>
        </w:rPr>
        <w:t>s</w:t>
      </w:r>
      <w:r w:rsidR="00E63137">
        <w:rPr>
          <w:sz w:val="26"/>
          <w:szCs w:val="26"/>
        </w:rPr>
        <w:t>.</w:t>
      </w:r>
    </w:p>
    <w:p w:rsidR="00E63137" w:rsidRDefault="00E63137" w:rsidP="007A4853">
      <w:pPr>
        <w:tabs>
          <w:tab w:val="left" w:pos="720"/>
        </w:tabs>
        <w:jc w:val="both"/>
        <w:rPr>
          <w:sz w:val="26"/>
          <w:szCs w:val="26"/>
        </w:rPr>
      </w:pPr>
    </w:p>
    <w:p w:rsidR="00E63137" w:rsidRDefault="007A4853" w:rsidP="007A4853">
      <w:pPr>
        <w:tabs>
          <w:tab w:val="left" w:pos="720"/>
        </w:tabs>
        <w:jc w:val="both"/>
        <w:rPr>
          <w:sz w:val="26"/>
          <w:szCs w:val="26"/>
        </w:rPr>
      </w:pPr>
      <w:r>
        <w:rPr>
          <w:sz w:val="26"/>
          <w:szCs w:val="26"/>
        </w:rPr>
        <w:tab/>
      </w:r>
      <w:r w:rsidR="00E63137">
        <w:rPr>
          <w:sz w:val="26"/>
          <w:szCs w:val="26"/>
        </w:rPr>
        <w:t>The proposed amendment to Rule 39 facilitate</w:t>
      </w:r>
      <w:r w:rsidR="00375031">
        <w:rPr>
          <w:sz w:val="26"/>
          <w:szCs w:val="26"/>
        </w:rPr>
        <w:t>s</w:t>
      </w:r>
      <w:r w:rsidR="00E63137">
        <w:rPr>
          <w:sz w:val="26"/>
          <w:szCs w:val="26"/>
        </w:rPr>
        <w:t xml:space="preserve"> the </w:t>
      </w:r>
      <w:r w:rsidR="00E103D1">
        <w:rPr>
          <w:sz w:val="26"/>
          <w:szCs w:val="26"/>
        </w:rPr>
        <w:t xml:space="preserve">federal </w:t>
      </w:r>
      <w:r w:rsidR="00E63137">
        <w:rPr>
          <w:sz w:val="26"/>
          <w:szCs w:val="26"/>
        </w:rPr>
        <w:t xml:space="preserve">statutory right of Indian tribes to intervene in cases to which ICWA applies. As noted, </w:t>
      </w:r>
      <w:r w:rsidR="00E63137" w:rsidRPr="00E63137">
        <w:rPr>
          <w:i/>
          <w:sz w:val="26"/>
          <w:szCs w:val="26"/>
        </w:rPr>
        <w:t>infra</w:t>
      </w:r>
      <w:r w:rsidR="00E63137">
        <w:rPr>
          <w:sz w:val="26"/>
          <w:szCs w:val="26"/>
        </w:rPr>
        <w:t xml:space="preserve">, in-house attorneys for Indian tribes </w:t>
      </w:r>
      <w:r w:rsidR="00375031">
        <w:rPr>
          <w:sz w:val="26"/>
          <w:szCs w:val="26"/>
        </w:rPr>
        <w:t xml:space="preserve">who are not state-licensed </w:t>
      </w:r>
      <w:r w:rsidR="00E63137">
        <w:rPr>
          <w:sz w:val="26"/>
          <w:szCs w:val="26"/>
        </w:rPr>
        <w:t xml:space="preserve">may appear in state court proceedings in any state because the federal right of an Indian tribe to intervene in cases to which ICWA applies preempts state regulation of attorney licensing. </w:t>
      </w:r>
    </w:p>
    <w:p w:rsidR="00E63137" w:rsidRDefault="00E63137" w:rsidP="007A4853">
      <w:pPr>
        <w:tabs>
          <w:tab w:val="left" w:pos="720"/>
        </w:tabs>
        <w:jc w:val="both"/>
        <w:rPr>
          <w:sz w:val="26"/>
          <w:szCs w:val="26"/>
        </w:rPr>
      </w:pPr>
    </w:p>
    <w:p w:rsidR="001E4C9D" w:rsidRPr="00D67FA4" w:rsidRDefault="007A4853" w:rsidP="007A4853">
      <w:pPr>
        <w:tabs>
          <w:tab w:val="left" w:pos="720"/>
        </w:tabs>
        <w:jc w:val="both"/>
        <w:rPr>
          <w:i/>
          <w:sz w:val="26"/>
          <w:szCs w:val="26"/>
        </w:rPr>
      </w:pPr>
      <w:r>
        <w:rPr>
          <w:sz w:val="26"/>
          <w:szCs w:val="26"/>
        </w:rPr>
        <w:tab/>
      </w:r>
      <w:r w:rsidR="00375031">
        <w:rPr>
          <w:sz w:val="26"/>
          <w:szCs w:val="26"/>
        </w:rPr>
        <w:t>The</w:t>
      </w:r>
      <w:r w:rsidR="00E63137">
        <w:rPr>
          <w:sz w:val="26"/>
          <w:szCs w:val="26"/>
        </w:rPr>
        <w:t xml:space="preserve"> Community has not </w:t>
      </w:r>
      <w:r w:rsidR="00E103D1">
        <w:rPr>
          <w:sz w:val="26"/>
          <w:szCs w:val="26"/>
        </w:rPr>
        <w:t xml:space="preserve">experienced </w:t>
      </w:r>
      <w:r w:rsidR="00E63137">
        <w:rPr>
          <w:sz w:val="26"/>
          <w:szCs w:val="26"/>
        </w:rPr>
        <w:t>any issue</w:t>
      </w:r>
      <w:r w:rsidR="00E103D1">
        <w:rPr>
          <w:sz w:val="26"/>
          <w:szCs w:val="26"/>
        </w:rPr>
        <w:t>s</w:t>
      </w:r>
      <w:r w:rsidR="00E63137">
        <w:rPr>
          <w:sz w:val="26"/>
          <w:szCs w:val="26"/>
        </w:rPr>
        <w:t xml:space="preserve"> with</w:t>
      </w:r>
      <w:r w:rsidR="005A6798">
        <w:rPr>
          <w:sz w:val="26"/>
          <w:szCs w:val="26"/>
        </w:rPr>
        <w:t xml:space="preserve"> its attorneys</w:t>
      </w:r>
      <w:r w:rsidR="00E63137">
        <w:rPr>
          <w:sz w:val="26"/>
          <w:szCs w:val="26"/>
        </w:rPr>
        <w:t xml:space="preserve"> appearing in </w:t>
      </w:r>
      <w:r w:rsidR="00D732CA" w:rsidRPr="005A6798">
        <w:rPr>
          <w:i/>
          <w:sz w:val="26"/>
          <w:szCs w:val="26"/>
        </w:rPr>
        <w:t>any</w:t>
      </w:r>
      <w:r w:rsidR="00D732CA">
        <w:rPr>
          <w:sz w:val="26"/>
          <w:szCs w:val="26"/>
        </w:rPr>
        <w:t xml:space="preserve"> state court</w:t>
      </w:r>
      <w:r w:rsidR="00E63137">
        <w:rPr>
          <w:sz w:val="26"/>
          <w:szCs w:val="26"/>
        </w:rPr>
        <w:t xml:space="preserve"> in </w:t>
      </w:r>
      <w:r w:rsidR="00D732CA">
        <w:rPr>
          <w:sz w:val="26"/>
          <w:szCs w:val="26"/>
        </w:rPr>
        <w:t xml:space="preserve">an </w:t>
      </w:r>
      <w:r w:rsidR="00E63137">
        <w:rPr>
          <w:sz w:val="26"/>
          <w:szCs w:val="26"/>
        </w:rPr>
        <w:t>ICWA</w:t>
      </w:r>
      <w:r w:rsidR="00D732CA">
        <w:rPr>
          <w:sz w:val="26"/>
          <w:szCs w:val="26"/>
        </w:rPr>
        <w:t xml:space="preserve"> case</w:t>
      </w:r>
      <w:r w:rsidR="00375031">
        <w:rPr>
          <w:sz w:val="26"/>
          <w:szCs w:val="26"/>
        </w:rPr>
        <w:t>, with one notable exception</w:t>
      </w:r>
      <w:r w:rsidR="00E63137">
        <w:rPr>
          <w:sz w:val="26"/>
          <w:szCs w:val="26"/>
        </w:rPr>
        <w:t xml:space="preserve">. </w:t>
      </w:r>
      <w:r w:rsidR="00375031">
        <w:rPr>
          <w:sz w:val="26"/>
          <w:szCs w:val="26"/>
        </w:rPr>
        <w:t>Recently</w:t>
      </w:r>
      <w:r w:rsidR="00E63137">
        <w:rPr>
          <w:sz w:val="26"/>
          <w:szCs w:val="26"/>
        </w:rPr>
        <w:t xml:space="preserve">, a complaint was made to </w:t>
      </w:r>
      <w:r w:rsidR="005A6798">
        <w:rPr>
          <w:sz w:val="26"/>
          <w:szCs w:val="26"/>
        </w:rPr>
        <w:t>attorney</w:t>
      </w:r>
      <w:r w:rsidR="00E63137">
        <w:rPr>
          <w:sz w:val="26"/>
          <w:szCs w:val="26"/>
        </w:rPr>
        <w:t xml:space="preserve"> disciplinary authorities in the State of Ohio by a client of the Goldwater Institute, alleging that a Community attorney who appeared as an ICWA representative in a case </w:t>
      </w:r>
      <w:r w:rsidR="005A6798">
        <w:rPr>
          <w:sz w:val="26"/>
          <w:szCs w:val="26"/>
        </w:rPr>
        <w:t xml:space="preserve">in Ohio </w:t>
      </w:r>
      <w:r w:rsidR="00E63137">
        <w:rPr>
          <w:sz w:val="26"/>
          <w:szCs w:val="26"/>
        </w:rPr>
        <w:t>was engaged in th</w:t>
      </w:r>
      <w:r w:rsidR="00D732CA">
        <w:rPr>
          <w:sz w:val="26"/>
          <w:szCs w:val="26"/>
        </w:rPr>
        <w:t>e unauthorized pr</w:t>
      </w:r>
      <w:r w:rsidR="005A6798">
        <w:rPr>
          <w:sz w:val="26"/>
          <w:szCs w:val="26"/>
        </w:rPr>
        <w:t xml:space="preserve">actice of law. Sadly, in that same case, </w:t>
      </w:r>
      <w:r w:rsidR="0049666C" w:rsidRPr="0049666C">
        <w:rPr>
          <w:i/>
          <w:sz w:val="26"/>
          <w:szCs w:val="26"/>
        </w:rPr>
        <w:t xml:space="preserve">pro </w:t>
      </w:r>
      <w:proofErr w:type="spellStart"/>
      <w:r w:rsidR="0049666C" w:rsidRPr="0049666C">
        <w:rPr>
          <w:i/>
          <w:sz w:val="26"/>
          <w:szCs w:val="26"/>
        </w:rPr>
        <w:t>hac</w:t>
      </w:r>
      <w:proofErr w:type="spellEnd"/>
      <w:r w:rsidR="0049666C" w:rsidRPr="0049666C">
        <w:rPr>
          <w:i/>
          <w:sz w:val="26"/>
          <w:szCs w:val="26"/>
        </w:rPr>
        <w:t xml:space="preserve"> vice</w:t>
      </w:r>
      <w:r w:rsidR="005A6798">
        <w:rPr>
          <w:sz w:val="26"/>
          <w:szCs w:val="26"/>
        </w:rPr>
        <w:t xml:space="preserve"> admission rules were used as a sword by </w:t>
      </w:r>
      <w:r w:rsidR="009A6514">
        <w:rPr>
          <w:sz w:val="26"/>
          <w:szCs w:val="26"/>
        </w:rPr>
        <w:t>another</w:t>
      </w:r>
      <w:r w:rsidR="005A6798">
        <w:rPr>
          <w:sz w:val="26"/>
          <w:szCs w:val="26"/>
        </w:rPr>
        <w:t xml:space="preserve"> party to attempt to gain an advantage in the litigation. </w:t>
      </w:r>
      <w:r w:rsidR="0049666C">
        <w:rPr>
          <w:sz w:val="26"/>
          <w:szCs w:val="26"/>
        </w:rPr>
        <w:t>An</w:t>
      </w:r>
      <w:r w:rsidR="005A6798">
        <w:rPr>
          <w:sz w:val="26"/>
          <w:szCs w:val="26"/>
        </w:rPr>
        <w:t xml:space="preserve"> effective way to curb these frivolous complaints and abusive litigation practices is through doing what the amendment to Rule 39 does—recognizing that non-</w:t>
      </w:r>
      <w:r w:rsidR="005324AC">
        <w:rPr>
          <w:sz w:val="26"/>
          <w:szCs w:val="26"/>
        </w:rPr>
        <w:t>licensed</w:t>
      </w:r>
      <w:r w:rsidR="005A6798">
        <w:rPr>
          <w:sz w:val="26"/>
          <w:szCs w:val="26"/>
        </w:rPr>
        <w:t xml:space="preserve"> attorneys may appear in state court without going through regular</w:t>
      </w:r>
      <w:r w:rsidR="0049666C">
        <w:rPr>
          <w:sz w:val="26"/>
          <w:szCs w:val="26"/>
        </w:rPr>
        <w:t>, and often cumbersome,</w:t>
      </w:r>
      <w:r w:rsidR="005A6798">
        <w:rPr>
          <w:sz w:val="26"/>
          <w:szCs w:val="26"/>
        </w:rPr>
        <w:t xml:space="preserve"> </w:t>
      </w:r>
      <w:r w:rsidR="005A6798" w:rsidRPr="005A6798">
        <w:rPr>
          <w:i/>
          <w:sz w:val="26"/>
          <w:szCs w:val="26"/>
        </w:rPr>
        <w:t xml:space="preserve">pro </w:t>
      </w:r>
      <w:proofErr w:type="spellStart"/>
      <w:r w:rsidR="005A6798" w:rsidRPr="005A6798">
        <w:rPr>
          <w:i/>
          <w:sz w:val="26"/>
          <w:szCs w:val="26"/>
        </w:rPr>
        <w:t>hac</w:t>
      </w:r>
      <w:proofErr w:type="spellEnd"/>
      <w:r w:rsidR="005A6798" w:rsidRPr="005A6798">
        <w:rPr>
          <w:i/>
          <w:sz w:val="26"/>
          <w:szCs w:val="26"/>
        </w:rPr>
        <w:t xml:space="preserve"> vice </w:t>
      </w:r>
      <w:r w:rsidR="005A6798" w:rsidRPr="005A6798">
        <w:rPr>
          <w:sz w:val="26"/>
          <w:szCs w:val="26"/>
        </w:rPr>
        <w:t>processes</w:t>
      </w:r>
      <w:r w:rsidR="005A6798" w:rsidRPr="005A6798">
        <w:rPr>
          <w:i/>
          <w:sz w:val="26"/>
          <w:szCs w:val="26"/>
        </w:rPr>
        <w:t>.</w:t>
      </w:r>
    </w:p>
    <w:p w:rsidR="001E4C9D" w:rsidRPr="00E63137" w:rsidRDefault="001E4C9D" w:rsidP="007A4853">
      <w:pPr>
        <w:tabs>
          <w:tab w:val="left" w:pos="720"/>
        </w:tabs>
        <w:jc w:val="both"/>
        <w:rPr>
          <w:b/>
          <w:sz w:val="26"/>
          <w:szCs w:val="26"/>
        </w:rPr>
      </w:pPr>
    </w:p>
    <w:p w:rsidR="001E4C9D" w:rsidRDefault="00BF009A" w:rsidP="007A4853">
      <w:pPr>
        <w:pStyle w:val="ListParagraph"/>
        <w:numPr>
          <w:ilvl w:val="0"/>
          <w:numId w:val="5"/>
        </w:numPr>
        <w:tabs>
          <w:tab w:val="left" w:pos="720"/>
        </w:tabs>
        <w:spacing w:after="0" w:line="240" w:lineRule="auto"/>
        <w:ind w:left="0" w:firstLine="0"/>
        <w:jc w:val="both"/>
        <w:rPr>
          <w:rFonts w:ascii="Times New Roman" w:hAnsi="Times New Roman" w:cs="Times New Roman"/>
          <w:b/>
          <w:sz w:val="26"/>
          <w:szCs w:val="26"/>
        </w:rPr>
      </w:pPr>
      <w:r>
        <w:rPr>
          <w:rFonts w:ascii="Times New Roman" w:hAnsi="Times New Roman" w:cs="Times New Roman"/>
          <w:b/>
          <w:sz w:val="26"/>
          <w:szCs w:val="26"/>
        </w:rPr>
        <w:t>ICWA PREEMPTS STATE ATTORNEY LICENSING RULES</w:t>
      </w:r>
    </w:p>
    <w:p w:rsidR="00CF04D9" w:rsidRDefault="00CF04D9" w:rsidP="007A4853">
      <w:pPr>
        <w:tabs>
          <w:tab w:val="left" w:pos="720"/>
        </w:tabs>
        <w:jc w:val="both"/>
        <w:rPr>
          <w:b/>
          <w:sz w:val="26"/>
          <w:szCs w:val="26"/>
        </w:rPr>
      </w:pPr>
    </w:p>
    <w:p w:rsidR="0003527D" w:rsidRDefault="007A4853" w:rsidP="007A4853">
      <w:pPr>
        <w:tabs>
          <w:tab w:val="left" w:pos="720"/>
        </w:tabs>
        <w:jc w:val="both"/>
        <w:rPr>
          <w:w w:val="105"/>
          <w:sz w:val="26"/>
          <w:szCs w:val="26"/>
        </w:rPr>
      </w:pPr>
      <w:r>
        <w:rPr>
          <w:sz w:val="26"/>
          <w:szCs w:val="26"/>
        </w:rPr>
        <w:tab/>
      </w:r>
      <w:r w:rsidR="00514DA6">
        <w:rPr>
          <w:sz w:val="26"/>
          <w:szCs w:val="26"/>
        </w:rPr>
        <w:t>T</w:t>
      </w:r>
      <w:r w:rsidR="00CF04D9" w:rsidRPr="0003527D">
        <w:rPr>
          <w:sz w:val="26"/>
          <w:szCs w:val="26"/>
        </w:rPr>
        <w:t xml:space="preserve">he Community supports the proposed amendment because of the Community’s belief that </w:t>
      </w:r>
      <w:r w:rsidR="007A3A32">
        <w:rPr>
          <w:sz w:val="26"/>
          <w:szCs w:val="26"/>
        </w:rPr>
        <w:t>a statewide rule</w:t>
      </w:r>
      <w:r w:rsidR="00CF04D9" w:rsidRPr="0003527D">
        <w:rPr>
          <w:sz w:val="26"/>
          <w:szCs w:val="26"/>
        </w:rPr>
        <w:t xml:space="preserve"> will </w:t>
      </w:r>
      <w:r w:rsidR="007A3A32">
        <w:rPr>
          <w:sz w:val="26"/>
          <w:szCs w:val="26"/>
        </w:rPr>
        <w:t xml:space="preserve">best </w:t>
      </w:r>
      <w:r w:rsidR="00CF04D9" w:rsidRPr="0003527D">
        <w:rPr>
          <w:sz w:val="26"/>
          <w:szCs w:val="26"/>
        </w:rPr>
        <w:t xml:space="preserve">facilitate the </w:t>
      </w:r>
      <w:r w:rsidR="0003527D">
        <w:rPr>
          <w:sz w:val="26"/>
          <w:szCs w:val="26"/>
        </w:rPr>
        <w:t xml:space="preserve">federal statutory </w:t>
      </w:r>
      <w:r w:rsidR="00CF04D9" w:rsidRPr="0003527D">
        <w:rPr>
          <w:sz w:val="26"/>
          <w:szCs w:val="26"/>
        </w:rPr>
        <w:t>right of Indian tribes to appear in state child custody proceedings</w:t>
      </w:r>
      <w:r w:rsidR="009050C0">
        <w:rPr>
          <w:sz w:val="26"/>
          <w:szCs w:val="26"/>
        </w:rPr>
        <w:t xml:space="preserve"> involving th</w:t>
      </w:r>
      <w:r w:rsidR="0055614E">
        <w:rPr>
          <w:sz w:val="26"/>
          <w:szCs w:val="26"/>
        </w:rPr>
        <w:t>eir children</w:t>
      </w:r>
      <w:r w:rsidR="00CF04D9" w:rsidRPr="0003527D">
        <w:rPr>
          <w:sz w:val="26"/>
          <w:szCs w:val="26"/>
        </w:rPr>
        <w:t xml:space="preserve">. Appellate courts in other states which have addressed </w:t>
      </w:r>
      <w:r w:rsidR="009A3DE2">
        <w:rPr>
          <w:sz w:val="26"/>
          <w:szCs w:val="26"/>
        </w:rPr>
        <w:t>the</w:t>
      </w:r>
      <w:r w:rsidR="00CF04D9" w:rsidRPr="0003527D">
        <w:rPr>
          <w:sz w:val="26"/>
          <w:szCs w:val="26"/>
        </w:rPr>
        <w:t xml:space="preserve"> issue </w:t>
      </w:r>
      <w:r w:rsidR="0003527D" w:rsidRPr="007A3A32">
        <w:rPr>
          <w:w w:val="105"/>
          <w:sz w:val="26"/>
          <w:szCs w:val="26"/>
        </w:rPr>
        <w:t>uniformly</w:t>
      </w:r>
      <w:r w:rsidR="0003527D" w:rsidRPr="0003527D">
        <w:rPr>
          <w:i/>
          <w:w w:val="105"/>
          <w:sz w:val="26"/>
          <w:szCs w:val="26"/>
        </w:rPr>
        <w:t xml:space="preserve"> </w:t>
      </w:r>
      <w:r w:rsidR="005324AC">
        <w:rPr>
          <w:w w:val="105"/>
          <w:sz w:val="26"/>
          <w:szCs w:val="26"/>
        </w:rPr>
        <w:t>ho</w:t>
      </w:r>
      <w:r w:rsidR="0003527D" w:rsidRPr="0003527D">
        <w:rPr>
          <w:w w:val="105"/>
          <w:sz w:val="26"/>
          <w:szCs w:val="26"/>
        </w:rPr>
        <w:t xml:space="preserve">ld that an Indian tribe participating in a child custody proceeding under </w:t>
      </w:r>
      <w:r w:rsidR="0003527D" w:rsidRPr="0003527D">
        <w:rPr>
          <w:spacing w:val="2"/>
          <w:w w:val="105"/>
          <w:sz w:val="26"/>
          <w:szCs w:val="26"/>
        </w:rPr>
        <w:t xml:space="preserve">ICWA </w:t>
      </w:r>
      <w:r w:rsidR="0003527D" w:rsidRPr="0003527D">
        <w:rPr>
          <w:w w:val="105"/>
          <w:sz w:val="26"/>
          <w:szCs w:val="26"/>
        </w:rPr>
        <w:t>is not required to appear through a state-licensed attorney.</w:t>
      </w:r>
      <w:r w:rsidR="00514B45">
        <w:rPr>
          <w:rStyle w:val="FootnoteReference"/>
          <w:w w:val="105"/>
          <w:sz w:val="26"/>
          <w:szCs w:val="26"/>
        </w:rPr>
        <w:footnoteReference w:id="1"/>
      </w:r>
    </w:p>
    <w:p w:rsidR="0003527D" w:rsidRPr="0003527D" w:rsidRDefault="0003527D" w:rsidP="007A4853">
      <w:pPr>
        <w:tabs>
          <w:tab w:val="left" w:pos="720"/>
        </w:tabs>
        <w:jc w:val="both"/>
        <w:rPr>
          <w:i/>
          <w:sz w:val="26"/>
          <w:szCs w:val="26"/>
        </w:rPr>
      </w:pPr>
    </w:p>
    <w:p w:rsidR="0003527D" w:rsidRDefault="007A4853" w:rsidP="007A4853">
      <w:pPr>
        <w:pStyle w:val="BodyText"/>
        <w:tabs>
          <w:tab w:val="left" w:pos="720"/>
        </w:tabs>
        <w:jc w:val="both"/>
        <w:rPr>
          <w:w w:val="105"/>
          <w:sz w:val="26"/>
          <w:szCs w:val="26"/>
        </w:rPr>
      </w:pPr>
      <w:r>
        <w:rPr>
          <w:w w:val="105"/>
          <w:sz w:val="26"/>
          <w:szCs w:val="26"/>
        </w:rPr>
        <w:lastRenderedPageBreak/>
        <w:tab/>
      </w:r>
      <w:r w:rsidR="0003527D" w:rsidRPr="0003527D">
        <w:rPr>
          <w:w w:val="105"/>
          <w:sz w:val="26"/>
          <w:szCs w:val="26"/>
        </w:rPr>
        <w:t xml:space="preserve">In </w:t>
      </w:r>
      <w:proofErr w:type="spellStart"/>
      <w:r w:rsidR="0003527D" w:rsidRPr="0003527D">
        <w:rPr>
          <w:i/>
          <w:w w:val="105"/>
          <w:sz w:val="26"/>
          <w:szCs w:val="26"/>
        </w:rPr>
        <w:t>Shuey</w:t>
      </w:r>
      <w:proofErr w:type="spellEnd"/>
      <w:r w:rsidR="0003527D" w:rsidRPr="0003527D">
        <w:rPr>
          <w:i/>
          <w:w w:val="105"/>
          <w:sz w:val="26"/>
          <w:szCs w:val="26"/>
        </w:rPr>
        <w:t xml:space="preserve">, </w:t>
      </w:r>
      <w:r w:rsidR="0003527D" w:rsidRPr="0003527D">
        <w:rPr>
          <w:w w:val="105"/>
          <w:sz w:val="26"/>
          <w:szCs w:val="26"/>
        </w:rPr>
        <w:t xml:space="preserve">the Court of Appeals of Oregon held that the state interest in representation by an attorney is preempted by the context of </w:t>
      </w:r>
      <w:r w:rsidR="0003527D" w:rsidRPr="0003527D">
        <w:rPr>
          <w:spacing w:val="3"/>
          <w:w w:val="105"/>
          <w:sz w:val="26"/>
          <w:szCs w:val="26"/>
        </w:rPr>
        <w:t xml:space="preserve">ICWA </w:t>
      </w:r>
      <w:r w:rsidR="0003527D" w:rsidRPr="0003527D">
        <w:rPr>
          <w:w w:val="105"/>
          <w:sz w:val="26"/>
          <w:szCs w:val="26"/>
        </w:rPr>
        <w:t xml:space="preserve">proceedings. The Confederated Tribes of the Grande Ronde appealed the denial of a motion to intervene </w:t>
      </w:r>
      <w:proofErr w:type="gramStart"/>
      <w:r w:rsidR="0003527D" w:rsidRPr="0003527D">
        <w:rPr>
          <w:w w:val="105"/>
          <w:sz w:val="26"/>
          <w:szCs w:val="26"/>
        </w:rPr>
        <w:t xml:space="preserve">in </w:t>
      </w:r>
      <w:r w:rsidR="00514B45">
        <w:rPr>
          <w:w w:val="105"/>
          <w:sz w:val="26"/>
          <w:szCs w:val="26"/>
        </w:rPr>
        <w:t xml:space="preserve"> state</w:t>
      </w:r>
      <w:proofErr w:type="gramEnd"/>
      <w:r w:rsidR="00514B45">
        <w:rPr>
          <w:w w:val="105"/>
          <w:sz w:val="26"/>
          <w:szCs w:val="26"/>
        </w:rPr>
        <w:t xml:space="preserve"> court</w:t>
      </w:r>
      <w:r w:rsidR="0003527D" w:rsidRPr="0003527D">
        <w:rPr>
          <w:w w:val="105"/>
          <w:sz w:val="26"/>
          <w:szCs w:val="26"/>
        </w:rPr>
        <w:t xml:space="preserve"> ICWA proceeding.</w:t>
      </w:r>
      <w:r w:rsidR="00514B45">
        <w:rPr>
          <w:rStyle w:val="FootnoteReference"/>
          <w:w w:val="105"/>
          <w:sz w:val="26"/>
          <w:szCs w:val="26"/>
        </w:rPr>
        <w:footnoteReference w:id="2"/>
      </w:r>
      <w:r w:rsidR="0003527D" w:rsidRPr="0003527D">
        <w:rPr>
          <w:w w:val="105"/>
          <w:sz w:val="26"/>
          <w:szCs w:val="26"/>
        </w:rPr>
        <w:t xml:space="preserve"> The trial court denied the motion because it was not signed by an attorney. Relying on Supreme Court precedent, the </w:t>
      </w:r>
      <w:r w:rsidR="00514B45">
        <w:rPr>
          <w:w w:val="105"/>
          <w:sz w:val="26"/>
          <w:szCs w:val="26"/>
        </w:rPr>
        <w:t>Court of Appeals reasoned that “</w:t>
      </w:r>
      <w:r w:rsidR="0003527D" w:rsidRPr="0003527D">
        <w:rPr>
          <w:w w:val="105"/>
          <w:sz w:val="26"/>
          <w:szCs w:val="26"/>
        </w:rPr>
        <w:t>[w]hen a state law 'interferes with or is incompatible with federal and tribal interests,' the Supreme Court requires balancing state and tribal interests.</w:t>
      </w:r>
      <w:r w:rsidR="00514B45">
        <w:rPr>
          <w:w w:val="105"/>
          <w:sz w:val="26"/>
          <w:szCs w:val="26"/>
        </w:rPr>
        <w:t>”</w:t>
      </w:r>
      <w:r w:rsidR="00514B45">
        <w:rPr>
          <w:rStyle w:val="FootnoteReference"/>
          <w:w w:val="105"/>
          <w:sz w:val="26"/>
          <w:szCs w:val="26"/>
        </w:rPr>
        <w:footnoteReference w:id="3"/>
      </w:r>
      <w:r w:rsidR="0003527D" w:rsidRPr="0003527D">
        <w:rPr>
          <w:w w:val="105"/>
          <w:sz w:val="26"/>
          <w:szCs w:val="26"/>
        </w:rPr>
        <w:t xml:space="preserve"> Applying this standard, the Court of Appeals held that the state law requiring attorney representation was preempted by </w:t>
      </w:r>
      <w:r w:rsidR="0003527D" w:rsidRPr="0003527D">
        <w:rPr>
          <w:spacing w:val="3"/>
          <w:w w:val="105"/>
          <w:sz w:val="26"/>
          <w:szCs w:val="26"/>
        </w:rPr>
        <w:t xml:space="preserve">ICWA </w:t>
      </w:r>
      <w:r w:rsidR="00514B45">
        <w:rPr>
          <w:w w:val="105"/>
          <w:sz w:val="26"/>
          <w:szCs w:val="26"/>
        </w:rPr>
        <w:t>because “</w:t>
      </w:r>
      <w:r w:rsidR="0003527D" w:rsidRPr="0003527D">
        <w:rPr>
          <w:w w:val="105"/>
          <w:sz w:val="26"/>
          <w:szCs w:val="26"/>
        </w:rPr>
        <w:t>[t]</w:t>
      </w:r>
      <w:proofErr w:type="spellStart"/>
      <w:r w:rsidR="0003527D" w:rsidRPr="0003527D">
        <w:rPr>
          <w:w w:val="105"/>
          <w:sz w:val="26"/>
          <w:szCs w:val="26"/>
        </w:rPr>
        <w:t>ribal</w:t>
      </w:r>
      <w:proofErr w:type="spellEnd"/>
      <w:r w:rsidR="0003527D" w:rsidRPr="0003527D">
        <w:rPr>
          <w:w w:val="105"/>
          <w:sz w:val="26"/>
          <w:szCs w:val="26"/>
        </w:rPr>
        <w:t xml:space="preserve"> participation in state custody proceedings involving tribal children is essential to effecting the purposes of the ICWA.</w:t>
      </w:r>
      <w:r w:rsidR="00514B45">
        <w:rPr>
          <w:w w:val="105"/>
          <w:sz w:val="26"/>
          <w:szCs w:val="26"/>
        </w:rPr>
        <w:t>”</w:t>
      </w:r>
      <w:r w:rsidR="00514B45">
        <w:rPr>
          <w:rStyle w:val="FootnoteReference"/>
          <w:w w:val="105"/>
          <w:sz w:val="26"/>
          <w:szCs w:val="26"/>
        </w:rPr>
        <w:footnoteReference w:id="4"/>
      </w:r>
    </w:p>
    <w:p w:rsidR="0003527D" w:rsidRPr="0003527D" w:rsidRDefault="0003527D" w:rsidP="007A4853">
      <w:pPr>
        <w:pStyle w:val="BodyText"/>
        <w:tabs>
          <w:tab w:val="left" w:pos="720"/>
        </w:tabs>
        <w:jc w:val="both"/>
        <w:rPr>
          <w:sz w:val="26"/>
          <w:szCs w:val="26"/>
        </w:rPr>
      </w:pPr>
    </w:p>
    <w:p w:rsidR="0003527D" w:rsidRDefault="007A4853" w:rsidP="007A4853">
      <w:pPr>
        <w:pStyle w:val="BodyText"/>
        <w:tabs>
          <w:tab w:val="left" w:pos="720"/>
        </w:tabs>
        <w:jc w:val="both"/>
        <w:rPr>
          <w:i/>
          <w:w w:val="110"/>
          <w:sz w:val="26"/>
          <w:szCs w:val="26"/>
        </w:rPr>
      </w:pPr>
      <w:r>
        <w:rPr>
          <w:w w:val="105"/>
          <w:sz w:val="26"/>
          <w:szCs w:val="26"/>
        </w:rPr>
        <w:tab/>
      </w:r>
      <w:r w:rsidR="0003527D" w:rsidRPr="0003527D">
        <w:rPr>
          <w:w w:val="105"/>
          <w:sz w:val="26"/>
          <w:szCs w:val="26"/>
        </w:rPr>
        <w:t xml:space="preserve">Although the individual who signed the motion in </w:t>
      </w:r>
      <w:proofErr w:type="spellStart"/>
      <w:r w:rsidR="0003527D" w:rsidRPr="0003527D">
        <w:rPr>
          <w:i/>
          <w:w w:val="105"/>
          <w:sz w:val="26"/>
          <w:szCs w:val="26"/>
        </w:rPr>
        <w:t>Shuey</w:t>
      </w:r>
      <w:proofErr w:type="spellEnd"/>
      <w:r w:rsidR="0003527D" w:rsidRPr="0003527D">
        <w:rPr>
          <w:i/>
          <w:w w:val="105"/>
          <w:sz w:val="26"/>
          <w:szCs w:val="26"/>
        </w:rPr>
        <w:t xml:space="preserve"> </w:t>
      </w:r>
      <w:r w:rsidR="0003527D" w:rsidRPr="0003527D">
        <w:rPr>
          <w:w w:val="105"/>
          <w:sz w:val="26"/>
          <w:szCs w:val="26"/>
        </w:rPr>
        <w:t xml:space="preserve">was not licensed as an attorney in any state, the rationale of </w:t>
      </w:r>
      <w:proofErr w:type="spellStart"/>
      <w:r w:rsidR="0003527D" w:rsidRPr="0003527D">
        <w:rPr>
          <w:i/>
          <w:w w:val="105"/>
          <w:sz w:val="26"/>
          <w:szCs w:val="26"/>
        </w:rPr>
        <w:t>Shuey</w:t>
      </w:r>
      <w:proofErr w:type="spellEnd"/>
      <w:r w:rsidR="0003527D" w:rsidRPr="0003527D">
        <w:rPr>
          <w:i/>
          <w:w w:val="105"/>
          <w:sz w:val="26"/>
          <w:szCs w:val="26"/>
        </w:rPr>
        <w:t xml:space="preserve"> </w:t>
      </w:r>
      <w:r w:rsidR="0003527D" w:rsidRPr="0003527D">
        <w:rPr>
          <w:w w:val="105"/>
          <w:sz w:val="26"/>
          <w:szCs w:val="26"/>
        </w:rPr>
        <w:t>clearly applies</w:t>
      </w:r>
      <w:r w:rsidR="00514B45">
        <w:rPr>
          <w:w w:val="105"/>
          <w:sz w:val="26"/>
          <w:szCs w:val="26"/>
        </w:rPr>
        <w:t xml:space="preserve"> </w:t>
      </w:r>
      <w:r w:rsidR="0003527D" w:rsidRPr="0003527D">
        <w:rPr>
          <w:w w:val="105"/>
          <w:sz w:val="26"/>
          <w:szCs w:val="26"/>
        </w:rPr>
        <w:t>to an in-house tribal attorney. Noting that the Grand Ronde usually appeared through its Di</w:t>
      </w:r>
      <w:r w:rsidR="009A3DE2">
        <w:rPr>
          <w:w w:val="105"/>
          <w:sz w:val="26"/>
          <w:szCs w:val="26"/>
        </w:rPr>
        <w:t>rector of Social Services, the c</w:t>
      </w:r>
      <w:r w:rsidR="00514B45">
        <w:rPr>
          <w:w w:val="105"/>
          <w:sz w:val="26"/>
          <w:szCs w:val="26"/>
        </w:rPr>
        <w:t>ourt approved because “</w:t>
      </w:r>
      <w:r w:rsidR="0003527D" w:rsidRPr="0003527D">
        <w:rPr>
          <w:w w:val="105"/>
          <w:sz w:val="26"/>
          <w:szCs w:val="26"/>
        </w:rPr>
        <w:t xml:space="preserve">[t]hat necessarily requires familiarity with the procedural </w:t>
      </w:r>
      <w:r w:rsidR="0003527D" w:rsidRPr="0003527D">
        <w:rPr>
          <w:w w:val="110"/>
          <w:sz w:val="26"/>
          <w:szCs w:val="26"/>
        </w:rPr>
        <w:t>and</w:t>
      </w:r>
      <w:r w:rsidR="0003527D" w:rsidRPr="0003527D">
        <w:rPr>
          <w:spacing w:val="-4"/>
          <w:w w:val="110"/>
          <w:sz w:val="26"/>
          <w:szCs w:val="26"/>
        </w:rPr>
        <w:t xml:space="preserve"> </w:t>
      </w:r>
      <w:r w:rsidR="0003527D" w:rsidRPr="0003527D">
        <w:rPr>
          <w:w w:val="110"/>
          <w:sz w:val="26"/>
          <w:szCs w:val="26"/>
        </w:rPr>
        <w:t>substantive</w:t>
      </w:r>
      <w:r w:rsidR="0003527D" w:rsidRPr="0003527D">
        <w:rPr>
          <w:spacing w:val="-4"/>
          <w:w w:val="110"/>
          <w:sz w:val="26"/>
          <w:szCs w:val="26"/>
        </w:rPr>
        <w:t xml:space="preserve"> </w:t>
      </w:r>
      <w:r w:rsidR="0003527D" w:rsidRPr="0003527D">
        <w:rPr>
          <w:w w:val="110"/>
          <w:sz w:val="26"/>
          <w:szCs w:val="26"/>
        </w:rPr>
        <w:t>requirements</w:t>
      </w:r>
      <w:r w:rsidR="0003527D" w:rsidRPr="0003527D">
        <w:rPr>
          <w:spacing w:val="-4"/>
          <w:w w:val="110"/>
          <w:sz w:val="26"/>
          <w:szCs w:val="26"/>
        </w:rPr>
        <w:t xml:space="preserve"> </w:t>
      </w:r>
      <w:r w:rsidR="0003527D" w:rsidRPr="0003527D">
        <w:rPr>
          <w:w w:val="110"/>
          <w:sz w:val="26"/>
          <w:szCs w:val="26"/>
        </w:rPr>
        <w:t>of</w:t>
      </w:r>
      <w:r w:rsidR="0003527D" w:rsidRPr="0003527D">
        <w:rPr>
          <w:spacing w:val="-4"/>
          <w:w w:val="110"/>
          <w:sz w:val="26"/>
          <w:szCs w:val="26"/>
        </w:rPr>
        <w:t xml:space="preserve"> </w:t>
      </w:r>
      <w:r w:rsidR="0003527D" w:rsidRPr="0003527D">
        <w:rPr>
          <w:w w:val="110"/>
          <w:sz w:val="26"/>
          <w:szCs w:val="26"/>
        </w:rPr>
        <w:t>the</w:t>
      </w:r>
      <w:r w:rsidR="0003527D" w:rsidRPr="0003527D">
        <w:rPr>
          <w:spacing w:val="-15"/>
          <w:w w:val="110"/>
          <w:sz w:val="26"/>
          <w:szCs w:val="26"/>
        </w:rPr>
        <w:t xml:space="preserve"> </w:t>
      </w:r>
      <w:r w:rsidR="0003527D" w:rsidRPr="0003527D">
        <w:rPr>
          <w:w w:val="110"/>
          <w:sz w:val="26"/>
          <w:szCs w:val="26"/>
        </w:rPr>
        <w:t>ICWA,</w:t>
      </w:r>
      <w:r w:rsidR="0003527D" w:rsidRPr="0003527D">
        <w:rPr>
          <w:spacing w:val="-13"/>
          <w:w w:val="110"/>
          <w:sz w:val="26"/>
          <w:szCs w:val="26"/>
        </w:rPr>
        <w:t xml:space="preserve"> </w:t>
      </w:r>
      <w:r w:rsidR="0003527D" w:rsidRPr="0003527D">
        <w:rPr>
          <w:w w:val="110"/>
          <w:sz w:val="26"/>
          <w:szCs w:val="26"/>
        </w:rPr>
        <w:t>and</w:t>
      </w:r>
      <w:r w:rsidR="0003527D" w:rsidRPr="0003527D">
        <w:rPr>
          <w:spacing w:val="-8"/>
          <w:w w:val="110"/>
          <w:sz w:val="26"/>
          <w:szCs w:val="26"/>
        </w:rPr>
        <w:t xml:space="preserve"> </w:t>
      </w:r>
      <w:r w:rsidR="0003527D" w:rsidRPr="0003527D">
        <w:rPr>
          <w:w w:val="110"/>
          <w:sz w:val="26"/>
          <w:szCs w:val="26"/>
        </w:rPr>
        <w:t>with</w:t>
      </w:r>
      <w:r w:rsidR="0003527D" w:rsidRPr="0003527D">
        <w:rPr>
          <w:spacing w:val="-9"/>
          <w:w w:val="110"/>
          <w:sz w:val="26"/>
          <w:szCs w:val="26"/>
        </w:rPr>
        <w:t xml:space="preserve"> </w:t>
      </w:r>
      <w:r w:rsidR="0003527D" w:rsidRPr="0003527D">
        <w:rPr>
          <w:w w:val="110"/>
          <w:sz w:val="26"/>
          <w:szCs w:val="26"/>
        </w:rPr>
        <w:t>the</w:t>
      </w:r>
      <w:r w:rsidR="0003527D" w:rsidRPr="0003527D">
        <w:rPr>
          <w:spacing w:val="-13"/>
          <w:w w:val="110"/>
          <w:sz w:val="26"/>
          <w:szCs w:val="26"/>
        </w:rPr>
        <w:t xml:space="preserve"> </w:t>
      </w:r>
      <w:r w:rsidR="0003527D" w:rsidRPr="0003527D">
        <w:rPr>
          <w:w w:val="110"/>
          <w:sz w:val="26"/>
          <w:szCs w:val="26"/>
        </w:rPr>
        <w:t>procedures</w:t>
      </w:r>
      <w:r w:rsidR="0003527D" w:rsidRPr="0003527D">
        <w:rPr>
          <w:spacing w:val="-1"/>
          <w:w w:val="110"/>
          <w:sz w:val="26"/>
          <w:szCs w:val="26"/>
        </w:rPr>
        <w:t xml:space="preserve"> </w:t>
      </w:r>
      <w:r w:rsidR="0003527D" w:rsidRPr="0003527D">
        <w:rPr>
          <w:w w:val="110"/>
          <w:sz w:val="26"/>
          <w:szCs w:val="26"/>
        </w:rPr>
        <w:t>and</w:t>
      </w:r>
      <w:r w:rsidR="0003527D" w:rsidRPr="0003527D">
        <w:rPr>
          <w:spacing w:val="-12"/>
          <w:w w:val="110"/>
          <w:sz w:val="26"/>
          <w:szCs w:val="26"/>
        </w:rPr>
        <w:t xml:space="preserve"> </w:t>
      </w:r>
      <w:r w:rsidR="0003527D" w:rsidRPr="0003527D">
        <w:rPr>
          <w:w w:val="110"/>
          <w:sz w:val="26"/>
          <w:szCs w:val="26"/>
        </w:rPr>
        <w:t>organizations of</w:t>
      </w:r>
      <w:r w:rsidR="00514B45">
        <w:rPr>
          <w:w w:val="110"/>
          <w:sz w:val="26"/>
          <w:szCs w:val="26"/>
        </w:rPr>
        <w:t xml:space="preserve"> other social service agencies.”</w:t>
      </w:r>
      <w:r w:rsidR="00514B45">
        <w:rPr>
          <w:rStyle w:val="FootnoteReference"/>
          <w:w w:val="110"/>
          <w:sz w:val="26"/>
          <w:szCs w:val="26"/>
        </w:rPr>
        <w:footnoteReference w:id="5"/>
      </w:r>
      <w:r w:rsidR="0003527D" w:rsidRPr="0003527D">
        <w:rPr>
          <w:w w:val="110"/>
          <w:sz w:val="26"/>
          <w:szCs w:val="26"/>
        </w:rPr>
        <w:t xml:space="preserve"> </w:t>
      </w:r>
      <w:r w:rsidR="009A3DE2">
        <w:rPr>
          <w:w w:val="110"/>
          <w:sz w:val="26"/>
          <w:szCs w:val="26"/>
        </w:rPr>
        <w:t>In-house tribal attorneys</w:t>
      </w:r>
      <w:r w:rsidR="0003527D" w:rsidRPr="0003527D">
        <w:rPr>
          <w:w w:val="110"/>
          <w:sz w:val="26"/>
          <w:szCs w:val="26"/>
        </w:rPr>
        <w:t xml:space="preserve"> are</w:t>
      </w:r>
      <w:r w:rsidR="009A3DE2">
        <w:rPr>
          <w:w w:val="110"/>
          <w:sz w:val="26"/>
          <w:szCs w:val="26"/>
        </w:rPr>
        <w:t xml:space="preserve"> intimately</w:t>
      </w:r>
      <w:r w:rsidR="0003527D" w:rsidRPr="0003527D">
        <w:rPr>
          <w:w w:val="110"/>
          <w:sz w:val="26"/>
          <w:szCs w:val="26"/>
        </w:rPr>
        <w:t xml:space="preserve"> familiar with the procedural requirements of ICWA and </w:t>
      </w:r>
      <w:r w:rsidR="009A3DE2">
        <w:rPr>
          <w:w w:val="110"/>
          <w:sz w:val="26"/>
          <w:szCs w:val="26"/>
        </w:rPr>
        <w:t xml:space="preserve">most </w:t>
      </w:r>
      <w:r w:rsidR="0003527D" w:rsidRPr="0003527D">
        <w:rPr>
          <w:w w:val="110"/>
          <w:sz w:val="26"/>
          <w:szCs w:val="26"/>
        </w:rPr>
        <w:t xml:space="preserve">have handled ICWA matters in many states. No state interest is infringed by permitting </w:t>
      </w:r>
      <w:r w:rsidR="009A3DE2">
        <w:rPr>
          <w:w w:val="110"/>
          <w:sz w:val="26"/>
          <w:szCs w:val="26"/>
        </w:rPr>
        <w:t xml:space="preserve">in-house tribal </w:t>
      </w:r>
      <w:proofErr w:type="spellStart"/>
      <w:r w:rsidR="009A3DE2">
        <w:rPr>
          <w:w w:val="110"/>
          <w:sz w:val="26"/>
          <w:szCs w:val="26"/>
        </w:rPr>
        <w:t>counsel</w:t>
      </w:r>
      <w:proofErr w:type="spellEnd"/>
      <w:r w:rsidR="009A3DE2">
        <w:rPr>
          <w:w w:val="110"/>
          <w:sz w:val="26"/>
          <w:szCs w:val="26"/>
        </w:rPr>
        <w:t xml:space="preserve"> to appear and participate</w:t>
      </w:r>
      <w:r w:rsidR="00514B45">
        <w:rPr>
          <w:w w:val="110"/>
          <w:sz w:val="26"/>
          <w:szCs w:val="26"/>
        </w:rPr>
        <w:t xml:space="preserve"> “</w:t>
      </w:r>
      <w:r w:rsidR="0003527D" w:rsidRPr="0003527D">
        <w:rPr>
          <w:w w:val="110"/>
          <w:sz w:val="26"/>
          <w:szCs w:val="26"/>
        </w:rPr>
        <w:t>in the narrow context of these ICWA proceedings.</w:t>
      </w:r>
      <w:r w:rsidR="00514B45">
        <w:rPr>
          <w:w w:val="110"/>
          <w:sz w:val="26"/>
          <w:szCs w:val="26"/>
        </w:rPr>
        <w:t>”</w:t>
      </w:r>
      <w:r w:rsidR="00514B45">
        <w:rPr>
          <w:rStyle w:val="FootnoteReference"/>
          <w:w w:val="110"/>
          <w:sz w:val="26"/>
          <w:szCs w:val="26"/>
        </w:rPr>
        <w:footnoteReference w:id="6"/>
      </w:r>
      <w:r w:rsidR="0003527D" w:rsidRPr="0003527D">
        <w:rPr>
          <w:spacing w:val="-30"/>
          <w:w w:val="110"/>
          <w:sz w:val="26"/>
          <w:szCs w:val="26"/>
        </w:rPr>
        <w:t xml:space="preserve"> </w:t>
      </w:r>
    </w:p>
    <w:p w:rsidR="0003527D" w:rsidRPr="0003527D" w:rsidRDefault="0003527D" w:rsidP="007A4853">
      <w:pPr>
        <w:pStyle w:val="BodyText"/>
        <w:tabs>
          <w:tab w:val="left" w:pos="720"/>
        </w:tabs>
        <w:jc w:val="both"/>
        <w:rPr>
          <w:sz w:val="26"/>
          <w:szCs w:val="26"/>
        </w:rPr>
      </w:pPr>
    </w:p>
    <w:p w:rsidR="0003527D" w:rsidRPr="009A3DE2" w:rsidRDefault="007A4853" w:rsidP="007A4853">
      <w:pPr>
        <w:tabs>
          <w:tab w:val="left" w:pos="720"/>
        </w:tabs>
        <w:jc w:val="both"/>
        <w:rPr>
          <w:sz w:val="26"/>
          <w:szCs w:val="26"/>
        </w:rPr>
      </w:pPr>
      <w:r>
        <w:rPr>
          <w:w w:val="105"/>
          <w:sz w:val="26"/>
          <w:szCs w:val="26"/>
        </w:rPr>
        <w:tab/>
      </w:r>
      <w:r w:rsidR="0003527D" w:rsidRPr="009B76B9">
        <w:rPr>
          <w:sz w:val="26"/>
          <w:szCs w:val="26"/>
        </w:rPr>
        <w:t xml:space="preserve">The sound reasoning of </w:t>
      </w:r>
      <w:proofErr w:type="spellStart"/>
      <w:r w:rsidR="0003527D" w:rsidRPr="00514B45">
        <w:rPr>
          <w:i/>
          <w:sz w:val="26"/>
          <w:szCs w:val="26"/>
        </w:rPr>
        <w:t>Shuey</w:t>
      </w:r>
      <w:proofErr w:type="spellEnd"/>
      <w:r w:rsidR="0003527D" w:rsidRPr="009B76B9">
        <w:rPr>
          <w:sz w:val="26"/>
          <w:szCs w:val="26"/>
        </w:rPr>
        <w:t xml:space="preserve"> has been</w:t>
      </w:r>
      <w:r w:rsidR="0003527D" w:rsidRPr="00761C1B">
        <w:rPr>
          <w:w w:val="105"/>
          <w:sz w:val="26"/>
          <w:szCs w:val="26"/>
        </w:rPr>
        <w:t xml:space="preserve"> followed</w:t>
      </w:r>
      <w:r w:rsidR="00514B45">
        <w:rPr>
          <w:w w:val="105"/>
          <w:sz w:val="26"/>
          <w:szCs w:val="26"/>
        </w:rPr>
        <w:t xml:space="preserve"> by two state supreme courts—</w:t>
      </w:r>
      <w:r w:rsidR="0003527D" w:rsidRPr="0003527D">
        <w:rPr>
          <w:w w:val="105"/>
          <w:sz w:val="26"/>
          <w:szCs w:val="26"/>
        </w:rPr>
        <w:t>in</w:t>
      </w:r>
      <w:r w:rsidR="0003527D" w:rsidRPr="0003527D">
        <w:rPr>
          <w:sz w:val="26"/>
          <w:szCs w:val="26"/>
        </w:rPr>
        <w:t xml:space="preserve"> </w:t>
      </w:r>
      <w:r w:rsidR="0003527D" w:rsidRPr="0003527D">
        <w:rPr>
          <w:w w:val="110"/>
          <w:sz w:val="26"/>
          <w:szCs w:val="26"/>
        </w:rPr>
        <w:t>Nebraska</w:t>
      </w:r>
      <w:r w:rsidR="0003527D" w:rsidRPr="0003527D">
        <w:rPr>
          <w:spacing w:val="-11"/>
          <w:w w:val="110"/>
          <w:sz w:val="26"/>
          <w:szCs w:val="26"/>
        </w:rPr>
        <w:t xml:space="preserve"> </w:t>
      </w:r>
      <w:r w:rsidR="0003527D" w:rsidRPr="0003527D">
        <w:rPr>
          <w:w w:val="110"/>
          <w:sz w:val="26"/>
          <w:szCs w:val="26"/>
        </w:rPr>
        <w:t>and</w:t>
      </w:r>
      <w:r w:rsidR="0003527D" w:rsidRPr="0003527D">
        <w:rPr>
          <w:spacing w:val="-10"/>
          <w:w w:val="110"/>
          <w:sz w:val="26"/>
          <w:szCs w:val="26"/>
        </w:rPr>
        <w:t xml:space="preserve"> </w:t>
      </w:r>
      <w:r w:rsidR="0003527D" w:rsidRPr="0003527D">
        <w:rPr>
          <w:w w:val="110"/>
          <w:sz w:val="26"/>
          <w:szCs w:val="26"/>
        </w:rPr>
        <w:t>Iowa</w:t>
      </w:r>
      <w:r w:rsidR="00514B45">
        <w:rPr>
          <w:w w:val="110"/>
          <w:sz w:val="26"/>
          <w:szCs w:val="26"/>
        </w:rPr>
        <w:t>—</w:t>
      </w:r>
      <w:r w:rsidR="0003527D" w:rsidRPr="0003527D">
        <w:rPr>
          <w:w w:val="110"/>
          <w:sz w:val="26"/>
          <w:szCs w:val="26"/>
        </w:rPr>
        <w:t>and</w:t>
      </w:r>
      <w:r w:rsidR="0003527D" w:rsidRPr="0003527D">
        <w:rPr>
          <w:spacing w:val="-9"/>
          <w:w w:val="110"/>
          <w:sz w:val="26"/>
          <w:szCs w:val="26"/>
        </w:rPr>
        <w:t xml:space="preserve"> </w:t>
      </w:r>
      <w:r w:rsidR="0003527D" w:rsidRPr="0003527D">
        <w:rPr>
          <w:w w:val="110"/>
          <w:sz w:val="26"/>
          <w:szCs w:val="26"/>
        </w:rPr>
        <w:t>an</w:t>
      </w:r>
      <w:r w:rsidR="0003527D" w:rsidRPr="0003527D">
        <w:rPr>
          <w:spacing w:val="-16"/>
          <w:w w:val="110"/>
          <w:sz w:val="26"/>
          <w:szCs w:val="26"/>
        </w:rPr>
        <w:t xml:space="preserve"> </w:t>
      </w:r>
      <w:r w:rsidR="0003527D" w:rsidRPr="0003527D">
        <w:rPr>
          <w:w w:val="110"/>
          <w:sz w:val="26"/>
          <w:szCs w:val="26"/>
        </w:rPr>
        <w:t>intermediate</w:t>
      </w:r>
      <w:r w:rsidR="0003527D" w:rsidRPr="0003527D">
        <w:rPr>
          <w:spacing w:val="-6"/>
          <w:w w:val="110"/>
          <w:sz w:val="26"/>
          <w:szCs w:val="26"/>
        </w:rPr>
        <w:t xml:space="preserve"> </w:t>
      </w:r>
      <w:r w:rsidR="0003527D" w:rsidRPr="0003527D">
        <w:rPr>
          <w:w w:val="110"/>
          <w:sz w:val="26"/>
          <w:szCs w:val="26"/>
        </w:rPr>
        <w:t>appellate</w:t>
      </w:r>
      <w:r w:rsidR="0003527D" w:rsidRPr="0003527D">
        <w:rPr>
          <w:spacing w:val="-13"/>
          <w:w w:val="110"/>
          <w:sz w:val="26"/>
          <w:szCs w:val="26"/>
        </w:rPr>
        <w:t xml:space="preserve"> </w:t>
      </w:r>
      <w:r w:rsidR="0003527D" w:rsidRPr="0003527D">
        <w:rPr>
          <w:w w:val="110"/>
          <w:sz w:val="26"/>
          <w:szCs w:val="26"/>
        </w:rPr>
        <w:t>court</w:t>
      </w:r>
      <w:r w:rsidR="0003527D" w:rsidRPr="0003527D">
        <w:rPr>
          <w:spacing w:val="-17"/>
          <w:w w:val="110"/>
          <w:sz w:val="26"/>
          <w:szCs w:val="26"/>
        </w:rPr>
        <w:t xml:space="preserve"> </w:t>
      </w:r>
      <w:r w:rsidR="0003527D" w:rsidRPr="0003527D">
        <w:rPr>
          <w:w w:val="110"/>
          <w:sz w:val="26"/>
          <w:szCs w:val="26"/>
        </w:rPr>
        <w:t>in</w:t>
      </w:r>
      <w:r w:rsidR="0003527D" w:rsidRPr="0003527D">
        <w:rPr>
          <w:spacing w:val="-14"/>
          <w:w w:val="110"/>
          <w:sz w:val="26"/>
          <w:szCs w:val="26"/>
        </w:rPr>
        <w:t xml:space="preserve"> </w:t>
      </w:r>
      <w:r w:rsidR="0003527D" w:rsidRPr="0003527D">
        <w:rPr>
          <w:w w:val="110"/>
          <w:sz w:val="26"/>
          <w:szCs w:val="26"/>
        </w:rPr>
        <w:t>Florida.</w:t>
      </w:r>
      <w:r w:rsidR="009A3DE2">
        <w:rPr>
          <w:sz w:val="26"/>
          <w:szCs w:val="26"/>
        </w:rPr>
        <w:t xml:space="preserve"> </w:t>
      </w:r>
      <w:r w:rsidR="0003527D" w:rsidRPr="0003527D">
        <w:rPr>
          <w:w w:val="110"/>
          <w:sz w:val="26"/>
          <w:szCs w:val="26"/>
        </w:rPr>
        <w:t>The Supreme Court of Nebraska held that the requirement that an Indian tri</w:t>
      </w:r>
      <w:r w:rsidR="00514B45">
        <w:rPr>
          <w:w w:val="110"/>
          <w:sz w:val="26"/>
          <w:szCs w:val="26"/>
        </w:rPr>
        <w:t>be be represented by a Nebraska-</w:t>
      </w:r>
      <w:r w:rsidR="0003527D" w:rsidRPr="0003527D">
        <w:rPr>
          <w:w w:val="110"/>
          <w:sz w:val="26"/>
          <w:szCs w:val="26"/>
        </w:rPr>
        <w:t>licensed attorney pursuant to the state law governing unauthorized practice of law was preempted by ICWA.</w:t>
      </w:r>
      <w:r w:rsidR="00514B45">
        <w:rPr>
          <w:rStyle w:val="FootnoteReference"/>
          <w:w w:val="110"/>
          <w:sz w:val="26"/>
          <w:szCs w:val="26"/>
        </w:rPr>
        <w:footnoteReference w:id="7"/>
      </w:r>
      <w:r w:rsidR="0003527D" w:rsidRPr="0003527D">
        <w:rPr>
          <w:w w:val="110"/>
          <w:sz w:val="26"/>
          <w:szCs w:val="26"/>
        </w:rPr>
        <w:t xml:space="preserve"> Using the same balancing test as </w:t>
      </w:r>
      <w:proofErr w:type="spellStart"/>
      <w:r w:rsidR="0003527D" w:rsidRPr="0003527D">
        <w:rPr>
          <w:i/>
          <w:w w:val="110"/>
          <w:sz w:val="26"/>
          <w:szCs w:val="26"/>
        </w:rPr>
        <w:t>Shuey</w:t>
      </w:r>
      <w:proofErr w:type="spellEnd"/>
      <w:r w:rsidR="0003527D" w:rsidRPr="0003527D">
        <w:rPr>
          <w:i/>
          <w:w w:val="110"/>
          <w:sz w:val="26"/>
          <w:szCs w:val="26"/>
        </w:rPr>
        <w:t xml:space="preserve">, </w:t>
      </w:r>
      <w:r w:rsidR="009A3DE2">
        <w:rPr>
          <w:w w:val="110"/>
          <w:sz w:val="26"/>
          <w:szCs w:val="26"/>
        </w:rPr>
        <w:t>the c</w:t>
      </w:r>
      <w:r w:rsidR="0003527D" w:rsidRPr="0003527D">
        <w:rPr>
          <w:w w:val="110"/>
          <w:sz w:val="26"/>
          <w:szCs w:val="26"/>
        </w:rPr>
        <w:t xml:space="preserve">ourt in </w:t>
      </w:r>
      <w:r w:rsidR="0003527D" w:rsidRPr="0003527D">
        <w:rPr>
          <w:i/>
          <w:w w:val="110"/>
          <w:sz w:val="26"/>
          <w:szCs w:val="26"/>
        </w:rPr>
        <w:t xml:space="preserve">Elias L. </w:t>
      </w:r>
      <w:r w:rsidR="0003527D" w:rsidRPr="0003527D">
        <w:rPr>
          <w:w w:val="110"/>
          <w:sz w:val="26"/>
          <w:szCs w:val="26"/>
        </w:rPr>
        <w:t xml:space="preserve">held that ICWA specifically authorized representation in Nebraska </w:t>
      </w:r>
      <w:r w:rsidR="0003527D" w:rsidRPr="0003527D">
        <w:rPr>
          <w:spacing w:val="2"/>
          <w:w w:val="110"/>
          <w:sz w:val="26"/>
          <w:szCs w:val="26"/>
        </w:rPr>
        <w:t xml:space="preserve">ICWA </w:t>
      </w:r>
      <w:r w:rsidR="0003527D" w:rsidRPr="0003527D">
        <w:rPr>
          <w:w w:val="110"/>
          <w:sz w:val="26"/>
          <w:szCs w:val="26"/>
        </w:rPr>
        <w:t>cases by persons who were not Nebraska l</w:t>
      </w:r>
      <w:r w:rsidR="00514B45">
        <w:rPr>
          <w:w w:val="110"/>
          <w:sz w:val="26"/>
          <w:szCs w:val="26"/>
        </w:rPr>
        <w:t>icensed attorneys, noting that “</w:t>
      </w:r>
      <w:r w:rsidR="0003527D" w:rsidRPr="0003527D">
        <w:rPr>
          <w:w w:val="110"/>
          <w:sz w:val="26"/>
          <w:szCs w:val="26"/>
        </w:rPr>
        <w:t>an employee of an organization can engage in certain acts that would normally constitute the practice of law if done for the sole benefit of the organization.</w:t>
      </w:r>
      <w:r w:rsidR="00514B45">
        <w:rPr>
          <w:w w:val="110"/>
          <w:sz w:val="26"/>
          <w:szCs w:val="26"/>
        </w:rPr>
        <w:t>”</w:t>
      </w:r>
      <w:r w:rsidR="00514B45">
        <w:rPr>
          <w:rStyle w:val="FootnoteReference"/>
          <w:w w:val="110"/>
          <w:sz w:val="26"/>
          <w:szCs w:val="26"/>
        </w:rPr>
        <w:footnoteReference w:id="8"/>
      </w:r>
      <w:r w:rsidR="0003527D" w:rsidRPr="0003527D">
        <w:rPr>
          <w:w w:val="110"/>
          <w:sz w:val="26"/>
          <w:szCs w:val="26"/>
        </w:rPr>
        <w:t xml:space="preserve"> Again noting the narrow context of </w:t>
      </w:r>
      <w:r w:rsidR="0003527D" w:rsidRPr="0003527D">
        <w:rPr>
          <w:spacing w:val="3"/>
          <w:w w:val="110"/>
          <w:sz w:val="26"/>
          <w:szCs w:val="26"/>
        </w:rPr>
        <w:t xml:space="preserve">ICWA </w:t>
      </w:r>
      <w:r w:rsidR="009A3DE2">
        <w:rPr>
          <w:w w:val="110"/>
          <w:sz w:val="26"/>
          <w:szCs w:val="26"/>
        </w:rPr>
        <w:t>proceedings, the c</w:t>
      </w:r>
      <w:r w:rsidR="0003527D" w:rsidRPr="0003527D">
        <w:rPr>
          <w:w w:val="110"/>
          <w:sz w:val="26"/>
          <w:szCs w:val="26"/>
        </w:rPr>
        <w:t>ourt held that the State's interests are not necessarily compromised by allowing the tribe to be represented by a non-lawyer.</w:t>
      </w:r>
      <w:r w:rsidR="00514B45">
        <w:rPr>
          <w:rStyle w:val="FootnoteReference"/>
          <w:w w:val="110"/>
          <w:sz w:val="26"/>
          <w:szCs w:val="26"/>
        </w:rPr>
        <w:footnoteReference w:id="9"/>
      </w:r>
    </w:p>
    <w:p w:rsidR="0003527D" w:rsidRPr="0003527D" w:rsidRDefault="0003527D" w:rsidP="007A4853">
      <w:pPr>
        <w:tabs>
          <w:tab w:val="left" w:pos="720"/>
        </w:tabs>
        <w:jc w:val="both"/>
        <w:rPr>
          <w:i/>
          <w:sz w:val="26"/>
          <w:szCs w:val="26"/>
        </w:rPr>
      </w:pPr>
    </w:p>
    <w:p w:rsidR="009A3DE2" w:rsidRDefault="007A4853" w:rsidP="007A4853">
      <w:pPr>
        <w:tabs>
          <w:tab w:val="left" w:pos="720"/>
        </w:tabs>
        <w:jc w:val="both"/>
        <w:rPr>
          <w:w w:val="105"/>
          <w:sz w:val="26"/>
          <w:szCs w:val="26"/>
        </w:rPr>
      </w:pPr>
      <w:r>
        <w:rPr>
          <w:w w:val="110"/>
          <w:sz w:val="26"/>
          <w:szCs w:val="26"/>
        </w:rPr>
        <w:tab/>
      </w:r>
      <w:r w:rsidR="0003527D" w:rsidRPr="0003527D">
        <w:rPr>
          <w:w w:val="110"/>
          <w:sz w:val="26"/>
          <w:szCs w:val="26"/>
        </w:rPr>
        <w:t xml:space="preserve">Finally, in </w:t>
      </w:r>
      <w:r w:rsidR="0003527D" w:rsidRPr="0003527D">
        <w:rPr>
          <w:i/>
          <w:w w:val="110"/>
          <w:sz w:val="26"/>
          <w:szCs w:val="26"/>
        </w:rPr>
        <w:t xml:space="preserve">J.P.H., </w:t>
      </w:r>
      <w:r w:rsidR="0003527D" w:rsidRPr="0003527D">
        <w:rPr>
          <w:w w:val="110"/>
          <w:sz w:val="26"/>
          <w:szCs w:val="26"/>
        </w:rPr>
        <w:t xml:space="preserve">the District Court of Appeal in Florida held, in </w:t>
      </w:r>
      <w:r w:rsidR="0003527D" w:rsidRPr="0003527D">
        <w:rPr>
          <w:w w:val="110"/>
          <w:sz w:val="26"/>
          <w:szCs w:val="26"/>
        </w:rPr>
        <w:lastRenderedPageBreak/>
        <w:t>consolidated cases under ICWA, that the trial court erred when it denied the tribe's petition to intervene because the tribe was not represented by a Florida attorney.</w:t>
      </w:r>
      <w:r w:rsidR="00514B45">
        <w:rPr>
          <w:rStyle w:val="FootnoteReference"/>
          <w:w w:val="110"/>
          <w:sz w:val="26"/>
          <w:szCs w:val="26"/>
        </w:rPr>
        <w:footnoteReference w:id="10"/>
      </w:r>
      <w:r w:rsidR="0003527D" w:rsidRPr="0003527D">
        <w:rPr>
          <w:w w:val="110"/>
          <w:sz w:val="26"/>
          <w:szCs w:val="26"/>
        </w:rPr>
        <w:t xml:space="preserve"> Citing </w:t>
      </w:r>
      <w:r w:rsidR="0003527D" w:rsidRPr="0003527D">
        <w:rPr>
          <w:i/>
          <w:w w:val="110"/>
          <w:sz w:val="26"/>
          <w:szCs w:val="26"/>
        </w:rPr>
        <w:t xml:space="preserve">Elias L., N.N.E. </w:t>
      </w:r>
      <w:r w:rsidR="0003527D" w:rsidRPr="0003527D">
        <w:rPr>
          <w:w w:val="110"/>
          <w:sz w:val="26"/>
          <w:szCs w:val="26"/>
        </w:rPr>
        <w:t xml:space="preserve">and </w:t>
      </w:r>
      <w:proofErr w:type="spellStart"/>
      <w:r w:rsidR="0003527D" w:rsidRPr="0003527D">
        <w:rPr>
          <w:i/>
          <w:w w:val="110"/>
          <w:sz w:val="26"/>
          <w:szCs w:val="26"/>
        </w:rPr>
        <w:t>Shuey</w:t>
      </w:r>
      <w:proofErr w:type="spellEnd"/>
      <w:r w:rsidR="0003527D" w:rsidRPr="0003527D">
        <w:rPr>
          <w:i/>
          <w:w w:val="110"/>
          <w:sz w:val="26"/>
          <w:szCs w:val="26"/>
        </w:rPr>
        <w:t xml:space="preserve">, </w:t>
      </w:r>
      <w:r w:rsidR="00514B45">
        <w:rPr>
          <w:w w:val="110"/>
          <w:sz w:val="26"/>
          <w:szCs w:val="26"/>
        </w:rPr>
        <w:t>the c</w:t>
      </w:r>
      <w:r w:rsidR="0003527D" w:rsidRPr="0003527D">
        <w:rPr>
          <w:w w:val="110"/>
          <w:sz w:val="26"/>
          <w:szCs w:val="26"/>
        </w:rPr>
        <w:t xml:space="preserve">ourt held that the tribe had a clear right to </w:t>
      </w:r>
      <w:r w:rsidR="00514B45">
        <w:rPr>
          <w:w w:val="105"/>
          <w:sz w:val="26"/>
          <w:szCs w:val="26"/>
        </w:rPr>
        <w:t>intervene and “</w:t>
      </w:r>
      <w:r w:rsidR="0003527D" w:rsidRPr="0003527D">
        <w:rPr>
          <w:w w:val="105"/>
          <w:sz w:val="26"/>
          <w:szCs w:val="26"/>
        </w:rPr>
        <w:t>is not required to be represented by a member of the state bar, since prohibitions on the unauthorized practice of law interfere with and are thus preempted in the narrow context of state court proceedings subject to the Indian Child Welfare Act.</w:t>
      </w:r>
      <w:r w:rsidR="00514B45">
        <w:rPr>
          <w:w w:val="105"/>
          <w:sz w:val="26"/>
          <w:szCs w:val="26"/>
        </w:rPr>
        <w:t>”</w:t>
      </w:r>
      <w:r w:rsidR="00514B45">
        <w:rPr>
          <w:rStyle w:val="FootnoteReference"/>
          <w:w w:val="105"/>
          <w:sz w:val="26"/>
          <w:szCs w:val="26"/>
        </w:rPr>
        <w:footnoteReference w:id="11"/>
      </w:r>
      <w:r w:rsidR="0003527D" w:rsidRPr="0003527D">
        <w:rPr>
          <w:w w:val="105"/>
          <w:sz w:val="26"/>
          <w:szCs w:val="26"/>
        </w:rPr>
        <w:t xml:space="preserve"> </w:t>
      </w:r>
    </w:p>
    <w:p w:rsidR="007A3A32" w:rsidRDefault="007A3A32" w:rsidP="007A4853">
      <w:pPr>
        <w:tabs>
          <w:tab w:val="left" w:pos="720"/>
        </w:tabs>
        <w:jc w:val="both"/>
        <w:rPr>
          <w:w w:val="105"/>
          <w:sz w:val="26"/>
          <w:szCs w:val="26"/>
        </w:rPr>
      </w:pPr>
    </w:p>
    <w:p w:rsidR="007A3A32" w:rsidRPr="009A3DE2" w:rsidRDefault="007A4853" w:rsidP="007A4853">
      <w:pPr>
        <w:tabs>
          <w:tab w:val="left" w:pos="720"/>
        </w:tabs>
        <w:jc w:val="both"/>
        <w:rPr>
          <w:w w:val="105"/>
          <w:sz w:val="26"/>
          <w:szCs w:val="26"/>
        </w:rPr>
      </w:pPr>
      <w:r>
        <w:rPr>
          <w:w w:val="105"/>
          <w:sz w:val="26"/>
          <w:szCs w:val="26"/>
        </w:rPr>
        <w:tab/>
      </w:r>
      <w:r w:rsidR="0093036D">
        <w:rPr>
          <w:w w:val="105"/>
          <w:sz w:val="26"/>
          <w:szCs w:val="26"/>
        </w:rPr>
        <w:t xml:space="preserve">Every reported appellate case on this issue holds that the right of an Indian tribe to intervene in an ICWA case outweighs the state interest in regulation of attorney admissions. And these cases were correctly decided. </w:t>
      </w:r>
      <w:r w:rsidR="00E07884">
        <w:rPr>
          <w:w w:val="105"/>
          <w:sz w:val="26"/>
          <w:szCs w:val="26"/>
        </w:rPr>
        <w:t>A</w:t>
      </w:r>
      <w:r w:rsidR="007A3A32">
        <w:rPr>
          <w:w w:val="105"/>
          <w:sz w:val="26"/>
          <w:szCs w:val="26"/>
        </w:rPr>
        <w:t xml:space="preserve">ny </w:t>
      </w:r>
      <w:r w:rsidR="007A3A32" w:rsidRPr="007A3A32">
        <w:rPr>
          <w:i/>
          <w:w w:val="105"/>
          <w:sz w:val="26"/>
          <w:szCs w:val="26"/>
        </w:rPr>
        <w:t xml:space="preserve">pro </w:t>
      </w:r>
      <w:proofErr w:type="spellStart"/>
      <w:r w:rsidR="007A3A32" w:rsidRPr="007A3A32">
        <w:rPr>
          <w:i/>
          <w:w w:val="105"/>
          <w:sz w:val="26"/>
          <w:szCs w:val="26"/>
        </w:rPr>
        <w:t>hac</w:t>
      </w:r>
      <w:proofErr w:type="spellEnd"/>
      <w:r w:rsidR="007A3A32" w:rsidRPr="007A3A32">
        <w:rPr>
          <w:i/>
          <w:w w:val="105"/>
          <w:sz w:val="26"/>
          <w:szCs w:val="26"/>
        </w:rPr>
        <w:t xml:space="preserve"> vice</w:t>
      </w:r>
      <w:r w:rsidR="007A3A32">
        <w:rPr>
          <w:w w:val="105"/>
          <w:sz w:val="26"/>
          <w:szCs w:val="26"/>
        </w:rPr>
        <w:t xml:space="preserve"> rule adopted </w:t>
      </w:r>
      <w:r w:rsidR="00E07884">
        <w:rPr>
          <w:w w:val="105"/>
          <w:sz w:val="26"/>
          <w:szCs w:val="26"/>
        </w:rPr>
        <w:t xml:space="preserve">in Arizona </w:t>
      </w:r>
      <w:r w:rsidR="007A3A32">
        <w:rPr>
          <w:w w:val="105"/>
          <w:sz w:val="26"/>
          <w:szCs w:val="26"/>
        </w:rPr>
        <w:t xml:space="preserve">should reflect that </w:t>
      </w:r>
      <w:r w:rsidR="00E07884">
        <w:rPr>
          <w:w w:val="105"/>
          <w:sz w:val="26"/>
          <w:szCs w:val="26"/>
        </w:rPr>
        <w:t>its</w:t>
      </w:r>
      <w:r w:rsidR="007A3A32">
        <w:rPr>
          <w:w w:val="105"/>
          <w:sz w:val="26"/>
          <w:szCs w:val="26"/>
        </w:rPr>
        <w:t xml:space="preserve"> purpose is to facilitate the Indian tribe’s statutory right </w:t>
      </w:r>
      <w:r w:rsidR="00E07884">
        <w:rPr>
          <w:w w:val="105"/>
          <w:sz w:val="26"/>
          <w:szCs w:val="26"/>
        </w:rPr>
        <w:t xml:space="preserve">to intervene and participate </w:t>
      </w:r>
      <w:r w:rsidR="007A3A32">
        <w:rPr>
          <w:w w:val="105"/>
          <w:sz w:val="26"/>
          <w:szCs w:val="26"/>
        </w:rPr>
        <w:t xml:space="preserve">and </w:t>
      </w:r>
      <w:r w:rsidR="00E07884">
        <w:rPr>
          <w:w w:val="105"/>
          <w:sz w:val="26"/>
          <w:szCs w:val="26"/>
        </w:rPr>
        <w:t xml:space="preserve">should </w:t>
      </w:r>
      <w:r w:rsidR="007A3A32">
        <w:rPr>
          <w:w w:val="105"/>
          <w:sz w:val="26"/>
          <w:szCs w:val="26"/>
        </w:rPr>
        <w:t xml:space="preserve">impose minimal </w:t>
      </w:r>
      <w:r w:rsidR="00E07884">
        <w:rPr>
          <w:w w:val="105"/>
          <w:sz w:val="26"/>
          <w:szCs w:val="26"/>
        </w:rPr>
        <w:t xml:space="preserve">burdens and </w:t>
      </w:r>
      <w:r w:rsidR="007A3A32">
        <w:rPr>
          <w:w w:val="105"/>
          <w:sz w:val="26"/>
          <w:szCs w:val="26"/>
        </w:rPr>
        <w:t>requirements on tribal attorneys.</w:t>
      </w:r>
    </w:p>
    <w:p w:rsidR="00CF04D9" w:rsidRPr="00CF04D9" w:rsidRDefault="00CF04D9" w:rsidP="007A4853">
      <w:pPr>
        <w:tabs>
          <w:tab w:val="left" w:pos="720"/>
        </w:tabs>
        <w:jc w:val="both"/>
        <w:rPr>
          <w:b/>
          <w:sz w:val="26"/>
          <w:szCs w:val="26"/>
        </w:rPr>
      </w:pPr>
    </w:p>
    <w:p w:rsidR="00CF04D9" w:rsidRPr="00E63137" w:rsidRDefault="00BF009A" w:rsidP="007A4853">
      <w:pPr>
        <w:pStyle w:val="ListParagraph"/>
        <w:numPr>
          <w:ilvl w:val="0"/>
          <w:numId w:val="5"/>
        </w:numPr>
        <w:tabs>
          <w:tab w:val="left" w:pos="720"/>
        </w:tabs>
        <w:spacing w:after="0" w:line="240" w:lineRule="auto"/>
        <w:ind w:left="0" w:firstLine="0"/>
        <w:jc w:val="both"/>
        <w:rPr>
          <w:rFonts w:ascii="Times New Roman" w:hAnsi="Times New Roman" w:cs="Times New Roman"/>
          <w:b/>
          <w:sz w:val="26"/>
          <w:szCs w:val="26"/>
        </w:rPr>
      </w:pPr>
      <w:r>
        <w:rPr>
          <w:rFonts w:ascii="Times New Roman" w:hAnsi="Times New Roman" w:cs="Times New Roman"/>
          <w:b/>
          <w:sz w:val="26"/>
          <w:szCs w:val="26"/>
        </w:rPr>
        <w:t>COMMENTS ON THE PROPOSED AMENDMENT TO RULE 39</w:t>
      </w:r>
    </w:p>
    <w:p w:rsidR="001E4C9D" w:rsidRPr="0052594D" w:rsidRDefault="001E4C9D" w:rsidP="007A4853">
      <w:pPr>
        <w:tabs>
          <w:tab w:val="left" w:pos="720"/>
        </w:tabs>
        <w:jc w:val="both"/>
        <w:rPr>
          <w:sz w:val="26"/>
          <w:szCs w:val="26"/>
        </w:rPr>
      </w:pPr>
    </w:p>
    <w:p w:rsidR="00B85CD8" w:rsidRDefault="007A4853" w:rsidP="007A4853">
      <w:pPr>
        <w:tabs>
          <w:tab w:val="left" w:pos="720"/>
        </w:tabs>
        <w:jc w:val="both"/>
        <w:rPr>
          <w:sz w:val="26"/>
          <w:szCs w:val="26"/>
        </w:rPr>
      </w:pPr>
      <w:r>
        <w:rPr>
          <w:sz w:val="26"/>
          <w:szCs w:val="26"/>
        </w:rPr>
        <w:tab/>
      </w:r>
      <w:r w:rsidR="00B85CD8">
        <w:rPr>
          <w:sz w:val="26"/>
          <w:szCs w:val="26"/>
        </w:rPr>
        <w:t xml:space="preserve">The proposed amendment to Rule 39 recognizes an exception to the regular </w:t>
      </w:r>
      <w:r w:rsidR="00B85CD8" w:rsidRPr="00B85CD8">
        <w:rPr>
          <w:i/>
          <w:sz w:val="26"/>
          <w:szCs w:val="26"/>
        </w:rPr>
        <w:t xml:space="preserve">pro </w:t>
      </w:r>
      <w:proofErr w:type="spellStart"/>
      <w:r w:rsidR="00B85CD8" w:rsidRPr="00B85CD8">
        <w:rPr>
          <w:i/>
          <w:sz w:val="26"/>
          <w:szCs w:val="26"/>
        </w:rPr>
        <w:t>hac</w:t>
      </w:r>
      <w:proofErr w:type="spellEnd"/>
      <w:r w:rsidR="00B85CD8" w:rsidRPr="00B85CD8">
        <w:rPr>
          <w:i/>
          <w:sz w:val="26"/>
          <w:szCs w:val="26"/>
        </w:rPr>
        <w:t xml:space="preserve"> vice</w:t>
      </w:r>
      <w:r w:rsidR="00B85CD8">
        <w:rPr>
          <w:sz w:val="26"/>
          <w:szCs w:val="26"/>
        </w:rPr>
        <w:t xml:space="preserve"> requirements for cases to which ICWA applies, so long as</w:t>
      </w:r>
      <w:r w:rsidR="007957DF">
        <w:rPr>
          <w:sz w:val="26"/>
          <w:szCs w:val="26"/>
        </w:rPr>
        <w:t>:</w:t>
      </w:r>
      <w:r w:rsidR="00B85CD8">
        <w:rPr>
          <w:sz w:val="26"/>
          <w:szCs w:val="26"/>
        </w:rPr>
        <w:t xml:space="preserve"> (1) the non-member attorney appears for the limited purpose of participating in a child custody proceeding, as defined in 25 U.S.C. § 1903, under ICWA; (2) the non-member represents a federally-recognized Indian tribe; and (3) the Indian tribe has moved to intervene and participate in the state court child custody proceeding.</w:t>
      </w:r>
      <w:r w:rsidR="00924EC4">
        <w:rPr>
          <w:sz w:val="26"/>
          <w:szCs w:val="26"/>
        </w:rPr>
        <w:t xml:space="preserve"> Upon a motion in the court in which the matter is proceeding, an Indian tribe’s attorney may be admitted </w:t>
      </w:r>
      <w:r w:rsidR="00924EC4" w:rsidRPr="00924EC4">
        <w:rPr>
          <w:i/>
          <w:sz w:val="26"/>
          <w:szCs w:val="26"/>
        </w:rPr>
        <w:t xml:space="preserve">pro </w:t>
      </w:r>
      <w:proofErr w:type="spellStart"/>
      <w:r w:rsidR="00924EC4" w:rsidRPr="00924EC4">
        <w:rPr>
          <w:i/>
          <w:sz w:val="26"/>
          <w:szCs w:val="26"/>
        </w:rPr>
        <w:t>hac</w:t>
      </w:r>
      <w:proofErr w:type="spellEnd"/>
      <w:r w:rsidR="00924EC4" w:rsidRPr="00924EC4">
        <w:rPr>
          <w:i/>
          <w:sz w:val="26"/>
          <w:szCs w:val="26"/>
        </w:rPr>
        <w:t xml:space="preserve"> vice</w:t>
      </w:r>
      <w:r w:rsidR="00924EC4">
        <w:rPr>
          <w:sz w:val="26"/>
          <w:szCs w:val="26"/>
        </w:rPr>
        <w:t xml:space="preserve"> and participate.</w:t>
      </w:r>
      <w:r w:rsidR="00CF04D9">
        <w:rPr>
          <w:sz w:val="26"/>
          <w:szCs w:val="26"/>
        </w:rPr>
        <w:t xml:space="preserve"> </w:t>
      </w:r>
    </w:p>
    <w:p w:rsidR="00B85CD8" w:rsidRDefault="00B85CD8" w:rsidP="007A4853">
      <w:pPr>
        <w:tabs>
          <w:tab w:val="left" w:pos="720"/>
        </w:tabs>
        <w:jc w:val="both"/>
        <w:rPr>
          <w:sz w:val="26"/>
          <w:szCs w:val="26"/>
        </w:rPr>
      </w:pPr>
    </w:p>
    <w:p w:rsidR="001E4C9D" w:rsidRPr="0052594D" w:rsidRDefault="007A4853" w:rsidP="007A4853">
      <w:pPr>
        <w:tabs>
          <w:tab w:val="left" w:pos="720"/>
        </w:tabs>
        <w:jc w:val="both"/>
        <w:rPr>
          <w:sz w:val="26"/>
          <w:szCs w:val="26"/>
        </w:rPr>
      </w:pPr>
      <w:r>
        <w:rPr>
          <w:sz w:val="26"/>
          <w:szCs w:val="26"/>
        </w:rPr>
        <w:tab/>
      </w:r>
      <w:r w:rsidR="00C3069C" w:rsidRPr="0052594D">
        <w:rPr>
          <w:sz w:val="26"/>
          <w:szCs w:val="26"/>
        </w:rPr>
        <w:t xml:space="preserve">The Community supports </w:t>
      </w:r>
      <w:r w:rsidR="00B85CD8">
        <w:rPr>
          <w:sz w:val="26"/>
          <w:szCs w:val="26"/>
        </w:rPr>
        <w:t>adoption</w:t>
      </w:r>
      <w:r w:rsidR="008A4241" w:rsidRPr="0052594D">
        <w:rPr>
          <w:sz w:val="26"/>
          <w:szCs w:val="26"/>
        </w:rPr>
        <w:t xml:space="preserve"> of the proposed </w:t>
      </w:r>
      <w:r w:rsidR="00CF04D9">
        <w:rPr>
          <w:sz w:val="26"/>
          <w:szCs w:val="26"/>
        </w:rPr>
        <w:t>amendment</w:t>
      </w:r>
      <w:r w:rsidR="00B85CD8">
        <w:rPr>
          <w:sz w:val="26"/>
          <w:szCs w:val="26"/>
        </w:rPr>
        <w:t>,</w:t>
      </w:r>
      <w:r w:rsidR="00C3069C" w:rsidRPr="0052594D">
        <w:rPr>
          <w:sz w:val="26"/>
          <w:szCs w:val="26"/>
        </w:rPr>
        <w:t xml:space="preserve"> which seeks to </w:t>
      </w:r>
      <w:r w:rsidR="00B85CD8">
        <w:rPr>
          <w:sz w:val="26"/>
          <w:szCs w:val="26"/>
        </w:rPr>
        <w:t>follow the purpose</w:t>
      </w:r>
      <w:r w:rsidR="00C3069C" w:rsidRPr="0052594D">
        <w:rPr>
          <w:sz w:val="26"/>
          <w:szCs w:val="26"/>
        </w:rPr>
        <w:t xml:space="preserve"> and spirit of</w:t>
      </w:r>
      <w:r w:rsidR="008A4241" w:rsidRPr="0052594D">
        <w:rPr>
          <w:sz w:val="26"/>
          <w:szCs w:val="26"/>
        </w:rPr>
        <w:t xml:space="preserve"> ICWA</w:t>
      </w:r>
      <w:r w:rsidR="00B85CD8">
        <w:rPr>
          <w:sz w:val="26"/>
          <w:szCs w:val="26"/>
        </w:rPr>
        <w:t>,</w:t>
      </w:r>
      <w:r w:rsidR="008A4241" w:rsidRPr="0052594D">
        <w:rPr>
          <w:sz w:val="26"/>
          <w:szCs w:val="26"/>
        </w:rPr>
        <w:t xml:space="preserve"> </w:t>
      </w:r>
      <w:r w:rsidR="00CB058B" w:rsidRPr="0052594D">
        <w:rPr>
          <w:sz w:val="26"/>
          <w:szCs w:val="26"/>
        </w:rPr>
        <w:t>to ensure consistency and</w:t>
      </w:r>
      <w:r w:rsidR="008A4241" w:rsidRPr="0052594D">
        <w:rPr>
          <w:sz w:val="26"/>
          <w:szCs w:val="26"/>
        </w:rPr>
        <w:t xml:space="preserve"> ICWA </w:t>
      </w:r>
      <w:r w:rsidR="00CB058B" w:rsidRPr="0052594D">
        <w:rPr>
          <w:sz w:val="26"/>
          <w:szCs w:val="26"/>
        </w:rPr>
        <w:t xml:space="preserve">compliance </w:t>
      </w:r>
      <w:r w:rsidR="008A4241" w:rsidRPr="0052594D">
        <w:rPr>
          <w:sz w:val="26"/>
          <w:szCs w:val="26"/>
        </w:rPr>
        <w:t xml:space="preserve">across all </w:t>
      </w:r>
      <w:r w:rsidR="009E5F58" w:rsidRPr="0052594D">
        <w:rPr>
          <w:sz w:val="26"/>
          <w:szCs w:val="26"/>
        </w:rPr>
        <w:t>Arizona</w:t>
      </w:r>
      <w:r w:rsidR="008A4241" w:rsidRPr="0052594D">
        <w:rPr>
          <w:sz w:val="26"/>
          <w:szCs w:val="26"/>
        </w:rPr>
        <w:t xml:space="preserve"> </w:t>
      </w:r>
      <w:r w:rsidR="00B85CD8">
        <w:rPr>
          <w:sz w:val="26"/>
          <w:szCs w:val="26"/>
        </w:rPr>
        <w:t xml:space="preserve">courts in </w:t>
      </w:r>
      <w:r w:rsidR="00C3069C" w:rsidRPr="0052594D">
        <w:rPr>
          <w:sz w:val="26"/>
          <w:szCs w:val="26"/>
        </w:rPr>
        <w:t xml:space="preserve">child custody proceedings. </w:t>
      </w:r>
      <w:r w:rsidR="00B85CD8">
        <w:rPr>
          <w:sz w:val="26"/>
          <w:szCs w:val="26"/>
        </w:rPr>
        <w:t xml:space="preserve">In enacting ICWA, </w:t>
      </w:r>
      <w:r w:rsidR="00DE6EC9" w:rsidRPr="0052594D">
        <w:rPr>
          <w:sz w:val="26"/>
          <w:szCs w:val="26"/>
        </w:rPr>
        <w:t>Congress specifically found that “the States, exercising their recognized jurisdiction over Indian child custody proceedings through administrative and judicial bodies, have often failed to recognize the essential tribal relations of Indian people and the cultural and social standards prevailing in Indian communities and families.”</w:t>
      </w:r>
      <w:r w:rsidR="00DE6EC9" w:rsidRPr="0052594D">
        <w:rPr>
          <w:rStyle w:val="FootnoteReference"/>
          <w:sz w:val="26"/>
          <w:szCs w:val="26"/>
        </w:rPr>
        <w:footnoteReference w:id="12"/>
      </w:r>
      <w:r w:rsidR="00DE6EC9" w:rsidRPr="0052594D">
        <w:rPr>
          <w:sz w:val="26"/>
          <w:szCs w:val="26"/>
        </w:rPr>
        <w:t xml:space="preserve"> Therefore, </w:t>
      </w:r>
      <w:r w:rsidR="007957DF">
        <w:rPr>
          <w:sz w:val="26"/>
          <w:szCs w:val="26"/>
        </w:rPr>
        <w:t xml:space="preserve">the </w:t>
      </w:r>
      <w:r w:rsidR="00DE6EC9" w:rsidRPr="0052594D">
        <w:rPr>
          <w:sz w:val="26"/>
          <w:szCs w:val="26"/>
        </w:rPr>
        <w:t xml:space="preserve">participation of Indian tribes is imperative </w:t>
      </w:r>
      <w:r w:rsidR="00F759BA" w:rsidRPr="0052594D">
        <w:rPr>
          <w:sz w:val="26"/>
          <w:szCs w:val="26"/>
        </w:rPr>
        <w:t xml:space="preserve">to </w:t>
      </w:r>
      <w:r w:rsidR="00C06140">
        <w:rPr>
          <w:sz w:val="26"/>
          <w:szCs w:val="26"/>
        </w:rPr>
        <w:t xml:space="preserve">ensure the proper application of cultural and traditional standards to </w:t>
      </w:r>
      <w:r w:rsidR="00F759BA" w:rsidRPr="0052594D">
        <w:rPr>
          <w:sz w:val="26"/>
          <w:szCs w:val="26"/>
        </w:rPr>
        <w:t xml:space="preserve">the case and </w:t>
      </w:r>
      <w:r w:rsidR="00DE6EC9" w:rsidRPr="0052594D">
        <w:rPr>
          <w:sz w:val="26"/>
          <w:szCs w:val="26"/>
        </w:rPr>
        <w:t>to the</w:t>
      </w:r>
      <w:r w:rsidR="00CE7DFB">
        <w:rPr>
          <w:sz w:val="26"/>
          <w:szCs w:val="26"/>
        </w:rPr>
        <w:t xml:space="preserve"> benefit of the</w:t>
      </w:r>
      <w:r w:rsidR="00DE6EC9" w:rsidRPr="0052594D">
        <w:rPr>
          <w:sz w:val="26"/>
          <w:szCs w:val="26"/>
        </w:rPr>
        <w:t xml:space="preserve"> </w:t>
      </w:r>
      <w:r w:rsidR="007957DF">
        <w:rPr>
          <w:sz w:val="26"/>
          <w:szCs w:val="26"/>
        </w:rPr>
        <w:t xml:space="preserve">children and </w:t>
      </w:r>
      <w:r w:rsidR="00DE6EC9" w:rsidRPr="0052594D">
        <w:rPr>
          <w:sz w:val="26"/>
          <w:szCs w:val="26"/>
        </w:rPr>
        <w:t xml:space="preserve">families involved.   </w:t>
      </w:r>
    </w:p>
    <w:p w:rsidR="001E4C9D" w:rsidRPr="0052594D" w:rsidRDefault="001E4C9D" w:rsidP="007A4853">
      <w:pPr>
        <w:tabs>
          <w:tab w:val="left" w:pos="720"/>
        </w:tabs>
        <w:jc w:val="both"/>
        <w:rPr>
          <w:sz w:val="26"/>
          <w:szCs w:val="26"/>
        </w:rPr>
      </w:pPr>
    </w:p>
    <w:p w:rsidR="00E32DDF" w:rsidRDefault="007A4853" w:rsidP="007A4853">
      <w:pPr>
        <w:tabs>
          <w:tab w:val="left" w:pos="720"/>
        </w:tabs>
        <w:jc w:val="both"/>
        <w:rPr>
          <w:sz w:val="26"/>
          <w:szCs w:val="26"/>
        </w:rPr>
      </w:pPr>
      <w:r>
        <w:rPr>
          <w:sz w:val="26"/>
          <w:szCs w:val="26"/>
        </w:rPr>
        <w:tab/>
      </w:r>
      <w:r w:rsidR="00C3069C" w:rsidRPr="0052594D">
        <w:rPr>
          <w:sz w:val="26"/>
          <w:szCs w:val="26"/>
        </w:rPr>
        <w:t>ICWA’s purpose is to protect the best interests of Indian children and to promote stability and security for tribal communities and fa</w:t>
      </w:r>
      <w:r w:rsidR="00740FAB" w:rsidRPr="0052594D">
        <w:rPr>
          <w:sz w:val="26"/>
          <w:szCs w:val="26"/>
        </w:rPr>
        <w:t>milies by establishing minimum f</w:t>
      </w:r>
      <w:r w:rsidR="00C3069C" w:rsidRPr="0052594D">
        <w:rPr>
          <w:sz w:val="26"/>
          <w:szCs w:val="26"/>
        </w:rPr>
        <w:t xml:space="preserve">ederal standards for the removal of Indian children from their families and the placement of such children in homes or institutions which will reflect the unique values of </w:t>
      </w:r>
      <w:r w:rsidR="0020132E">
        <w:rPr>
          <w:sz w:val="26"/>
          <w:szCs w:val="26"/>
        </w:rPr>
        <w:t>the Indian tribe</w:t>
      </w:r>
      <w:r w:rsidR="00C3069C" w:rsidRPr="0052594D">
        <w:rPr>
          <w:sz w:val="26"/>
          <w:szCs w:val="26"/>
        </w:rPr>
        <w:t xml:space="preserve">.  </w:t>
      </w:r>
      <w:r w:rsidR="00E32DDF">
        <w:rPr>
          <w:sz w:val="26"/>
          <w:szCs w:val="26"/>
        </w:rPr>
        <w:t xml:space="preserve"> </w:t>
      </w:r>
      <w:r w:rsidR="0020443A" w:rsidRPr="0052594D">
        <w:rPr>
          <w:sz w:val="26"/>
          <w:szCs w:val="26"/>
        </w:rPr>
        <w:t xml:space="preserve">The proposed rule </w:t>
      </w:r>
      <w:r w:rsidR="00E32DDF">
        <w:rPr>
          <w:sz w:val="26"/>
          <w:szCs w:val="26"/>
        </w:rPr>
        <w:t xml:space="preserve">also </w:t>
      </w:r>
      <w:r w:rsidR="0020443A" w:rsidRPr="0052594D">
        <w:rPr>
          <w:sz w:val="26"/>
          <w:szCs w:val="26"/>
        </w:rPr>
        <w:t xml:space="preserve">makes sense </w:t>
      </w:r>
      <w:proofErr w:type="gramStart"/>
      <w:r w:rsidR="0020443A" w:rsidRPr="0052594D">
        <w:rPr>
          <w:sz w:val="26"/>
          <w:szCs w:val="26"/>
        </w:rPr>
        <w:t>in light of</w:t>
      </w:r>
      <w:proofErr w:type="gramEnd"/>
      <w:r w:rsidR="0020443A" w:rsidRPr="0052594D">
        <w:rPr>
          <w:sz w:val="26"/>
          <w:szCs w:val="26"/>
        </w:rPr>
        <w:t xml:space="preserve"> the law and recent Arizona policy </w:t>
      </w:r>
      <w:r w:rsidR="00CB058B" w:rsidRPr="0052594D">
        <w:rPr>
          <w:sz w:val="26"/>
          <w:szCs w:val="26"/>
        </w:rPr>
        <w:t xml:space="preserve">in ICWA cases. </w:t>
      </w:r>
      <w:r w:rsidR="00E32DDF">
        <w:rPr>
          <w:sz w:val="26"/>
          <w:szCs w:val="26"/>
        </w:rPr>
        <w:t>The Community understands that s</w:t>
      </w:r>
      <w:r w:rsidR="00CB058B" w:rsidRPr="0052594D">
        <w:rPr>
          <w:sz w:val="26"/>
          <w:szCs w:val="26"/>
        </w:rPr>
        <w:t>everal Arizona j</w:t>
      </w:r>
      <w:r w:rsidR="0020443A" w:rsidRPr="0052594D">
        <w:rPr>
          <w:sz w:val="26"/>
          <w:szCs w:val="26"/>
        </w:rPr>
        <w:t xml:space="preserve">uvenile courts have begun </w:t>
      </w:r>
      <w:r w:rsidR="0020443A" w:rsidRPr="0052594D">
        <w:rPr>
          <w:sz w:val="26"/>
          <w:szCs w:val="26"/>
        </w:rPr>
        <w:lastRenderedPageBreak/>
        <w:t>discussions about impleme</w:t>
      </w:r>
      <w:r w:rsidR="00ED1A17" w:rsidRPr="0052594D">
        <w:rPr>
          <w:sz w:val="26"/>
          <w:szCs w:val="26"/>
        </w:rPr>
        <w:t xml:space="preserve">nting </w:t>
      </w:r>
      <w:r w:rsidR="00053A14">
        <w:rPr>
          <w:sz w:val="26"/>
          <w:szCs w:val="26"/>
        </w:rPr>
        <w:t>specialized ICWA</w:t>
      </w:r>
      <w:r w:rsidR="00ED1A17" w:rsidRPr="0052594D">
        <w:rPr>
          <w:sz w:val="26"/>
          <w:szCs w:val="26"/>
        </w:rPr>
        <w:t xml:space="preserve"> c</w:t>
      </w:r>
      <w:r w:rsidR="0020443A" w:rsidRPr="0052594D">
        <w:rPr>
          <w:sz w:val="26"/>
          <w:szCs w:val="26"/>
        </w:rPr>
        <w:t>ourts</w:t>
      </w:r>
      <w:r w:rsidR="00053A14">
        <w:rPr>
          <w:sz w:val="26"/>
          <w:szCs w:val="26"/>
        </w:rPr>
        <w:t>,</w:t>
      </w:r>
      <w:r w:rsidR="00740FAB" w:rsidRPr="0052594D">
        <w:rPr>
          <w:sz w:val="26"/>
          <w:szCs w:val="26"/>
        </w:rPr>
        <w:t xml:space="preserve"> recognizing the need</w:t>
      </w:r>
      <w:r w:rsidR="000F1F9C" w:rsidRPr="0052594D">
        <w:rPr>
          <w:sz w:val="26"/>
          <w:szCs w:val="26"/>
        </w:rPr>
        <w:t xml:space="preserve"> for consistency with these</w:t>
      </w:r>
      <w:r w:rsidR="00740FAB" w:rsidRPr="0052594D">
        <w:rPr>
          <w:sz w:val="26"/>
          <w:szCs w:val="26"/>
        </w:rPr>
        <w:t xml:space="preserve"> specialized proceedings</w:t>
      </w:r>
      <w:r w:rsidR="00E32DDF">
        <w:rPr>
          <w:sz w:val="26"/>
          <w:szCs w:val="26"/>
        </w:rPr>
        <w:t>.</w:t>
      </w:r>
    </w:p>
    <w:p w:rsidR="00E32DDF" w:rsidRDefault="00E32DDF" w:rsidP="007A4853">
      <w:pPr>
        <w:tabs>
          <w:tab w:val="left" w:pos="720"/>
        </w:tabs>
        <w:jc w:val="both"/>
        <w:rPr>
          <w:sz w:val="26"/>
          <w:szCs w:val="26"/>
        </w:rPr>
      </w:pPr>
    </w:p>
    <w:p w:rsidR="009A5607" w:rsidRPr="0052594D" w:rsidRDefault="00E32DDF" w:rsidP="007A4853">
      <w:pPr>
        <w:tabs>
          <w:tab w:val="left" w:pos="720"/>
        </w:tabs>
        <w:jc w:val="both"/>
        <w:rPr>
          <w:sz w:val="26"/>
          <w:szCs w:val="26"/>
        </w:rPr>
      </w:pPr>
      <w:r>
        <w:rPr>
          <w:sz w:val="26"/>
          <w:szCs w:val="26"/>
        </w:rPr>
        <w:tab/>
      </w:r>
      <w:r w:rsidR="000F1F9C" w:rsidRPr="0052594D">
        <w:rPr>
          <w:sz w:val="26"/>
          <w:szCs w:val="26"/>
        </w:rPr>
        <w:t xml:space="preserve">Providing </w:t>
      </w:r>
      <w:r w:rsidR="00053A14">
        <w:rPr>
          <w:sz w:val="26"/>
          <w:szCs w:val="26"/>
        </w:rPr>
        <w:t xml:space="preserve">a </w:t>
      </w:r>
      <w:r w:rsidR="00053A14" w:rsidRPr="00053A14">
        <w:rPr>
          <w:i/>
          <w:sz w:val="26"/>
          <w:szCs w:val="26"/>
        </w:rPr>
        <w:t xml:space="preserve">pro </w:t>
      </w:r>
      <w:proofErr w:type="spellStart"/>
      <w:r w:rsidR="00053A14" w:rsidRPr="00053A14">
        <w:rPr>
          <w:i/>
          <w:sz w:val="26"/>
          <w:szCs w:val="26"/>
        </w:rPr>
        <w:t>hac</w:t>
      </w:r>
      <w:proofErr w:type="spellEnd"/>
      <w:r w:rsidR="00053A14" w:rsidRPr="00053A14">
        <w:rPr>
          <w:i/>
          <w:sz w:val="26"/>
          <w:szCs w:val="26"/>
        </w:rPr>
        <w:t xml:space="preserve"> vice</w:t>
      </w:r>
      <w:r w:rsidR="000F1F9C" w:rsidRPr="0052594D">
        <w:rPr>
          <w:sz w:val="26"/>
          <w:szCs w:val="26"/>
        </w:rPr>
        <w:t xml:space="preserve"> exception for tribal </w:t>
      </w:r>
      <w:r w:rsidR="00053A14">
        <w:rPr>
          <w:sz w:val="26"/>
          <w:szCs w:val="26"/>
        </w:rPr>
        <w:t>attorneys</w:t>
      </w:r>
      <w:r w:rsidR="000F1F9C" w:rsidRPr="0052594D">
        <w:rPr>
          <w:sz w:val="26"/>
          <w:szCs w:val="26"/>
        </w:rPr>
        <w:t xml:space="preserve"> in </w:t>
      </w:r>
      <w:r w:rsidR="00053A14">
        <w:rPr>
          <w:sz w:val="26"/>
          <w:szCs w:val="26"/>
        </w:rPr>
        <w:t>ICWA</w:t>
      </w:r>
      <w:r w:rsidR="000F1F9C" w:rsidRPr="0052594D">
        <w:rPr>
          <w:sz w:val="26"/>
          <w:szCs w:val="26"/>
        </w:rPr>
        <w:t xml:space="preserve"> cases will lessen the financial and practical burdens</w:t>
      </w:r>
      <w:r w:rsidR="00053A14">
        <w:rPr>
          <w:sz w:val="26"/>
          <w:szCs w:val="26"/>
        </w:rPr>
        <w:t xml:space="preserve"> on Indian tribes in appearing and participating in ICWA cases.</w:t>
      </w:r>
      <w:r>
        <w:rPr>
          <w:sz w:val="26"/>
          <w:szCs w:val="26"/>
        </w:rPr>
        <w:t xml:space="preserve"> </w:t>
      </w:r>
      <w:r w:rsidR="00053A14">
        <w:rPr>
          <w:sz w:val="26"/>
          <w:szCs w:val="26"/>
        </w:rPr>
        <w:t xml:space="preserve">Any </w:t>
      </w:r>
      <w:r w:rsidR="00053A14" w:rsidRPr="008A3BE5">
        <w:rPr>
          <w:i/>
          <w:sz w:val="26"/>
          <w:szCs w:val="26"/>
        </w:rPr>
        <w:t xml:space="preserve">pro </w:t>
      </w:r>
      <w:proofErr w:type="spellStart"/>
      <w:r w:rsidR="00053A14" w:rsidRPr="008A3BE5">
        <w:rPr>
          <w:i/>
          <w:sz w:val="26"/>
          <w:szCs w:val="26"/>
        </w:rPr>
        <w:t>hac</w:t>
      </w:r>
      <w:proofErr w:type="spellEnd"/>
      <w:r w:rsidR="00053A14" w:rsidRPr="008A3BE5">
        <w:rPr>
          <w:i/>
          <w:sz w:val="26"/>
          <w:szCs w:val="26"/>
        </w:rPr>
        <w:t xml:space="preserve"> vice</w:t>
      </w:r>
      <w:r w:rsidR="00053A14">
        <w:rPr>
          <w:sz w:val="26"/>
          <w:szCs w:val="26"/>
        </w:rPr>
        <w:t xml:space="preserve"> rule permitting tribal attorneys to participate in ICWA cases must consider that many Indian tribes have limited resources. High </w:t>
      </w:r>
      <w:r w:rsidR="00053A14" w:rsidRPr="00053A14">
        <w:rPr>
          <w:i/>
          <w:sz w:val="26"/>
          <w:szCs w:val="26"/>
        </w:rPr>
        <w:t xml:space="preserve">pro </w:t>
      </w:r>
      <w:proofErr w:type="spellStart"/>
      <w:r w:rsidR="00053A14" w:rsidRPr="00053A14">
        <w:rPr>
          <w:i/>
          <w:sz w:val="26"/>
          <w:szCs w:val="26"/>
        </w:rPr>
        <w:t>hac</w:t>
      </w:r>
      <w:proofErr w:type="spellEnd"/>
      <w:r w:rsidR="00053A14" w:rsidRPr="00053A14">
        <w:rPr>
          <w:i/>
          <w:sz w:val="26"/>
          <w:szCs w:val="26"/>
        </w:rPr>
        <w:t xml:space="preserve"> vice</w:t>
      </w:r>
      <w:r w:rsidR="00053A14">
        <w:rPr>
          <w:sz w:val="26"/>
          <w:szCs w:val="26"/>
        </w:rPr>
        <w:t xml:space="preserve"> fees and requirements to associate or appear with local counsel are </w:t>
      </w:r>
      <w:r>
        <w:rPr>
          <w:sz w:val="26"/>
          <w:szCs w:val="26"/>
        </w:rPr>
        <w:t xml:space="preserve">significant </w:t>
      </w:r>
      <w:r w:rsidR="00053A14">
        <w:rPr>
          <w:sz w:val="26"/>
          <w:szCs w:val="26"/>
        </w:rPr>
        <w:t xml:space="preserve">burdens on an Indian tribe’s right to intervene and participate in ICWA cases. The time it takes to comply with such requirements works to the detriment of Indian children and families, as most state court dependency or abuse/neglect proceedings are subject to strict case deadlines. </w:t>
      </w:r>
      <w:r w:rsidR="008A3BE5">
        <w:rPr>
          <w:sz w:val="26"/>
          <w:szCs w:val="26"/>
        </w:rPr>
        <w:t xml:space="preserve">And, as noted, some parties may use this situation to </w:t>
      </w:r>
      <w:r>
        <w:rPr>
          <w:sz w:val="26"/>
          <w:szCs w:val="26"/>
        </w:rPr>
        <w:t xml:space="preserve">attempt to </w:t>
      </w:r>
      <w:r w:rsidR="008A3BE5">
        <w:rPr>
          <w:sz w:val="26"/>
          <w:szCs w:val="26"/>
        </w:rPr>
        <w:t xml:space="preserve">exclude Indian tribes from participating in cases involving their children. </w:t>
      </w:r>
      <w:r w:rsidR="00C3069C" w:rsidRPr="0052594D">
        <w:rPr>
          <w:sz w:val="26"/>
          <w:szCs w:val="26"/>
        </w:rPr>
        <w:t xml:space="preserve">To protect Indian children's </w:t>
      </w:r>
      <w:r w:rsidR="008A3BE5">
        <w:rPr>
          <w:sz w:val="26"/>
          <w:szCs w:val="26"/>
        </w:rPr>
        <w:t>best</w:t>
      </w:r>
      <w:r w:rsidR="00C3069C" w:rsidRPr="0052594D">
        <w:rPr>
          <w:sz w:val="26"/>
          <w:szCs w:val="26"/>
        </w:rPr>
        <w:t xml:space="preserve"> interests, </w:t>
      </w:r>
      <w:r w:rsidR="008A3BE5">
        <w:rPr>
          <w:sz w:val="26"/>
          <w:szCs w:val="26"/>
        </w:rPr>
        <w:t xml:space="preserve">Indian </w:t>
      </w:r>
      <w:r>
        <w:rPr>
          <w:sz w:val="26"/>
          <w:szCs w:val="26"/>
        </w:rPr>
        <w:t xml:space="preserve">tribes, through </w:t>
      </w:r>
      <w:r w:rsidR="00C3069C" w:rsidRPr="0052594D">
        <w:rPr>
          <w:sz w:val="26"/>
          <w:szCs w:val="26"/>
        </w:rPr>
        <w:t xml:space="preserve">their attorneys </w:t>
      </w:r>
      <w:r w:rsidR="00761C1B">
        <w:rPr>
          <w:sz w:val="26"/>
          <w:szCs w:val="26"/>
        </w:rPr>
        <w:t>and representatives</w:t>
      </w:r>
      <w:r>
        <w:rPr>
          <w:sz w:val="26"/>
          <w:szCs w:val="26"/>
        </w:rPr>
        <w:t>,</w:t>
      </w:r>
      <w:r w:rsidR="00761C1B">
        <w:rPr>
          <w:sz w:val="26"/>
          <w:szCs w:val="26"/>
        </w:rPr>
        <w:t xml:space="preserve"> </w:t>
      </w:r>
      <w:r w:rsidR="00C3069C" w:rsidRPr="0052594D">
        <w:rPr>
          <w:sz w:val="26"/>
          <w:szCs w:val="26"/>
        </w:rPr>
        <w:t>mu</w:t>
      </w:r>
      <w:r w:rsidR="008A3BE5">
        <w:rPr>
          <w:sz w:val="26"/>
          <w:szCs w:val="26"/>
        </w:rPr>
        <w:t>st be able to intervene quickly</w:t>
      </w:r>
      <w:r w:rsidR="00C3069C" w:rsidRPr="0052594D">
        <w:rPr>
          <w:sz w:val="26"/>
          <w:szCs w:val="26"/>
        </w:rPr>
        <w:t xml:space="preserve"> as a matter of right</w:t>
      </w:r>
      <w:r w:rsidR="008A3BE5">
        <w:rPr>
          <w:sz w:val="26"/>
          <w:szCs w:val="26"/>
        </w:rPr>
        <w:t>,</w:t>
      </w:r>
      <w:r w:rsidR="00C3069C" w:rsidRPr="0052594D">
        <w:rPr>
          <w:sz w:val="26"/>
          <w:szCs w:val="26"/>
        </w:rPr>
        <w:t xml:space="preserve"> and be protected from </w:t>
      </w:r>
      <w:r w:rsidR="008A3BE5">
        <w:rPr>
          <w:sz w:val="26"/>
          <w:szCs w:val="26"/>
        </w:rPr>
        <w:t xml:space="preserve">frivolous </w:t>
      </w:r>
      <w:r w:rsidR="00C3069C" w:rsidRPr="0052594D">
        <w:rPr>
          <w:sz w:val="26"/>
          <w:szCs w:val="26"/>
        </w:rPr>
        <w:t>unauthorized practice of law allegations.</w:t>
      </w:r>
      <w:r w:rsidR="00E13C66" w:rsidRPr="0052594D">
        <w:rPr>
          <w:sz w:val="26"/>
          <w:szCs w:val="26"/>
        </w:rPr>
        <w:t xml:space="preserve"> </w:t>
      </w:r>
    </w:p>
    <w:p w:rsidR="000F4BF5" w:rsidRPr="0052594D" w:rsidRDefault="000F4BF5" w:rsidP="007A4853">
      <w:pPr>
        <w:pStyle w:val="DoubleSpacing"/>
        <w:tabs>
          <w:tab w:val="left" w:pos="720"/>
        </w:tabs>
        <w:spacing w:line="240" w:lineRule="auto"/>
        <w:jc w:val="both"/>
        <w:rPr>
          <w:rFonts w:ascii="Times New Roman" w:hAnsi="Times New Roman" w:cs="Times New Roman"/>
          <w:sz w:val="26"/>
          <w:szCs w:val="26"/>
        </w:rPr>
      </w:pPr>
    </w:p>
    <w:p w:rsidR="00AE5485" w:rsidRPr="0052594D" w:rsidRDefault="007A4853" w:rsidP="007A4853">
      <w:pPr>
        <w:pStyle w:val="DoubleSpacing"/>
        <w:tabs>
          <w:tab w:val="left" w:pos="720"/>
        </w:tabs>
        <w:spacing w:line="240" w:lineRule="auto"/>
        <w:jc w:val="both"/>
        <w:rPr>
          <w:rFonts w:ascii="Times New Roman" w:hAnsi="Times New Roman" w:cs="Times New Roman"/>
          <w:sz w:val="26"/>
          <w:szCs w:val="26"/>
        </w:rPr>
      </w:pPr>
      <w:r>
        <w:rPr>
          <w:rFonts w:ascii="Times New Roman" w:hAnsi="Times New Roman" w:cs="Times New Roman"/>
          <w:sz w:val="26"/>
          <w:szCs w:val="26"/>
        </w:rPr>
        <w:tab/>
      </w:r>
      <w:r w:rsidR="00ED1A17" w:rsidRPr="0052594D">
        <w:rPr>
          <w:rFonts w:ascii="Times New Roman" w:hAnsi="Times New Roman" w:cs="Times New Roman"/>
          <w:sz w:val="26"/>
          <w:szCs w:val="26"/>
        </w:rPr>
        <w:t>Finally</w:t>
      </w:r>
      <w:r w:rsidR="00A47EAC" w:rsidRPr="0052594D">
        <w:rPr>
          <w:rFonts w:ascii="Times New Roman" w:hAnsi="Times New Roman" w:cs="Times New Roman"/>
          <w:sz w:val="26"/>
          <w:szCs w:val="26"/>
        </w:rPr>
        <w:t>,</w:t>
      </w:r>
      <w:r w:rsidR="00D57DE4" w:rsidRPr="0052594D">
        <w:rPr>
          <w:rFonts w:ascii="Times New Roman" w:hAnsi="Times New Roman" w:cs="Times New Roman"/>
          <w:sz w:val="26"/>
          <w:szCs w:val="26"/>
        </w:rPr>
        <w:t xml:space="preserve"> </w:t>
      </w:r>
      <w:r w:rsidR="00ED1A17" w:rsidRPr="0052594D">
        <w:rPr>
          <w:rFonts w:ascii="Times New Roman" w:hAnsi="Times New Roman" w:cs="Times New Roman"/>
          <w:sz w:val="26"/>
          <w:szCs w:val="26"/>
        </w:rPr>
        <w:t xml:space="preserve">early tribal participation </w:t>
      </w:r>
      <w:r w:rsidR="007B39DE" w:rsidRPr="0052594D">
        <w:rPr>
          <w:rFonts w:ascii="Times New Roman" w:hAnsi="Times New Roman" w:cs="Times New Roman"/>
          <w:sz w:val="26"/>
          <w:szCs w:val="26"/>
        </w:rPr>
        <w:t>increases the likelihood of compliance with ICWA</w:t>
      </w:r>
      <w:r w:rsidR="00231199">
        <w:rPr>
          <w:rFonts w:ascii="Times New Roman" w:hAnsi="Times New Roman" w:cs="Times New Roman"/>
          <w:sz w:val="26"/>
          <w:szCs w:val="26"/>
        </w:rPr>
        <w:t>.</w:t>
      </w:r>
      <w:r w:rsidR="00A47EAC" w:rsidRPr="0052594D">
        <w:rPr>
          <w:rStyle w:val="FootnoteReference"/>
          <w:rFonts w:ascii="Times New Roman" w:hAnsi="Times New Roman" w:cs="Times New Roman"/>
          <w:sz w:val="26"/>
          <w:szCs w:val="26"/>
        </w:rPr>
        <w:footnoteReference w:id="13"/>
      </w:r>
      <w:r w:rsidR="00D57DE4" w:rsidRPr="0052594D">
        <w:rPr>
          <w:rFonts w:ascii="Times New Roman" w:hAnsi="Times New Roman" w:cs="Times New Roman"/>
          <w:sz w:val="26"/>
          <w:szCs w:val="26"/>
        </w:rPr>
        <w:t xml:space="preserve"> </w:t>
      </w:r>
      <w:r w:rsidR="00ED1A17" w:rsidRPr="0052594D">
        <w:rPr>
          <w:rFonts w:ascii="Times New Roman" w:hAnsi="Times New Roman" w:cs="Times New Roman"/>
          <w:sz w:val="26"/>
          <w:szCs w:val="26"/>
        </w:rPr>
        <w:t>In the Community’s experience, t</w:t>
      </w:r>
      <w:r w:rsidR="000F4BF5" w:rsidRPr="0052594D">
        <w:rPr>
          <w:rFonts w:ascii="Times New Roman" w:hAnsi="Times New Roman" w:cs="Times New Roman"/>
          <w:sz w:val="26"/>
          <w:szCs w:val="26"/>
        </w:rPr>
        <w:t>here are several reasons why e</w:t>
      </w:r>
      <w:r w:rsidR="00D57DE4" w:rsidRPr="0052594D">
        <w:rPr>
          <w:rFonts w:ascii="Times New Roman" w:hAnsi="Times New Roman" w:cs="Times New Roman"/>
          <w:sz w:val="26"/>
          <w:szCs w:val="26"/>
        </w:rPr>
        <w:t xml:space="preserve">arly tribal participation in ICWA cases </w:t>
      </w:r>
      <w:r w:rsidR="007B39DE" w:rsidRPr="0052594D">
        <w:rPr>
          <w:rFonts w:ascii="Times New Roman" w:hAnsi="Times New Roman" w:cs="Times New Roman"/>
          <w:sz w:val="26"/>
          <w:szCs w:val="26"/>
        </w:rPr>
        <w:t>increases</w:t>
      </w:r>
      <w:r w:rsidR="00BA49E8" w:rsidRPr="0052594D">
        <w:rPr>
          <w:rFonts w:ascii="Times New Roman" w:hAnsi="Times New Roman" w:cs="Times New Roman"/>
          <w:sz w:val="26"/>
          <w:szCs w:val="26"/>
        </w:rPr>
        <w:t xml:space="preserve"> </w:t>
      </w:r>
      <w:r w:rsidR="000F4BF5" w:rsidRPr="0052594D">
        <w:rPr>
          <w:rFonts w:ascii="Times New Roman" w:hAnsi="Times New Roman" w:cs="Times New Roman"/>
          <w:sz w:val="26"/>
          <w:szCs w:val="26"/>
        </w:rPr>
        <w:t>compliance with ICWA</w:t>
      </w:r>
      <w:r w:rsidR="00231199">
        <w:rPr>
          <w:rFonts w:ascii="Times New Roman" w:hAnsi="Times New Roman" w:cs="Times New Roman"/>
          <w:sz w:val="26"/>
          <w:szCs w:val="26"/>
        </w:rPr>
        <w:t xml:space="preserve"> and </w:t>
      </w:r>
      <w:r w:rsidR="009A6514">
        <w:rPr>
          <w:rFonts w:ascii="Times New Roman" w:hAnsi="Times New Roman" w:cs="Times New Roman"/>
          <w:sz w:val="26"/>
          <w:szCs w:val="26"/>
        </w:rPr>
        <w:t xml:space="preserve">produces </w:t>
      </w:r>
      <w:r w:rsidR="00231199">
        <w:rPr>
          <w:rFonts w:ascii="Times New Roman" w:hAnsi="Times New Roman" w:cs="Times New Roman"/>
          <w:sz w:val="26"/>
          <w:szCs w:val="26"/>
        </w:rPr>
        <w:t>better outcomes</w:t>
      </w:r>
      <w:r w:rsidR="000F4BF5" w:rsidRPr="0052594D">
        <w:rPr>
          <w:rFonts w:ascii="Times New Roman" w:hAnsi="Times New Roman" w:cs="Times New Roman"/>
          <w:sz w:val="26"/>
          <w:szCs w:val="26"/>
        </w:rPr>
        <w:t>: (1) t</w:t>
      </w:r>
      <w:r w:rsidR="00760DD7" w:rsidRPr="0052594D">
        <w:rPr>
          <w:rFonts w:ascii="Times New Roman" w:hAnsi="Times New Roman" w:cs="Times New Roman"/>
          <w:sz w:val="26"/>
          <w:szCs w:val="26"/>
        </w:rPr>
        <w:t xml:space="preserve">ribal </w:t>
      </w:r>
      <w:r w:rsidR="00231199">
        <w:rPr>
          <w:rFonts w:ascii="Times New Roman" w:hAnsi="Times New Roman" w:cs="Times New Roman"/>
          <w:sz w:val="26"/>
          <w:szCs w:val="26"/>
        </w:rPr>
        <w:t xml:space="preserve">attorneys and </w:t>
      </w:r>
      <w:r w:rsidR="00760DD7" w:rsidRPr="0052594D">
        <w:rPr>
          <w:rFonts w:ascii="Times New Roman" w:hAnsi="Times New Roman" w:cs="Times New Roman"/>
          <w:sz w:val="26"/>
          <w:szCs w:val="26"/>
        </w:rPr>
        <w:t xml:space="preserve">representatives </w:t>
      </w:r>
      <w:r w:rsidR="007B39DE" w:rsidRPr="0052594D">
        <w:rPr>
          <w:rFonts w:ascii="Times New Roman" w:hAnsi="Times New Roman" w:cs="Times New Roman"/>
          <w:sz w:val="26"/>
          <w:szCs w:val="26"/>
        </w:rPr>
        <w:t>are often more knowl</w:t>
      </w:r>
      <w:r w:rsidR="0020443A" w:rsidRPr="0052594D">
        <w:rPr>
          <w:rFonts w:ascii="Times New Roman" w:hAnsi="Times New Roman" w:cs="Times New Roman"/>
          <w:sz w:val="26"/>
          <w:szCs w:val="26"/>
        </w:rPr>
        <w:t>edgeable</w:t>
      </w:r>
      <w:r w:rsidR="00ED1A17" w:rsidRPr="0052594D">
        <w:rPr>
          <w:rFonts w:ascii="Times New Roman" w:hAnsi="Times New Roman" w:cs="Times New Roman"/>
          <w:sz w:val="26"/>
          <w:szCs w:val="26"/>
        </w:rPr>
        <w:t xml:space="preserve"> about ICWA than state agencies</w:t>
      </w:r>
      <w:r w:rsidR="0020443A" w:rsidRPr="0052594D">
        <w:rPr>
          <w:rFonts w:ascii="Times New Roman" w:hAnsi="Times New Roman" w:cs="Times New Roman"/>
          <w:sz w:val="26"/>
          <w:szCs w:val="26"/>
        </w:rPr>
        <w:t xml:space="preserve">, particularly regarding determination of </w:t>
      </w:r>
      <w:r w:rsidR="00231199">
        <w:rPr>
          <w:rFonts w:ascii="Times New Roman" w:hAnsi="Times New Roman" w:cs="Times New Roman"/>
          <w:sz w:val="26"/>
          <w:szCs w:val="26"/>
        </w:rPr>
        <w:t>Community-</w:t>
      </w:r>
      <w:r w:rsidR="00EA2B36" w:rsidRPr="0052594D">
        <w:rPr>
          <w:rFonts w:ascii="Times New Roman" w:hAnsi="Times New Roman" w:cs="Times New Roman"/>
          <w:sz w:val="26"/>
          <w:szCs w:val="26"/>
        </w:rPr>
        <w:t xml:space="preserve">specific </w:t>
      </w:r>
      <w:r w:rsidR="00231199">
        <w:rPr>
          <w:rFonts w:ascii="Times New Roman" w:hAnsi="Times New Roman" w:cs="Times New Roman"/>
          <w:sz w:val="26"/>
          <w:szCs w:val="26"/>
        </w:rPr>
        <w:t>standards or</w:t>
      </w:r>
      <w:r w:rsidR="00EA2B36" w:rsidRPr="0052594D">
        <w:rPr>
          <w:rFonts w:ascii="Times New Roman" w:hAnsi="Times New Roman" w:cs="Times New Roman"/>
          <w:sz w:val="26"/>
          <w:szCs w:val="26"/>
        </w:rPr>
        <w:t xml:space="preserve"> </w:t>
      </w:r>
      <w:r w:rsidR="00ED1A17" w:rsidRPr="0052594D">
        <w:rPr>
          <w:rFonts w:ascii="Times New Roman" w:hAnsi="Times New Roman" w:cs="Times New Roman"/>
          <w:sz w:val="26"/>
          <w:szCs w:val="26"/>
        </w:rPr>
        <w:t xml:space="preserve">ICWA </w:t>
      </w:r>
      <w:r w:rsidR="00231199">
        <w:rPr>
          <w:rFonts w:ascii="Times New Roman" w:hAnsi="Times New Roman" w:cs="Times New Roman"/>
          <w:sz w:val="26"/>
          <w:szCs w:val="26"/>
        </w:rPr>
        <w:t>preferences</w:t>
      </w:r>
      <w:r w:rsidR="00367788">
        <w:rPr>
          <w:rFonts w:ascii="Times New Roman" w:hAnsi="Times New Roman" w:cs="Times New Roman"/>
          <w:sz w:val="26"/>
          <w:szCs w:val="26"/>
        </w:rPr>
        <w:t>;</w:t>
      </w:r>
      <w:r w:rsidR="0020443A" w:rsidRPr="0052594D">
        <w:rPr>
          <w:rFonts w:ascii="Times New Roman" w:hAnsi="Times New Roman" w:cs="Times New Roman"/>
          <w:sz w:val="26"/>
          <w:szCs w:val="26"/>
        </w:rPr>
        <w:t xml:space="preserve"> </w:t>
      </w:r>
      <w:r w:rsidR="000F4BF5" w:rsidRPr="0052594D">
        <w:rPr>
          <w:rFonts w:ascii="Times New Roman" w:hAnsi="Times New Roman" w:cs="Times New Roman"/>
          <w:sz w:val="26"/>
          <w:szCs w:val="26"/>
        </w:rPr>
        <w:t xml:space="preserve">(2) </w:t>
      </w:r>
      <w:r w:rsidR="00231199">
        <w:rPr>
          <w:rFonts w:ascii="Times New Roman" w:hAnsi="Times New Roman" w:cs="Times New Roman"/>
          <w:sz w:val="26"/>
          <w:szCs w:val="26"/>
        </w:rPr>
        <w:t xml:space="preserve">Indian tribes </w:t>
      </w:r>
      <w:r w:rsidR="000F4BF5" w:rsidRPr="0052594D">
        <w:rPr>
          <w:rFonts w:ascii="Times New Roman" w:hAnsi="Times New Roman" w:cs="Times New Roman"/>
          <w:sz w:val="26"/>
          <w:szCs w:val="26"/>
        </w:rPr>
        <w:t>have better access to locate</w:t>
      </w:r>
      <w:r w:rsidR="0020443A" w:rsidRPr="0052594D">
        <w:rPr>
          <w:rFonts w:ascii="Times New Roman" w:hAnsi="Times New Roman" w:cs="Times New Roman"/>
          <w:sz w:val="26"/>
          <w:szCs w:val="26"/>
        </w:rPr>
        <w:t xml:space="preserve"> </w:t>
      </w:r>
      <w:r w:rsidR="000F4BF5" w:rsidRPr="0052594D">
        <w:rPr>
          <w:rFonts w:ascii="Times New Roman" w:hAnsi="Times New Roman" w:cs="Times New Roman"/>
          <w:sz w:val="26"/>
          <w:szCs w:val="26"/>
        </w:rPr>
        <w:t xml:space="preserve">tribal </w:t>
      </w:r>
      <w:r w:rsidR="0020443A" w:rsidRPr="0052594D">
        <w:rPr>
          <w:rFonts w:ascii="Times New Roman" w:hAnsi="Times New Roman" w:cs="Times New Roman"/>
          <w:sz w:val="26"/>
          <w:szCs w:val="26"/>
        </w:rPr>
        <w:t xml:space="preserve">family placement options or other </w:t>
      </w:r>
      <w:r w:rsidR="00231199">
        <w:rPr>
          <w:rFonts w:ascii="Times New Roman" w:hAnsi="Times New Roman" w:cs="Times New Roman"/>
          <w:sz w:val="26"/>
          <w:szCs w:val="26"/>
        </w:rPr>
        <w:t>tribal-</w:t>
      </w:r>
      <w:r w:rsidR="000F4BF5" w:rsidRPr="0052594D">
        <w:rPr>
          <w:rFonts w:ascii="Times New Roman" w:hAnsi="Times New Roman" w:cs="Times New Roman"/>
          <w:sz w:val="26"/>
          <w:szCs w:val="26"/>
        </w:rPr>
        <w:t xml:space="preserve">specific </w:t>
      </w:r>
      <w:r w:rsidR="0020443A" w:rsidRPr="0052594D">
        <w:rPr>
          <w:rFonts w:ascii="Times New Roman" w:hAnsi="Times New Roman" w:cs="Times New Roman"/>
          <w:sz w:val="26"/>
          <w:szCs w:val="26"/>
        </w:rPr>
        <w:t xml:space="preserve">ICWA </w:t>
      </w:r>
      <w:r w:rsidR="00367788">
        <w:rPr>
          <w:rFonts w:ascii="Times New Roman" w:hAnsi="Times New Roman" w:cs="Times New Roman"/>
          <w:sz w:val="26"/>
          <w:szCs w:val="26"/>
        </w:rPr>
        <w:t>compliant placement options;</w:t>
      </w:r>
      <w:r w:rsidR="0020443A" w:rsidRPr="0052594D">
        <w:rPr>
          <w:rFonts w:ascii="Times New Roman" w:hAnsi="Times New Roman" w:cs="Times New Roman"/>
          <w:sz w:val="26"/>
          <w:szCs w:val="26"/>
        </w:rPr>
        <w:t xml:space="preserve"> and</w:t>
      </w:r>
      <w:r w:rsidR="000F4BF5" w:rsidRPr="0052594D">
        <w:rPr>
          <w:rFonts w:ascii="Times New Roman" w:hAnsi="Times New Roman" w:cs="Times New Roman"/>
          <w:sz w:val="26"/>
          <w:szCs w:val="26"/>
        </w:rPr>
        <w:t xml:space="preserve"> (3)</w:t>
      </w:r>
      <w:r w:rsidR="0020443A" w:rsidRPr="0052594D">
        <w:rPr>
          <w:rFonts w:ascii="Times New Roman" w:hAnsi="Times New Roman" w:cs="Times New Roman"/>
          <w:sz w:val="26"/>
          <w:szCs w:val="26"/>
        </w:rPr>
        <w:t xml:space="preserve"> </w:t>
      </w:r>
      <w:r w:rsidR="00231199">
        <w:rPr>
          <w:rFonts w:ascii="Times New Roman" w:hAnsi="Times New Roman" w:cs="Times New Roman"/>
          <w:sz w:val="26"/>
          <w:szCs w:val="26"/>
        </w:rPr>
        <w:t xml:space="preserve">Indian tribes can offer </w:t>
      </w:r>
      <w:r w:rsidR="0020443A" w:rsidRPr="0052594D">
        <w:rPr>
          <w:rFonts w:ascii="Times New Roman" w:hAnsi="Times New Roman" w:cs="Times New Roman"/>
          <w:sz w:val="26"/>
          <w:szCs w:val="26"/>
        </w:rPr>
        <w:t>immediate</w:t>
      </w:r>
      <w:r w:rsidR="000F4BF5" w:rsidRPr="0052594D">
        <w:rPr>
          <w:rFonts w:ascii="Times New Roman" w:hAnsi="Times New Roman" w:cs="Times New Roman"/>
          <w:sz w:val="26"/>
          <w:szCs w:val="26"/>
        </w:rPr>
        <w:t xml:space="preserve"> knowledge or</w:t>
      </w:r>
      <w:r w:rsidR="0020443A" w:rsidRPr="0052594D">
        <w:rPr>
          <w:rFonts w:ascii="Times New Roman" w:hAnsi="Times New Roman" w:cs="Times New Roman"/>
          <w:sz w:val="26"/>
          <w:szCs w:val="26"/>
        </w:rPr>
        <w:t xml:space="preserve"> access to culturally appropriate services</w:t>
      </w:r>
      <w:r w:rsidR="007B39DE" w:rsidRPr="0052594D">
        <w:rPr>
          <w:rFonts w:ascii="Times New Roman" w:hAnsi="Times New Roman" w:cs="Times New Roman"/>
          <w:sz w:val="26"/>
          <w:szCs w:val="26"/>
        </w:rPr>
        <w:t xml:space="preserve">. </w:t>
      </w:r>
      <w:r w:rsidR="00740FAB" w:rsidRPr="0052594D">
        <w:rPr>
          <w:rFonts w:ascii="Times New Roman" w:hAnsi="Times New Roman" w:cs="Times New Roman"/>
          <w:sz w:val="26"/>
          <w:szCs w:val="26"/>
        </w:rPr>
        <w:t>The proposed rule is necessary because reducing cos</w:t>
      </w:r>
      <w:r w:rsidR="00231199">
        <w:rPr>
          <w:rFonts w:ascii="Times New Roman" w:hAnsi="Times New Roman" w:cs="Times New Roman"/>
          <w:sz w:val="26"/>
          <w:szCs w:val="26"/>
        </w:rPr>
        <w:t>ts and procedural steps for out-of-</w:t>
      </w:r>
      <w:r w:rsidR="00740FAB" w:rsidRPr="0052594D">
        <w:rPr>
          <w:rFonts w:ascii="Times New Roman" w:hAnsi="Times New Roman" w:cs="Times New Roman"/>
          <w:sz w:val="26"/>
          <w:szCs w:val="26"/>
        </w:rPr>
        <w:t xml:space="preserve">state tribes appearing in Arizona </w:t>
      </w:r>
      <w:r w:rsidR="00231199">
        <w:rPr>
          <w:rFonts w:ascii="Times New Roman" w:hAnsi="Times New Roman" w:cs="Times New Roman"/>
          <w:sz w:val="26"/>
          <w:szCs w:val="26"/>
        </w:rPr>
        <w:t>courts</w:t>
      </w:r>
      <w:r w:rsidR="00740FAB" w:rsidRPr="0052594D">
        <w:rPr>
          <w:rFonts w:ascii="Times New Roman" w:hAnsi="Times New Roman" w:cs="Times New Roman"/>
          <w:sz w:val="26"/>
          <w:szCs w:val="26"/>
        </w:rPr>
        <w:t xml:space="preserve"> is beneficial for all</w:t>
      </w:r>
      <w:r w:rsidR="00231199">
        <w:rPr>
          <w:rFonts w:ascii="Times New Roman" w:hAnsi="Times New Roman" w:cs="Times New Roman"/>
          <w:sz w:val="26"/>
          <w:szCs w:val="26"/>
        </w:rPr>
        <w:t xml:space="preserve"> agencies and parties involved and, most importantly, for the children involved in these hard cases.</w:t>
      </w:r>
    </w:p>
    <w:p w:rsidR="00752DBF" w:rsidRPr="0052594D" w:rsidRDefault="00752DBF" w:rsidP="007A4853">
      <w:pPr>
        <w:tabs>
          <w:tab w:val="left" w:pos="720"/>
        </w:tabs>
        <w:jc w:val="both"/>
        <w:rPr>
          <w:sz w:val="26"/>
          <w:szCs w:val="26"/>
        </w:rPr>
      </w:pPr>
    </w:p>
    <w:p w:rsidR="002C1E08" w:rsidRPr="0052594D" w:rsidRDefault="007A4853" w:rsidP="007A4853">
      <w:pPr>
        <w:tabs>
          <w:tab w:val="left" w:pos="720"/>
        </w:tabs>
        <w:jc w:val="both"/>
        <w:rPr>
          <w:sz w:val="26"/>
          <w:szCs w:val="26"/>
        </w:rPr>
      </w:pPr>
      <w:r>
        <w:rPr>
          <w:sz w:val="26"/>
          <w:szCs w:val="26"/>
        </w:rPr>
        <w:tab/>
      </w:r>
      <w:r w:rsidR="002C1E08" w:rsidRPr="0052594D">
        <w:rPr>
          <w:sz w:val="26"/>
          <w:szCs w:val="26"/>
        </w:rPr>
        <w:t xml:space="preserve">On behalf of the Gila River Indian Community, </w:t>
      </w:r>
      <w:r w:rsidR="00231199">
        <w:rPr>
          <w:sz w:val="26"/>
          <w:szCs w:val="26"/>
        </w:rPr>
        <w:t xml:space="preserve">I </w:t>
      </w:r>
      <w:r w:rsidR="002C1E08" w:rsidRPr="0052594D">
        <w:rPr>
          <w:sz w:val="26"/>
          <w:szCs w:val="26"/>
        </w:rPr>
        <w:t xml:space="preserve">thank you for the opportunity to comment on this proposed </w:t>
      </w:r>
      <w:r w:rsidR="00231199">
        <w:rPr>
          <w:sz w:val="26"/>
          <w:szCs w:val="26"/>
        </w:rPr>
        <w:t>amendment to Rule 39</w:t>
      </w:r>
      <w:r w:rsidR="002C1E08" w:rsidRPr="0052594D">
        <w:rPr>
          <w:sz w:val="26"/>
          <w:szCs w:val="26"/>
        </w:rPr>
        <w:t xml:space="preserve">. We very much </w:t>
      </w:r>
      <w:r w:rsidR="0064755D" w:rsidRPr="0052594D">
        <w:rPr>
          <w:sz w:val="26"/>
          <w:szCs w:val="26"/>
        </w:rPr>
        <w:t>support</w:t>
      </w:r>
      <w:r w:rsidR="002C1E08" w:rsidRPr="0052594D">
        <w:rPr>
          <w:sz w:val="26"/>
          <w:szCs w:val="26"/>
        </w:rPr>
        <w:t xml:space="preserve"> the </w:t>
      </w:r>
      <w:r w:rsidR="00231199">
        <w:rPr>
          <w:sz w:val="26"/>
          <w:szCs w:val="26"/>
        </w:rPr>
        <w:t>adoption</w:t>
      </w:r>
      <w:r w:rsidR="002C1E08" w:rsidRPr="0052594D">
        <w:rPr>
          <w:sz w:val="26"/>
          <w:szCs w:val="26"/>
        </w:rPr>
        <w:t xml:space="preserve"> of this proposed </w:t>
      </w:r>
      <w:r w:rsidR="00231199">
        <w:rPr>
          <w:sz w:val="26"/>
          <w:szCs w:val="26"/>
        </w:rPr>
        <w:t>amendment</w:t>
      </w:r>
      <w:r w:rsidR="002C1E08" w:rsidRPr="0052594D">
        <w:rPr>
          <w:sz w:val="26"/>
          <w:szCs w:val="26"/>
        </w:rPr>
        <w:t xml:space="preserve"> and </w:t>
      </w:r>
      <w:r w:rsidR="0064755D" w:rsidRPr="0052594D">
        <w:rPr>
          <w:sz w:val="26"/>
          <w:szCs w:val="26"/>
        </w:rPr>
        <w:t>appre</w:t>
      </w:r>
      <w:r w:rsidR="008D7D67" w:rsidRPr="0052594D">
        <w:rPr>
          <w:sz w:val="26"/>
          <w:szCs w:val="26"/>
        </w:rPr>
        <w:t>ci</w:t>
      </w:r>
      <w:r w:rsidR="003E4D9E">
        <w:rPr>
          <w:sz w:val="26"/>
          <w:szCs w:val="26"/>
        </w:rPr>
        <w:t xml:space="preserve">ate </w:t>
      </w:r>
      <w:r w:rsidR="00EF4C45">
        <w:rPr>
          <w:sz w:val="26"/>
          <w:szCs w:val="26"/>
        </w:rPr>
        <w:t xml:space="preserve">the </w:t>
      </w:r>
      <w:r w:rsidR="003E4D9E">
        <w:rPr>
          <w:sz w:val="26"/>
          <w:szCs w:val="26"/>
        </w:rPr>
        <w:t xml:space="preserve">hearing </w:t>
      </w:r>
      <w:r w:rsidR="00EF4C45">
        <w:rPr>
          <w:sz w:val="26"/>
          <w:szCs w:val="26"/>
        </w:rPr>
        <w:t xml:space="preserve">of </w:t>
      </w:r>
      <w:r w:rsidR="003E4D9E">
        <w:rPr>
          <w:sz w:val="26"/>
          <w:szCs w:val="26"/>
        </w:rPr>
        <w:t xml:space="preserve">our comments. </w:t>
      </w:r>
      <w:r w:rsidR="0020443A" w:rsidRPr="0052594D">
        <w:rPr>
          <w:sz w:val="26"/>
          <w:szCs w:val="26"/>
        </w:rPr>
        <w:t>As a Community and partner in ICWA cases, we support the</w:t>
      </w:r>
      <w:r w:rsidR="002C1E08" w:rsidRPr="0052594D">
        <w:rPr>
          <w:sz w:val="26"/>
          <w:szCs w:val="26"/>
        </w:rPr>
        <w:t xml:space="preserve"> adopt</w:t>
      </w:r>
      <w:r w:rsidR="0020443A" w:rsidRPr="0052594D">
        <w:rPr>
          <w:sz w:val="26"/>
          <w:szCs w:val="26"/>
        </w:rPr>
        <w:t>ion of</w:t>
      </w:r>
      <w:r w:rsidR="002C1E08" w:rsidRPr="0052594D">
        <w:rPr>
          <w:sz w:val="26"/>
          <w:szCs w:val="26"/>
        </w:rPr>
        <w:t xml:space="preserve"> rules that support </w:t>
      </w:r>
      <w:r w:rsidR="00231199">
        <w:rPr>
          <w:sz w:val="26"/>
          <w:szCs w:val="26"/>
        </w:rPr>
        <w:t xml:space="preserve">and further </w:t>
      </w:r>
      <w:r w:rsidR="002C1E08" w:rsidRPr="0052594D">
        <w:rPr>
          <w:sz w:val="26"/>
          <w:szCs w:val="26"/>
        </w:rPr>
        <w:t>ICWA</w:t>
      </w:r>
      <w:r w:rsidR="0064755D" w:rsidRPr="0052594D">
        <w:rPr>
          <w:sz w:val="26"/>
          <w:szCs w:val="26"/>
        </w:rPr>
        <w:t>’s</w:t>
      </w:r>
      <w:r w:rsidR="002C1E08" w:rsidRPr="0052594D">
        <w:rPr>
          <w:sz w:val="26"/>
          <w:szCs w:val="26"/>
        </w:rPr>
        <w:t xml:space="preserve"> purpose of protecting the rights of Indian children, families and tribes. </w:t>
      </w:r>
    </w:p>
    <w:p w:rsidR="001644BC" w:rsidRPr="0052594D" w:rsidRDefault="001644BC" w:rsidP="007A4853">
      <w:pPr>
        <w:pStyle w:val="DoubleSpacing"/>
        <w:spacing w:line="240" w:lineRule="auto"/>
        <w:jc w:val="both"/>
        <w:rPr>
          <w:rFonts w:ascii="Times New Roman" w:hAnsi="Times New Roman" w:cs="Times New Roman"/>
          <w:sz w:val="26"/>
          <w:szCs w:val="26"/>
        </w:rPr>
      </w:pPr>
    </w:p>
    <w:p w:rsidR="004A32A5" w:rsidRPr="0052594D" w:rsidRDefault="004A32A5" w:rsidP="001E2704">
      <w:pPr>
        <w:pStyle w:val="DoubleSpacing"/>
        <w:spacing w:line="240" w:lineRule="auto"/>
        <w:ind w:right="90" w:firstLine="720"/>
        <w:jc w:val="both"/>
        <w:rPr>
          <w:rFonts w:ascii="Times New Roman" w:hAnsi="Times New Roman" w:cs="Times New Roman"/>
          <w:sz w:val="26"/>
          <w:szCs w:val="26"/>
        </w:rPr>
      </w:pPr>
    </w:p>
    <w:p w:rsidR="00214CD3" w:rsidRPr="0052594D" w:rsidRDefault="00DE09BE" w:rsidP="008D7D67">
      <w:pPr>
        <w:widowControl/>
        <w:tabs>
          <w:tab w:val="left" w:pos="1440"/>
          <w:tab w:val="left" w:pos="2160"/>
          <w:tab w:val="left" w:pos="3600"/>
          <w:tab w:val="left" w:pos="4320"/>
          <w:tab w:val="left" w:pos="5040"/>
          <w:tab w:val="left" w:pos="5760"/>
          <w:tab w:val="left" w:pos="6480"/>
          <w:tab w:val="left" w:pos="7200"/>
          <w:tab w:val="left" w:pos="7920"/>
          <w:tab w:val="left" w:pos="8640"/>
        </w:tabs>
        <w:rPr>
          <w:sz w:val="26"/>
          <w:szCs w:val="26"/>
        </w:rPr>
      </w:pPr>
      <w:r w:rsidRPr="0052594D">
        <w:rPr>
          <w:sz w:val="26"/>
          <w:szCs w:val="26"/>
        </w:rPr>
        <w:t>Respectfully</w:t>
      </w:r>
      <w:r w:rsidR="002F7019" w:rsidRPr="0052594D">
        <w:rPr>
          <w:sz w:val="26"/>
          <w:szCs w:val="26"/>
        </w:rPr>
        <w:t>,</w:t>
      </w:r>
    </w:p>
    <w:p w:rsidR="002F7019" w:rsidRPr="0052594D" w:rsidRDefault="002F7019" w:rsidP="002F7019">
      <w:pPr>
        <w:widowControl/>
        <w:tabs>
          <w:tab w:val="left" w:pos="1440"/>
          <w:tab w:val="left" w:pos="2160"/>
          <w:tab w:val="left" w:pos="3600"/>
          <w:tab w:val="left" w:pos="4320"/>
          <w:tab w:val="left" w:pos="5040"/>
          <w:tab w:val="left" w:pos="5760"/>
          <w:tab w:val="left" w:pos="6480"/>
          <w:tab w:val="left" w:pos="7200"/>
          <w:tab w:val="left" w:pos="7920"/>
          <w:tab w:val="left" w:pos="8640"/>
        </w:tabs>
        <w:ind w:left="1440"/>
        <w:rPr>
          <w:sz w:val="26"/>
          <w:szCs w:val="26"/>
        </w:rPr>
      </w:pPr>
    </w:p>
    <w:p w:rsidR="002F7019" w:rsidRPr="0052594D" w:rsidRDefault="002F7019" w:rsidP="002F7019">
      <w:pPr>
        <w:widowControl/>
        <w:tabs>
          <w:tab w:val="left" w:pos="1440"/>
          <w:tab w:val="left" w:pos="2160"/>
          <w:tab w:val="left" w:pos="3600"/>
          <w:tab w:val="left" w:pos="4320"/>
          <w:tab w:val="left" w:pos="5040"/>
          <w:tab w:val="left" w:pos="5760"/>
          <w:tab w:val="left" w:pos="6480"/>
          <w:tab w:val="left" w:pos="7200"/>
          <w:tab w:val="left" w:pos="7920"/>
          <w:tab w:val="left" w:pos="8640"/>
        </w:tabs>
        <w:ind w:left="1440"/>
        <w:rPr>
          <w:sz w:val="26"/>
          <w:szCs w:val="26"/>
        </w:rPr>
      </w:pPr>
    </w:p>
    <w:p w:rsidR="002F7019" w:rsidRPr="0052594D" w:rsidRDefault="0059730E" w:rsidP="008D7D67">
      <w:pPr>
        <w:widowControl/>
        <w:tabs>
          <w:tab w:val="left" w:pos="1440"/>
          <w:tab w:val="left" w:pos="2160"/>
          <w:tab w:val="left" w:pos="3600"/>
          <w:tab w:val="left" w:pos="4320"/>
          <w:tab w:val="left" w:pos="5040"/>
          <w:tab w:val="left" w:pos="5760"/>
          <w:tab w:val="left" w:pos="6480"/>
          <w:tab w:val="left" w:pos="7200"/>
          <w:tab w:val="left" w:pos="7920"/>
          <w:tab w:val="left" w:pos="8640"/>
        </w:tabs>
        <w:rPr>
          <w:sz w:val="26"/>
          <w:szCs w:val="26"/>
        </w:rPr>
      </w:pPr>
      <w:r>
        <w:rPr>
          <w:sz w:val="26"/>
          <w:szCs w:val="26"/>
        </w:rPr>
        <w:t>Stephen Roe</w:t>
      </w:r>
      <w:r w:rsidR="002C1E08" w:rsidRPr="0052594D">
        <w:rPr>
          <w:sz w:val="26"/>
          <w:szCs w:val="26"/>
        </w:rPr>
        <w:t xml:space="preserve"> Lewis</w:t>
      </w:r>
      <w:r w:rsidR="00DE09BE" w:rsidRPr="0052594D">
        <w:rPr>
          <w:sz w:val="26"/>
          <w:szCs w:val="26"/>
        </w:rPr>
        <w:t xml:space="preserve">, </w:t>
      </w:r>
      <w:r w:rsidR="002C1E08" w:rsidRPr="0052594D">
        <w:rPr>
          <w:sz w:val="26"/>
          <w:szCs w:val="26"/>
        </w:rPr>
        <w:t>Governor</w:t>
      </w:r>
    </w:p>
    <w:p w:rsidR="00DE09BE" w:rsidRPr="0052594D" w:rsidRDefault="00DE09BE" w:rsidP="008D7D67">
      <w:pPr>
        <w:widowControl/>
        <w:tabs>
          <w:tab w:val="left" w:pos="1440"/>
          <w:tab w:val="left" w:pos="2160"/>
          <w:tab w:val="left" w:pos="3600"/>
          <w:tab w:val="left" w:pos="4320"/>
          <w:tab w:val="left" w:pos="5040"/>
          <w:tab w:val="left" w:pos="5760"/>
          <w:tab w:val="left" w:pos="6480"/>
          <w:tab w:val="left" w:pos="7200"/>
          <w:tab w:val="left" w:pos="7920"/>
          <w:tab w:val="left" w:pos="8640"/>
        </w:tabs>
        <w:rPr>
          <w:sz w:val="26"/>
          <w:szCs w:val="26"/>
        </w:rPr>
      </w:pPr>
      <w:r w:rsidRPr="0052594D">
        <w:rPr>
          <w:sz w:val="26"/>
          <w:szCs w:val="26"/>
        </w:rPr>
        <w:t>Gila River Indian Community</w:t>
      </w:r>
    </w:p>
    <w:p w:rsidR="000931C3" w:rsidRPr="0052594D" w:rsidRDefault="000931C3" w:rsidP="002F7019">
      <w:pPr>
        <w:widowControl/>
        <w:tabs>
          <w:tab w:val="left" w:pos="1440"/>
          <w:tab w:val="left" w:pos="2160"/>
          <w:tab w:val="left" w:pos="3600"/>
          <w:tab w:val="left" w:pos="4320"/>
          <w:tab w:val="left" w:pos="5040"/>
          <w:tab w:val="left" w:pos="5760"/>
          <w:tab w:val="left" w:pos="6480"/>
          <w:tab w:val="left" w:pos="7200"/>
          <w:tab w:val="left" w:pos="7920"/>
          <w:tab w:val="left" w:pos="8640"/>
        </w:tabs>
        <w:ind w:left="1440"/>
        <w:rPr>
          <w:sz w:val="26"/>
          <w:szCs w:val="26"/>
        </w:rPr>
      </w:pPr>
    </w:p>
    <w:p w:rsidR="000931C3" w:rsidRPr="0052594D" w:rsidRDefault="000931C3" w:rsidP="002F7019">
      <w:pPr>
        <w:widowControl/>
        <w:tabs>
          <w:tab w:val="left" w:pos="1440"/>
          <w:tab w:val="left" w:pos="2160"/>
          <w:tab w:val="left" w:pos="3600"/>
          <w:tab w:val="left" w:pos="4320"/>
          <w:tab w:val="left" w:pos="5040"/>
          <w:tab w:val="left" w:pos="5760"/>
          <w:tab w:val="left" w:pos="6480"/>
          <w:tab w:val="left" w:pos="7200"/>
          <w:tab w:val="left" w:pos="7920"/>
          <w:tab w:val="left" w:pos="8640"/>
        </w:tabs>
        <w:ind w:left="1440"/>
        <w:rPr>
          <w:sz w:val="26"/>
          <w:szCs w:val="26"/>
        </w:rPr>
      </w:pPr>
    </w:p>
    <w:p w:rsidR="000931C3" w:rsidRPr="0052594D" w:rsidRDefault="000931C3" w:rsidP="002F7019">
      <w:pPr>
        <w:widowControl/>
        <w:tabs>
          <w:tab w:val="left" w:pos="1440"/>
          <w:tab w:val="left" w:pos="2160"/>
          <w:tab w:val="left" w:pos="3600"/>
          <w:tab w:val="left" w:pos="4320"/>
          <w:tab w:val="left" w:pos="5040"/>
          <w:tab w:val="left" w:pos="5760"/>
          <w:tab w:val="left" w:pos="6480"/>
          <w:tab w:val="left" w:pos="7200"/>
          <w:tab w:val="left" w:pos="7920"/>
          <w:tab w:val="left" w:pos="8640"/>
        </w:tabs>
        <w:ind w:left="1440"/>
        <w:rPr>
          <w:sz w:val="26"/>
          <w:szCs w:val="26"/>
        </w:rPr>
      </w:pPr>
    </w:p>
    <w:p w:rsidR="000931C3" w:rsidRPr="0052594D" w:rsidRDefault="000931C3" w:rsidP="002F7019">
      <w:pPr>
        <w:widowControl/>
        <w:tabs>
          <w:tab w:val="left" w:pos="1440"/>
          <w:tab w:val="left" w:pos="2160"/>
          <w:tab w:val="left" w:pos="3600"/>
          <w:tab w:val="left" w:pos="4320"/>
          <w:tab w:val="left" w:pos="5040"/>
          <w:tab w:val="left" w:pos="5760"/>
          <w:tab w:val="left" w:pos="6480"/>
          <w:tab w:val="left" w:pos="7200"/>
          <w:tab w:val="left" w:pos="7920"/>
          <w:tab w:val="left" w:pos="8640"/>
        </w:tabs>
        <w:ind w:left="1440"/>
        <w:rPr>
          <w:sz w:val="26"/>
          <w:szCs w:val="26"/>
        </w:rPr>
      </w:pPr>
    </w:p>
    <w:p w:rsidR="000931C3" w:rsidRPr="0052594D" w:rsidRDefault="000931C3" w:rsidP="000931C3">
      <w:pPr>
        <w:widowControl/>
        <w:tabs>
          <w:tab w:val="left" w:pos="1440"/>
          <w:tab w:val="left" w:pos="2160"/>
          <w:tab w:val="left" w:pos="3600"/>
          <w:tab w:val="left" w:pos="4320"/>
          <w:tab w:val="left" w:pos="5040"/>
          <w:tab w:val="left" w:pos="5760"/>
          <w:tab w:val="left" w:pos="6480"/>
          <w:tab w:val="left" w:pos="7200"/>
          <w:tab w:val="left" w:pos="7920"/>
          <w:tab w:val="left" w:pos="8640"/>
        </w:tabs>
        <w:rPr>
          <w:sz w:val="26"/>
          <w:szCs w:val="26"/>
        </w:rPr>
      </w:pPr>
    </w:p>
    <w:sectPr w:rsidR="000931C3" w:rsidRPr="0052594D" w:rsidSect="0099417D">
      <w:footerReference w:type="default" r:id="rId8"/>
      <w:footnotePr>
        <w:numRestart w:val="eachSect"/>
      </w:footnotePr>
      <w:endnotePr>
        <w:numFmt w:val="decimal"/>
      </w:endnotePr>
      <w:type w:val="continuous"/>
      <w:pgSz w:w="12240" w:h="15840"/>
      <w:pgMar w:top="1152" w:right="1440" w:bottom="86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5651" w:rsidRDefault="00865651" w:rsidP="0099417D">
      <w:r>
        <w:separator/>
      </w:r>
    </w:p>
  </w:endnote>
  <w:endnote w:type="continuationSeparator" w:id="0">
    <w:p w:rsidR="00865651" w:rsidRDefault="00865651" w:rsidP="00994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lbertus">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5676394"/>
      <w:docPartObj>
        <w:docPartGallery w:val="Page Numbers (Bottom of Page)"/>
        <w:docPartUnique/>
      </w:docPartObj>
    </w:sdtPr>
    <w:sdtEndPr/>
    <w:sdtContent>
      <w:p w:rsidR="00BA49E8" w:rsidRDefault="00461A87">
        <w:pPr>
          <w:pStyle w:val="Footer"/>
          <w:jc w:val="right"/>
        </w:pPr>
        <w:r>
          <w:fldChar w:fldCharType="begin"/>
        </w:r>
        <w:r>
          <w:instrText xml:space="preserve"> PAGE   \* MERGEFORMAT </w:instrText>
        </w:r>
        <w:r>
          <w:fldChar w:fldCharType="separate"/>
        </w:r>
        <w:r w:rsidR="002446A0">
          <w:rPr>
            <w:noProof/>
          </w:rPr>
          <w:t>2</w:t>
        </w:r>
        <w:r>
          <w:rPr>
            <w:noProof/>
          </w:rPr>
          <w:fldChar w:fldCharType="end"/>
        </w:r>
      </w:p>
    </w:sdtContent>
  </w:sdt>
  <w:p w:rsidR="00BA49E8" w:rsidRDefault="00BA4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5651" w:rsidRDefault="00865651" w:rsidP="0099417D">
      <w:r>
        <w:separator/>
      </w:r>
    </w:p>
  </w:footnote>
  <w:footnote w:type="continuationSeparator" w:id="0">
    <w:p w:rsidR="00865651" w:rsidRDefault="00865651" w:rsidP="0099417D">
      <w:r>
        <w:continuationSeparator/>
      </w:r>
    </w:p>
  </w:footnote>
  <w:footnote w:id="1">
    <w:p w:rsidR="00514B45" w:rsidRPr="00514B45" w:rsidRDefault="00514B45" w:rsidP="00514B45">
      <w:pPr>
        <w:pStyle w:val="FootnoteText"/>
        <w:jc w:val="both"/>
        <w:rPr>
          <w:sz w:val="24"/>
          <w:szCs w:val="24"/>
        </w:rPr>
      </w:pPr>
      <w:r w:rsidRPr="00514B45">
        <w:rPr>
          <w:rStyle w:val="FootnoteReference"/>
          <w:sz w:val="24"/>
          <w:szCs w:val="24"/>
        </w:rPr>
        <w:footnoteRef/>
      </w:r>
      <w:r w:rsidRPr="00514B45">
        <w:rPr>
          <w:sz w:val="24"/>
          <w:szCs w:val="24"/>
        </w:rPr>
        <w:t xml:space="preserve"> </w:t>
      </w:r>
      <w:r w:rsidRPr="00514B45">
        <w:rPr>
          <w:i/>
          <w:w w:val="105"/>
          <w:sz w:val="24"/>
          <w:szCs w:val="24"/>
        </w:rPr>
        <w:t xml:space="preserve">In re Elias L., </w:t>
      </w:r>
      <w:r w:rsidRPr="00514B45">
        <w:rPr>
          <w:w w:val="105"/>
          <w:sz w:val="24"/>
          <w:szCs w:val="24"/>
        </w:rPr>
        <w:t xml:space="preserve">767 N.W.2d 98 (Neb. 2009); </w:t>
      </w:r>
      <w:r w:rsidRPr="00514B45">
        <w:rPr>
          <w:i/>
          <w:w w:val="105"/>
          <w:sz w:val="24"/>
          <w:szCs w:val="24"/>
        </w:rPr>
        <w:t xml:space="preserve">In re N.N.E., </w:t>
      </w:r>
      <w:r w:rsidRPr="00514B45">
        <w:rPr>
          <w:w w:val="105"/>
          <w:sz w:val="24"/>
          <w:szCs w:val="24"/>
        </w:rPr>
        <w:t xml:space="preserve">752 N.W.2d 1 (Iowa 2008); </w:t>
      </w:r>
      <w:r w:rsidRPr="00514B45">
        <w:rPr>
          <w:i/>
          <w:w w:val="105"/>
          <w:sz w:val="24"/>
          <w:szCs w:val="24"/>
        </w:rPr>
        <w:t>J.P.H. v. Fla. Dept. of Children</w:t>
      </w:r>
      <w:r w:rsidRPr="00514B45">
        <w:rPr>
          <w:i/>
          <w:spacing w:val="14"/>
          <w:w w:val="105"/>
          <w:sz w:val="24"/>
          <w:szCs w:val="24"/>
        </w:rPr>
        <w:t xml:space="preserve"> </w:t>
      </w:r>
      <w:r w:rsidRPr="00514B45">
        <w:rPr>
          <w:i/>
          <w:w w:val="105"/>
          <w:sz w:val="24"/>
          <w:szCs w:val="24"/>
        </w:rPr>
        <w:t xml:space="preserve">&amp; Families, </w:t>
      </w:r>
      <w:r w:rsidRPr="00514B45">
        <w:rPr>
          <w:w w:val="105"/>
          <w:sz w:val="24"/>
          <w:szCs w:val="24"/>
        </w:rPr>
        <w:t>39 So.3d 560 (</w:t>
      </w:r>
      <w:proofErr w:type="spellStart"/>
      <w:r w:rsidRPr="00514B45">
        <w:rPr>
          <w:w w:val="105"/>
          <w:sz w:val="24"/>
          <w:szCs w:val="24"/>
        </w:rPr>
        <w:t>Fla.App</w:t>
      </w:r>
      <w:proofErr w:type="spellEnd"/>
      <w:r w:rsidRPr="00514B45">
        <w:rPr>
          <w:w w:val="105"/>
          <w:sz w:val="24"/>
          <w:szCs w:val="24"/>
        </w:rPr>
        <w:t xml:space="preserve">. 2010); </w:t>
      </w:r>
      <w:r w:rsidRPr="00514B45">
        <w:rPr>
          <w:i/>
          <w:w w:val="105"/>
          <w:sz w:val="24"/>
          <w:szCs w:val="24"/>
        </w:rPr>
        <w:t xml:space="preserve">State ex rel. Juv. Dept. of Lane County v. </w:t>
      </w:r>
      <w:proofErr w:type="spellStart"/>
      <w:r w:rsidRPr="00514B45">
        <w:rPr>
          <w:i/>
          <w:w w:val="105"/>
          <w:sz w:val="24"/>
          <w:szCs w:val="24"/>
        </w:rPr>
        <w:t>Shuey</w:t>
      </w:r>
      <w:proofErr w:type="spellEnd"/>
      <w:r w:rsidRPr="00514B45">
        <w:rPr>
          <w:i/>
          <w:w w:val="105"/>
          <w:sz w:val="24"/>
          <w:szCs w:val="24"/>
        </w:rPr>
        <w:t xml:space="preserve">, </w:t>
      </w:r>
      <w:r w:rsidRPr="00514B45">
        <w:rPr>
          <w:w w:val="105"/>
          <w:sz w:val="24"/>
          <w:szCs w:val="24"/>
        </w:rPr>
        <w:t>850 P.2d 378 (</w:t>
      </w:r>
      <w:proofErr w:type="spellStart"/>
      <w:r w:rsidRPr="00514B45">
        <w:rPr>
          <w:w w:val="105"/>
          <w:sz w:val="24"/>
          <w:szCs w:val="24"/>
        </w:rPr>
        <w:t>Ore.App</w:t>
      </w:r>
      <w:proofErr w:type="spellEnd"/>
      <w:r w:rsidRPr="00514B45">
        <w:rPr>
          <w:w w:val="105"/>
          <w:sz w:val="24"/>
          <w:szCs w:val="24"/>
        </w:rPr>
        <w:t>. 1993).</w:t>
      </w:r>
    </w:p>
  </w:footnote>
  <w:footnote w:id="2">
    <w:p w:rsidR="00514B45" w:rsidRPr="00514B45" w:rsidRDefault="00514B45" w:rsidP="00514B45">
      <w:pPr>
        <w:pStyle w:val="FootnoteText"/>
        <w:jc w:val="both"/>
        <w:rPr>
          <w:sz w:val="24"/>
          <w:szCs w:val="24"/>
        </w:rPr>
      </w:pPr>
      <w:r w:rsidRPr="00514B45">
        <w:rPr>
          <w:rStyle w:val="FootnoteReference"/>
          <w:sz w:val="24"/>
          <w:szCs w:val="24"/>
        </w:rPr>
        <w:footnoteRef/>
      </w:r>
      <w:r w:rsidRPr="00514B45">
        <w:rPr>
          <w:sz w:val="24"/>
          <w:szCs w:val="24"/>
        </w:rPr>
        <w:t xml:space="preserve"> </w:t>
      </w:r>
      <w:r w:rsidRPr="00514B45">
        <w:rPr>
          <w:w w:val="105"/>
          <w:sz w:val="24"/>
          <w:szCs w:val="24"/>
        </w:rPr>
        <w:t>850 P.2d at 379.</w:t>
      </w:r>
    </w:p>
  </w:footnote>
  <w:footnote w:id="3">
    <w:p w:rsidR="00514B45" w:rsidRPr="00514B45" w:rsidRDefault="00514B45" w:rsidP="00514B45">
      <w:pPr>
        <w:pStyle w:val="FootnoteText"/>
        <w:jc w:val="both"/>
        <w:rPr>
          <w:sz w:val="24"/>
          <w:szCs w:val="24"/>
        </w:rPr>
      </w:pPr>
      <w:r w:rsidRPr="00514B45">
        <w:rPr>
          <w:rStyle w:val="FootnoteReference"/>
          <w:sz w:val="24"/>
          <w:szCs w:val="24"/>
        </w:rPr>
        <w:footnoteRef/>
      </w:r>
      <w:r w:rsidRPr="00514B45">
        <w:rPr>
          <w:sz w:val="24"/>
          <w:szCs w:val="24"/>
        </w:rPr>
        <w:t xml:space="preserve"> </w:t>
      </w:r>
      <w:r w:rsidRPr="00514B45">
        <w:rPr>
          <w:i/>
          <w:w w:val="105"/>
          <w:sz w:val="24"/>
          <w:szCs w:val="24"/>
        </w:rPr>
        <w:t xml:space="preserve">Id. </w:t>
      </w:r>
      <w:r w:rsidRPr="00514B45">
        <w:rPr>
          <w:w w:val="105"/>
          <w:sz w:val="24"/>
          <w:szCs w:val="24"/>
        </w:rPr>
        <w:t xml:space="preserve">(quoting </w:t>
      </w:r>
      <w:r w:rsidRPr="00514B45">
        <w:rPr>
          <w:i/>
          <w:w w:val="105"/>
          <w:sz w:val="24"/>
          <w:szCs w:val="24"/>
        </w:rPr>
        <w:t xml:space="preserve">New Mexico v. Mescalero Apache Tribe, </w:t>
      </w:r>
      <w:r w:rsidRPr="00514B45">
        <w:rPr>
          <w:w w:val="105"/>
          <w:sz w:val="24"/>
          <w:szCs w:val="24"/>
        </w:rPr>
        <w:t>462 U.S. 324, 334 (1983)).</w:t>
      </w:r>
    </w:p>
  </w:footnote>
  <w:footnote w:id="4">
    <w:p w:rsidR="00514B45" w:rsidRPr="00514B45" w:rsidRDefault="00514B45" w:rsidP="00514B45">
      <w:pPr>
        <w:pStyle w:val="FootnoteText"/>
        <w:jc w:val="both"/>
        <w:rPr>
          <w:sz w:val="24"/>
          <w:szCs w:val="24"/>
        </w:rPr>
      </w:pPr>
      <w:r w:rsidRPr="00514B45">
        <w:rPr>
          <w:rStyle w:val="FootnoteReference"/>
          <w:sz w:val="24"/>
          <w:szCs w:val="24"/>
        </w:rPr>
        <w:footnoteRef/>
      </w:r>
      <w:r w:rsidRPr="00514B45">
        <w:rPr>
          <w:sz w:val="24"/>
          <w:szCs w:val="24"/>
        </w:rPr>
        <w:t xml:space="preserve"> </w:t>
      </w:r>
      <w:r w:rsidRPr="00514B45">
        <w:rPr>
          <w:i/>
          <w:w w:val="105"/>
          <w:sz w:val="24"/>
          <w:szCs w:val="24"/>
        </w:rPr>
        <w:t xml:space="preserve">Id. </w:t>
      </w:r>
      <w:r w:rsidRPr="00514B45">
        <w:rPr>
          <w:w w:val="105"/>
          <w:sz w:val="24"/>
          <w:szCs w:val="24"/>
        </w:rPr>
        <w:t>at</w:t>
      </w:r>
      <w:r w:rsidRPr="00514B45">
        <w:rPr>
          <w:spacing w:val="16"/>
          <w:w w:val="105"/>
          <w:sz w:val="24"/>
          <w:szCs w:val="24"/>
        </w:rPr>
        <w:t xml:space="preserve"> </w:t>
      </w:r>
      <w:r w:rsidRPr="00514B45">
        <w:rPr>
          <w:w w:val="105"/>
          <w:sz w:val="24"/>
          <w:szCs w:val="24"/>
        </w:rPr>
        <w:t>381.</w:t>
      </w:r>
    </w:p>
  </w:footnote>
  <w:footnote w:id="5">
    <w:p w:rsidR="00514B45" w:rsidRPr="00514B45" w:rsidRDefault="00514B45" w:rsidP="00514B45">
      <w:pPr>
        <w:pStyle w:val="FootnoteText"/>
        <w:jc w:val="both"/>
        <w:rPr>
          <w:sz w:val="24"/>
          <w:szCs w:val="24"/>
        </w:rPr>
      </w:pPr>
      <w:r w:rsidRPr="00514B45">
        <w:rPr>
          <w:rStyle w:val="FootnoteReference"/>
          <w:sz w:val="24"/>
          <w:szCs w:val="24"/>
        </w:rPr>
        <w:footnoteRef/>
      </w:r>
      <w:r w:rsidRPr="00514B45">
        <w:rPr>
          <w:sz w:val="24"/>
          <w:szCs w:val="24"/>
        </w:rPr>
        <w:t xml:space="preserve"> </w:t>
      </w:r>
      <w:r w:rsidRPr="00514B45">
        <w:rPr>
          <w:i/>
          <w:w w:val="110"/>
          <w:sz w:val="24"/>
          <w:szCs w:val="24"/>
        </w:rPr>
        <w:t>Id.</w:t>
      </w:r>
    </w:p>
  </w:footnote>
  <w:footnote w:id="6">
    <w:p w:rsidR="00514B45" w:rsidRPr="00514B45" w:rsidRDefault="00514B45">
      <w:pPr>
        <w:pStyle w:val="FootnoteText"/>
        <w:rPr>
          <w:sz w:val="24"/>
          <w:szCs w:val="24"/>
        </w:rPr>
      </w:pPr>
      <w:r w:rsidRPr="00514B45">
        <w:rPr>
          <w:rStyle w:val="FootnoteReference"/>
          <w:sz w:val="24"/>
          <w:szCs w:val="24"/>
        </w:rPr>
        <w:footnoteRef/>
      </w:r>
      <w:r w:rsidRPr="00514B45">
        <w:rPr>
          <w:sz w:val="24"/>
          <w:szCs w:val="24"/>
        </w:rPr>
        <w:t xml:space="preserve"> </w:t>
      </w:r>
      <w:r w:rsidRPr="00514B45">
        <w:rPr>
          <w:i/>
          <w:w w:val="110"/>
          <w:sz w:val="24"/>
          <w:szCs w:val="24"/>
        </w:rPr>
        <w:t>Id.</w:t>
      </w:r>
    </w:p>
  </w:footnote>
  <w:footnote w:id="7">
    <w:p w:rsidR="00514B45" w:rsidRPr="00514B45" w:rsidRDefault="00514B45" w:rsidP="00514B45">
      <w:pPr>
        <w:pStyle w:val="FootnoteText"/>
        <w:rPr>
          <w:sz w:val="24"/>
          <w:szCs w:val="24"/>
        </w:rPr>
      </w:pPr>
      <w:r w:rsidRPr="00514B45">
        <w:rPr>
          <w:rStyle w:val="FootnoteReference"/>
          <w:sz w:val="24"/>
          <w:szCs w:val="24"/>
        </w:rPr>
        <w:footnoteRef/>
      </w:r>
      <w:r w:rsidRPr="00514B45">
        <w:rPr>
          <w:sz w:val="24"/>
          <w:szCs w:val="24"/>
        </w:rPr>
        <w:t xml:space="preserve"> </w:t>
      </w:r>
      <w:r w:rsidRPr="00514B45">
        <w:rPr>
          <w:i/>
          <w:w w:val="110"/>
          <w:sz w:val="24"/>
          <w:szCs w:val="24"/>
        </w:rPr>
        <w:t>In re Elias L., supra.</w:t>
      </w:r>
    </w:p>
  </w:footnote>
  <w:footnote w:id="8">
    <w:p w:rsidR="00514B45" w:rsidRDefault="00514B45">
      <w:pPr>
        <w:pStyle w:val="FootnoteText"/>
      </w:pPr>
      <w:r w:rsidRPr="00514B45">
        <w:rPr>
          <w:rStyle w:val="FootnoteReference"/>
          <w:sz w:val="24"/>
          <w:szCs w:val="24"/>
        </w:rPr>
        <w:footnoteRef/>
      </w:r>
      <w:r w:rsidRPr="00514B45">
        <w:rPr>
          <w:sz w:val="24"/>
          <w:szCs w:val="24"/>
        </w:rPr>
        <w:t xml:space="preserve"> </w:t>
      </w:r>
      <w:r w:rsidRPr="00514B45">
        <w:rPr>
          <w:w w:val="110"/>
          <w:sz w:val="24"/>
          <w:szCs w:val="24"/>
        </w:rPr>
        <w:t>767 N.W.2d at 102 (citations omitted).</w:t>
      </w:r>
    </w:p>
  </w:footnote>
  <w:footnote w:id="9">
    <w:p w:rsidR="00514B45" w:rsidRPr="00514B45" w:rsidRDefault="00514B45" w:rsidP="00514B45">
      <w:pPr>
        <w:pStyle w:val="FootnoteText"/>
        <w:jc w:val="both"/>
        <w:rPr>
          <w:sz w:val="24"/>
          <w:szCs w:val="24"/>
        </w:rPr>
      </w:pPr>
      <w:r w:rsidRPr="00514B45">
        <w:rPr>
          <w:rStyle w:val="FootnoteReference"/>
          <w:sz w:val="24"/>
          <w:szCs w:val="24"/>
        </w:rPr>
        <w:footnoteRef/>
      </w:r>
      <w:r w:rsidRPr="00514B45">
        <w:rPr>
          <w:sz w:val="24"/>
          <w:szCs w:val="24"/>
        </w:rPr>
        <w:t xml:space="preserve"> </w:t>
      </w:r>
      <w:r w:rsidRPr="00514B45">
        <w:rPr>
          <w:i/>
          <w:w w:val="110"/>
          <w:sz w:val="24"/>
          <w:szCs w:val="24"/>
        </w:rPr>
        <w:t xml:space="preserve">Id. </w:t>
      </w:r>
      <w:r w:rsidRPr="00514B45">
        <w:rPr>
          <w:w w:val="110"/>
          <w:sz w:val="24"/>
          <w:szCs w:val="24"/>
        </w:rPr>
        <w:t xml:space="preserve">at 103. </w:t>
      </w:r>
      <w:r w:rsidRPr="00514B45">
        <w:rPr>
          <w:i/>
          <w:w w:val="110"/>
          <w:sz w:val="24"/>
          <w:szCs w:val="24"/>
        </w:rPr>
        <w:t xml:space="preserve">See, also, </w:t>
      </w:r>
      <w:proofErr w:type="gramStart"/>
      <w:r w:rsidRPr="00514B45">
        <w:rPr>
          <w:i/>
          <w:w w:val="110"/>
          <w:sz w:val="24"/>
          <w:szCs w:val="24"/>
        </w:rPr>
        <w:t>In</w:t>
      </w:r>
      <w:proofErr w:type="gramEnd"/>
      <w:r w:rsidRPr="00514B45">
        <w:rPr>
          <w:i/>
          <w:w w:val="110"/>
          <w:sz w:val="24"/>
          <w:szCs w:val="24"/>
        </w:rPr>
        <w:t xml:space="preserve"> re N.N.E., supra </w:t>
      </w:r>
      <w:r w:rsidRPr="00514B45">
        <w:rPr>
          <w:w w:val="110"/>
          <w:sz w:val="24"/>
          <w:szCs w:val="24"/>
        </w:rPr>
        <w:t>(same holding and also following</w:t>
      </w:r>
      <w:r w:rsidRPr="00514B45">
        <w:rPr>
          <w:spacing w:val="3"/>
          <w:w w:val="110"/>
          <w:sz w:val="24"/>
          <w:szCs w:val="24"/>
        </w:rPr>
        <w:t xml:space="preserve"> </w:t>
      </w:r>
      <w:proofErr w:type="spellStart"/>
      <w:r w:rsidRPr="00514B45">
        <w:rPr>
          <w:i/>
          <w:w w:val="110"/>
          <w:sz w:val="24"/>
          <w:szCs w:val="24"/>
        </w:rPr>
        <w:t>Shuey</w:t>
      </w:r>
      <w:proofErr w:type="spellEnd"/>
      <w:r w:rsidRPr="00514B45">
        <w:rPr>
          <w:i/>
          <w:w w:val="110"/>
          <w:sz w:val="24"/>
          <w:szCs w:val="24"/>
        </w:rPr>
        <w:t>).</w:t>
      </w:r>
    </w:p>
  </w:footnote>
  <w:footnote w:id="10">
    <w:p w:rsidR="00514B45" w:rsidRPr="00514B45" w:rsidRDefault="00514B45" w:rsidP="00514B45">
      <w:pPr>
        <w:pStyle w:val="FootnoteText"/>
        <w:rPr>
          <w:sz w:val="24"/>
          <w:szCs w:val="24"/>
        </w:rPr>
      </w:pPr>
      <w:r w:rsidRPr="00514B45">
        <w:rPr>
          <w:rStyle w:val="FootnoteReference"/>
          <w:sz w:val="24"/>
          <w:szCs w:val="24"/>
        </w:rPr>
        <w:footnoteRef/>
      </w:r>
      <w:r w:rsidRPr="00514B45">
        <w:rPr>
          <w:sz w:val="24"/>
          <w:szCs w:val="24"/>
        </w:rPr>
        <w:t xml:space="preserve"> </w:t>
      </w:r>
      <w:r w:rsidRPr="00514B45">
        <w:rPr>
          <w:w w:val="110"/>
          <w:sz w:val="24"/>
          <w:szCs w:val="24"/>
        </w:rPr>
        <w:t>39 So.2d at 560.</w:t>
      </w:r>
    </w:p>
  </w:footnote>
  <w:footnote w:id="11">
    <w:p w:rsidR="00514B45" w:rsidRPr="00514B45" w:rsidRDefault="00514B45">
      <w:pPr>
        <w:pStyle w:val="FootnoteText"/>
        <w:rPr>
          <w:sz w:val="24"/>
          <w:szCs w:val="24"/>
        </w:rPr>
      </w:pPr>
      <w:r w:rsidRPr="00514B45">
        <w:rPr>
          <w:rStyle w:val="FootnoteReference"/>
          <w:sz w:val="24"/>
          <w:szCs w:val="24"/>
        </w:rPr>
        <w:footnoteRef/>
      </w:r>
      <w:r w:rsidRPr="00514B45">
        <w:rPr>
          <w:sz w:val="24"/>
          <w:szCs w:val="24"/>
        </w:rPr>
        <w:t xml:space="preserve"> </w:t>
      </w:r>
      <w:r w:rsidRPr="00514B45">
        <w:rPr>
          <w:i/>
          <w:w w:val="105"/>
          <w:sz w:val="24"/>
          <w:szCs w:val="24"/>
        </w:rPr>
        <w:t xml:space="preserve">Id. </w:t>
      </w:r>
      <w:r w:rsidRPr="00514B45">
        <w:rPr>
          <w:w w:val="105"/>
          <w:sz w:val="24"/>
          <w:szCs w:val="24"/>
        </w:rPr>
        <w:t>(citations omitted).</w:t>
      </w:r>
    </w:p>
  </w:footnote>
  <w:footnote w:id="12">
    <w:p w:rsidR="00DE6EC9" w:rsidRPr="00B85CD8" w:rsidRDefault="00DE6EC9" w:rsidP="00B85CD8">
      <w:pPr>
        <w:pStyle w:val="FootnoteText"/>
        <w:jc w:val="both"/>
        <w:rPr>
          <w:sz w:val="24"/>
          <w:szCs w:val="24"/>
        </w:rPr>
      </w:pPr>
      <w:r w:rsidRPr="00B85CD8">
        <w:rPr>
          <w:rStyle w:val="FootnoteReference"/>
          <w:sz w:val="24"/>
          <w:szCs w:val="24"/>
        </w:rPr>
        <w:footnoteRef/>
      </w:r>
      <w:r w:rsidRPr="00B85CD8">
        <w:rPr>
          <w:sz w:val="24"/>
          <w:szCs w:val="24"/>
        </w:rPr>
        <w:t xml:space="preserve"> 25 U.S.C. §</w:t>
      </w:r>
      <w:r w:rsidR="007957DF">
        <w:rPr>
          <w:sz w:val="24"/>
          <w:szCs w:val="24"/>
        </w:rPr>
        <w:t xml:space="preserve"> 1901</w:t>
      </w:r>
      <w:r w:rsidRPr="00B85CD8">
        <w:rPr>
          <w:sz w:val="24"/>
          <w:szCs w:val="24"/>
        </w:rPr>
        <w:t>(5).</w:t>
      </w:r>
    </w:p>
  </w:footnote>
  <w:footnote w:id="13">
    <w:p w:rsidR="00A47EAC" w:rsidRDefault="00A47EAC" w:rsidP="00B85CD8">
      <w:pPr>
        <w:pStyle w:val="FootnoteText"/>
        <w:jc w:val="both"/>
      </w:pPr>
      <w:r w:rsidRPr="00B85CD8">
        <w:rPr>
          <w:rStyle w:val="FootnoteReference"/>
          <w:sz w:val="24"/>
          <w:szCs w:val="24"/>
        </w:rPr>
        <w:footnoteRef/>
      </w:r>
      <w:r w:rsidRPr="00B85CD8">
        <w:rPr>
          <w:sz w:val="24"/>
          <w:szCs w:val="24"/>
        </w:rPr>
        <w:t xml:space="preserve"> </w:t>
      </w:r>
      <w:r w:rsidRPr="00B85CD8">
        <w:rPr>
          <w:i/>
          <w:sz w:val="24"/>
          <w:szCs w:val="24"/>
        </w:rPr>
        <w:t>ICWA Baseline Measures Project Finding Report</w:t>
      </w:r>
      <w:r w:rsidR="00B21DE2">
        <w:rPr>
          <w:sz w:val="24"/>
          <w:szCs w:val="24"/>
        </w:rPr>
        <w:t>, Capacity Building Center f</w:t>
      </w:r>
      <w:r w:rsidRPr="00B85CD8">
        <w:rPr>
          <w:sz w:val="24"/>
          <w:szCs w:val="24"/>
        </w:rPr>
        <w:t>or Courts</w:t>
      </w:r>
      <w:r w:rsidR="006C1902" w:rsidRPr="00B85CD8">
        <w:rPr>
          <w:sz w:val="24"/>
          <w:szCs w:val="24"/>
        </w:rPr>
        <w:t>, Children’</w:t>
      </w:r>
      <w:r w:rsidR="00A003A3" w:rsidRPr="00B85CD8">
        <w:rPr>
          <w:sz w:val="24"/>
          <w:szCs w:val="24"/>
        </w:rPr>
        <w:t>s Bureau</w:t>
      </w:r>
      <w:r w:rsidRPr="00B85CD8">
        <w:rPr>
          <w:sz w:val="24"/>
          <w:szCs w:val="24"/>
        </w:rPr>
        <w:t xml:space="preserve"> </w:t>
      </w:r>
      <w:r w:rsidR="002A6AFE" w:rsidRPr="00B85CD8">
        <w:rPr>
          <w:sz w:val="24"/>
          <w:szCs w:val="24"/>
        </w:rPr>
        <w:t>(2017).</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7445A"/>
    <w:multiLevelType w:val="hybridMultilevel"/>
    <w:tmpl w:val="F7868E1A"/>
    <w:lvl w:ilvl="0" w:tplc="1A3CF93C">
      <w:start w:val="1"/>
      <w:numFmt w:val="upp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FD337BD"/>
    <w:multiLevelType w:val="hybridMultilevel"/>
    <w:tmpl w:val="63FAC1FA"/>
    <w:lvl w:ilvl="0" w:tplc="8222D1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B153F0"/>
    <w:multiLevelType w:val="hybridMultilevel"/>
    <w:tmpl w:val="827C52C2"/>
    <w:lvl w:ilvl="0" w:tplc="727096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2672FAE"/>
    <w:multiLevelType w:val="hybridMultilevel"/>
    <w:tmpl w:val="C43CC9E2"/>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634C59"/>
    <w:multiLevelType w:val="hybridMultilevel"/>
    <w:tmpl w:val="5D724634"/>
    <w:lvl w:ilvl="0" w:tplc="CDBC43B2">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F77"/>
    <w:rsid w:val="00007CA3"/>
    <w:rsid w:val="0003527D"/>
    <w:rsid w:val="00051F18"/>
    <w:rsid w:val="00053A14"/>
    <w:rsid w:val="00070318"/>
    <w:rsid w:val="000931C3"/>
    <w:rsid w:val="0009593A"/>
    <w:rsid w:val="0009717A"/>
    <w:rsid w:val="000E3AC6"/>
    <w:rsid w:val="000F1F9C"/>
    <w:rsid w:val="000F241B"/>
    <w:rsid w:val="000F4BF5"/>
    <w:rsid w:val="00110586"/>
    <w:rsid w:val="001133E8"/>
    <w:rsid w:val="00155171"/>
    <w:rsid w:val="001644BC"/>
    <w:rsid w:val="001666DF"/>
    <w:rsid w:val="00183184"/>
    <w:rsid w:val="00191305"/>
    <w:rsid w:val="001971EA"/>
    <w:rsid w:val="001A5279"/>
    <w:rsid w:val="001C1E43"/>
    <w:rsid w:val="001D5106"/>
    <w:rsid w:val="001D5BA9"/>
    <w:rsid w:val="001E1773"/>
    <w:rsid w:val="001E2704"/>
    <w:rsid w:val="001E4C9D"/>
    <w:rsid w:val="001E5B9C"/>
    <w:rsid w:val="001E6FA8"/>
    <w:rsid w:val="0020132E"/>
    <w:rsid w:val="0020443A"/>
    <w:rsid w:val="002106EA"/>
    <w:rsid w:val="00214CD3"/>
    <w:rsid w:val="00231199"/>
    <w:rsid w:val="002446A0"/>
    <w:rsid w:val="00251691"/>
    <w:rsid w:val="002541CE"/>
    <w:rsid w:val="002611DE"/>
    <w:rsid w:val="00275A52"/>
    <w:rsid w:val="0028716C"/>
    <w:rsid w:val="002A4CC4"/>
    <w:rsid w:val="002A6AFE"/>
    <w:rsid w:val="002B69C6"/>
    <w:rsid w:val="002C1E08"/>
    <w:rsid w:val="002D308C"/>
    <w:rsid w:val="002E05A8"/>
    <w:rsid w:val="002E62CF"/>
    <w:rsid w:val="002F7019"/>
    <w:rsid w:val="003155B9"/>
    <w:rsid w:val="00316490"/>
    <w:rsid w:val="00325358"/>
    <w:rsid w:val="00335E9E"/>
    <w:rsid w:val="00336FE3"/>
    <w:rsid w:val="0034313C"/>
    <w:rsid w:val="00367788"/>
    <w:rsid w:val="0037249B"/>
    <w:rsid w:val="00375031"/>
    <w:rsid w:val="003A5B2D"/>
    <w:rsid w:val="003D4976"/>
    <w:rsid w:val="003E4D9E"/>
    <w:rsid w:val="003E755E"/>
    <w:rsid w:val="003F5D90"/>
    <w:rsid w:val="0041219E"/>
    <w:rsid w:val="00417C61"/>
    <w:rsid w:val="00427F83"/>
    <w:rsid w:val="004402C0"/>
    <w:rsid w:val="00461A87"/>
    <w:rsid w:val="00467855"/>
    <w:rsid w:val="0047620E"/>
    <w:rsid w:val="00477916"/>
    <w:rsid w:val="00481F84"/>
    <w:rsid w:val="00490F77"/>
    <w:rsid w:val="0049666C"/>
    <w:rsid w:val="004A0591"/>
    <w:rsid w:val="004A32A5"/>
    <w:rsid w:val="004E7016"/>
    <w:rsid w:val="00514B45"/>
    <w:rsid w:val="00514DA6"/>
    <w:rsid w:val="0052594D"/>
    <w:rsid w:val="005324AC"/>
    <w:rsid w:val="00550DE3"/>
    <w:rsid w:val="00554461"/>
    <w:rsid w:val="0055614E"/>
    <w:rsid w:val="00556BF9"/>
    <w:rsid w:val="005619DF"/>
    <w:rsid w:val="00561FA1"/>
    <w:rsid w:val="00570D05"/>
    <w:rsid w:val="0057448D"/>
    <w:rsid w:val="00592277"/>
    <w:rsid w:val="0059730E"/>
    <w:rsid w:val="005A6798"/>
    <w:rsid w:val="005B207B"/>
    <w:rsid w:val="005D32BC"/>
    <w:rsid w:val="005D4648"/>
    <w:rsid w:val="005E5210"/>
    <w:rsid w:val="00616E69"/>
    <w:rsid w:val="006221E4"/>
    <w:rsid w:val="006272EA"/>
    <w:rsid w:val="00643AB3"/>
    <w:rsid w:val="00645138"/>
    <w:rsid w:val="0064755D"/>
    <w:rsid w:val="006925F2"/>
    <w:rsid w:val="006A26B9"/>
    <w:rsid w:val="006C1902"/>
    <w:rsid w:val="006E5DA2"/>
    <w:rsid w:val="007041D8"/>
    <w:rsid w:val="00740F43"/>
    <w:rsid w:val="00740FAB"/>
    <w:rsid w:val="00752DBF"/>
    <w:rsid w:val="00753B5A"/>
    <w:rsid w:val="00760DD7"/>
    <w:rsid w:val="00761C1B"/>
    <w:rsid w:val="00765ED4"/>
    <w:rsid w:val="00781A36"/>
    <w:rsid w:val="007957DF"/>
    <w:rsid w:val="007965D3"/>
    <w:rsid w:val="007A3A32"/>
    <w:rsid w:val="007A4853"/>
    <w:rsid w:val="007B39DE"/>
    <w:rsid w:val="007B4441"/>
    <w:rsid w:val="007C24DB"/>
    <w:rsid w:val="007D33C0"/>
    <w:rsid w:val="007E53E6"/>
    <w:rsid w:val="00804D83"/>
    <w:rsid w:val="00833B4B"/>
    <w:rsid w:val="00836A04"/>
    <w:rsid w:val="0083705D"/>
    <w:rsid w:val="00855664"/>
    <w:rsid w:val="00863E91"/>
    <w:rsid w:val="00865651"/>
    <w:rsid w:val="00873B6F"/>
    <w:rsid w:val="0088376E"/>
    <w:rsid w:val="0088682A"/>
    <w:rsid w:val="008873E1"/>
    <w:rsid w:val="008938EE"/>
    <w:rsid w:val="008975F8"/>
    <w:rsid w:val="00897FA9"/>
    <w:rsid w:val="008A3BE5"/>
    <w:rsid w:val="008A4241"/>
    <w:rsid w:val="008A64EC"/>
    <w:rsid w:val="008A7D68"/>
    <w:rsid w:val="008C04F5"/>
    <w:rsid w:val="008C49AA"/>
    <w:rsid w:val="008D7D67"/>
    <w:rsid w:val="008E50FE"/>
    <w:rsid w:val="009050C0"/>
    <w:rsid w:val="009127F1"/>
    <w:rsid w:val="00924EC4"/>
    <w:rsid w:val="0093036D"/>
    <w:rsid w:val="00951A81"/>
    <w:rsid w:val="00977CBE"/>
    <w:rsid w:val="0099417D"/>
    <w:rsid w:val="00995412"/>
    <w:rsid w:val="009A32FD"/>
    <w:rsid w:val="009A3DE2"/>
    <w:rsid w:val="009A5607"/>
    <w:rsid w:val="009A6514"/>
    <w:rsid w:val="009B1F25"/>
    <w:rsid w:val="009B22F9"/>
    <w:rsid w:val="009B35FE"/>
    <w:rsid w:val="009B3746"/>
    <w:rsid w:val="009B76B9"/>
    <w:rsid w:val="009D51E8"/>
    <w:rsid w:val="009E5F58"/>
    <w:rsid w:val="009F66EF"/>
    <w:rsid w:val="00A003A3"/>
    <w:rsid w:val="00A40AE9"/>
    <w:rsid w:val="00A47EAC"/>
    <w:rsid w:val="00A635F8"/>
    <w:rsid w:val="00A803A5"/>
    <w:rsid w:val="00A8045E"/>
    <w:rsid w:val="00AB32F5"/>
    <w:rsid w:val="00AC1DD0"/>
    <w:rsid w:val="00AC407A"/>
    <w:rsid w:val="00AD1794"/>
    <w:rsid w:val="00AD7B54"/>
    <w:rsid w:val="00AE2BEE"/>
    <w:rsid w:val="00AE5485"/>
    <w:rsid w:val="00AF5A7A"/>
    <w:rsid w:val="00B150A8"/>
    <w:rsid w:val="00B150E7"/>
    <w:rsid w:val="00B21DE2"/>
    <w:rsid w:val="00B24625"/>
    <w:rsid w:val="00B31EE5"/>
    <w:rsid w:val="00B3396B"/>
    <w:rsid w:val="00B5192B"/>
    <w:rsid w:val="00B56E1A"/>
    <w:rsid w:val="00B71AD2"/>
    <w:rsid w:val="00B72B34"/>
    <w:rsid w:val="00B81C5F"/>
    <w:rsid w:val="00B85CD8"/>
    <w:rsid w:val="00B92B27"/>
    <w:rsid w:val="00BA1E1F"/>
    <w:rsid w:val="00BA2F46"/>
    <w:rsid w:val="00BA49E8"/>
    <w:rsid w:val="00BB3CC2"/>
    <w:rsid w:val="00BF009A"/>
    <w:rsid w:val="00C04827"/>
    <w:rsid w:val="00C06140"/>
    <w:rsid w:val="00C1118A"/>
    <w:rsid w:val="00C24F60"/>
    <w:rsid w:val="00C3069C"/>
    <w:rsid w:val="00C313C3"/>
    <w:rsid w:val="00C40571"/>
    <w:rsid w:val="00C92513"/>
    <w:rsid w:val="00C934F7"/>
    <w:rsid w:val="00CA1F34"/>
    <w:rsid w:val="00CA48CA"/>
    <w:rsid w:val="00CB058B"/>
    <w:rsid w:val="00CB5343"/>
    <w:rsid w:val="00CE7DFB"/>
    <w:rsid w:val="00CF04D9"/>
    <w:rsid w:val="00CF7351"/>
    <w:rsid w:val="00D04797"/>
    <w:rsid w:val="00D226AB"/>
    <w:rsid w:val="00D235B9"/>
    <w:rsid w:val="00D34065"/>
    <w:rsid w:val="00D42778"/>
    <w:rsid w:val="00D57DE4"/>
    <w:rsid w:val="00D67FA4"/>
    <w:rsid w:val="00D70B8C"/>
    <w:rsid w:val="00D732CA"/>
    <w:rsid w:val="00D767FD"/>
    <w:rsid w:val="00DA0611"/>
    <w:rsid w:val="00DA3236"/>
    <w:rsid w:val="00DC0A23"/>
    <w:rsid w:val="00DC5642"/>
    <w:rsid w:val="00DC572A"/>
    <w:rsid w:val="00DE09BE"/>
    <w:rsid w:val="00DE1B0A"/>
    <w:rsid w:val="00DE6EC9"/>
    <w:rsid w:val="00E057C5"/>
    <w:rsid w:val="00E07884"/>
    <w:rsid w:val="00E103D1"/>
    <w:rsid w:val="00E12DB7"/>
    <w:rsid w:val="00E13C66"/>
    <w:rsid w:val="00E13D2C"/>
    <w:rsid w:val="00E14108"/>
    <w:rsid w:val="00E148D0"/>
    <w:rsid w:val="00E221F2"/>
    <w:rsid w:val="00E25CF2"/>
    <w:rsid w:val="00E32DDF"/>
    <w:rsid w:val="00E34B6E"/>
    <w:rsid w:val="00E44B50"/>
    <w:rsid w:val="00E559B3"/>
    <w:rsid w:val="00E62474"/>
    <w:rsid w:val="00E63137"/>
    <w:rsid w:val="00E6317B"/>
    <w:rsid w:val="00E83728"/>
    <w:rsid w:val="00EA1CEA"/>
    <w:rsid w:val="00EA2B36"/>
    <w:rsid w:val="00EA79B8"/>
    <w:rsid w:val="00EC210F"/>
    <w:rsid w:val="00ED1A17"/>
    <w:rsid w:val="00ED5631"/>
    <w:rsid w:val="00EE2E9A"/>
    <w:rsid w:val="00EF4C45"/>
    <w:rsid w:val="00F0143D"/>
    <w:rsid w:val="00F02A60"/>
    <w:rsid w:val="00F0488F"/>
    <w:rsid w:val="00F113C5"/>
    <w:rsid w:val="00F13EBA"/>
    <w:rsid w:val="00F26AB0"/>
    <w:rsid w:val="00F27628"/>
    <w:rsid w:val="00F5264D"/>
    <w:rsid w:val="00F54970"/>
    <w:rsid w:val="00F64DA1"/>
    <w:rsid w:val="00F75979"/>
    <w:rsid w:val="00F759BA"/>
    <w:rsid w:val="00F854A8"/>
    <w:rsid w:val="00F85C43"/>
    <w:rsid w:val="00F96DE6"/>
    <w:rsid w:val="00FA0205"/>
    <w:rsid w:val="00FA5A50"/>
    <w:rsid w:val="00FB1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2D1F7E"/>
  <w15:docId w15:val="{82B46531-F789-45D5-8837-FF55B782F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B32F5"/>
    <w:pPr>
      <w:widowControl w:val="0"/>
      <w:autoSpaceDE w:val="0"/>
      <w:autoSpaceDN w:val="0"/>
      <w:adjustRightInd w:val="0"/>
    </w:pPr>
  </w:style>
  <w:style w:type="paragraph" w:styleId="Heading6">
    <w:name w:val="heading 6"/>
    <w:basedOn w:val="Normal"/>
    <w:next w:val="Normal"/>
    <w:link w:val="Heading6Char"/>
    <w:semiHidden/>
    <w:unhideWhenUsed/>
    <w:qFormat/>
    <w:rsid w:val="004A32A5"/>
    <w:pPr>
      <w:keepNext/>
      <w:keepLines/>
      <w:widowControl/>
      <w:autoSpaceDE/>
      <w:autoSpaceDN/>
      <w:adjustRightInd/>
      <w:spacing w:before="200" w:line="508" w:lineRule="exact"/>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Ref">
    <w:name w:val="Footnote Ref"/>
    <w:rsid w:val="00AB32F5"/>
  </w:style>
  <w:style w:type="character" w:customStyle="1" w:styleId="DefaultPara">
    <w:name w:val="Default Para"/>
    <w:rsid w:val="00AB32F5"/>
  </w:style>
  <w:style w:type="paragraph" w:styleId="Title">
    <w:name w:val="Title"/>
    <w:basedOn w:val="Normal"/>
    <w:qFormat/>
    <w:rsid w:val="00AB32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lbertus" w:hAnsi="Albertus"/>
      <w:b/>
      <w:bCs/>
      <w:sz w:val="40"/>
      <w:szCs w:val="40"/>
    </w:rPr>
  </w:style>
  <w:style w:type="paragraph" w:styleId="BalloonText">
    <w:name w:val="Balloon Text"/>
    <w:basedOn w:val="Normal"/>
    <w:semiHidden/>
    <w:rsid w:val="00490F77"/>
    <w:rPr>
      <w:rFonts w:ascii="Tahoma" w:hAnsi="Tahoma" w:cs="Tahoma"/>
      <w:sz w:val="16"/>
      <w:szCs w:val="16"/>
    </w:rPr>
  </w:style>
  <w:style w:type="paragraph" w:styleId="Header">
    <w:name w:val="header"/>
    <w:basedOn w:val="Normal"/>
    <w:link w:val="HeaderChar"/>
    <w:rsid w:val="0099417D"/>
    <w:pPr>
      <w:tabs>
        <w:tab w:val="center" w:pos="4680"/>
        <w:tab w:val="right" w:pos="9360"/>
      </w:tabs>
    </w:pPr>
  </w:style>
  <w:style w:type="character" w:customStyle="1" w:styleId="HeaderChar">
    <w:name w:val="Header Char"/>
    <w:basedOn w:val="DefaultParagraphFont"/>
    <w:link w:val="Header"/>
    <w:rsid w:val="0099417D"/>
  </w:style>
  <w:style w:type="paragraph" w:styleId="Footer">
    <w:name w:val="footer"/>
    <w:basedOn w:val="Normal"/>
    <w:link w:val="FooterChar"/>
    <w:uiPriority w:val="99"/>
    <w:rsid w:val="0099417D"/>
    <w:pPr>
      <w:tabs>
        <w:tab w:val="center" w:pos="4680"/>
        <w:tab w:val="right" w:pos="9360"/>
      </w:tabs>
    </w:pPr>
  </w:style>
  <w:style w:type="character" w:customStyle="1" w:styleId="FooterChar">
    <w:name w:val="Footer Char"/>
    <w:basedOn w:val="DefaultParagraphFont"/>
    <w:link w:val="Footer"/>
    <w:uiPriority w:val="99"/>
    <w:rsid w:val="0099417D"/>
  </w:style>
  <w:style w:type="character" w:styleId="Hyperlink">
    <w:name w:val="Hyperlink"/>
    <w:basedOn w:val="DefaultParagraphFont"/>
    <w:rsid w:val="00214CD3"/>
    <w:rPr>
      <w:color w:val="0000FF"/>
      <w:u w:val="single"/>
    </w:rPr>
  </w:style>
  <w:style w:type="paragraph" w:customStyle="1" w:styleId="DoubleSpacing">
    <w:name w:val="Double Spacing"/>
    <w:basedOn w:val="Normal"/>
    <w:rsid w:val="00214CD3"/>
    <w:pPr>
      <w:widowControl/>
      <w:autoSpaceDE/>
      <w:autoSpaceDN/>
      <w:adjustRightInd/>
      <w:spacing w:line="508" w:lineRule="exact"/>
    </w:pPr>
    <w:rPr>
      <w:rFonts w:ascii="Courier New" w:hAnsi="Courier New" w:cs="Courier New"/>
    </w:rPr>
  </w:style>
  <w:style w:type="character" w:customStyle="1" w:styleId="Heading6Char">
    <w:name w:val="Heading 6 Char"/>
    <w:basedOn w:val="DefaultParagraphFont"/>
    <w:link w:val="Heading6"/>
    <w:semiHidden/>
    <w:rsid w:val="004A32A5"/>
    <w:rPr>
      <w:rFonts w:asciiTheme="majorHAnsi" w:eastAsiaTheme="majorEastAsia" w:hAnsiTheme="majorHAnsi" w:cstheme="majorBidi"/>
      <w:i/>
      <w:iCs/>
      <w:color w:val="243F60" w:themeColor="accent1" w:themeShade="7F"/>
    </w:rPr>
  </w:style>
  <w:style w:type="paragraph" w:styleId="NormalWeb">
    <w:name w:val="Normal (Web)"/>
    <w:basedOn w:val="Normal"/>
    <w:uiPriority w:val="99"/>
    <w:unhideWhenUsed/>
    <w:rsid w:val="004A32A5"/>
    <w:pPr>
      <w:widowControl/>
      <w:autoSpaceDE/>
      <w:autoSpaceDN/>
      <w:adjustRightInd/>
      <w:spacing w:before="100" w:beforeAutospacing="1" w:after="100" w:afterAutospacing="1"/>
    </w:pPr>
    <w:rPr>
      <w:sz w:val="24"/>
      <w:szCs w:val="24"/>
    </w:rPr>
  </w:style>
  <w:style w:type="paragraph" w:styleId="FootnoteText">
    <w:name w:val="footnote text"/>
    <w:basedOn w:val="Normal"/>
    <w:link w:val="FootnoteTextChar"/>
    <w:uiPriority w:val="99"/>
    <w:unhideWhenUsed/>
    <w:rsid w:val="004A32A5"/>
    <w:pPr>
      <w:widowControl/>
      <w:autoSpaceDE/>
      <w:autoSpaceDN/>
      <w:adjustRightInd/>
    </w:pPr>
  </w:style>
  <w:style w:type="character" w:customStyle="1" w:styleId="FootnoteTextChar">
    <w:name w:val="Footnote Text Char"/>
    <w:basedOn w:val="DefaultParagraphFont"/>
    <w:link w:val="FootnoteText"/>
    <w:uiPriority w:val="99"/>
    <w:rsid w:val="004A32A5"/>
  </w:style>
  <w:style w:type="character" w:styleId="FootnoteReference">
    <w:name w:val="footnote reference"/>
    <w:basedOn w:val="DefaultParagraphFont"/>
    <w:uiPriority w:val="99"/>
    <w:unhideWhenUsed/>
    <w:rsid w:val="004A32A5"/>
    <w:rPr>
      <w:vertAlign w:val="superscript"/>
    </w:rPr>
  </w:style>
  <w:style w:type="character" w:customStyle="1" w:styleId="region">
    <w:name w:val="region"/>
    <w:basedOn w:val="DefaultParagraphFont"/>
    <w:rsid w:val="004A0591"/>
    <w:rPr>
      <w:rFonts w:cs="Times New Roman"/>
    </w:rPr>
  </w:style>
  <w:style w:type="paragraph" w:styleId="ListParagraph">
    <w:name w:val="List Paragraph"/>
    <w:basedOn w:val="Normal"/>
    <w:uiPriority w:val="34"/>
    <w:qFormat/>
    <w:rsid w:val="001E4C9D"/>
    <w:pPr>
      <w:widowControl/>
      <w:autoSpaceDE/>
      <w:autoSpaceDN/>
      <w:adjustRightInd/>
      <w:spacing w:after="200" w:line="276" w:lineRule="auto"/>
      <w:ind w:left="720"/>
      <w:contextualSpacing/>
    </w:pPr>
    <w:rPr>
      <w:rFonts w:ascii="Arial" w:eastAsiaTheme="minorHAnsi" w:hAnsi="Arial" w:cstheme="minorBidi"/>
      <w:sz w:val="24"/>
      <w:szCs w:val="22"/>
    </w:rPr>
  </w:style>
  <w:style w:type="character" w:styleId="CommentReference">
    <w:name w:val="annotation reference"/>
    <w:basedOn w:val="DefaultParagraphFont"/>
    <w:rsid w:val="00781A36"/>
    <w:rPr>
      <w:sz w:val="16"/>
      <w:szCs w:val="16"/>
    </w:rPr>
  </w:style>
  <w:style w:type="paragraph" w:styleId="CommentText">
    <w:name w:val="annotation text"/>
    <w:basedOn w:val="Normal"/>
    <w:link w:val="CommentTextChar"/>
    <w:rsid w:val="00781A36"/>
  </w:style>
  <w:style w:type="character" w:customStyle="1" w:styleId="CommentTextChar">
    <w:name w:val="Comment Text Char"/>
    <w:basedOn w:val="DefaultParagraphFont"/>
    <w:link w:val="CommentText"/>
    <w:rsid w:val="00781A36"/>
  </w:style>
  <w:style w:type="paragraph" w:styleId="CommentSubject">
    <w:name w:val="annotation subject"/>
    <w:basedOn w:val="CommentText"/>
    <w:next w:val="CommentText"/>
    <w:link w:val="CommentSubjectChar"/>
    <w:rsid w:val="00781A36"/>
    <w:rPr>
      <w:b/>
      <w:bCs/>
    </w:rPr>
  </w:style>
  <w:style w:type="character" w:customStyle="1" w:styleId="CommentSubjectChar">
    <w:name w:val="Comment Subject Char"/>
    <w:basedOn w:val="CommentTextChar"/>
    <w:link w:val="CommentSubject"/>
    <w:rsid w:val="00781A36"/>
    <w:rPr>
      <w:b/>
      <w:bCs/>
    </w:rPr>
  </w:style>
  <w:style w:type="paragraph" w:styleId="BodyText">
    <w:name w:val="Body Text"/>
    <w:basedOn w:val="Normal"/>
    <w:link w:val="BodyTextChar"/>
    <w:uiPriority w:val="1"/>
    <w:qFormat/>
    <w:rsid w:val="0003527D"/>
    <w:pPr>
      <w:adjustRightInd/>
    </w:pPr>
    <w:rPr>
      <w:sz w:val="23"/>
      <w:szCs w:val="23"/>
    </w:rPr>
  </w:style>
  <w:style w:type="character" w:customStyle="1" w:styleId="BodyTextChar">
    <w:name w:val="Body Text Char"/>
    <w:basedOn w:val="DefaultParagraphFont"/>
    <w:link w:val="BodyText"/>
    <w:uiPriority w:val="1"/>
    <w:rsid w:val="0003527D"/>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01D2DE-7690-46F8-9977-20CC5A12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2020</Words>
  <Characters>11189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GRIC - Law</Company>
  <LinksUpToDate>false</LinksUpToDate>
  <CharactersWithSpaces>13183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Fox, Yolanda</cp:lastModifiedBy>
  <cp:revision>2</cp:revision>
  <cp:lastPrinted>2020-04-02T19:50:00Z</cp:lastPrinted>
  <dcterms:created xsi:type="dcterms:W3CDTF">2020-04-23T17:14:00Z</dcterms:created>
  <dcterms:modified xsi:type="dcterms:W3CDTF">2020-04-23T17:14:00Z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UFAAhbkLiRokiRxjHHX3T0i7osT4+J4rpOL3svBzx4YuEnFu3kWtP6+OZCzbLwLOSrFiGkFfw0JccEVP
HeQbGQUzETOHkfT7Bj+BvrVhD2a4r2CE4CkoSm3GAMOI8PTYL8vDkP68uJECbgAozdU24uL/u7jj
XnSoOBIpA1b4J+AbC4L7vQv0pLd5HKBDqSY+qBVppc0acIU610hLqzUiFMkUlAL0U6uoPs/HXsy/
dQwKtzhMihAo8CeIL</vt:lpwstr>
  </property>
  <property fmtid="{D5CDD505-2E9C-101B-9397-08002B2CF9AE}" pid="3" name="MAIL_MSG_ID2">
    <vt:lpwstr>PcHNsRO775QPbXdRGh03R6AxLLB6I3Ql/OslsrarsyRBrkBLKtUwBu01ook
vt+QI7VyNPeZMg4FxSD4e5xcJXU=</vt:lpwstr>
  </property>
  <property fmtid="{D5CDD505-2E9C-101B-9397-08002B2CF9AE}" pid="4" name="RESPONSE_SENDER_NAME">
    <vt:lpwstr>sAAAE34RQVAK31m9Ubh34lpYBU0z/9gNOzjeG7tFvi1GpBA=</vt:lpwstr>
  </property>
  <property fmtid="{D5CDD505-2E9C-101B-9397-08002B2CF9AE}" pid="5" name="EMAIL_OWNER_ADDRESS">
    <vt:lpwstr>4AAA9DNYQidmug5XUwur5fTxTQc2fafBnrrPwNG3PWHyRiFFpTpnrmbjDg==</vt:lpwstr>
  </property>
  <property fmtid="{D5CDD505-2E9C-101B-9397-08002B2CF9AE}" pid="6" name="WS_TRACKING_ID">
    <vt:lpwstr>275b3c09-5538-4f50-8c74-82b7ddf2711a</vt:lpwstr>
  </property>
</Properties>
</file>