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002E9"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bookmarkStart w:id="0" w:name="_Hlk6217947"/>
      <w:bookmarkStart w:id="1" w:name="_Hlk6217890"/>
      <w:r w:rsidRPr="005F0AE0">
        <w:rPr>
          <w:sz w:val="28"/>
          <w:szCs w:val="28"/>
        </w:rPr>
        <w:t>Hon. Ann A. Scott Timmer, Chair</w:t>
      </w:r>
    </w:p>
    <w:p w14:paraId="3B4C5F17"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Attorney Regulation Advisory Committee</w:t>
      </w:r>
    </w:p>
    <w:p w14:paraId="7BE8C2E8"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Arizona Supreme Court</w:t>
      </w:r>
    </w:p>
    <w:p w14:paraId="2B8A2F0D"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 xml:space="preserve">1501 W. Washington St. </w:t>
      </w:r>
    </w:p>
    <w:p w14:paraId="6F3BC76F" w14:textId="77777777" w:rsidR="005F0AE0" w:rsidRPr="005F0AE0" w:rsidRDefault="005F0AE0" w:rsidP="005F0AE0">
      <w:pPr>
        <w:widowControl w:val="0"/>
        <w:tabs>
          <w:tab w:val="center" w:pos="4680"/>
        </w:tabs>
        <w:autoSpaceDE w:val="0"/>
        <w:autoSpaceDN w:val="0"/>
        <w:adjustRightInd w:val="0"/>
        <w:spacing w:line="240" w:lineRule="auto"/>
        <w:jc w:val="both"/>
        <w:rPr>
          <w:sz w:val="28"/>
          <w:szCs w:val="28"/>
        </w:rPr>
      </w:pPr>
      <w:r w:rsidRPr="005F0AE0">
        <w:rPr>
          <w:sz w:val="28"/>
          <w:szCs w:val="28"/>
        </w:rPr>
        <w:t>Phoenix, AZ 85007</w:t>
      </w:r>
    </w:p>
    <w:p w14:paraId="635ED2A0" w14:textId="77777777" w:rsidR="005F0AE0" w:rsidRPr="005F0AE0" w:rsidRDefault="005F0AE0" w:rsidP="005F0AE0">
      <w:pPr>
        <w:widowControl w:val="0"/>
        <w:tabs>
          <w:tab w:val="center" w:pos="4680"/>
        </w:tabs>
        <w:autoSpaceDE w:val="0"/>
        <w:autoSpaceDN w:val="0"/>
        <w:adjustRightInd w:val="0"/>
        <w:spacing w:line="240" w:lineRule="auto"/>
        <w:rPr>
          <w:sz w:val="28"/>
          <w:szCs w:val="28"/>
        </w:rPr>
      </w:pPr>
    </w:p>
    <w:p w14:paraId="47C33425" w14:textId="77777777" w:rsidR="005F0AE0" w:rsidRPr="005F0AE0" w:rsidRDefault="005F0AE0" w:rsidP="005F0AE0">
      <w:pPr>
        <w:widowControl w:val="0"/>
        <w:tabs>
          <w:tab w:val="center" w:pos="4680"/>
        </w:tabs>
        <w:autoSpaceDE w:val="0"/>
        <w:autoSpaceDN w:val="0"/>
        <w:adjustRightInd w:val="0"/>
        <w:spacing w:line="240" w:lineRule="auto"/>
        <w:rPr>
          <w:b/>
          <w:sz w:val="28"/>
          <w:szCs w:val="28"/>
        </w:rPr>
      </w:pPr>
      <w:r w:rsidRPr="005F0AE0">
        <w:rPr>
          <w:sz w:val="24"/>
          <w:szCs w:val="24"/>
        </w:rPr>
        <w:tab/>
      </w:r>
      <w:r w:rsidRPr="005F0AE0">
        <w:rPr>
          <w:b/>
          <w:sz w:val="28"/>
          <w:szCs w:val="28"/>
        </w:rPr>
        <w:t>IN THE SUPREME COURT</w:t>
      </w:r>
    </w:p>
    <w:p w14:paraId="26B43820" w14:textId="77777777" w:rsidR="005F0AE0" w:rsidRPr="005F0AE0" w:rsidRDefault="005F0AE0" w:rsidP="005F0AE0">
      <w:pPr>
        <w:widowControl w:val="0"/>
        <w:tabs>
          <w:tab w:val="center" w:pos="4680"/>
        </w:tabs>
        <w:autoSpaceDE w:val="0"/>
        <w:autoSpaceDN w:val="0"/>
        <w:adjustRightInd w:val="0"/>
        <w:spacing w:line="240" w:lineRule="auto"/>
        <w:jc w:val="center"/>
        <w:rPr>
          <w:b/>
          <w:sz w:val="28"/>
          <w:szCs w:val="28"/>
        </w:rPr>
      </w:pPr>
      <w:r w:rsidRPr="005F0AE0">
        <w:rPr>
          <w:b/>
          <w:sz w:val="28"/>
          <w:szCs w:val="28"/>
        </w:rPr>
        <w:t>STATE OF ARIZONA</w:t>
      </w:r>
    </w:p>
    <w:p w14:paraId="6AD9DE71" w14:textId="77777777" w:rsidR="005F0AE0" w:rsidRPr="005F0AE0" w:rsidRDefault="005F0AE0" w:rsidP="005F0AE0">
      <w:pPr>
        <w:widowControl w:val="0"/>
        <w:autoSpaceDE w:val="0"/>
        <w:autoSpaceDN w:val="0"/>
        <w:adjustRightInd w:val="0"/>
        <w:spacing w:line="240" w:lineRule="auto"/>
        <w:rPr>
          <w:sz w:val="24"/>
          <w:szCs w:val="24"/>
        </w:rPr>
      </w:pPr>
    </w:p>
    <w:tbl>
      <w:tblPr>
        <w:tblW w:w="9270" w:type="dxa"/>
        <w:tblBorders>
          <w:insideH w:val="single" w:sz="4" w:space="0" w:color="auto"/>
        </w:tblBorders>
        <w:tblLayout w:type="fixed"/>
        <w:tblLook w:val="0000" w:firstRow="0" w:lastRow="0" w:firstColumn="0" w:lastColumn="0" w:noHBand="0" w:noVBand="0"/>
      </w:tblPr>
      <w:tblGrid>
        <w:gridCol w:w="4590"/>
        <w:gridCol w:w="270"/>
        <w:gridCol w:w="4410"/>
      </w:tblGrid>
      <w:tr w:rsidR="0023274A" w:rsidRPr="0023274A" w14:paraId="7AAA1FF7" w14:textId="77777777" w:rsidTr="00182392">
        <w:trPr>
          <w:trHeight w:val="2097"/>
        </w:trPr>
        <w:tc>
          <w:tcPr>
            <w:tcW w:w="4590" w:type="dxa"/>
            <w:tcBorders>
              <w:top w:val="nil"/>
              <w:bottom w:val="single" w:sz="4" w:space="0" w:color="auto"/>
              <w:right w:val="nil"/>
            </w:tcBorders>
            <w:shd w:val="clear" w:color="auto" w:fill="auto"/>
          </w:tcPr>
          <w:p w14:paraId="43378571" w14:textId="77777777" w:rsidR="0023274A" w:rsidRPr="0023274A" w:rsidRDefault="0023274A" w:rsidP="002B1E73">
            <w:pPr>
              <w:widowControl w:val="0"/>
              <w:spacing w:line="240" w:lineRule="auto"/>
              <w:rPr>
                <w:bCs/>
                <w:sz w:val="28"/>
                <w:szCs w:val="28"/>
              </w:rPr>
            </w:pPr>
            <w:bookmarkStart w:id="2" w:name="_zzmpFIXED_CaptionTable"/>
            <w:bookmarkEnd w:id="0"/>
          </w:p>
          <w:p w14:paraId="44072B93" w14:textId="77777777" w:rsidR="0023274A" w:rsidRPr="0023274A" w:rsidRDefault="0023274A" w:rsidP="002B1E73">
            <w:pPr>
              <w:widowControl w:val="0"/>
              <w:spacing w:line="240" w:lineRule="auto"/>
              <w:rPr>
                <w:bCs/>
                <w:sz w:val="28"/>
                <w:szCs w:val="28"/>
              </w:rPr>
            </w:pPr>
            <w:r w:rsidRPr="0023274A">
              <w:rPr>
                <w:bCs/>
                <w:sz w:val="28"/>
                <w:szCs w:val="28"/>
              </w:rPr>
              <w:t>In the Matter of:</w:t>
            </w:r>
          </w:p>
          <w:p w14:paraId="621F72FA" w14:textId="77777777" w:rsidR="0023274A" w:rsidRPr="0023274A" w:rsidRDefault="0023274A" w:rsidP="002B1E73">
            <w:pPr>
              <w:widowControl w:val="0"/>
              <w:spacing w:line="240" w:lineRule="auto"/>
              <w:rPr>
                <w:bCs/>
                <w:sz w:val="28"/>
                <w:szCs w:val="28"/>
              </w:rPr>
            </w:pPr>
          </w:p>
          <w:p w14:paraId="6B8AD315" w14:textId="77777777" w:rsidR="006856F9" w:rsidRPr="0023274A" w:rsidRDefault="00182392" w:rsidP="00182392">
            <w:pPr>
              <w:widowControl w:val="0"/>
              <w:spacing w:line="240" w:lineRule="auto"/>
              <w:rPr>
                <w:bCs/>
                <w:sz w:val="26"/>
              </w:rPr>
            </w:pPr>
            <w:r>
              <w:rPr>
                <w:bCs/>
                <w:sz w:val="28"/>
                <w:szCs w:val="28"/>
              </w:rPr>
              <w:t>PETITION TO AMEND RULES OF THE SUPREME COURT OF ARIZONA:  RULE 39</w:t>
            </w:r>
            <w:r w:rsidR="006856F9">
              <w:rPr>
                <w:bCs/>
                <w:sz w:val="28"/>
                <w:szCs w:val="28"/>
              </w:rPr>
              <w:t xml:space="preserve"> </w:t>
            </w:r>
          </w:p>
        </w:tc>
        <w:tc>
          <w:tcPr>
            <w:tcW w:w="270" w:type="dxa"/>
            <w:tcBorders>
              <w:top w:val="nil"/>
              <w:left w:val="nil"/>
              <w:bottom w:val="nil"/>
              <w:right w:val="nil"/>
            </w:tcBorders>
          </w:tcPr>
          <w:p w14:paraId="47D0CCE8" w14:textId="77777777" w:rsidR="0023274A" w:rsidRPr="0023274A" w:rsidRDefault="0023274A" w:rsidP="0023274A">
            <w:pPr>
              <w:widowControl w:val="0"/>
              <w:spacing w:line="240" w:lineRule="auto"/>
              <w:ind w:left="-105" w:right="335"/>
              <w:rPr>
                <w:bCs/>
                <w:sz w:val="28"/>
                <w:szCs w:val="28"/>
              </w:rPr>
            </w:pPr>
            <w:r w:rsidRPr="0023274A">
              <w:rPr>
                <w:bCs/>
                <w:sz w:val="28"/>
                <w:szCs w:val="28"/>
              </w:rPr>
              <w:t>)</w:t>
            </w:r>
          </w:p>
          <w:p w14:paraId="3051B8EC"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4A300B01"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3022F3F7"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47F612F6" w14:textId="77777777" w:rsidR="0023274A" w:rsidRPr="0023274A" w:rsidRDefault="0023274A" w:rsidP="0023274A">
            <w:pPr>
              <w:widowControl w:val="0"/>
              <w:autoSpaceDE w:val="0"/>
              <w:autoSpaceDN w:val="0"/>
              <w:adjustRightInd w:val="0"/>
              <w:spacing w:line="240" w:lineRule="auto"/>
              <w:ind w:left="-105"/>
              <w:rPr>
                <w:sz w:val="28"/>
                <w:szCs w:val="28"/>
              </w:rPr>
            </w:pPr>
            <w:r w:rsidRPr="0023274A">
              <w:rPr>
                <w:sz w:val="28"/>
                <w:szCs w:val="28"/>
              </w:rPr>
              <w:t>)</w:t>
            </w:r>
          </w:p>
          <w:p w14:paraId="4642451A" w14:textId="77777777" w:rsidR="002B1E73" w:rsidRPr="0023274A" w:rsidRDefault="0023274A" w:rsidP="00182392">
            <w:pPr>
              <w:widowControl w:val="0"/>
              <w:autoSpaceDE w:val="0"/>
              <w:autoSpaceDN w:val="0"/>
              <w:adjustRightInd w:val="0"/>
              <w:spacing w:line="240" w:lineRule="auto"/>
              <w:ind w:left="-105"/>
              <w:rPr>
                <w:sz w:val="28"/>
                <w:szCs w:val="28"/>
              </w:rPr>
            </w:pPr>
            <w:r w:rsidRPr="0023274A">
              <w:rPr>
                <w:sz w:val="28"/>
                <w:szCs w:val="28"/>
              </w:rPr>
              <w:t>)</w:t>
            </w:r>
          </w:p>
        </w:tc>
        <w:tc>
          <w:tcPr>
            <w:tcW w:w="4410" w:type="dxa"/>
            <w:tcBorders>
              <w:top w:val="nil"/>
              <w:left w:val="nil"/>
            </w:tcBorders>
            <w:shd w:val="clear" w:color="auto" w:fill="auto"/>
          </w:tcPr>
          <w:p w14:paraId="7761D933" w14:textId="77777777" w:rsidR="0023274A" w:rsidRPr="0023274A" w:rsidRDefault="0023274A" w:rsidP="0023274A">
            <w:pPr>
              <w:widowControl w:val="0"/>
              <w:autoSpaceDE w:val="0"/>
              <w:autoSpaceDN w:val="0"/>
              <w:adjustRightInd w:val="0"/>
              <w:spacing w:line="240" w:lineRule="auto"/>
              <w:rPr>
                <w:sz w:val="28"/>
                <w:szCs w:val="24"/>
              </w:rPr>
            </w:pPr>
          </w:p>
          <w:p w14:paraId="7FD662CC" w14:textId="77777777" w:rsidR="0023274A" w:rsidRPr="0023274A" w:rsidRDefault="0023274A" w:rsidP="0023274A">
            <w:pPr>
              <w:widowControl w:val="0"/>
              <w:autoSpaceDE w:val="0"/>
              <w:autoSpaceDN w:val="0"/>
              <w:adjustRightInd w:val="0"/>
              <w:spacing w:line="240" w:lineRule="auto"/>
              <w:rPr>
                <w:sz w:val="28"/>
                <w:szCs w:val="24"/>
              </w:rPr>
            </w:pPr>
            <w:r w:rsidRPr="0023274A">
              <w:rPr>
                <w:sz w:val="28"/>
                <w:szCs w:val="24"/>
              </w:rPr>
              <w:t>Supreme Court No. R-</w:t>
            </w:r>
            <w:r w:rsidR="006856F9">
              <w:rPr>
                <w:sz w:val="28"/>
                <w:szCs w:val="24"/>
              </w:rPr>
              <w:t>20</w:t>
            </w:r>
            <w:r w:rsidRPr="0023274A">
              <w:rPr>
                <w:sz w:val="28"/>
                <w:szCs w:val="24"/>
              </w:rPr>
              <w:t>-00</w:t>
            </w:r>
            <w:r w:rsidR="00182392">
              <w:rPr>
                <w:sz w:val="28"/>
                <w:szCs w:val="24"/>
              </w:rPr>
              <w:t>03</w:t>
            </w:r>
          </w:p>
          <w:p w14:paraId="5E993441" w14:textId="77777777" w:rsidR="0023274A" w:rsidRPr="0023274A" w:rsidRDefault="0023274A" w:rsidP="0023274A">
            <w:pPr>
              <w:widowControl w:val="0"/>
              <w:autoSpaceDE w:val="0"/>
              <w:autoSpaceDN w:val="0"/>
              <w:adjustRightInd w:val="0"/>
              <w:spacing w:line="240" w:lineRule="auto"/>
              <w:rPr>
                <w:sz w:val="28"/>
                <w:szCs w:val="24"/>
              </w:rPr>
            </w:pPr>
          </w:p>
          <w:p w14:paraId="36767D1A" w14:textId="77777777" w:rsidR="0023274A" w:rsidRPr="0023274A" w:rsidRDefault="0023274A" w:rsidP="006856F9">
            <w:pPr>
              <w:widowControl w:val="0"/>
              <w:autoSpaceDE w:val="0"/>
              <w:autoSpaceDN w:val="0"/>
              <w:adjustRightInd w:val="0"/>
              <w:spacing w:line="240" w:lineRule="auto"/>
              <w:rPr>
                <w:bCs/>
                <w:sz w:val="28"/>
                <w:szCs w:val="28"/>
              </w:rPr>
            </w:pPr>
            <w:r w:rsidRPr="0023274A">
              <w:rPr>
                <w:sz w:val="28"/>
                <w:szCs w:val="24"/>
              </w:rPr>
              <w:t xml:space="preserve">Comment </w:t>
            </w:r>
            <w:r w:rsidR="009E12B5">
              <w:rPr>
                <w:sz w:val="28"/>
                <w:szCs w:val="24"/>
              </w:rPr>
              <w:t xml:space="preserve">of </w:t>
            </w:r>
            <w:r w:rsidRPr="0023274A">
              <w:rPr>
                <w:sz w:val="28"/>
                <w:szCs w:val="24"/>
              </w:rPr>
              <w:t xml:space="preserve">the Attorney Regulation Advisory Committee </w:t>
            </w:r>
          </w:p>
        </w:tc>
      </w:tr>
      <w:bookmarkEnd w:id="2"/>
    </w:tbl>
    <w:p w14:paraId="6B99388B" w14:textId="77777777" w:rsidR="005F0AE0" w:rsidRPr="005F0AE0" w:rsidRDefault="005F0AE0" w:rsidP="005F0AE0">
      <w:pPr>
        <w:widowControl w:val="0"/>
        <w:autoSpaceDE w:val="0"/>
        <w:autoSpaceDN w:val="0"/>
        <w:adjustRightInd w:val="0"/>
        <w:spacing w:line="240" w:lineRule="auto"/>
        <w:rPr>
          <w:sz w:val="24"/>
          <w:szCs w:val="24"/>
        </w:rPr>
      </w:pPr>
    </w:p>
    <w:p w14:paraId="701B2966" w14:textId="77777777" w:rsidR="00182392" w:rsidRPr="00182392" w:rsidRDefault="00182392" w:rsidP="00182392">
      <w:pPr>
        <w:widowControl w:val="0"/>
        <w:tabs>
          <w:tab w:val="center" w:pos="4680"/>
        </w:tabs>
        <w:autoSpaceDE w:val="0"/>
        <w:autoSpaceDN w:val="0"/>
        <w:adjustRightInd w:val="0"/>
        <w:spacing w:line="480" w:lineRule="auto"/>
        <w:ind w:firstLine="720"/>
        <w:jc w:val="both"/>
        <w:rPr>
          <w:sz w:val="28"/>
        </w:rPr>
      </w:pPr>
      <w:r w:rsidRPr="00182392">
        <w:rPr>
          <w:sz w:val="28"/>
        </w:rPr>
        <w:t xml:space="preserve">The Attorney Regulation Committee (ARC) is tasked with reviewing rules governing attorney admissions and to “make recommendations to the Supreme Court on how these rules of the attorney regulation system can be revised…” [Supreme Court Administration Order 2011-44.] ARC supports Rule Petition </w:t>
      </w:r>
      <w:r w:rsidR="00EE1F81">
        <w:rPr>
          <w:sz w:val="28"/>
        </w:rPr>
        <w:t>R-</w:t>
      </w:r>
      <w:r w:rsidRPr="00182392">
        <w:rPr>
          <w:sz w:val="28"/>
        </w:rPr>
        <w:t xml:space="preserve">20-0003 because it follows the Access to Justice strategic agenda of the Arizona Supreme Court.   </w:t>
      </w:r>
    </w:p>
    <w:p w14:paraId="5D102677" w14:textId="77777777" w:rsidR="00182392" w:rsidRPr="00182392" w:rsidRDefault="00182392" w:rsidP="00182392">
      <w:pPr>
        <w:widowControl w:val="0"/>
        <w:tabs>
          <w:tab w:val="center" w:pos="4680"/>
        </w:tabs>
        <w:autoSpaceDE w:val="0"/>
        <w:autoSpaceDN w:val="0"/>
        <w:adjustRightInd w:val="0"/>
        <w:spacing w:line="480" w:lineRule="auto"/>
        <w:ind w:firstLine="720"/>
        <w:jc w:val="both"/>
        <w:rPr>
          <w:sz w:val="28"/>
        </w:rPr>
      </w:pPr>
      <w:r w:rsidRPr="00182392">
        <w:rPr>
          <w:sz w:val="28"/>
        </w:rPr>
        <w:t xml:space="preserve"> The Federal Indian Child Welfare Act (ICWA), creates a right for tribal governments to participate in Arizona child custody proceedings but provides no funding to exercise that right. The presence of an attorney for an Indian nation from another state in an applicable ICWA case aids the Juvenile Court. The proposed amendment to Arizona Supreme Court Rule 39 is narrowly limited within the proposed rule change.  </w:t>
      </w:r>
    </w:p>
    <w:p w14:paraId="4FA0792C" w14:textId="77777777" w:rsidR="00182392" w:rsidRPr="00182392" w:rsidRDefault="00182392" w:rsidP="00182392">
      <w:pPr>
        <w:widowControl w:val="0"/>
        <w:tabs>
          <w:tab w:val="center" w:pos="4680"/>
        </w:tabs>
        <w:autoSpaceDE w:val="0"/>
        <w:autoSpaceDN w:val="0"/>
        <w:adjustRightInd w:val="0"/>
        <w:spacing w:line="480" w:lineRule="auto"/>
        <w:ind w:firstLine="720"/>
        <w:jc w:val="both"/>
        <w:rPr>
          <w:sz w:val="28"/>
        </w:rPr>
      </w:pPr>
      <w:r w:rsidRPr="00182392">
        <w:rPr>
          <w:sz w:val="28"/>
        </w:rPr>
        <w:lastRenderedPageBreak/>
        <w:t xml:space="preserve">The rule modification proposed states that a non-member attorney seeking to appear in an Arizona Court could only appear “for the limited purpose of participating in a child custody proceeding as defined by 25 U.S.C. § 1903, pursuant to the Indian Child Welfare Act of 1978, 25 U.S.C. § 1901 et seq.” </w:t>
      </w:r>
    </w:p>
    <w:p w14:paraId="5A5573EF" w14:textId="77777777" w:rsidR="00182392" w:rsidRPr="00182392" w:rsidRDefault="00182392" w:rsidP="00182392">
      <w:pPr>
        <w:widowControl w:val="0"/>
        <w:tabs>
          <w:tab w:val="center" w:pos="4680"/>
        </w:tabs>
        <w:autoSpaceDE w:val="0"/>
        <w:autoSpaceDN w:val="0"/>
        <w:adjustRightInd w:val="0"/>
        <w:spacing w:line="480" w:lineRule="auto"/>
        <w:ind w:firstLine="720"/>
        <w:jc w:val="both"/>
        <w:rPr>
          <w:sz w:val="28"/>
        </w:rPr>
      </w:pPr>
      <w:r w:rsidRPr="00182392">
        <w:rPr>
          <w:sz w:val="28"/>
        </w:rPr>
        <w:t>Rule 8, Ariz. R. P. Juv. Ct., states that all provisions of ICWA govern juvenile proceedings subject to ICWA. Multiple court proceedings are covered by ICWA.</w:t>
      </w:r>
      <w:r w:rsidR="00BB696A">
        <w:rPr>
          <w:sz w:val="28"/>
        </w:rPr>
        <w:t xml:space="preserve">  </w:t>
      </w:r>
      <w:r w:rsidRPr="00182392">
        <w:rPr>
          <w:sz w:val="28"/>
        </w:rPr>
        <w:t>These include: incorrigible child custody [A.R.S. §§ 8-201(19), 8-341(A)(2); Ariz. R. P. Juv. Ct., Rule 8]; terminations of parental rights [A.R.S. §§ 8-531 to -544; Ariz.</w:t>
      </w:r>
      <w:r w:rsidR="00BB696A">
        <w:rPr>
          <w:sz w:val="28"/>
        </w:rPr>
        <w:t xml:space="preserve">  </w:t>
      </w:r>
      <w:r w:rsidRPr="00182392">
        <w:rPr>
          <w:sz w:val="28"/>
        </w:rPr>
        <w:t>R. P. Juv. Ct. 66]; Adoptions and pre-adoptive placements [A.R.S. §§ 8-101 to -135; Ariz. R. P. Juv. Ct. 84</w:t>
      </w:r>
      <w:r w:rsidR="00041510">
        <w:rPr>
          <w:sz w:val="28"/>
        </w:rPr>
        <w:t>]</w:t>
      </w:r>
      <w:r w:rsidRPr="00182392">
        <w:rPr>
          <w:sz w:val="28"/>
        </w:rPr>
        <w:t xml:space="preserve">; foster care placements [A.R.S. §§ 8-501 to -530]; and guardianships [A.R.S. §§ 8-801 to -892; Ariz. R. P. Juv. Ct. 63].  </w:t>
      </w:r>
    </w:p>
    <w:p w14:paraId="1B4D87B2" w14:textId="77777777" w:rsidR="00182392" w:rsidRPr="00182392" w:rsidRDefault="00182392" w:rsidP="00182392">
      <w:pPr>
        <w:widowControl w:val="0"/>
        <w:tabs>
          <w:tab w:val="center" w:pos="4680"/>
        </w:tabs>
        <w:autoSpaceDE w:val="0"/>
        <w:autoSpaceDN w:val="0"/>
        <w:adjustRightInd w:val="0"/>
        <w:spacing w:line="480" w:lineRule="auto"/>
        <w:ind w:firstLine="720"/>
        <w:jc w:val="both"/>
        <w:rPr>
          <w:sz w:val="28"/>
        </w:rPr>
      </w:pPr>
      <w:r w:rsidRPr="00182392">
        <w:rPr>
          <w:sz w:val="28"/>
        </w:rPr>
        <w:t>Judges in Juvenile Court undergo required training to understand the proceedings to which ICWA applies, the proper parties to an ICWA case, those parties’ respective burdens of proof, and the benefits of collaborating with the Department of Child Safety and the child’s tribe in ICWA cases. Under the proposed rule modifications, the Indian child’s tribe would be required to submit a pleading to the court seeking to intervene. The modification mandates that the non-member attorney seeking to appear for the tribe must file a motion to appear with the court</w:t>
      </w:r>
      <w:r w:rsidR="00BB696A">
        <w:rPr>
          <w:sz w:val="28"/>
        </w:rPr>
        <w:t xml:space="preserve"> </w:t>
      </w:r>
      <w:r w:rsidRPr="00182392">
        <w:rPr>
          <w:sz w:val="28"/>
        </w:rPr>
        <w:t xml:space="preserve">in which the proceeding is pending. That attorney’s duties are well defined and limited to the ICWA case.  </w:t>
      </w:r>
    </w:p>
    <w:p w14:paraId="085B7269" w14:textId="77777777" w:rsidR="00182392" w:rsidRPr="00182392" w:rsidRDefault="00182392" w:rsidP="00182392">
      <w:pPr>
        <w:widowControl w:val="0"/>
        <w:tabs>
          <w:tab w:val="center" w:pos="4680"/>
        </w:tabs>
        <w:autoSpaceDE w:val="0"/>
        <w:autoSpaceDN w:val="0"/>
        <w:adjustRightInd w:val="0"/>
        <w:spacing w:line="480" w:lineRule="auto"/>
        <w:ind w:firstLine="720"/>
        <w:jc w:val="both"/>
        <w:rPr>
          <w:sz w:val="28"/>
        </w:rPr>
      </w:pPr>
      <w:r w:rsidRPr="00182392">
        <w:rPr>
          <w:sz w:val="28"/>
        </w:rPr>
        <w:lastRenderedPageBreak/>
        <w:t>The presence of such a non-member attorney for that Indian nation would assist the court proceeding, not hinder it. Access to justice would be improved by eliminating the financially burdensome admission fee per case and associate counsel requirements of the current rule and would permit</w:t>
      </w:r>
      <w:bookmarkStart w:id="3" w:name="_GoBack"/>
      <w:bookmarkEnd w:id="3"/>
      <w:r w:rsidRPr="00182392">
        <w:rPr>
          <w:sz w:val="28"/>
        </w:rPr>
        <w:t xml:space="preserve"> appearances only in ICWA cases. </w:t>
      </w:r>
    </w:p>
    <w:p w14:paraId="3740E935" w14:textId="77777777" w:rsidR="005F0AE0" w:rsidRPr="005F0AE0" w:rsidRDefault="00BB696A" w:rsidP="00182392">
      <w:pPr>
        <w:widowControl w:val="0"/>
        <w:tabs>
          <w:tab w:val="center" w:pos="4680"/>
        </w:tabs>
        <w:autoSpaceDE w:val="0"/>
        <w:autoSpaceDN w:val="0"/>
        <w:adjustRightInd w:val="0"/>
        <w:spacing w:line="480" w:lineRule="auto"/>
        <w:ind w:firstLine="720"/>
        <w:jc w:val="both"/>
        <w:rPr>
          <w:sz w:val="28"/>
          <w:szCs w:val="28"/>
        </w:rPr>
      </w:pPr>
      <w:r w:rsidRPr="00BB696A">
        <w:rPr>
          <w:sz w:val="28"/>
        </w:rPr>
        <w:t xml:space="preserve">The Attorney Regulation Committee supports Petition </w:t>
      </w:r>
      <w:r>
        <w:rPr>
          <w:sz w:val="28"/>
        </w:rPr>
        <w:t>R-20-0</w:t>
      </w:r>
      <w:r w:rsidRPr="00BB696A">
        <w:rPr>
          <w:sz w:val="28"/>
        </w:rPr>
        <w:t>003.</w:t>
      </w:r>
    </w:p>
    <w:p w14:paraId="503F5F88" w14:textId="7CB30DC8" w:rsidR="005F0AE0" w:rsidRPr="005F0AE0" w:rsidRDefault="005F0AE0" w:rsidP="005F0AE0">
      <w:pPr>
        <w:widowControl w:val="0"/>
        <w:tabs>
          <w:tab w:val="left" w:pos="720"/>
        </w:tabs>
        <w:spacing w:line="480" w:lineRule="exact"/>
        <w:rPr>
          <w:sz w:val="28"/>
          <w:szCs w:val="28"/>
        </w:rPr>
      </w:pPr>
      <w:r w:rsidRPr="005F0AE0">
        <w:rPr>
          <w:sz w:val="28"/>
          <w:szCs w:val="28"/>
        </w:rPr>
        <w:tab/>
        <w:t xml:space="preserve">RESPECTFULLY SUBMITTED this </w:t>
      </w:r>
      <w:r w:rsidR="00C92261">
        <w:rPr>
          <w:b/>
          <w:sz w:val="28"/>
          <w:szCs w:val="28"/>
        </w:rPr>
        <w:t>21st</w:t>
      </w:r>
      <w:r w:rsidRPr="005F0AE0">
        <w:rPr>
          <w:b/>
          <w:sz w:val="28"/>
          <w:szCs w:val="28"/>
        </w:rPr>
        <w:t xml:space="preserve"> </w:t>
      </w:r>
      <w:r w:rsidRPr="005F0AE0">
        <w:rPr>
          <w:sz w:val="28"/>
          <w:szCs w:val="28"/>
        </w:rPr>
        <w:t xml:space="preserve">day of </w:t>
      </w:r>
      <w:proofErr w:type="gramStart"/>
      <w:r w:rsidR="00BB696A">
        <w:rPr>
          <w:sz w:val="28"/>
          <w:szCs w:val="28"/>
        </w:rPr>
        <w:t>April</w:t>
      </w:r>
      <w:r w:rsidRPr="005F0AE0">
        <w:rPr>
          <w:sz w:val="28"/>
          <w:szCs w:val="28"/>
        </w:rPr>
        <w:t>,</w:t>
      </w:r>
      <w:proofErr w:type="gramEnd"/>
      <w:r w:rsidRPr="005F0AE0">
        <w:rPr>
          <w:sz w:val="28"/>
          <w:szCs w:val="28"/>
        </w:rPr>
        <w:t xml:space="preserve"> 20</w:t>
      </w:r>
      <w:r w:rsidR="006856F9">
        <w:rPr>
          <w:sz w:val="28"/>
          <w:szCs w:val="28"/>
        </w:rPr>
        <w:t>20</w:t>
      </w:r>
      <w:r w:rsidRPr="005F0AE0">
        <w:rPr>
          <w:sz w:val="28"/>
          <w:szCs w:val="28"/>
        </w:rPr>
        <w:t>.</w:t>
      </w:r>
    </w:p>
    <w:p w14:paraId="2A40D6F9" w14:textId="77777777" w:rsidR="005F0AE0" w:rsidRPr="005F0AE0" w:rsidRDefault="00EE3C77" w:rsidP="005F0AE0">
      <w:pPr>
        <w:widowControl w:val="0"/>
        <w:tabs>
          <w:tab w:val="left" w:pos="720"/>
        </w:tabs>
        <w:spacing w:line="480" w:lineRule="exact"/>
        <w:rPr>
          <w:sz w:val="28"/>
          <w:szCs w:val="28"/>
        </w:rPr>
      </w:pPr>
      <w:r>
        <w:rPr>
          <w:noProof/>
        </w:rPr>
        <w:drawing>
          <wp:anchor distT="0" distB="0" distL="114300" distR="114300" simplePos="0" relativeHeight="251658240" behindDoc="0" locked="0" layoutInCell="1" allowOverlap="1" wp14:anchorId="1A337F5F" wp14:editId="44AA2233">
            <wp:simplePos x="0" y="0"/>
            <wp:positionH relativeFrom="column">
              <wp:posOffset>2743200</wp:posOffset>
            </wp:positionH>
            <wp:positionV relativeFrom="paragraph">
              <wp:posOffset>247980</wp:posOffset>
            </wp:positionV>
            <wp:extent cx="2295525" cy="723900"/>
            <wp:effectExtent l="0" t="0" r="9525" b="0"/>
            <wp:wrapNone/>
            <wp:docPr id="1" name="Picture 1" descr="JusticeTimmer2andHalfInSig"/>
            <wp:cNvGraphicFramePr/>
            <a:graphic xmlns:a="http://schemas.openxmlformats.org/drawingml/2006/main">
              <a:graphicData uri="http://schemas.openxmlformats.org/drawingml/2006/picture">
                <pic:pic xmlns:pic="http://schemas.openxmlformats.org/drawingml/2006/picture">
                  <pic:nvPicPr>
                    <pic:cNvPr id="1" name="Picture 1" descr="JusticeTimmer2andHalfIn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anchor>
        </w:drawing>
      </w:r>
    </w:p>
    <w:p w14:paraId="1483DDE2" w14:textId="77777777" w:rsidR="005F0AE0" w:rsidRPr="005F0AE0" w:rsidRDefault="005F0AE0" w:rsidP="005F0AE0">
      <w:pPr>
        <w:widowControl w:val="0"/>
        <w:tabs>
          <w:tab w:val="left" w:pos="720"/>
        </w:tabs>
        <w:spacing w:line="480" w:lineRule="exact"/>
        <w:rPr>
          <w:sz w:val="28"/>
          <w:szCs w:val="28"/>
        </w:rPr>
      </w:pPr>
    </w:p>
    <w:p w14:paraId="21E3EF42" w14:textId="77777777" w:rsidR="005F0AE0" w:rsidRPr="005F0AE0" w:rsidRDefault="005F0AE0" w:rsidP="005F0AE0">
      <w:pPr>
        <w:widowControl w:val="0"/>
        <w:spacing w:line="240" w:lineRule="auto"/>
        <w:ind w:left="4320" w:right="-227"/>
        <w:rPr>
          <w:sz w:val="28"/>
          <w:szCs w:val="28"/>
        </w:rPr>
      </w:pPr>
      <w:r w:rsidRPr="005F0AE0">
        <w:rPr>
          <w:sz w:val="28"/>
          <w:szCs w:val="28"/>
        </w:rPr>
        <w:t>___________________________</w:t>
      </w:r>
      <w:r w:rsidR="00EE3C77">
        <w:rPr>
          <w:sz w:val="28"/>
          <w:szCs w:val="28"/>
        </w:rPr>
        <w:t>_____</w:t>
      </w:r>
      <w:r w:rsidRPr="005F0AE0">
        <w:rPr>
          <w:sz w:val="28"/>
          <w:szCs w:val="28"/>
        </w:rPr>
        <w:t>_</w:t>
      </w:r>
    </w:p>
    <w:p w14:paraId="405E8DBE" w14:textId="77777777" w:rsidR="005F0AE0" w:rsidRPr="005F0AE0" w:rsidRDefault="005F0AE0" w:rsidP="005F0AE0">
      <w:pPr>
        <w:widowControl w:val="0"/>
        <w:spacing w:line="240" w:lineRule="auto"/>
        <w:ind w:left="4320" w:right="-227"/>
        <w:rPr>
          <w:sz w:val="28"/>
          <w:szCs w:val="28"/>
        </w:rPr>
      </w:pPr>
      <w:r w:rsidRPr="005F0AE0">
        <w:rPr>
          <w:sz w:val="28"/>
          <w:szCs w:val="28"/>
        </w:rPr>
        <w:t>Hon. Ann A. Scott Timmer, Chair</w:t>
      </w:r>
    </w:p>
    <w:p w14:paraId="067098E7" w14:textId="77777777" w:rsidR="005F0AE0" w:rsidRPr="005F0AE0" w:rsidRDefault="005F0AE0" w:rsidP="005F0AE0">
      <w:pPr>
        <w:widowControl w:val="0"/>
        <w:spacing w:line="240" w:lineRule="auto"/>
        <w:ind w:left="4320" w:right="144"/>
        <w:rPr>
          <w:sz w:val="28"/>
          <w:szCs w:val="28"/>
        </w:rPr>
      </w:pPr>
      <w:r w:rsidRPr="005F0AE0">
        <w:rPr>
          <w:sz w:val="28"/>
          <w:szCs w:val="28"/>
        </w:rPr>
        <w:t>Attorney Regulation Advisory Committee</w:t>
      </w:r>
    </w:p>
    <w:bookmarkEnd w:id="1"/>
    <w:p w14:paraId="28A69875" w14:textId="77777777" w:rsidR="00A24BE8" w:rsidRPr="005F0AE0" w:rsidRDefault="00A24BE8" w:rsidP="005F0AE0"/>
    <w:sectPr w:rsidR="00A24BE8" w:rsidRPr="005F0AE0" w:rsidSect="006F238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E633C" w14:textId="77777777" w:rsidR="00762C79" w:rsidRDefault="00762C79">
      <w:r>
        <w:separator/>
      </w:r>
    </w:p>
  </w:endnote>
  <w:endnote w:type="continuationSeparator" w:id="0">
    <w:p w14:paraId="00B0CE6D" w14:textId="77777777" w:rsidR="00762C79" w:rsidRDefault="0076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4B18"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89B60E" w14:textId="77777777" w:rsidR="007870CB" w:rsidRDefault="007870CB" w:rsidP="00861563">
    <w:pPr>
      <w:pStyle w:val="Footer"/>
      <w:ind w:right="360"/>
    </w:pPr>
  </w:p>
  <w:p w14:paraId="011A04DE"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5955378F"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4294A">
          <w:rPr>
            <w:noProof/>
            <w:sz w:val="26"/>
            <w:szCs w:val="26"/>
          </w:rPr>
          <w:t>5</w:t>
        </w:r>
        <w:r w:rsidRPr="006B4F9A">
          <w:rPr>
            <w:noProof/>
            <w:sz w:val="26"/>
            <w:szCs w:val="26"/>
          </w:rPr>
          <w:fldChar w:fldCharType="end"/>
        </w:r>
      </w:p>
    </w:sdtContent>
  </w:sdt>
  <w:p w14:paraId="3541530C" w14:textId="77777777"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AAB0" w14:textId="77777777" w:rsidR="006856F9" w:rsidRDefault="0068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CB54" w14:textId="77777777" w:rsidR="00762C79" w:rsidRDefault="00762C79">
      <w:r>
        <w:separator/>
      </w:r>
    </w:p>
  </w:footnote>
  <w:footnote w:type="continuationSeparator" w:id="0">
    <w:p w14:paraId="2C5FDBB4" w14:textId="77777777" w:rsidR="00762C79" w:rsidRDefault="0076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46ED" w14:textId="77777777" w:rsidR="006856F9" w:rsidRDefault="00685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44360" w14:textId="77777777" w:rsidR="006856F9" w:rsidRDefault="00685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E1C1" w14:textId="77777777" w:rsidR="006856F9" w:rsidRDefault="0068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908"/>
    <w:multiLevelType w:val="hybridMultilevel"/>
    <w:tmpl w:val="80AE18CA"/>
    <w:lvl w:ilvl="0" w:tplc="E5268FA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26E3B"/>
    <w:multiLevelType w:val="hybridMultilevel"/>
    <w:tmpl w:val="017C6F22"/>
    <w:lvl w:ilvl="0" w:tplc="31C24A0C">
      <w:start w:val="1"/>
      <w:numFmt w:val="upp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73DC"/>
    <w:multiLevelType w:val="hybridMultilevel"/>
    <w:tmpl w:val="2B9C88D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83C6B"/>
    <w:multiLevelType w:val="hybridMultilevel"/>
    <w:tmpl w:val="DFDA7040"/>
    <w:lvl w:ilvl="0" w:tplc="6A1404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76E3E"/>
    <w:multiLevelType w:val="hybridMultilevel"/>
    <w:tmpl w:val="71F061B4"/>
    <w:lvl w:ilvl="0" w:tplc="04090001">
      <w:start w:val="1"/>
      <w:numFmt w:val="bullet"/>
      <w:lvlText w:val=""/>
      <w:lvlJc w:val="left"/>
      <w:pPr>
        <w:ind w:left="2080" w:hanging="360"/>
      </w:pPr>
      <w:rPr>
        <w:rFonts w:ascii="Symbol" w:hAnsi="Symbol" w:hint="default"/>
      </w:rPr>
    </w:lvl>
    <w:lvl w:ilvl="1" w:tplc="04090003">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
  </w:num>
  <w:num w:numId="4">
    <w:abstractNumId w:val="8"/>
  </w:num>
  <w:num w:numId="5">
    <w:abstractNumId w:val="11"/>
  </w:num>
  <w:num w:numId="6">
    <w:abstractNumId w:val="12"/>
  </w:num>
  <w:num w:numId="7">
    <w:abstractNumId w:val="2"/>
  </w:num>
  <w:num w:numId="8">
    <w:abstractNumId w:val="18"/>
  </w:num>
  <w:num w:numId="9">
    <w:abstractNumId w:val="13"/>
  </w:num>
  <w:num w:numId="10">
    <w:abstractNumId w:val="15"/>
  </w:num>
  <w:num w:numId="11">
    <w:abstractNumId w:val="14"/>
  </w:num>
  <w:num w:numId="12">
    <w:abstractNumId w:val="9"/>
  </w:num>
  <w:num w:numId="13">
    <w:abstractNumId w:val="4"/>
  </w:num>
  <w:num w:numId="14">
    <w:abstractNumId w:val="6"/>
  </w:num>
  <w:num w:numId="15">
    <w:abstractNumId w:val="10"/>
  </w:num>
  <w:num w:numId="16">
    <w:abstractNumId w:val="5"/>
  </w:num>
  <w:num w:numId="17">
    <w:abstractNumId w:val="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1"/>
    <w:rsid w:val="00000C35"/>
    <w:rsid w:val="000410B3"/>
    <w:rsid w:val="00041510"/>
    <w:rsid w:val="00043D4D"/>
    <w:rsid w:val="00052372"/>
    <w:rsid w:val="000666D1"/>
    <w:rsid w:val="000917C0"/>
    <w:rsid w:val="00094582"/>
    <w:rsid w:val="000A0155"/>
    <w:rsid w:val="000A1D6B"/>
    <w:rsid w:val="000A75C6"/>
    <w:rsid w:val="000C48A9"/>
    <w:rsid w:val="000D44CD"/>
    <w:rsid w:val="000F7A7F"/>
    <w:rsid w:val="000F7C13"/>
    <w:rsid w:val="0010288B"/>
    <w:rsid w:val="001033D4"/>
    <w:rsid w:val="00135326"/>
    <w:rsid w:val="00173F7D"/>
    <w:rsid w:val="00182392"/>
    <w:rsid w:val="00190F92"/>
    <w:rsid w:val="001A2520"/>
    <w:rsid w:val="001A5854"/>
    <w:rsid w:val="001F591C"/>
    <w:rsid w:val="00216A99"/>
    <w:rsid w:val="0023274A"/>
    <w:rsid w:val="00232DFD"/>
    <w:rsid w:val="002545FB"/>
    <w:rsid w:val="002550E3"/>
    <w:rsid w:val="00274D6A"/>
    <w:rsid w:val="002B0CE6"/>
    <w:rsid w:val="002B1E48"/>
    <w:rsid w:val="002B1E73"/>
    <w:rsid w:val="002B3940"/>
    <w:rsid w:val="00321387"/>
    <w:rsid w:val="00343FB8"/>
    <w:rsid w:val="00352347"/>
    <w:rsid w:val="003566D6"/>
    <w:rsid w:val="00357F4D"/>
    <w:rsid w:val="003617D1"/>
    <w:rsid w:val="00377199"/>
    <w:rsid w:val="00380C44"/>
    <w:rsid w:val="003A28AC"/>
    <w:rsid w:val="003A4DA0"/>
    <w:rsid w:val="003B1CD4"/>
    <w:rsid w:val="003B35C2"/>
    <w:rsid w:val="0040497A"/>
    <w:rsid w:val="00407E2D"/>
    <w:rsid w:val="00426AD0"/>
    <w:rsid w:val="004331B2"/>
    <w:rsid w:val="00440489"/>
    <w:rsid w:val="00440E4C"/>
    <w:rsid w:val="00463734"/>
    <w:rsid w:val="00472095"/>
    <w:rsid w:val="00487632"/>
    <w:rsid w:val="00494BDF"/>
    <w:rsid w:val="004C3AE3"/>
    <w:rsid w:val="00504E1E"/>
    <w:rsid w:val="0050563A"/>
    <w:rsid w:val="00506859"/>
    <w:rsid w:val="00520F93"/>
    <w:rsid w:val="005316C2"/>
    <w:rsid w:val="00566856"/>
    <w:rsid w:val="005A21B0"/>
    <w:rsid w:val="005B1FED"/>
    <w:rsid w:val="005B3EC7"/>
    <w:rsid w:val="005B5161"/>
    <w:rsid w:val="005D6AD4"/>
    <w:rsid w:val="005F0AE0"/>
    <w:rsid w:val="005F1E49"/>
    <w:rsid w:val="00605876"/>
    <w:rsid w:val="00606BCE"/>
    <w:rsid w:val="00610B49"/>
    <w:rsid w:val="006338C1"/>
    <w:rsid w:val="00636F5E"/>
    <w:rsid w:val="0066306D"/>
    <w:rsid w:val="00665CCF"/>
    <w:rsid w:val="006666D1"/>
    <w:rsid w:val="00670EAC"/>
    <w:rsid w:val="006721EC"/>
    <w:rsid w:val="006766BF"/>
    <w:rsid w:val="006820CB"/>
    <w:rsid w:val="006856F9"/>
    <w:rsid w:val="006932BA"/>
    <w:rsid w:val="006A6147"/>
    <w:rsid w:val="006B4F9A"/>
    <w:rsid w:val="006D3B64"/>
    <w:rsid w:val="006F238B"/>
    <w:rsid w:val="006F63FD"/>
    <w:rsid w:val="00710B2E"/>
    <w:rsid w:val="0071520A"/>
    <w:rsid w:val="00716F54"/>
    <w:rsid w:val="00732169"/>
    <w:rsid w:val="007329E2"/>
    <w:rsid w:val="00735659"/>
    <w:rsid w:val="007427C6"/>
    <w:rsid w:val="0074294A"/>
    <w:rsid w:val="00755277"/>
    <w:rsid w:val="007609A3"/>
    <w:rsid w:val="00762C79"/>
    <w:rsid w:val="0077110E"/>
    <w:rsid w:val="00785481"/>
    <w:rsid w:val="007870CB"/>
    <w:rsid w:val="007A3F0F"/>
    <w:rsid w:val="007D5C49"/>
    <w:rsid w:val="007D73FF"/>
    <w:rsid w:val="007F76A7"/>
    <w:rsid w:val="008006ED"/>
    <w:rsid w:val="00822598"/>
    <w:rsid w:val="008360A1"/>
    <w:rsid w:val="00861563"/>
    <w:rsid w:val="00871AAA"/>
    <w:rsid w:val="0087621F"/>
    <w:rsid w:val="00876F57"/>
    <w:rsid w:val="00891AAA"/>
    <w:rsid w:val="008A6251"/>
    <w:rsid w:val="008C167C"/>
    <w:rsid w:val="008C6C60"/>
    <w:rsid w:val="008E220D"/>
    <w:rsid w:val="00915625"/>
    <w:rsid w:val="0092401D"/>
    <w:rsid w:val="00933EA1"/>
    <w:rsid w:val="00940960"/>
    <w:rsid w:val="00951416"/>
    <w:rsid w:val="00960D21"/>
    <w:rsid w:val="00977277"/>
    <w:rsid w:val="00981D29"/>
    <w:rsid w:val="00981E11"/>
    <w:rsid w:val="00992822"/>
    <w:rsid w:val="009C6843"/>
    <w:rsid w:val="009E12B5"/>
    <w:rsid w:val="00A1564B"/>
    <w:rsid w:val="00A24BE8"/>
    <w:rsid w:val="00A5194F"/>
    <w:rsid w:val="00A56E1E"/>
    <w:rsid w:val="00A8678A"/>
    <w:rsid w:val="00A871D6"/>
    <w:rsid w:val="00A915B8"/>
    <w:rsid w:val="00A93A7C"/>
    <w:rsid w:val="00AF282C"/>
    <w:rsid w:val="00AF3FF7"/>
    <w:rsid w:val="00B01CF2"/>
    <w:rsid w:val="00B03FCC"/>
    <w:rsid w:val="00B05183"/>
    <w:rsid w:val="00B1491D"/>
    <w:rsid w:val="00B30CE0"/>
    <w:rsid w:val="00B44D38"/>
    <w:rsid w:val="00B47B7D"/>
    <w:rsid w:val="00B7182E"/>
    <w:rsid w:val="00BB696A"/>
    <w:rsid w:val="00BC62CF"/>
    <w:rsid w:val="00BD5908"/>
    <w:rsid w:val="00C03E0F"/>
    <w:rsid w:val="00C3523D"/>
    <w:rsid w:val="00C36A1B"/>
    <w:rsid w:val="00C52E56"/>
    <w:rsid w:val="00C5407A"/>
    <w:rsid w:val="00C662B0"/>
    <w:rsid w:val="00C74669"/>
    <w:rsid w:val="00C84FD4"/>
    <w:rsid w:val="00C92261"/>
    <w:rsid w:val="00C958EE"/>
    <w:rsid w:val="00CD21FB"/>
    <w:rsid w:val="00CD402A"/>
    <w:rsid w:val="00CE39A2"/>
    <w:rsid w:val="00D14CF1"/>
    <w:rsid w:val="00D423FE"/>
    <w:rsid w:val="00D43496"/>
    <w:rsid w:val="00D442E4"/>
    <w:rsid w:val="00D51893"/>
    <w:rsid w:val="00D80EDC"/>
    <w:rsid w:val="00DA3704"/>
    <w:rsid w:val="00DE0448"/>
    <w:rsid w:val="00DE4CB8"/>
    <w:rsid w:val="00DF4F15"/>
    <w:rsid w:val="00E047D3"/>
    <w:rsid w:val="00E266B7"/>
    <w:rsid w:val="00E321C5"/>
    <w:rsid w:val="00E5772B"/>
    <w:rsid w:val="00E67511"/>
    <w:rsid w:val="00E82D0F"/>
    <w:rsid w:val="00E939A8"/>
    <w:rsid w:val="00E950B5"/>
    <w:rsid w:val="00ED0E96"/>
    <w:rsid w:val="00EE1F81"/>
    <w:rsid w:val="00EE3C77"/>
    <w:rsid w:val="00F05879"/>
    <w:rsid w:val="00F06F5B"/>
    <w:rsid w:val="00F241DA"/>
    <w:rsid w:val="00F2485D"/>
    <w:rsid w:val="00F33926"/>
    <w:rsid w:val="00F511F8"/>
    <w:rsid w:val="00F5639D"/>
    <w:rsid w:val="00F60C61"/>
    <w:rsid w:val="00F644AB"/>
    <w:rsid w:val="00F64B52"/>
    <w:rsid w:val="00F850BE"/>
    <w:rsid w:val="00FB0BD3"/>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68FF97"/>
  <w15:docId w15:val="{5143A2F9-F9E4-DC49-8255-6DA74B4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343F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472095"/>
    <w:pPr>
      <w:spacing w:before="240" w:line="240" w:lineRule="auto"/>
      <w:ind w:left="720"/>
      <w:contextualSpacing/>
    </w:pPr>
    <w:rPr>
      <w:rFonts w:asciiTheme="minorHAnsi" w:hAnsiTheme="minorHAnsi"/>
      <w:sz w:val="22"/>
      <w:szCs w:val="22"/>
    </w:rPr>
  </w:style>
  <w:style w:type="paragraph" w:styleId="NormalWeb">
    <w:name w:val="Normal (Web)"/>
    <w:basedOn w:val="Normal"/>
    <w:uiPriority w:val="99"/>
    <w:unhideWhenUsed/>
    <w:rsid w:val="000A0155"/>
    <w:pPr>
      <w:spacing w:before="100" w:beforeAutospacing="1" w:after="100" w:afterAutospacing="1" w:line="240" w:lineRule="auto"/>
    </w:pPr>
    <w:rPr>
      <w:rFonts w:eastAsiaTheme="minorEastAsia"/>
      <w:sz w:val="24"/>
      <w:szCs w:val="24"/>
    </w:rPr>
  </w:style>
  <w:style w:type="character" w:customStyle="1" w:styleId="apple-converted-space">
    <w:name w:val="apple-converted-space"/>
    <w:basedOn w:val="DefaultParagraphFont"/>
    <w:rsid w:val="007F76A7"/>
  </w:style>
  <w:style w:type="character" w:customStyle="1" w:styleId="Heading2Char">
    <w:name w:val="Heading 2 Char"/>
    <w:basedOn w:val="DefaultParagraphFont"/>
    <w:link w:val="Heading2"/>
    <w:semiHidden/>
    <w:rsid w:val="00343F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47284">
      <w:bodyDiv w:val="1"/>
      <w:marLeft w:val="0"/>
      <w:marRight w:val="0"/>
      <w:marTop w:val="0"/>
      <w:marBottom w:val="0"/>
      <w:divBdr>
        <w:top w:val="none" w:sz="0" w:space="0" w:color="auto"/>
        <w:left w:val="none" w:sz="0" w:space="0" w:color="auto"/>
        <w:bottom w:val="none" w:sz="0" w:space="0" w:color="auto"/>
        <w:right w:val="none" w:sz="0" w:space="0" w:color="auto"/>
      </w:divBdr>
    </w:div>
    <w:div w:id="259262968">
      <w:bodyDiv w:val="1"/>
      <w:marLeft w:val="0"/>
      <w:marRight w:val="0"/>
      <w:marTop w:val="0"/>
      <w:marBottom w:val="0"/>
      <w:divBdr>
        <w:top w:val="none" w:sz="0" w:space="0" w:color="auto"/>
        <w:left w:val="none" w:sz="0" w:space="0" w:color="auto"/>
        <w:bottom w:val="none" w:sz="0" w:space="0" w:color="auto"/>
        <w:right w:val="none" w:sz="0" w:space="0" w:color="auto"/>
      </w:divBdr>
    </w:div>
    <w:div w:id="472912834">
      <w:bodyDiv w:val="1"/>
      <w:marLeft w:val="0"/>
      <w:marRight w:val="0"/>
      <w:marTop w:val="0"/>
      <w:marBottom w:val="0"/>
      <w:divBdr>
        <w:top w:val="none" w:sz="0" w:space="0" w:color="auto"/>
        <w:left w:val="none" w:sz="0" w:space="0" w:color="auto"/>
        <w:bottom w:val="none" w:sz="0" w:space="0" w:color="auto"/>
        <w:right w:val="none" w:sz="0" w:space="0" w:color="auto"/>
      </w:divBdr>
    </w:div>
    <w:div w:id="1053237602">
      <w:bodyDiv w:val="1"/>
      <w:marLeft w:val="0"/>
      <w:marRight w:val="0"/>
      <w:marTop w:val="0"/>
      <w:marBottom w:val="0"/>
      <w:divBdr>
        <w:top w:val="none" w:sz="0" w:space="0" w:color="auto"/>
        <w:left w:val="none" w:sz="0" w:space="0" w:color="auto"/>
        <w:bottom w:val="none" w:sz="0" w:space="0" w:color="auto"/>
        <w:right w:val="none" w:sz="0" w:space="0" w:color="auto"/>
      </w:divBdr>
      <w:divsChild>
        <w:div w:id="1810852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sChild>
                <w:div w:id="1916938730">
                  <w:marLeft w:val="0"/>
                  <w:marRight w:val="0"/>
                  <w:marTop w:val="0"/>
                  <w:marBottom w:val="0"/>
                  <w:divBdr>
                    <w:top w:val="none" w:sz="0" w:space="0" w:color="auto"/>
                    <w:left w:val="none" w:sz="0" w:space="0" w:color="auto"/>
                    <w:bottom w:val="none" w:sz="0" w:space="0" w:color="auto"/>
                    <w:right w:val="none" w:sz="0" w:space="0" w:color="auto"/>
                  </w:divBdr>
                </w:div>
                <w:div w:id="266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93B0-AAF5-44E0-BD61-BDED418299BC}">
  <ds:schemaRefs>
    <ds:schemaRef ds:uri="http://schemas.microsoft.com/sharepoint/v3/contenttype/forms"/>
  </ds:schemaRefs>
</ds:datastoreItem>
</file>

<file path=customXml/itemProps2.xml><?xml version="1.0" encoding="utf-8"?>
<ds:datastoreItem xmlns:ds="http://schemas.openxmlformats.org/officeDocument/2006/customXml" ds:itemID="{10B04009-1FF6-4054-9722-53E437ECA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EBBF3-B311-46DA-997F-E324E0071D12}">
  <ds:schemaRefs>
    <ds:schemaRef ds:uri="http://schemas.microsoft.com/office/2006/metadata/properties"/>
    <ds:schemaRef ds:uri="http://purl.org/dc/terms/"/>
    <ds:schemaRef ds:uri="http://schemas.openxmlformats.org/package/2006/metadata/core-properties"/>
    <ds:schemaRef ds:uri="d5709c43-bb0d-4e7a-b0e4-ebfa3329c054"/>
    <ds:schemaRef ds:uri="http://schemas.microsoft.com/office/2006/documentManagement/types"/>
    <ds:schemaRef ds:uri="0ffb37f9-1bcf-4e3e-b04f-292b64b553dd"/>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74C6198-C489-48F4-AA1B-027CB9F7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Katherine</dc:creator>
  <cp:lastModifiedBy>Martinez, Michelle R</cp:lastModifiedBy>
  <cp:revision>4</cp:revision>
  <cp:lastPrinted>2019-04-30T16:42:00Z</cp:lastPrinted>
  <dcterms:created xsi:type="dcterms:W3CDTF">2020-04-20T14:30:00Z</dcterms:created>
  <dcterms:modified xsi:type="dcterms:W3CDTF">2020-04-21T18:08:00Z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9cc2b283-f0e4-4ac1-9f2d-3079a0f28293</vt:lpwstr>
  </property>
  <property fmtid="{D5CDD505-2E9C-101B-9397-08002B2CF9AE}" pid="3" name="ContentTypeId">
    <vt:lpwstr>0x010100FDC7A613781BA4428F58F76FF8E18B20</vt:lpwstr>
  </property>
</Properties>
</file>