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91A62" w14:textId="77777777" w:rsidR="00267AFF" w:rsidRPr="005F0AE0" w:rsidRDefault="00267AFF" w:rsidP="00267AFF">
      <w:pPr>
        <w:tabs>
          <w:tab w:val="center" w:pos="4680"/>
        </w:tabs>
        <w:adjustRightInd w:val="0"/>
        <w:jc w:val="both"/>
        <w:rPr>
          <w:sz w:val="28"/>
          <w:szCs w:val="28"/>
        </w:rPr>
      </w:pPr>
      <w:bookmarkStart w:id="0" w:name="_Hlk6217947"/>
      <w:r w:rsidRPr="005F0AE0">
        <w:rPr>
          <w:sz w:val="28"/>
          <w:szCs w:val="28"/>
        </w:rPr>
        <w:t>Hon. Ann A. Scott Timmer, Chair</w:t>
      </w:r>
    </w:p>
    <w:p w14:paraId="0C65FC45" w14:textId="77777777" w:rsidR="00267AFF" w:rsidRPr="005F0AE0" w:rsidRDefault="00267AFF" w:rsidP="00267AFF">
      <w:pPr>
        <w:tabs>
          <w:tab w:val="center" w:pos="4680"/>
        </w:tabs>
        <w:adjustRightInd w:val="0"/>
        <w:jc w:val="both"/>
        <w:rPr>
          <w:sz w:val="28"/>
          <w:szCs w:val="28"/>
        </w:rPr>
      </w:pPr>
      <w:r w:rsidRPr="005F0AE0">
        <w:rPr>
          <w:sz w:val="28"/>
          <w:szCs w:val="28"/>
        </w:rPr>
        <w:t>Attorney Regulation Advisory Committee</w:t>
      </w:r>
    </w:p>
    <w:p w14:paraId="3F8B8E4D" w14:textId="77777777" w:rsidR="00267AFF" w:rsidRPr="005F0AE0" w:rsidRDefault="00267AFF" w:rsidP="00267AFF">
      <w:pPr>
        <w:tabs>
          <w:tab w:val="center" w:pos="4680"/>
        </w:tabs>
        <w:adjustRightInd w:val="0"/>
        <w:jc w:val="both"/>
        <w:rPr>
          <w:sz w:val="28"/>
          <w:szCs w:val="28"/>
        </w:rPr>
      </w:pPr>
      <w:r w:rsidRPr="005F0AE0">
        <w:rPr>
          <w:sz w:val="28"/>
          <w:szCs w:val="28"/>
        </w:rPr>
        <w:t>Arizona Supreme Court</w:t>
      </w:r>
    </w:p>
    <w:p w14:paraId="67DEF264" w14:textId="77777777" w:rsidR="00267AFF" w:rsidRPr="005F0AE0" w:rsidRDefault="00267AFF" w:rsidP="00267AFF">
      <w:pPr>
        <w:tabs>
          <w:tab w:val="center" w:pos="4680"/>
        </w:tabs>
        <w:adjustRightInd w:val="0"/>
        <w:jc w:val="both"/>
        <w:rPr>
          <w:sz w:val="28"/>
          <w:szCs w:val="28"/>
        </w:rPr>
      </w:pPr>
      <w:r w:rsidRPr="005F0AE0">
        <w:rPr>
          <w:sz w:val="28"/>
          <w:szCs w:val="28"/>
        </w:rPr>
        <w:t xml:space="preserve">1501 W. Washington St. </w:t>
      </w:r>
    </w:p>
    <w:p w14:paraId="6F05DF09" w14:textId="77777777" w:rsidR="00267AFF" w:rsidRDefault="00267AFF" w:rsidP="00267AFF">
      <w:pPr>
        <w:tabs>
          <w:tab w:val="center" w:pos="4680"/>
        </w:tabs>
        <w:adjustRightInd w:val="0"/>
        <w:jc w:val="both"/>
        <w:rPr>
          <w:sz w:val="28"/>
          <w:szCs w:val="28"/>
        </w:rPr>
      </w:pPr>
      <w:r w:rsidRPr="005F0AE0">
        <w:rPr>
          <w:sz w:val="28"/>
          <w:szCs w:val="28"/>
        </w:rPr>
        <w:t>Phoenix, AZ 85007</w:t>
      </w:r>
    </w:p>
    <w:p w14:paraId="4F4A4E03" w14:textId="77777777" w:rsidR="00267AFF" w:rsidRPr="005F0AE0" w:rsidRDefault="00267AFF" w:rsidP="00267AFF">
      <w:pPr>
        <w:tabs>
          <w:tab w:val="center" w:pos="4680"/>
        </w:tabs>
        <w:adjustRightInd w:val="0"/>
        <w:jc w:val="both"/>
        <w:rPr>
          <w:sz w:val="28"/>
          <w:szCs w:val="28"/>
        </w:rPr>
      </w:pPr>
    </w:p>
    <w:p w14:paraId="709F98BC" w14:textId="77777777" w:rsidR="00267AFF" w:rsidRPr="005F0AE0" w:rsidRDefault="00267AFF" w:rsidP="00267AFF">
      <w:pPr>
        <w:tabs>
          <w:tab w:val="center" w:pos="4680"/>
        </w:tabs>
        <w:adjustRightInd w:val="0"/>
        <w:rPr>
          <w:sz w:val="28"/>
          <w:szCs w:val="28"/>
        </w:rPr>
      </w:pPr>
    </w:p>
    <w:p w14:paraId="35B367B9" w14:textId="77777777" w:rsidR="00267AFF" w:rsidRPr="005F0AE0" w:rsidRDefault="00267AFF" w:rsidP="00267AFF">
      <w:pPr>
        <w:tabs>
          <w:tab w:val="center" w:pos="4680"/>
        </w:tabs>
        <w:adjustRightInd w:val="0"/>
        <w:rPr>
          <w:b/>
          <w:sz w:val="28"/>
          <w:szCs w:val="28"/>
        </w:rPr>
      </w:pPr>
      <w:r w:rsidRPr="005F0AE0">
        <w:rPr>
          <w:sz w:val="24"/>
          <w:szCs w:val="24"/>
        </w:rPr>
        <w:tab/>
      </w:r>
      <w:r w:rsidRPr="005F0AE0">
        <w:rPr>
          <w:b/>
          <w:sz w:val="28"/>
          <w:szCs w:val="28"/>
        </w:rPr>
        <w:t>IN THE SUPREME COURT</w:t>
      </w:r>
    </w:p>
    <w:p w14:paraId="3E9EEEC3" w14:textId="77777777" w:rsidR="00267AFF" w:rsidRPr="005F0AE0" w:rsidRDefault="00267AFF" w:rsidP="00267AFF">
      <w:pPr>
        <w:tabs>
          <w:tab w:val="center" w:pos="4680"/>
        </w:tabs>
        <w:adjustRightInd w:val="0"/>
        <w:jc w:val="center"/>
        <w:rPr>
          <w:b/>
          <w:sz w:val="28"/>
          <w:szCs w:val="28"/>
        </w:rPr>
      </w:pPr>
      <w:r w:rsidRPr="005F0AE0">
        <w:rPr>
          <w:b/>
          <w:sz w:val="28"/>
          <w:szCs w:val="28"/>
        </w:rPr>
        <w:t>STATE OF ARIZONA</w:t>
      </w:r>
    </w:p>
    <w:p w14:paraId="723A7E69" w14:textId="77777777" w:rsidR="00267AFF" w:rsidRPr="005F0AE0" w:rsidRDefault="00267AFF" w:rsidP="00267AFF">
      <w:pPr>
        <w:adjustRightInd w:val="0"/>
        <w:rPr>
          <w:sz w:val="24"/>
          <w:szCs w:val="24"/>
        </w:rPr>
      </w:pP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267AFF" w:rsidRPr="0023274A" w14:paraId="37BCFD50" w14:textId="77777777" w:rsidTr="00CA1286">
        <w:trPr>
          <w:trHeight w:val="2421"/>
        </w:trPr>
        <w:tc>
          <w:tcPr>
            <w:tcW w:w="4590" w:type="dxa"/>
            <w:tcBorders>
              <w:top w:val="nil"/>
              <w:bottom w:val="single" w:sz="4" w:space="0" w:color="auto"/>
              <w:right w:val="nil"/>
            </w:tcBorders>
            <w:shd w:val="clear" w:color="auto" w:fill="auto"/>
          </w:tcPr>
          <w:p w14:paraId="49107E9A" w14:textId="77777777" w:rsidR="00267AFF" w:rsidRPr="0023274A" w:rsidRDefault="00267AFF" w:rsidP="00CA1286">
            <w:pPr>
              <w:rPr>
                <w:bCs/>
                <w:sz w:val="28"/>
                <w:szCs w:val="28"/>
              </w:rPr>
            </w:pPr>
            <w:bookmarkStart w:id="1" w:name="_zzmpFIXED_CaptionTable"/>
            <w:bookmarkEnd w:id="0"/>
          </w:p>
          <w:p w14:paraId="18D5A88C" w14:textId="77777777" w:rsidR="00267AFF" w:rsidRPr="0023274A" w:rsidRDefault="00267AFF" w:rsidP="00CA1286">
            <w:pPr>
              <w:rPr>
                <w:bCs/>
                <w:sz w:val="28"/>
                <w:szCs w:val="28"/>
              </w:rPr>
            </w:pPr>
            <w:r w:rsidRPr="0023274A">
              <w:rPr>
                <w:bCs/>
                <w:sz w:val="28"/>
                <w:szCs w:val="28"/>
              </w:rPr>
              <w:t>In the Matter of:</w:t>
            </w:r>
          </w:p>
          <w:p w14:paraId="57AFCB17" w14:textId="77777777" w:rsidR="00267AFF" w:rsidRPr="0023274A" w:rsidRDefault="00267AFF" w:rsidP="00CA1286">
            <w:pPr>
              <w:rPr>
                <w:bCs/>
                <w:sz w:val="28"/>
                <w:szCs w:val="28"/>
              </w:rPr>
            </w:pPr>
          </w:p>
          <w:p w14:paraId="0E0F0F18" w14:textId="77777777" w:rsidR="00267AFF" w:rsidRPr="0023274A" w:rsidRDefault="00267AFF" w:rsidP="00CA1286">
            <w:pPr>
              <w:rPr>
                <w:bCs/>
                <w:sz w:val="26"/>
              </w:rPr>
            </w:pPr>
            <w:r w:rsidRPr="0023274A">
              <w:rPr>
                <w:bCs/>
                <w:sz w:val="28"/>
                <w:szCs w:val="28"/>
              </w:rPr>
              <w:t xml:space="preserve">PETITION TO </w:t>
            </w:r>
            <w:r>
              <w:rPr>
                <w:bCs/>
                <w:sz w:val="28"/>
                <w:szCs w:val="28"/>
              </w:rPr>
              <w:t>AMEND RULE 38, RULES OF THE SUPREME COURT OF ARIZONA</w:t>
            </w:r>
          </w:p>
        </w:tc>
        <w:tc>
          <w:tcPr>
            <w:tcW w:w="270" w:type="dxa"/>
            <w:tcBorders>
              <w:top w:val="nil"/>
              <w:left w:val="nil"/>
              <w:bottom w:val="nil"/>
              <w:right w:val="nil"/>
            </w:tcBorders>
          </w:tcPr>
          <w:p w14:paraId="72C2C81C" w14:textId="77777777" w:rsidR="00267AFF" w:rsidRPr="0023274A" w:rsidRDefault="00267AFF" w:rsidP="00CA1286">
            <w:pPr>
              <w:ind w:left="-105" w:right="335"/>
              <w:rPr>
                <w:bCs/>
                <w:sz w:val="28"/>
                <w:szCs w:val="28"/>
              </w:rPr>
            </w:pPr>
            <w:r w:rsidRPr="0023274A">
              <w:rPr>
                <w:bCs/>
                <w:sz w:val="28"/>
                <w:szCs w:val="28"/>
              </w:rPr>
              <w:t>)</w:t>
            </w:r>
          </w:p>
          <w:p w14:paraId="3583C372" w14:textId="77777777" w:rsidR="00267AFF" w:rsidRPr="0023274A" w:rsidRDefault="00267AFF" w:rsidP="00CA1286">
            <w:pPr>
              <w:adjustRightInd w:val="0"/>
              <w:ind w:left="-105"/>
              <w:rPr>
                <w:sz w:val="28"/>
                <w:szCs w:val="28"/>
              </w:rPr>
            </w:pPr>
            <w:r w:rsidRPr="0023274A">
              <w:rPr>
                <w:sz w:val="28"/>
                <w:szCs w:val="28"/>
              </w:rPr>
              <w:t>)</w:t>
            </w:r>
          </w:p>
          <w:p w14:paraId="1AEDCE33" w14:textId="77777777" w:rsidR="00267AFF" w:rsidRPr="0023274A" w:rsidRDefault="00267AFF" w:rsidP="00CA1286">
            <w:pPr>
              <w:adjustRightInd w:val="0"/>
              <w:ind w:left="-105"/>
              <w:rPr>
                <w:sz w:val="28"/>
                <w:szCs w:val="28"/>
              </w:rPr>
            </w:pPr>
            <w:r w:rsidRPr="0023274A">
              <w:rPr>
                <w:sz w:val="28"/>
                <w:szCs w:val="28"/>
              </w:rPr>
              <w:t>)</w:t>
            </w:r>
          </w:p>
          <w:p w14:paraId="300C2F94" w14:textId="77777777" w:rsidR="00267AFF" w:rsidRPr="0023274A" w:rsidRDefault="00267AFF" w:rsidP="00CA1286">
            <w:pPr>
              <w:adjustRightInd w:val="0"/>
              <w:ind w:left="-105"/>
              <w:rPr>
                <w:sz w:val="28"/>
                <w:szCs w:val="28"/>
              </w:rPr>
            </w:pPr>
            <w:r w:rsidRPr="0023274A">
              <w:rPr>
                <w:sz w:val="28"/>
                <w:szCs w:val="28"/>
              </w:rPr>
              <w:t>)</w:t>
            </w:r>
          </w:p>
          <w:p w14:paraId="5E8A0B51" w14:textId="77777777" w:rsidR="00267AFF" w:rsidRPr="0023274A" w:rsidRDefault="00267AFF" w:rsidP="00CA1286">
            <w:pPr>
              <w:adjustRightInd w:val="0"/>
              <w:ind w:left="-105"/>
              <w:rPr>
                <w:sz w:val="28"/>
                <w:szCs w:val="28"/>
              </w:rPr>
            </w:pPr>
            <w:r w:rsidRPr="0023274A">
              <w:rPr>
                <w:sz w:val="28"/>
                <w:szCs w:val="28"/>
              </w:rPr>
              <w:t>)</w:t>
            </w:r>
          </w:p>
          <w:p w14:paraId="70E1185C" w14:textId="77777777" w:rsidR="00267AFF" w:rsidRPr="0023274A" w:rsidRDefault="00267AFF" w:rsidP="00CA1286">
            <w:pPr>
              <w:adjustRightInd w:val="0"/>
              <w:ind w:left="-105"/>
              <w:rPr>
                <w:sz w:val="28"/>
                <w:szCs w:val="28"/>
              </w:rPr>
            </w:pPr>
            <w:r w:rsidRPr="0023274A">
              <w:rPr>
                <w:sz w:val="28"/>
                <w:szCs w:val="28"/>
              </w:rPr>
              <w:t>)</w:t>
            </w:r>
          </w:p>
          <w:p w14:paraId="06707DE2" w14:textId="77777777" w:rsidR="00267AFF" w:rsidRPr="0023274A" w:rsidRDefault="00267AFF" w:rsidP="00CA1286">
            <w:pPr>
              <w:adjustRightInd w:val="0"/>
              <w:ind w:left="-105"/>
              <w:rPr>
                <w:sz w:val="28"/>
                <w:szCs w:val="28"/>
              </w:rPr>
            </w:pPr>
            <w:r w:rsidRPr="0023274A">
              <w:rPr>
                <w:sz w:val="28"/>
                <w:szCs w:val="28"/>
              </w:rPr>
              <w:t>)</w:t>
            </w:r>
          </w:p>
          <w:p w14:paraId="2499EF57" w14:textId="77777777" w:rsidR="00267AFF" w:rsidRDefault="00267AFF" w:rsidP="00CA1286">
            <w:pPr>
              <w:adjustRightInd w:val="0"/>
              <w:ind w:left="-105"/>
              <w:rPr>
                <w:sz w:val="28"/>
                <w:szCs w:val="28"/>
              </w:rPr>
            </w:pPr>
            <w:r w:rsidRPr="0023274A">
              <w:rPr>
                <w:sz w:val="28"/>
                <w:szCs w:val="28"/>
              </w:rPr>
              <w:t>)</w:t>
            </w:r>
          </w:p>
          <w:p w14:paraId="407FA4D6" w14:textId="77777777" w:rsidR="00267AFF" w:rsidRPr="0023274A" w:rsidRDefault="00267AFF" w:rsidP="00CA1286">
            <w:pPr>
              <w:adjustRightInd w:val="0"/>
              <w:ind w:left="-105"/>
              <w:rPr>
                <w:sz w:val="28"/>
                <w:szCs w:val="28"/>
              </w:rPr>
            </w:pPr>
            <w:r>
              <w:rPr>
                <w:sz w:val="28"/>
                <w:szCs w:val="28"/>
              </w:rPr>
              <w:t>)</w:t>
            </w:r>
          </w:p>
        </w:tc>
        <w:tc>
          <w:tcPr>
            <w:tcW w:w="4410" w:type="dxa"/>
            <w:tcBorders>
              <w:top w:val="nil"/>
              <w:left w:val="nil"/>
            </w:tcBorders>
            <w:shd w:val="clear" w:color="auto" w:fill="auto"/>
          </w:tcPr>
          <w:p w14:paraId="7BE38379" w14:textId="77777777" w:rsidR="00267AFF" w:rsidRPr="0023274A" w:rsidRDefault="00267AFF" w:rsidP="00CA1286">
            <w:pPr>
              <w:adjustRightInd w:val="0"/>
              <w:rPr>
                <w:sz w:val="28"/>
                <w:szCs w:val="24"/>
              </w:rPr>
            </w:pPr>
          </w:p>
          <w:p w14:paraId="6237C213" w14:textId="77777777" w:rsidR="00267AFF" w:rsidRPr="0023274A" w:rsidRDefault="00267AFF" w:rsidP="00CA1286">
            <w:pPr>
              <w:adjustRightInd w:val="0"/>
              <w:rPr>
                <w:sz w:val="28"/>
                <w:szCs w:val="24"/>
              </w:rPr>
            </w:pPr>
            <w:r w:rsidRPr="0023274A">
              <w:rPr>
                <w:sz w:val="28"/>
                <w:szCs w:val="24"/>
              </w:rPr>
              <w:t>Supreme Court No. R-</w:t>
            </w:r>
            <w:r>
              <w:rPr>
                <w:sz w:val="28"/>
                <w:szCs w:val="24"/>
              </w:rPr>
              <w:t>20-0007</w:t>
            </w:r>
          </w:p>
          <w:p w14:paraId="101D3C54" w14:textId="77777777" w:rsidR="00267AFF" w:rsidRPr="0023274A" w:rsidRDefault="00267AFF" w:rsidP="00CA1286">
            <w:pPr>
              <w:adjustRightInd w:val="0"/>
              <w:rPr>
                <w:sz w:val="28"/>
                <w:szCs w:val="24"/>
              </w:rPr>
            </w:pPr>
          </w:p>
          <w:p w14:paraId="4CA02BCC" w14:textId="77777777" w:rsidR="00267AFF" w:rsidRPr="0023274A" w:rsidRDefault="00267AFF" w:rsidP="00CA1286">
            <w:pPr>
              <w:adjustRightInd w:val="0"/>
              <w:rPr>
                <w:bCs/>
                <w:sz w:val="28"/>
                <w:szCs w:val="28"/>
              </w:rPr>
            </w:pPr>
            <w:r w:rsidRPr="0023274A">
              <w:rPr>
                <w:sz w:val="28"/>
                <w:szCs w:val="24"/>
              </w:rPr>
              <w:t xml:space="preserve">Comment </w:t>
            </w:r>
            <w:r>
              <w:rPr>
                <w:sz w:val="28"/>
                <w:szCs w:val="24"/>
              </w:rPr>
              <w:t xml:space="preserve">of </w:t>
            </w:r>
            <w:r w:rsidRPr="0023274A">
              <w:rPr>
                <w:sz w:val="28"/>
                <w:szCs w:val="24"/>
              </w:rPr>
              <w:t xml:space="preserve">the Attorney Regulation Advisory Committee in Support of Proposed Rule Change </w:t>
            </w:r>
          </w:p>
        </w:tc>
      </w:tr>
      <w:bookmarkEnd w:id="1"/>
    </w:tbl>
    <w:p w14:paraId="684EB57C" w14:textId="77777777" w:rsidR="00A80F64" w:rsidRPr="007A2CE5" w:rsidRDefault="00A80F64">
      <w:pPr>
        <w:pStyle w:val="BodyText"/>
      </w:pPr>
    </w:p>
    <w:p w14:paraId="2E954491" w14:textId="77777777" w:rsidR="00A80F64" w:rsidRPr="00267AFF" w:rsidRDefault="00393F6F" w:rsidP="00267AFF">
      <w:pPr>
        <w:pStyle w:val="BodyText"/>
        <w:spacing w:line="480" w:lineRule="auto"/>
        <w:ind w:left="141" w:right="111" w:firstLine="711"/>
        <w:jc w:val="both"/>
        <w:rPr>
          <w:color w:val="1A1A1A"/>
          <w:w w:val="105"/>
          <w:sz w:val="28"/>
        </w:rPr>
      </w:pPr>
      <w:r w:rsidRPr="00267AFF">
        <w:rPr>
          <w:color w:val="1A1A1A"/>
          <w:w w:val="105"/>
          <w:sz w:val="28"/>
        </w:rPr>
        <w:t>Pursuant to Rule 28</w:t>
      </w:r>
      <w:r w:rsidRPr="00267AFF">
        <w:rPr>
          <w:color w:val="363636"/>
          <w:w w:val="105"/>
          <w:sz w:val="28"/>
        </w:rPr>
        <w:t xml:space="preserve">, </w:t>
      </w:r>
      <w:r w:rsidRPr="00267AFF">
        <w:rPr>
          <w:color w:val="1A1A1A"/>
          <w:w w:val="105"/>
          <w:sz w:val="28"/>
        </w:rPr>
        <w:t xml:space="preserve">Rules of the Supreme Court of Arizona, the </w:t>
      </w:r>
      <w:r w:rsidR="00B5744C" w:rsidRPr="00267AFF">
        <w:rPr>
          <w:color w:val="1A1A1A"/>
          <w:w w:val="105"/>
          <w:sz w:val="28"/>
        </w:rPr>
        <w:t>Attorney Regulation Advisory Committee submits the following comment in support of Rule Petition R-20-0007.</w:t>
      </w:r>
    </w:p>
    <w:p w14:paraId="2F744572" w14:textId="77777777" w:rsidR="00A80F64" w:rsidRPr="00267AFF" w:rsidRDefault="00393F6F" w:rsidP="00267AFF">
      <w:pPr>
        <w:pStyle w:val="Heading1"/>
        <w:spacing w:before="0" w:line="480" w:lineRule="auto"/>
        <w:ind w:firstLine="0"/>
        <w:jc w:val="center"/>
        <w:rPr>
          <w:sz w:val="28"/>
        </w:rPr>
      </w:pPr>
      <w:r w:rsidRPr="00267AFF">
        <w:rPr>
          <w:color w:val="1A1A1A"/>
          <w:w w:val="105"/>
          <w:sz w:val="28"/>
        </w:rPr>
        <w:t>I.</w:t>
      </w:r>
      <w:r w:rsidRPr="00267AFF">
        <w:rPr>
          <w:color w:val="1A1A1A"/>
          <w:w w:val="105"/>
          <w:sz w:val="28"/>
        </w:rPr>
        <w:tab/>
        <w:t>INTRODUCTION</w:t>
      </w:r>
    </w:p>
    <w:p w14:paraId="1A98E6EE" w14:textId="77777777" w:rsidR="00393F6F" w:rsidRPr="00267AFF" w:rsidRDefault="00B5744C" w:rsidP="00267AFF">
      <w:pPr>
        <w:pStyle w:val="BodyText"/>
        <w:spacing w:line="480" w:lineRule="auto"/>
        <w:ind w:left="127" w:right="114" w:firstLine="738"/>
        <w:jc w:val="both"/>
        <w:rPr>
          <w:sz w:val="28"/>
        </w:rPr>
      </w:pPr>
      <w:r w:rsidRPr="00267AFF">
        <w:rPr>
          <w:sz w:val="28"/>
        </w:rPr>
        <w:t xml:space="preserve">The Attorney Regulation Advisory Committee (ARC) was established by the Supreme Court of Arizona to periodically review the entire attorney admission and discipline system for the Court and make recommendations for any further needed changes. (Administrative Order No. 2011-44).  </w:t>
      </w:r>
      <w:r w:rsidR="007A2CE5" w:rsidRPr="00267AFF">
        <w:rPr>
          <w:sz w:val="28"/>
        </w:rPr>
        <w:t xml:space="preserve">In that regard, </w:t>
      </w:r>
      <w:r w:rsidRPr="00267AFF">
        <w:rPr>
          <w:sz w:val="28"/>
        </w:rPr>
        <w:t>ARC</w:t>
      </w:r>
      <w:r w:rsidR="007A2CE5" w:rsidRPr="00267AFF">
        <w:rPr>
          <w:sz w:val="28"/>
        </w:rPr>
        <w:t xml:space="preserve"> is often involved in </w:t>
      </w:r>
      <w:r w:rsidRPr="00267AFF">
        <w:rPr>
          <w:sz w:val="28"/>
        </w:rPr>
        <w:t>review</w:t>
      </w:r>
      <w:r w:rsidR="007A2CE5" w:rsidRPr="00267AFF">
        <w:rPr>
          <w:sz w:val="28"/>
        </w:rPr>
        <w:t>ing</w:t>
      </w:r>
      <w:r w:rsidRPr="00267AFF">
        <w:rPr>
          <w:sz w:val="28"/>
        </w:rPr>
        <w:t xml:space="preserve"> </w:t>
      </w:r>
      <w:r w:rsidR="007A2CE5" w:rsidRPr="00267AFF">
        <w:rPr>
          <w:sz w:val="28"/>
        </w:rPr>
        <w:t>current and proposed</w:t>
      </w:r>
      <w:r w:rsidRPr="00267AFF">
        <w:rPr>
          <w:sz w:val="28"/>
        </w:rPr>
        <w:t xml:space="preserve"> rules governing attorney regulation, including examination, admissions, reinstatement, and the disability and </w:t>
      </w:r>
      <w:r w:rsidRPr="00267AFF">
        <w:rPr>
          <w:sz w:val="28"/>
        </w:rPr>
        <w:lastRenderedPageBreak/>
        <w:t>disciplinary processes and mak</w:t>
      </w:r>
      <w:r w:rsidR="007A2CE5" w:rsidRPr="00267AFF">
        <w:rPr>
          <w:sz w:val="28"/>
        </w:rPr>
        <w:t>ing</w:t>
      </w:r>
      <w:r w:rsidRPr="00267AFF">
        <w:rPr>
          <w:sz w:val="28"/>
        </w:rPr>
        <w:t xml:space="preserve"> recommendations regarding these rules “to reinforce lawyer competency and professionalism and strengthen the Supreme Court’s oversight of the regulation and practice of law in this state.”</w:t>
      </w:r>
    </w:p>
    <w:p w14:paraId="76DFFAFF" w14:textId="77777777" w:rsidR="00393F6F" w:rsidRPr="00267AFF" w:rsidRDefault="00393F6F" w:rsidP="00267AFF">
      <w:pPr>
        <w:pStyle w:val="BodyText"/>
        <w:spacing w:line="480" w:lineRule="auto"/>
        <w:ind w:left="127" w:right="114" w:firstLine="738"/>
        <w:jc w:val="both"/>
        <w:rPr>
          <w:sz w:val="28"/>
        </w:rPr>
      </w:pPr>
      <w:r w:rsidRPr="00267AFF">
        <w:rPr>
          <w:sz w:val="28"/>
        </w:rPr>
        <w:t>The Attorney Regulation Advisory Committee consists of 15 members, including lawyers, judges and members of the public.  At its regularly scheduled meeting on March 10, 2020, the Committee met to consider a number of pending rule change petitions, including R-20-</w:t>
      </w:r>
      <w:r w:rsidR="007B7FD5">
        <w:rPr>
          <w:sz w:val="28"/>
        </w:rPr>
        <w:t>0</w:t>
      </w:r>
      <w:r w:rsidRPr="00267AFF">
        <w:rPr>
          <w:sz w:val="28"/>
        </w:rPr>
        <w:t>007, and to determine whether a formal comment concerning such petition was appropriate.</w:t>
      </w:r>
    </w:p>
    <w:p w14:paraId="09ACEDDE" w14:textId="77777777" w:rsidR="00A80F64" w:rsidRPr="00267AFF" w:rsidRDefault="00B5744C" w:rsidP="00267AFF">
      <w:pPr>
        <w:pStyle w:val="BodyText"/>
        <w:spacing w:line="480" w:lineRule="auto"/>
        <w:ind w:left="127" w:right="114" w:hanging="37"/>
        <w:jc w:val="center"/>
        <w:rPr>
          <w:b/>
          <w:bCs/>
          <w:sz w:val="28"/>
        </w:rPr>
      </w:pPr>
      <w:r w:rsidRPr="00267AFF">
        <w:rPr>
          <w:b/>
          <w:bCs/>
          <w:sz w:val="28"/>
        </w:rPr>
        <w:t>II.  RULE CHANGE PETITION R-20-0007</w:t>
      </w:r>
    </w:p>
    <w:p w14:paraId="4A2E2069" w14:textId="77777777" w:rsidR="00201ADB" w:rsidRPr="00267AFF" w:rsidRDefault="007A2CE5" w:rsidP="00267AFF">
      <w:pPr>
        <w:pStyle w:val="BodyText"/>
        <w:spacing w:line="480" w:lineRule="auto"/>
        <w:ind w:firstLine="720"/>
        <w:rPr>
          <w:sz w:val="28"/>
        </w:rPr>
      </w:pPr>
      <w:r w:rsidRPr="00267AFF">
        <w:rPr>
          <w:sz w:val="28"/>
        </w:rPr>
        <w:t xml:space="preserve">The stated purpose of this proposed rule change is to more clearly </w:t>
      </w:r>
      <w:r w:rsidR="00201ADB" w:rsidRPr="00267AFF">
        <w:rPr>
          <w:sz w:val="28"/>
        </w:rPr>
        <w:t>allow</w:t>
      </w:r>
      <w:r w:rsidRPr="00267AFF">
        <w:rPr>
          <w:sz w:val="28"/>
        </w:rPr>
        <w:t xml:space="preserve"> recent law school graduates to engage in the limited practice of law, under appropriate supervision by an Arizona licensed attorney, for a discrete period of time following graduation from an accredited law school.  </w:t>
      </w:r>
      <w:r w:rsidR="00B6593F" w:rsidRPr="00267AFF">
        <w:rPr>
          <w:sz w:val="28"/>
        </w:rPr>
        <w:t xml:space="preserve">That </w:t>
      </w:r>
      <w:r w:rsidR="00201ADB" w:rsidRPr="00267AFF">
        <w:rPr>
          <w:sz w:val="28"/>
        </w:rPr>
        <w:t>certification</w:t>
      </w:r>
      <w:r w:rsidR="00B6593F" w:rsidRPr="00267AFF">
        <w:rPr>
          <w:sz w:val="28"/>
        </w:rPr>
        <w:t xml:space="preserve"> is dependent upon a number of conditions, as identified in the proposed rule, and requires the law graduate so certified to take the next available uniform bar examination.  </w:t>
      </w:r>
    </w:p>
    <w:p w14:paraId="669E2FEA" w14:textId="77777777" w:rsidR="00201ADB" w:rsidRPr="00267AFF" w:rsidRDefault="00B6593F" w:rsidP="00267AFF">
      <w:pPr>
        <w:pStyle w:val="BodyText"/>
        <w:spacing w:line="480" w:lineRule="auto"/>
        <w:ind w:firstLine="720"/>
        <w:rPr>
          <w:sz w:val="28"/>
        </w:rPr>
      </w:pPr>
      <w:r w:rsidRPr="00267AFF">
        <w:rPr>
          <w:sz w:val="28"/>
        </w:rPr>
        <w:t xml:space="preserve">The certification and authorization to engage in the limited practice of law terminates (1) 30 days after the law graduate is informed he/she has successfully passed that bar examination, and has been advised by the Arizona Supreme Court of approval for admission to practice and eligibility to take the oath of admission; </w:t>
      </w:r>
      <w:r w:rsidRPr="00267AFF">
        <w:rPr>
          <w:sz w:val="28"/>
        </w:rPr>
        <w:lastRenderedPageBreak/>
        <w:t>or (2) immediately upon being informed that the certified law graduate has been unsuccessful in passing the uniform bar examination</w:t>
      </w:r>
      <w:r w:rsidR="00201ADB" w:rsidRPr="00267AFF">
        <w:rPr>
          <w:sz w:val="28"/>
        </w:rPr>
        <w:t>;  (3)</w:t>
      </w:r>
      <w:r w:rsidRPr="00267AFF">
        <w:rPr>
          <w:sz w:val="28"/>
        </w:rPr>
        <w:t xml:space="preserve"> upon failing to meet the requirements for established by the Committee on Character and Fitness, or </w:t>
      </w:r>
      <w:r w:rsidR="00201ADB" w:rsidRPr="00267AFF">
        <w:rPr>
          <w:sz w:val="28"/>
        </w:rPr>
        <w:t xml:space="preserve">(4) </w:t>
      </w:r>
      <w:r w:rsidRPr="00267AFF">
        <w:rPr>
          <w:sz w:val="28"/>
        </w:rPr>
        <w:t>is otherwise denied admission to the practice of law.</w:t>
      </w:r>
    </w:p>
    <w:p w14:paraId="5DA100B1" w14:textId="77777777" w:rsidR="00A80F64" w:rsidRPr="00267AFF" w:rsidRDefault="00201ADB" w:rsidP="00267AFF">
      <w:pPr>
        <w:pStyle w:val="BodyText"/>
        <w:spacing w:line="480" w:lineRule="auto"/>
        <w:ind w:firstLine="720"/>
        <w:rPr>
          <w:sz w:val="28"/>
        </w:rPr>
      </w:pPr>
      <w:r w:rsidRPr="00267AFF">
        <w:rPr>
          <w:sz w:val="28"/>
        </w:rPr>
        <w:t>The Attorney Regulation Advisory Committee supports this rule change petition for the following reasons.  First, as noted in the petition, t</w:t>
      </w:r>
      <w:r w:rsidR="00B6593F" w:rsidRPr="00267AFF">
        <w:rPr>
          <w:sz w:val="28"/>
        </w:rPr>
        <w:t>he proposed rule changes more clearly set</w:t>
      </w:r>
      <w:r w:rsidRPr="00267AFF">
        <w:rPr>
          <w:sz w:val="28"/>
        </w:rPr>
        <w:t>s</w:t>
      </w:r>
      <w:r w:rsidR="00B6593F" w:rsidRPr="00267AFF">
        <w:rPr>
          <w:sz w:val="28"/>
        </w:rPr>
        <w:t xml:space="preserve"> out the program requirements and practice restrictions for both certified law students and </w:t>
      </w:r>
      <w:r w:rsidR="00393F6F" w:rsidRPr="00267AFF">
        <w:rPr>
          <w:sz w:val="28"/>
        </w:rPr>
        <w:t>certified</w:t>
      </w:r>
      <w:r w:rsidR="00B6593F" w:rsidRPr="00267AFF">
        <w:rPr>
          <w:sz w:val="28"/>
        </w:rPr>
        <w:t xml:space="preserve"> law graduates in a consistent and complete manner, and clarif</w:t>
      </w:r>
      <w:r w:rsidRPr="00267AFF">
        <w:rPr>
          <w:sz w:val="28"/>
        </w:rPr>
        <w:t>ies</w:t>
      </w:r>
      <w:r w:rsidR="00B6593F" w:rsidRPr="00267AFF">
        <w:rPr>
          <w:sz w:val="28"/>
        </w:rPr>
        <w:t xml:space="preserve"> the responsibilities of </w:t>
      </w:r>
      <w:r w:rsidR="00393F6F" w:rsidRPr="00267AFF">
        <w:rPr>
          <w:sz w:val="28"/>
        </w:rPr>
        <w:t>the Arizona lawyers who are supervising</w:t>
      </w:r>
      <w:r w:rsidR="007A2CE5" w:rsidRPr="00267AFF">
        <w:rPr>
          <w:sz w:val="28"/>
        </w:rPr>
        <w:t xml:space="preserve"> </w:t>
      </w:r>
      <w:r w:rsidR="00393F6F" w:rsidRPr="00267AFF">
        <w:rPr>
          <w:sz w:val="28"/>
        </w:rPr>
        <w:t>certified law students and certified law graduates.</w:t>
      </w:r>
    </w:p>
    <w:p w14:paraId="04A47A98" w14:textId="77777777" w:rsidR="00201ADB" w:rsidRPr="00267AFF" w:rsidRDefault="00201ADB" w:rsidP="00267AFF">
      <w:pPr>
        <w:pStyle w:val="BodyText"/>
        <w:spacing w:line="480" w:lineRule="auto"/>
        <w:ind w:firstLine="720"/>
        <w:rPr>
          <w:sz w:val="28"/>
        </w:rPr>
      </w:pPr>
      <w:r w:rsidRPr="00267AFF">
        <w:rPr>
          <w:sz w:val="28"/>
        </w:rPr>
        <w:t xml:space="preserve">Second, this limited practice experience </w:t>
      </w:r>
      <w:r w:rsidR="00DF5819" w:rsidRPr="00267AFF">
        <w:rPr>
          <w:sz w:val="28"/>
        </w:rPr>
        <w:t xml:space="preserve">can constitute </w:t>
      </w:r>
      <w:r w:rsidRPr="00267AFF">
        <w:rPr>
          <w:sz w:val="28"/>
        </w:rPr>
        <w:t>a</w:t>
      </w:r>
      <w:r w:rsidR="00DF5819" w:rsidRPr="00267AFF">
        <w:rPr>
          <w:sz w:val="28"/>
        </w:rPr>
        <w:t>n effective</w:t>
      </w:r>
      <w:r w:rsidRPr="00267AFF">
        <w:rPr>
          <w:sz w:val="28"/>
        </w:rPr>
        <w:t xml:space="preserve"> transition from law school to practice, providing the qualifying law graduate with valuable training and experience pending the taking and successful completion of the uniform bar examination and admission process.  </w:t>
      </w:r>
    </w:p>
    <w:p w14:paraId="34FFC919" w14:textId="77777777" w:rsidR="001F477F" w:rsidRPr="00267AFF" w:rsidRDefault="00201ADB" w:rsidP="00267AFF">
      <w:pPr>
        <w:pStyle w:val="BodyText"/>
        <w:spacing w:line="480" w:lineRule="auto"/>
        <w:ind w:firstLine="720"/>
        <w:rPr>
          <w:sz w:val="28"/>
        </w:rPr>
      </w:pPr>
      <w:r w:rsidRPr="00267AFF">
        <w:rPr>
          <w:sz w:val="28"/>
        </w:rPr>
        <w:t>Third, the proposed rule clearly prohibits charging any client for work done by the certified law graduate, and ARC believes this provides an incentive for the delivery of</w:t>
      </w:r>
      <w:r w:rsidR="00DF5819" w:rsidRPr="00267AFF">
        <w:rPr>
          <w:sz w:val="28"/>
        </w:rPr>
        <w:t xml:space="preserve"> supervised</w:t>
      </w:r>
      <w:r w:rsidRPr="00267AFF">
        <w:rPr>
          <w:sz w:val="28"/>
        </w:rPr>
        <w:t xml:space="preserve"> </w:t>
      </w:r>
      <w:r w:rsidRPr="00267AFF">
        <w:rPr>
          <w:i/>
          <w:iCs/>
          <w:sz w:val="28"/>
        </w:rPr>
        <w:t>pro bono</w:t>
      </w:r>
      <w:r w:rsidRPr="00267AFF">
        <w:rPr>
          <w:sz w:val="28"/>
        </w:rPr>
        <w:t xml:space="preserve"> legal services to Arizona’s vulnerable populations who cannot afford the cost of same.</w:t>
      </w:r>
    </w:p>
    <w:p w14:paraId="53D2A08B" w14:textId="77777777" w:rsidR="00267AFF" w:rsidRDefault="00267AFF" w:rsidP="00267AFF">
      <w:pPr>
        <w:pStyle w:val="BodyText"/>
        <w:spacing w:line="480" w:lineRule="auto"/>
        <w:ind w:firstLine="720"/>
        <w:rPr>
          <w:sz w:val="28"/>
        </w:rPr>
      </w:pPr>
      <w:r>
        <w:rPr>
          <w:sz w:val="28"/>
        </w:rPr>
        <w:t xml:space="preserve">/ / / </w:t>
      </w:r>
    </w:p>
    <w:p w14:paraId="5265D3E1" w14:textId="77777777" w:rsidR="00267AFF" w:rsidRDefault="00267AFF" w:rsidP="00267AFF">
      <w:pPr>
        <w:pStyle w:val="BodyText"/>
        <w:spacing w:line="480" w:lineRule="auto"/>
        <w:ind w:firstLine="720"/>
        <w:rPr>
          <w:sz w:val="28"/>
        </w:rPr>
      </w:pPr>
      <w:r>
        <w:rPr>
          <w:sz w:val="28"/>
        </w:rPr>
        <w:t>/ / /</w:t>
      </w:r>
    </w:p>
    <w:p w14:paraId="277E4159" w14:textId="77777777" w:rsidR="001F477F" w:rsidRPr="00267AFF" w:rsidRDefault="001F477F" w:rsidP="00267AFF">
      <w:pPr>
        <w:pStyle w:val="BodyText"/>
        <w:spacing w:line="480" w:lineRule="auto"/>
        <w:ind w:firstLine="720"/>
        <w:rPr>
          <w:sz w:val="28"/>
        </w:rPr>
      </w:pPr>
      <w:r w:rsidRPr="00267AFF">
        <w:rPr>
          <w:sz w:val="28"/>
        </w:rPr>
        <w:lastRenderedPageBreak/>
        <w:t>The Attorney Regulation Advisory Committee recommends that the Arizona Supreme Court approve Rule Change Petition R-20-0007.</w:t>
      </w:r>
    </w:p>
    <w:p w14:paraId="319DA84F" w14:textId="79187A32" w:rsidR="00267AFF" w:rsidRPr="005F0AE0" w:rsidRDefault="00267AFF" w:rsidP="00267AFF">
      <w:pPr>
        <w:tabs>
          <w:tab w:val="left" w:pos="720"/>
        </w:tabs>
        <w:spacing w:line="480" w:lineRule="exact"/>
        <w:rPr>
          <w:sz w:val="28"/>
          <w:szCs w:val="28"/>
        </w:rPr>
      </w:pPr>
      <w:r w:rsidRPr="005F0AE0">
        <w:rPr>
          <w:sz w:val="28"/>
          <w:szCs w:val="28"/>
        </w:rPr>
        <w:t xml:space="preserve">RESPECTFULLY SUBMITTED this </w:t>
      </w:r>
      <w:r w:rsidR="001D2AA5">
        <w:rPr>
          <w:b/>
          <w:sz w:val="28"/>
          <w:szCs w:val="28"/>
        </w:rPr>
        <w:t>21st</w:t>
      </w:r>
      <w:bookmarkStart w:id="2" w:name="_GoBack"/>
      <w:bookmarkEnd w:id="2"/>
      <w:r w:rsidRPr="005F0AE0">
        <w:rPr>
          <w:b/>
          <w:sz w:val="28"/>
          <w:szCs w:val="28"/>
        </w:rPr>
        <w:t xml:space="preserve"> </w:t>
      </w:r>
      <w:r w:rsidRPr="005F0AE0">
        <w:rPr>
          <w:sz w:val="28"/>
          <w:szCs w:val="28"/>
        </w:rPr>
        <w:t xml:space="preserve">day of </w:t>
      </w:r>
      <w:r w:rsidR="008870D1">
        <w:rPr>
          <w:sz w:val="28"/>
          <w:szCs w:val="28"/>
        </w:rPr>
        <w:t>April</w:t>
      </w:r>
      <w:r>
        <w:rPr>
          <w:sz w:val="28"/>
          <w:szCs w:val="28"/>
        </w:rPr>
        <w:t>,</w:t>
      </w:r>
      <w:r w:rsidRPr="005F0AE0">
        <w:rPr>
          <w:sz w:val="28"/>
          <w:szCs w:val="28"/>
        </w:rPr>
        <w:t xml:space="preserve"> 20</w:t>
      </w:r>
      <w:r>
        <w:rPr>
          <w:sz w:val="28"/>
          <w:szCs w:val="28"/>
        </w:rPr>
        <w:t>20</w:t>
      </w:r>
      <w:r w:rsidRPr="005F0AE0">
        <w:rPr>
          <w:sz w:val="28"/>
          <w:szCs w:val="28"/>
        </w:rPr>
        <w:t>.</w:t>
      </w:r>
    </w:p>
    <w:p w14:paraId="084EA24A" w14:textId="77777777" w:rsidR="00267AFF" w:rsidRPr="005F0AE0" w:rsidRDefault="002E40F2" w:rsidP="00267AFF">
      <w:pPr>
        <w:tabs>
          <w:tab w:val="left" w:pos="720"/>
        </w:tabs>
        <w:spacing w:line="480" w:lineRule="exact"/>
        <w:rPr>
          <w:sz w:val="28"/>
          <w:szCs w:val="28"/>
        </w:rPr>
      </w:pPr>
      <w:r>
        <w:rPr>
          <w:noProof/>
        </w:rPr>
        <w:drawing>
          <wp:anchor distT="0" distB="0" distL="114300" distR="114300" simplePos="0" relativeHeight="251658240" behindDoc="0" locked="0" layoutInCell="1" allowOverlap="1" wp14:anchorId="207498C5" wp14:editId="341580A1">
            <wp:simplePos x="0" y="0"/>
            <wp:positionH relativeFrom="column">
              <wp:posOffset>2801721</wp:posOffset>
            </wp:positionH>
            <wp:positionV relativeFrom="paragraph">
              <wp:posOffset>282092</wp:posOffset>
            </wp:positionV>
            <wp:extent cx="2295525" cy="723900"/>
            <wp:effectExtent l="0" t="0" r="9525" b="0"/>
            <wp:wrapNone/>
            <wp:docPr id="1" name="Picture 1" descr="JusticeTimmer2andHalfInSig"/>
            <wp:cNvGraphicFramePr/>
            <a:graphic xmlns:a="http://schemas.openxmlformats.org/drawingml/2006/main">
              <a:graphicData uri="http://schemas.openxmlformats.org/drawingml/2006/picture">
                <pic:pic xmlns:pic="http://schemas.openxmlformats.org/drawingml/2006/picture">
                  <pic:nvPicPr>
                    <pic:cNvPr id="1" name="Picture 1" descr="JusticeTimmer2andHalfInSi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4BB49E37" w14:textId="77777777" w:rsidR="00267AFF" w:rsidRPr="005F0AE0" w:rsidRDefault="00267AFF" w:rsidP="00267AFF">
      <w:pPr>
        <w:tabs>
          <w:tab w:val="left" w:pos="720"/>
        </w:tabs>
        <w:spacing w:line="480" w:lineRule="exact"/>
        <w:rPr>
          <w:sz w:val="28"/>
          <w:szCs w:val="28"/>
        </w:rPr>
      </w:pPr>
    </w:p>
    <w:p w14:paraId="6B2679B2" w14:textId="77777777" w:rsidR="00267AFF" w:rsidRPr="005F0AE0" w:rsidRDefault="00267AFF" w:rsidP="00267AFF">
      <w:pPr>
        <w:ind w:left="4320" w:right="-227"/>
        <w:rPr>
          <w:sz w:val="28"/>
          <w:szCs w:val="28"/>
        </w:rPr>
      </w:pPr>
      <w:r w:rsidRPr="005F0AE0">
        <w:rPr>
          <w:sz w:val="28"/>
          <w:szCs w:val="28"/>
        </w:rPr>
        <w:t>________________________________</w:t>
      </w:r>
    </w:p>
    <w:p w14:paraId="3E179A13" w14:textId="77777777" w:rsidR="00267AFF" w:rsidRPr="005F0AE0" w:rsidRDefault="00267AFF" w:rsidP="00267AFF">
      <w:pPr>
        <w:ind w:left="4320" w:right="-227"/>
        <w:rPr>
          <w:sz w:val="28"/>
          <w:szCs w:val="28"/>
        </w:rPr>
      </w:pPr>
      <w:r w:rsidRPr="005F0AE0">
        <w:rPr>
          <w:sz w:val="28"/>
          <w:szCs w:val="28"/>
        </w:rPr>
        <w:t>Hon. Ann A. Scott Timmer, Chair</w:t>
      </w:r>
    </w:p>
    <w:p w14:paraId="2A7EA0D9" w14:textId="77777777" w:rsidR="00267AFF" w:rsidRPr="005F0AE0" w:rsidRDefault="00267AFF" w:rsidP="00267AFF">
      <w:pPr>
        <w:ind w:left="4320" w:right="144"/>
        <w:rPr>
          <w:sz w:val="28"/>
          <w:szCs w:val="28"/>
        </w:rPr>
      </w:pPr>
      <w:r w:rsidRPr="005F0AE0">
        <w:rPr>
          <w:sz w:val="28"/>
          <w:szCs w:val="28"/>
        </w:rPr>
        <w:t>Attorney Regulation Advisory Committee</w:t>
      </w:r>
    </w:p>
    <w:p w14:paraId="56ED656B" w14:textId="77777777" w:rsidR="001F477F" w:rsidRPr="00267AFF" w:rsidRDefault="001F477F" w:rsidP="00201ADB">
      <w:pPr>
        <w:pStyle w:val="BodyText"/>
        <w:spacing w:line="360" w:lineRule="auto"/>
        <w:ind w:firstLine="720"/>
        <w:rPr>
          <w:sz w:val="28"/>
        </w:rPr>
      </w:pPr>
    </w:p>
    <w:p w14:paraId="6C58A9BD" w14:textId="77777777" w:rsidR="00A80F64" w:rsidRPr="00267AFF" w:rsidRDefault="00A80F64" w:rsidP="00393F6F">
      <w:pPr>
        <w:pStyle w:val="BodyText"/>
        <w:spacing w:line="360" w:lineRule="auto"/>
        <w:rPr>
          <w:sz w:val="28"/>
        </w:rPr>
      </w:pPr>
    </w:p>
    <w:sectPr w:rsidR="00A80F64" w:rsidRPr="00267AFF" w:rsidSect="00267AF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0CCD" w14:textId="77777777" w:rsidR="00175D7D" w:rsidRDefault="00175D7D" w:rsidP="00267AFF">
      <w:r>
        <w:separator/>
      </w:r>
    </w:p>
  </w:endnote>
  <w:endnote w:type="continuationSeparator" w:id="0">
    <w:p w14:paraId="7117C234" w14:textId="77777777" w:rsidR="00175D7D" w:rsidRDefault="00175D7D" w:rsidP="0026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C471" w14:textId="77777777" w:rsidR="00CB6690" w:rsidRDefault="00CB6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929319389"/>
      <w:docPartObj>
        <w:docPartGallery w:val="Page Numbers (Bottom of Page)"/>
        <w:docPartUnique/>
      </w:docPartObj>
    </w:sdtPr>
    <w:sdtEndPr>
      <w:rPr>
        <w:rFonts w:ascii="Times New Roman" w:hAnsi="Times New Roman" w:cs="Times New Roman"/>
        <w:sz w:val="24"/>
        <w:szCs w:val="24"/>
      </w:rPr>
    </w:sdtEndPr>
    <w:sdtContent>
      <w:p w14:paraId="683574AC" w14:textId="77777777" w:rsidR="00267AFF" w:rsidRPr="00267AFF" w:rsidRDefault="00267AFF">
        <w:pPr>
          <w:pStyle w:val="Footer"/>
          <w:jc w:val="center"/>
          <w:rPr>
            <w:rFonts w:eastAsiaTheme="majorEastAsia"/>
            <w:sz w:val="24"/>
            <w:szCs w:val="24"/>
          </w:rPr>
        </w:pPr>
        <w:r w:rsidRPr="00267AFF">
          <w:rPr>
            <w:rFonts w:eastAsiaTheme="majorEastAsia"/>
            <w:sz w:val="24"/>
            <w:szCs w:val="24"/>
          </w:rPr>
          <w:t xml:space="preserve">- </w:t>
        </w:r>
        <w:r w:rsidRPr="00267AFF">
          <w:rPr>
            <w:rFonts w:eastAsiaTheme="minorEastAsia"/>
            <w:sz w:val="24"/>
            <w:szCs w:val="24"/>
          </w:rPr>
          <w:fldChar w:fldCharType="begin"/>
        </w:r>
        <w:r w:rsidRPr="00267AFF">
          <w:rPr>
            <w:sz w:val="24"/>
            <w:szCs w:val="24"/>
          </w:rPr>
          <w:instrText xml:space="preserve"> PAGE    \* MERGEFORMAT </w:instrText>
        </w:r>
        <w:r w:rsidRPr="00267AFF">
          <w:rPr>
            <w:rFonts w:eastAsiaTheme="minorEastAsia"/>
            <w:sz w:val="24"/>
            <w:szCs w:val="24"/>
          </w:rPr>
          <w:fldChar w:fldCharType="separate"/>
        </w:r>
        <w:r w:rsidRPr="00267AFF">
          <w:rPr>
            <w:rFonts w:eastAsiaTheme="majorEastAsia"/>
            <w:noProof/>
            <w:sz w:val="24"/>
            <w:szCs w:val="24"/>
          </w:rPr>
          <w:t>2</w:t>
        </w:r>
        <w:r w:rsidRPr="00267AFF">
          <w:rPr>
            <w:rFonts w:eastAsiaTheme="majorEastAsia"/>
            <w:noProof/>
            <w:sz w:val="24"/>
            <w:szCs w:val="24"/>
          </w:rPr>
          <w:fldChar w:fldCharType="end"/>
        </w:r>
        <w:r w:rsidRPr="00267AFF">
          <w:rPr>
            <w:rFonts w:eastAsiaTheme="majorEastAsia"/>
            <w:sz w:val="24"/>
            <w:szCs w:val="24"/>
          </w:rPr>
          <w:t xml:space="preserve"> -</w:t>
        </w:r>
      </w:p>
    </w:sdtContent>
  </w:sdt>
  <w:p w14:paraId="65C9CE49" w14:textId="77777777" w:rsidR="00267AFF" w:rsidRDefault="00267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ADF89" w14:textId="77777777" w:rsidR="00CB6690" w:rsidRDefault="00CB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469C5" w14:textId="77777777" w:rsidR="00175D7D" w:rsidRDefault="00175D7D" w:rsidP="00267AFF">
      <w:r>
        <w:separator/>
      </w:r>
    </w:p>
  </w:footnote>
  <w:footnote w:type="continuationSeparator" w:id="0">
    <w:p w14:paraId="78FB32FD" w14:textId="77777777" w:rsidR="00175D7D" w:rsidRDefault="00175D7D" w:rsidP="0026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094E" w14:textId="77777777" w:rsidR="00CB6690" w:rsidRDefault="00CB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1D17" w14:textId="77777777" w:rsidR="00CB6690" w:rsidRDefault="00CB6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FC81" w14:textId="77777777" w:rsidR="00CB6690" w:rsidRDefault="00CB6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64"/>
    <w:rsid w:val="00175D7D"/>
    <w:rsid w:val="001D2AA5"/>
    <w:rsid w:val="001F477F"/>
    <w:rsid w:val="00201ADB"/>
    <w:rsid w:val="00267AFF"/>
    <w:rsid w:val="002E40F2"/>
    <w:rsid w:val="0034552F"/>
    <w:rsid w:val="00393F6F"/>
    <w:rsid w:val="007A2CE5"/>
    <w:rsid w:val="007B7FD5"/>
    <w:rsid w:val="008870D1"/>
    <w:rsid w:val="00A80F64"/>
    <w:rsid w:val="00B5744C"/>
    <w:rsid w:val="00B6593F"/>
    <w:rsid w:val="00C70C82"/>
    <w:rsid w:val="00CB6690"/>
    <w:rsid w:val="00DF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B3A7BD"/>
  <w15:docId w15:val="{82AF39C3-7A41-4958-ABC0-AD1E774E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31" w:hanging="359"/>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7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44C"/>
    <w:rPr>
      <w:rFonts w:ascii="Segoe UI" w:eastAsia="Times New Roman" w:hAnsi="Segoe UI" w:cs="Segoe UI"/>
      <w:sz w:val="18"/>
      <w:szCs w:val="18"/>
    </w:rPr>
  </w:style>
  <w:style w:type="paragraph" w:styleId="Header">
    <w:name w:val="header"/>
    <w:basedOn w:val="Normal"/>
    <w:link w:val="HeaderChar"/>
    <w:uiPriority w:val="99"/>
    <w:unhideWhenUsed/>
    <w:rsid w:val="00267AFF"/>
    <w:pPr>
      <w:tabs>
        <w:tab w:val="center" w:pos="4680"/>
        <w:tab w:val="right" w:pos="9360"/>
      </w:tabs>
    </w:pPr>
  </w:style>
  <w:style w:type="character" w:customStyle="1" w:styleId="HeaderChar">
    <w:name w:val="Header Char"/>
    <w:basedOn w:val="DefaultParagraphFont"/>
    <w:link w:val="Header"/>
    <w:uiPriority w:val="99"/>
    <w:rsid w:val="00267AFF"/>
    <w:rPr>
      <w:rFonts w:ascii="Times New Roman" w:eastAsia="Times New Roman" w:hAnsi="Times New Roman" w:cs="Times New Roman"/>
    </w:rPr>
  </w:style>
  <w:style w:type="paragraph" w:styleId="Footer">
    <w:name w:val="footer"/>
    <w:basedOn w:val="Normal"/>
    <w:link w:val="FooterChar"/>
    <w:uiPriority w:val="99"/>
    <w:unhideWhenUsed/>
    <w:rsid w:val="00267AFF"/>
    <w:pPr>
      <w:tabs>
        <w:tab w:val="center" w:pos="4680"/>
        <w:tab w:val="right" w:pos="9360"/>
      </w:tabs>
    </w:pPr>
  </w:style>
  <w:style w:type="character" w:customStyle="1" w:styleId="FooterChar">
    <w:name w:val="Footer Char"/>
    <w:basedOn w:val="DefaultParagraphFont"/>
    <w:link w:val="Footer"/>
    <w:uiPriority w:val="99"/>
    <w:rsid w:val="00267A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Katherine</dc:creator>
  <cp:lastModifiedBy>Martinez, Michelle R</cp:lastModifiedBy>
  <cp:revision>4</cp:revision>
  <dcterms:created xsi:type="dcterms:W3CDTF">2020-04-20T14:28:00Z</dcterms:created>
  <dcterms:modified xsi:type="dcterms:W3CDTF">2020-04-21T18:05:00Z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LastSaved">
    <vt:filetime>2020-03-11T00:00:00Z</vt:filetime>
  </property>
</Properties>
</file>