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E6DDC" w14:textId="18C6B178" w:rsidR="00AD60C8" w:rsidRPr="00F56304" w:rsidRDefault="00AD60C8" w:rsidP="00F563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IN THE ARIZONA</w:t>
      </w:r>
      <w:r w:rsidR="00F56304">
        <w:rPr>
          <w:rFonts w:ascii="Times New Roman" w:hAnsi="Times New Roman" w:cs="Times New Roman"/>
          <w:b/>
          <w:bCs/>
          <w:sz w:val="28"/>
          <w:szCs w:val="28"/>
        </w:rPr>
        <w:t xml:space="preserve"> SUPREME COURT</w:t>
      </w:r>
    </w:p>
    <w:p w14:paraId="23695F73" w14:textId="77777777" w:rsidR="00AD60C8" w:rsidRDefault="00AD60C8" w:rsidP="00323044">
      <w:pPr>
        <w:pStyle w:val="NoSpacing"/>
        <w:jc w:val="both"/>
        <w:rPr>
          <w:rFonts w:ascii="Times New Roman" w:hAnsi="Times New Roman" w:cs="Times New Roman"/>
          <w:sz w:val="28"/>
          <w:szCs w:val="28"/>
        </w:rPr>
      </w:pPr>
    </w:p>
    <w:p w14:paraId="1C7F800B" w14:textId="77777777" w:rsidR="00AD60C8" w:rsidRDefault="00AD60C8" w:rsidP="00323044">
      <w:pPr>
        <w:pStyle w:val="NoSpacing"/>
        <w:jc w:val="both"/>
        <w:rPr>
          <w:rFonts w:ascii="Times New Roman" w:hAnsi="Times New Roman" w:cs="Times New Roman"/>
          <w:sz w:val="28"/>
          <w:szCs w:val="28"/>
        </w:rPr>
      </w:pPr>
    </w:p>
    <w:p w14:paraId="625FE17D"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135A5ACB"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Supreme Court No. R-</w:t>
      </w:r>
      <w:r w:rsidR="005D3C7F">
        <w:rPr>
          <w:rFonts w:ascii="Times New Roman" w:hAnsi="Times New Roman" w:cs="Times New Roman"/>
          <w:sz w:val="28"/>
          <w:szCs w:val="28"/>
        </w:rPr>
        <w:t>20-0009</w:t>
      </w:r>
      <w:r>
        <w:rPr>
          <w:rFonts w:ascii="Times New Roman" w:hAnsi="Times New Roman" w:cs="Times New Roman"/>
          <w:sz w:val="28"/>
          <w:szCs w:val="28"/>
        </w:rPr>
        <w:t xml:space="preserve"> </w:t>
      </w:r>
    </w:p>
    <w:p w14:paraId="0C59E42F"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F9388A8" w14:textId="78E9CF0A" w:rsidR="00AD60C8" w:rsidRPr="00AD60C8" w:rsidRDefault="00AD60C8" w:rsidP="00323044">
      <w:pPr>
        <w:pStyle w:val="NoSpacing"/>
        <w:jc w:val="both"/>
        <w:rPr>
          <w:rFonts w:ascii="Times New Roman" w:hAnsi="Times New Roman" w:cs="Times New Roman"/>
          <w:b/>
          <w:bCs/>
          <w:sz w:val="28"/>
          <w:szCs w:val="28"/>
        </w:rPr>
      </w:pPr>
      <w:r>
        <w:rPr>
          <w:rFonts w:ascii="Times New Roman" w:hAnsi="Times New Roman" w:cs="Times New Roman"/>
          <w:sz w:val="28"/>
          <w:szCs w:val="28"/>
        </w:rPr>
        <w:t>PETITION TO A</w:t>
      </w:r>
      <w:r w:rsidR="0070443F">
        <w:rPr>
          <w:rFonts w:ascii="Times New Roman" w:hAnsi="Times New Roman" w:cs="Times New Roman"/>
          <w:sz w:val="28"/>
          <w:szCs w:val="28"/>
        </w:rPr>
        <w:t>DOPT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70443F">
        <w:rPr>
          <w:rFonts w:ascii="Times New Roman" w:hAnsi="Times New Roman" w:cs="Times New Roman"/>
          <w:sz w:val="28"/>
          <w:szCs w:val="28"/>
        </w:rPr>
        <w:tab/>
      </w:r>
      <w:r>
        <w:rPr>
          <w:rFonts w:ascii="Times New Roman" w:hAnsi="Times New Roman" w:cs="Times New Roman"/>
          <w:sz w:val="28"/>
          <w:szCs w:val="28"/>
        </w:rPr>
        <w:t>)</w:t>
      </w:r>
    </w:p>
    <w:p w14:paraId="09EE8DF8" w14:textId="026507D3" w:rsidR="00AD60C8" w:rsidRDefault="0070443F" w:rsidP="00323044">
      <w:pPr>
        <w:pStyle w:val="NoSpacing"/>
        <w:jc w:val="both"/>
        <w:rPr>
          <w:rFonts w:ascii="Times New Roman" w:hAnsi="Times New Roman" w:cs="Times New Roman"/>
          <w:sz w:val="28"/>
          <w:szCs w:val="28"/>
        </w:rPr>
      </w:pPr>
      <w:r>
        <w:rPr>
          <w:rFonts w:ascii="Times New Roman" w:hAnsi="Times New Roman" w:cs="Times New Roman"/>
          <w:sz w:val="28"/>
          <w:szCs w:val="28"/>
        </w:rPr>
        <w:t xml:space="preserve">ARIZ. </w:t>
      </w:r>
      <w:r w:rsidR="00AD60C8">
        <w:rPr>
          <w:rFonts w:ascii="Times New Roman" w:hAnsi="Times New Roman" w:cs="Times New Roman"/>
          <w:sz w:val="28"/>
          <w:szCs w:val="28"/>
        </w:rPr>
        <w:t>R</w:t>
      </w:r>
      <w:r>
        <w:rPr>
          <w:rFonts w:ascii="Times New Roman" w:hAnsi="Times New Roman" w:cs="Times New Roman"/>
          <w:sz w:val="28"/>
          <w:szCs w:val="28"/>
        </w:rPr>
        <w:t>.</w:t>
      </w:r>
      <w:r w:rsidR="00AD60C8">
        <w:rPr>
          <w:rFonts w:ascii="Times New Roman" w:hAnsi="Times New Roman" w:cs="Times New Roman"/>
          <w:sz w:val="28"/>
          <w:szCs w:val="28"/>
        </w:rPr>
        <w:t xml:space="preserve"> </w:t>
      </w:r>
      <w:r>
        <w:rPr>
          <w:rFonts w:ascii="Times New Roman" w:hAnsi="Times New Roman" w:cs="Times New Roman"/>
          <w:sz w:val="28"/>
          <w:szCs w:val="28"/>
        </w:rPr>
        <w:t>SUP. CT. 24</w:t>
      </w:r>
      <w:r>
        <w:rPr>
          <w:rFonts w:ascii="Times New Roman" w:hAnsi="Times New Roman" w:cs="Times New Roman"/>
          <w:sz w:val="28"/>
          <w:szCs w:val="28"/>
        </w:rPr>
        <w:tab/>
      </w:r>
      <w:r w:rsidR="00AD60C8">
        <w:rPr>
          <w:rFonts w:ascii="Times New Roman" w:hAnsi="Times New Roman" w:cs="Times New Roman"/>
          <w:sz w:val="28"/>
          <w:szCs w:val="28"/>
        </w:rPr>
        <w:t xml:space="preserve"> </w:t>
      </w:r>
      <w:r w:rsidR="00AD60C8">
        <w:rPr>
          <w:rFonts w:ascii="Times New Roman" w:hAnsi="Times New Roman" w:cs="Times New Roman"/>
          <w:sz w:val="28"/>
          <w:szCs w:val="28"/>
        </w:rPr>
        <w:tab/>
      </w:r>
      <w:r w:rsidR="00AD60C8">
        <w:rPr>
          <w:rFonts w:ascii="Times New Roman" w:hAnsi="Times New Roman" w:cs="Times New Roman"/>
          <w:sz w:val="28"/>
          <w:szCs w:val="28"/>
        </w:rPr>
        <w:tab/>
        <w:t>)</w:t>
      </w:r>
    </w:p>
    <w:p w14:paraId="1FC91D2A" w14:textId="5A9ACE6F"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170A556"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98375E2" w14:textId="77777777" w:rsidR="00AD60C8" w:rsidRDefault="00AD60C8" w:rsidP="00323044">
      <w:pPr>
        <w:pStyle w:val="No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34E4E4C" w14:textId="77777777" w:rsidR="00AD60C8" w:rsidRDefault="00AD60C8" w:rsidP="00323044">
      <w:pPr>
        <w:pStyle w:val="NoSpacing"/>
        <w:jc w:val="both"/>
        <w:rPr>
          <w:rFonts w:ascii="Times New Roman" w:hAnsi="Times New Roman" w:cs="Times New Roman"/>
          <w:sz w:val="28"/>
          <w:szCs w:val="28"/>
        </w:rPr>
      </w:pP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sidRPr="00AD60C8">
        <w:rPr>
          <w:rFonts w:ascii="Times New Roman" w:hAnsi="Times New Roman" w:cs="Times New Roman"/>
          <w:sz w:val="28"/>
          <w:szCs w:val="28"/>
          <w:u w:val="single"/>
        </w:rPr>
        <w:tab/>
      </w:r>
      <w:r>
        <w:rPr>
          <w:rFonts w:ascii="Times New Roman" w:hAnsi="Times New Roman" w:cs="Times New Roman"/>
          <w:sz w:val="28"/>
          <w:szCs w:val="28"/>
        </w:rPr>
        <w:t>)</w:t>
      </w:r>
    </w:p>
    <w:p w14:paraId="0E1E8DD5" w14:textId="77777777" w:rsidR="00AD60C8" w:rsidRDefault="00AD60C8" w:rsidP="00323044">
      <w:pPr>
        <w:pStyle w:val="NoSpacing"/>
        <w:jc w:val="both"/>
        <w:rPr>
          <w:rFonts w:ascii="Times New Roman" w:hAnsi="Times New Roman" w:cs="Times New Roman"/>
          <w:sz w:val="28"/>
          <w:szCs w:val="28"/>
        </w:rPr>
      </w:pPr>
    </w:p>
    <w:p w14:paraId="01AFC7EF" w14:textId="77777777" w:rsidR="00F56304" w:rsidRDefault="00F56304" w:rsidP="00F56304">
      <w:pPr>
        <w:pStyle w:val="NoSpacing"/>
        <w:spacing w:line="480" w:lineRule="auto"/>
        <w:jc w:val="center"/>
        <w:rPr>
          <w:rFonts w:ascii="Times New Roman" w:hAnsi="Times New Roman" w:cs="Times New Roman"/>
          <w:b/>
          <w:bCs/>
          <w:sz w:val="28"/>
          <w:szCs w:val="28"/>
        </w:rPr>
      </w:pPr>
    </w:p>
    <w:p w14:paraId="61E0618E" w14:textId="77777777" w:rsidR="0070443F" w:rsidRDefault="0070443F" w:rsidP="0070443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Comment of American Civil Liberties Union Foundation of Arizona</w:t>
      </w:r>
    </w:p>
    <w:p w14:paraId="7776D771" w14:textId="424CD5C0" w:rsidR="0070443F" w:rsidRDefault="0070443F" w:rsidP="0070443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(ACLU of Arizona) and</w:t>
      </w:r>
    </w:p>
    <w:p w14:paraId="3F931A26" w14:textId="39F4AF48" w:rsidR="00F56304" w:rsidRPr="00F56304" w:rsidRDefault="0070443F" w:rsidP="0070443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Arizona Attorneys for Criminal Justice (AACJ) in Support of Petition to Adopt Ariz. R. Sup. Ct. 24</w:t>
      </w:r>
    </w:p>
    <w:p w14:paraId="2110E8C2" w14:textId="77777777" w:rsidR="00F56304" w:rsidRDefault="00F56304" w:rsidP="00F56304">
      <w:pPr>
        <w:pStyle w:val="NoSpacing"/>
        <w:jc w:val="both"/>
        <w:rPr>
          <w:rFonts w:ascii="Times New Roman" w:hAnsi="Times New Roman" w:cs="Times New Roman"/>
          <w:b/>
          <w:bCs/>
          <w:sz w:val="28"/>
          <w:szCs w:val="28"/>
        </w:rPr>
      </w:pPr>
    </w:p>
    <w:p w14:paraId="3A90E89E" w14:textId="77777777" w:rsidR="00F56304" w:rsidRDefault="00F56304" w:rsidP="00F56304">
      <w:pPr>
        <w:pStyle w:val="NoSpacing"/>
        <w:jc w:val="both"/>
        <w:rPr>
          <w:rFonts w:ascii="Times New Roman" w:hAnsi="Times New Roman" w:cs="Times New Roman"/>
          <w:b/>
          <w:bCs/>
          <w:sz w:val="28"/>
          <w:szCs w:val="28"/>
        </w:rPr>
      </w:pPr>
    </w:p>
    <w:p w14:paraId="68BF5D29" w14:textId="77777777" w:rsidR="00F56304" w:rsidRDefault="00F56304" w:rsidP="00F56304">
      <w:pPr>
        <w:pStyle w:val="NoSpacing"/>
        <w:jc w:val="both"/>
        <w:rPr>
          <w:rFonts w:ascii="Times New Roman" w:hAnsi="Times New Roman" w:cs="Times New Roman"/>
          <w:b/>
          <w:bCs/>
          <w:sz w:val="28"/>
          <w:szCs w:val="28"/>
        </w:rPr>
      </w:pPr>
    </w:p>
    <w:p w14:paraId="1065D54C" w14:textId="77777777" w:rsidR="00F56304" w:rsidRPr="004E571F" w:rsidRDefault="00F56304" w:rsidP="00F56304">
      <w:pPr>
        <w:pStyle w:val="NoSpacing"/>
        <w:jc w:val="both"/>
        <w:rPr>
          <w:rFonts w:ascii="Times New Roman" w:hAnsi="Times New Roman" w:cs="Times New Roman"/>
          <w:b/>
          <w:bCs/>
          <w:sz w:val="28"/>
          <w:szCs w:val="28"/>
        </w:rPr>
      </w:pPr>
      <w:r w:rsidRPr="004E571F">
        <w:rPr>
          <w:rFonts w:ascii="Times New Roman" w:hAnsi="Times New Roman" w:cs="Times New Roman"/>
          <w:b/>
          <w:bCs/>
          <w:sz w:val="28"/>
          <w:szCs w:val="28"/>
        </w:rPr>
        <w:t>Jared Keenan</w:t>
      </w:r>
    </w:p>
    <w:p w14:paraId="2DB49190"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AZ Bar No. 027068</w:t>
      </w:r>
    </w:p>
    <w:p w14:paraId="1C0148FA"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 xml:space="preserve">P.O. Box 17148 </w:t>
      </w:r>
    </w:p>
    <w:p w14:paraId="78595331" w14:textId="77777777" w:rsidR="00F56304" w:rsidRPr="00AD60C8"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Phoenix, AZ 85011</w:t>
      </w:r>
    </w:p>
    <w:p w14:paraId="15D97DBB" w14:textId="77777777" w:rsidR="00F56304" w:rsidRDefault="00F56304" w:rsidP="00F56304">
      <w:pPr>
        <w:pStyle w:val="NoSpacing"/>
        <w:jc w:val="both"/>
        <w:rPr>
          <w:rFonts w:ascii="Times New Roman" w:hAnsi="Times New Roman" w:cs="Times New Roman"/>
          <w:sz w:val="28"/>
          <w:szCs w:val="28"/>
        </w:rPr>
      </w:pPr>
      <w:r>
        <w:rPr>
          <w:rFonts w:ascii="Times New Roman" w:hAnsi="Times New Roman" w:cs="Times New Roman"/>
          <w:sz w:val="28"/>
          <w:szCs w:val="28"/>
        </w:rPr>
        <w:t>(602) 650-1854</w:t>
      </w:r>
    </w:p>
    <w:p w14:paraId="53B93D62" w14:textId="77777777" w:rsidR="00F56304" w:rsidRDefault="00E053A4" w:rsidP="00F56304">
      <w:pPr>
        <w:pStyle w:val="NoSpacing"/>
        <w:jc w:val="both"/>
        <w:rPr>
          <w:rFonts w:ascii="Times New Roman" w:hAnsi="Times New Roman" w:cs="Times New Roman"/>
          <w:sz w:val="28"/>
          <w:szCs w:val="28"/>
        </w:rPr>
      </w:pPr>
      <w:hyperlink r:id="rId8" w:history="1">
        <w:r w:rsidR="00F56304" w:rsidRPr="003D09DB">
          <w:rPr>
            <w:rStyle w:val="Hyperlink"/>
            <w:rFonts w:ascii="Times New Roman" w:hAnsi="Times New Roman" w:cs="Times New Roman"/>
            <w:sz w:val="28"/>
            <w:szCs w:val="28"/>
          </w:rPr>
          <w:t>jkeenan@acluaz.org</w:t>
        </w:r>
      </w:hyperlink>
    </w:p>
    <w:p w14:paraId="1C10164C" w14:textId="77777777" w:rsidR="00F56304" w:rsidRDefault="00F56304" w:rsidP="00323044">
      <w:pPr>
        <w:pStyle w:val="NoSpacing"/>
        <w:spacing w:line="480" w:lineRule="auto"/>
        <w:jc w:val="both"/>
        <w:rPr>
          <w:rFonts w:ascii="Times New Roman" w:hAnsi="Times New Roman" w:cs="Times New Roman"/>
          <w:sz w:val="28"/>
          <w:szCs w:val="28"/>
        </w:rPr>
      </w:pPr>
    </w:p>
    <w:p w14:paraId="23208243" w14:textId="6D499355" w:rsidR="00F56304" w:rsidRDefault="00F56304" w:rsidP="00323044">
      <w:pPr>
        <w:pStyle w:val="NoSpacing"/>
        <w:spacing w:line="480" w:lineRule="auto"/>
        <w:jc w:val="both"/>
        <w:rPr>
          <w:rFonts w:ascii="Times New Roman" w:hAnsi="Times New Roman" w:cs="Times New Roman"/>
          <w:sz w:val="28"/>
          <w:szCs w:val="28"/>
        </w:rPr>
      </w:pPr>
    </w:p>
    <w:p w14:paraId="3AA627AE" w14:textId="3E0E7DCD" w:rsidR="00F56304" w:rsidRDefault="00F56304" w:rsidP="00323044">
      <w:pPr>
        <w:pStyle w:val="NoSpacing"/>
        <w:spacing w:line="480" w:lineRule="auto"/>
        <w:jc w:val="both"/>
        <w:rPr>
          <w:rFonts w:ascii="Times New Roman" w:hAnsi="Times New Roman" w:cs="Times New Roman"/>
          <w:sz w:val="28"/>
          <w:szCs w:val="28"/>
        </w:rPr>
      </w:pPr>
    </w:p>
    <w:p w14:paraId="4CFCF89D" w14:textId="77777777" w:rsidR="00616757" w:rsidRDefault="00616757" w:rsidP="00323044">
      <w:pPr>
        <w:pStyle w:val="NoSpacing"/>
        <w:spacing w:line="480" w:lineRule="auto"/>
        <w:jc w:val="both"/>
        <w:rPr>
          <w:rFonts w:ascii="Times New Roman" w:hAnsi="Times New Roman" w:cs="Times New Roman"/>
          <w:sz w:val="28"/>
          <w:szCs w:val="28"/>
        </w:rPr>
      </w:pPr>
    </w:p>
    <w:p w14:paraId="0CCC1CFD" w14:textId="77777777" w:rsidR="00F56304" w:rsidRDefault="00F56304" w:rsidP="00323044">
      <w:pPr>
        <w:pStyle w:val="NoSpacing"/>
        <w:spacing w:line="480" w:lineRule="auto"/>
        <w:jc w:val="both"/>
        <w:rPr>
          <w:rFonts w:ascii="Times New Roman" w:hAnsi="Times New Roman" w:cs="Times New Roman"/>
          <w:sz w:val="28"/>
          <w:szCs w:val="28"/>
        </w:rPr>
      </w:pPr>
    </w:p>
    <w:p w14:paraId="4533DE26" w14:textId="278A1EAA" w:rsidR="00AD60C8" w:rsidRDefault="00AD60C8" w:rsidP="00F56304">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Pursuant to Rule 28(D), Rules of the Supreme Court, the A</w:t>
      </w:r>
      <w:r w:rsidR="003236AB">
        <w:rPr>
          <w:rFonts w:ascii="Times New Roman" w:hAnsi="Times New Roman" w:cs="Times New Roman"/>
          <w:sz w:val="28"/>
          <w:szCs w:val="28"/>
        </w:rPr>
        <w:t>merican</w:t>
      </w:r>
      <w:r>
        <w:rPr>
          <w:rFonts w:ascii="Times New Roman" w:hAnsi="Times New Roman" w:cs="Times New Roman"/>
          <w:sz w:val="28"/>
          <w:szCs w:val="28"/>
        </w:rPr>
        <w:t xml:space="preserve"> Civil Liberties Union </w:t>
      </w:r>
      <w:r w:rsidR="003236AB">
        <w:rPr>
          <w:rFonts w:ascii="Times New Roman" w:hAnsi="Times New Roman" w:cs="Times New Roman"/>
          <w:sz w:val="28"/>
          <w:szCs w:val="28"/>
        </w:rPr>
        <w:t xml:space="preserve">Foundation </w:t>
      </w:r>
      <w:r>
        <w:rPr>
          <w:rFonts w:ascii="Times New Roman" w:hAnsi="Times New Roman" w:cs="Times New Roman"/>
          <w:sz w:val="28"/>
          <w:szCs w:val="28"/>
        </w:rPr>
        <w:t xml:space="preserve">of Arizona </w:t>
      </w:r>
      <w:r w:rsidR="0070443F">
        <w:rPr>
          <w:rFonts w:ascii="Times New Roman" w:hAnsi="Times New Roman" w:cs="Times New Roman"/>
          <w:sz w:val="28"/>
          <w:szCs w:val="28"/>
        </w:rPr>
        <w:t xml:space="preserve">(ACLU of Arizona) and Arizona Attorneys for Criminal Justice (AACJ) </w:t>
      </w:r>
      <w:r>
        <w:rPr>
          <w:rFonts w:ascii="Times New Roman" w:hAnsi="Times New Roman" w:cs="Times New Roman"/>
          <w:sz w:val="28"/>
          <w:szCs w:val="28"/>
        </w:rPr>
        <w:t>respectfully submit this Comment</w:t>
      </w:r>
      <w:r w:rsidR="009F1469">
        <w:rPr>
          <w:rFonts w:ascii="Times New Roman" w:hAnsi="Times New Roman" w:cs="Times New Roman"/>
          <w:sz w:val="28"/>
          <w:szCs w:val="28"/>
        </w:rPr>
        <w:t xml:space="preserve"> in support of the Petition to A</w:t>
      </w:r>
      <w:r w:rsidR="0070443F">
        <w:rPr>
          <w:rFonts w:ascii="Times New Roman" w:hAnsi="Times New Roman" w:cs="Times New Roman"/>
          <w:sz w:val="28"/>
          <w:szCs w:val="28"/>
        </w:rPr>
        <w:t>dopt Ariz.</w:t>
      </w:r>
      <w:r w:rsidR="009F1469">
        <w:rPr>
          <w:rFonts w:ascii="Times New Roman" w:hAnsi="Times New Roman" w:cs="Times New Roman"/>
          <w:sz w:val="28"/>
          <w:szCs w:val="28"/>
        </w:rPr>
        <w:t xml:space="preserve"> R</w:t>
      </w:r>
      <w:r w:rsidR="0070443F">
        <w:rPr>
          <w:rFonts w:ascii="Times New Roman" w:hAnsi="Times New Roman" w:cs="Times New Roman"/>
          <w:sz w:val="28"/>
          <w:szCs w:val="28"/>
        </w:rPr>
        <w:t>. Sup. Ct.</w:t>
      </w:r>
      <w:r w:rsidR="009F1469">
        <w:rPr>
          <w:rFonts w:ascii="Times New Roman" w:hAnsi="Times New Roman" w:cs="Times New Roman"/>
          <w:sz w:val="28"/>
          <w:szCs w:val="28"/>
        </w:rPr>
        <w:t xml:space="preserve"> 24 related to jury selection</w:t>
      </w:r>
      <w:r>
        <w:rPr>
          <w:rFonts w:ascii="Times New Roman" w:hAnsi="Times New Roman" w:cs="Times New Roman"/>
          <w:sz w:val="28"/>
          <w:szCs w:val="28"/>
        </w:rPr>
        <w:t xml:space="preserve">. </w:t>
      </w:r>
    </w:p>
    <w:p w14:paraId="71DE335D" w14:textId="4EAA9FDF" w:rsidR="00AD60C8" w:rsidRDefault="003236AB" w:rsidP="003236AB">
      <w:pPr>
        <w:pStyle w:val="NoSpacing"/>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 xml:space="preserve">The Proposed Rule Change is Necessary to Effectuate the Constitutional Guarantee of </w:t>
      </w:r>
      <w:r w:rsidR="00022B43">
        <w:rPr>
          <w:rFonts w:ascii="Times New Roman" w:hAnsi="Times New Roman" w:cs="Times New Roman"/>
          <w:b/>
          <w:bCs/>
          <w:sz w:val="28"/>
          <w:szCs w:val="28"/>
        </w:rPr>
        <w:t>Racially Bias-Free</w:t>
      </w:r>
      <w:r>
        <w:rPr>
          <w:rFonts w:ascii="Times New Roman" w:hAnsi="Times New Roman" w:cs="Times New Roman"/>
          <w:b/>
          <w:bCs/>
          <w:sz w:val="28"/>
          <w:szCs w:val="28"/>
        </w:rPr>
        <w:t xml:space="preserve"> Jury Selection</w:t>
      </w:r>
    </w:p>
    <w:p w14:paraId="4C8651EA" w14:textId="77777777" w:rsidR="003236AB" w:rsidRDefault="003236AB" w:rsidP="003236AB">
      <w:pPr>
        <w:pStyle w:val="NoSpacing"/>
        <w:ind w:left="1080"/>
        <w:jc w:val="both"/>
        <w:rPr>
          <w:rFonts w:ascii="Times New Roman" w:hAnsi="Times New Roman" w:cs="Times New Roman"/>
          <w:b/>
          <w:bCs/>
          <w:sz w:val="28"/>
          <w:szCs w:val="28"/>
        </w:rPr>
      </w:pPr>
    </w:p>
    <w:p w14:paraId="1DA2FE6D" w14:textId="4AF61E49" w:rsidR="006C7CF1" w:rsidRPr="00555A18" w:rsidRDefault="003236AB" w:rsidP="009F1469">
      <w:pPr>
        <w:pStyle w:val="NoSpacing"/>
        <w:spacing w:line="48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Almost two decades ago, this Court </w:t>
      </w:r>
      <w:r w:rsidR="00515ED8">
        <w:rPr>
          <w:rFonts w:ascii="Times New Roman" w:hAnsi="Times New Roman" w:cs="Times New Roman"/>
          <w:sz w:val="28"/>
          <w:szCs w:val="28"/>
        </w:rPr>
        <w:t xml:space="preserve">warned of the need to strengthen protections against racially discriminatory jury selection “lest </w:t>
      </w:r>
      <w:r w:rsidR="00515ED8">
        <w:rPr>
          <w:rFonts w:ascii="Times New Roman" w:hAnsi="Times New Roman" w:cs="Times New Roman"/>
          <w:i/>
          <w:sz w:val="28"/>
          <w:szCs w:val="28"/>
        </w:rPr>
        <w:t>Batson</w:t>
      </w:r>
      <w:r w:rsidR="00515ED8">
        <w:rPr>
          <w:rFonts w:ascii="Times New Roman" w:hAnsi="Times New Roman" w:cs="Times New Roman"/>
          <w:sz w:val="28"/>
          <w:szCs w:val="28"/>
        </w:rPr>
        <w:t>’s guarantee of equal protection become nothing more than empty words.”</w:t>
      </w:r>
      <w:r w:rsidR="00515ED8">
        <w:rPr>
          <w:rStyle w:val="FootnoteReference"/>
          <w:rFonts w:ascii="Times New Roman" w:hAnsi="Times New Roman" w:cs="Times New Roman"/>
          <w:sz w:val="28"/>
          <w:szCs w:val="28"/>
        </w:rPr>
        <w:footnoteReference w:id="1"/>
      </w:r>
      <w:r w:rsidR="00515ED8">
        <w:rPr>
          <w:rFonts w:ascii="Times New Roman" w:hAnsi="Times New Roman" w:cs="Times New Roman"/>
          <w:sz w:val="28"/>
          <w:szCs w:val="28"/>
        </w:rPr>
        <w:t xml:space="preserve"> </w:t>
      </w:r>
      <w:r w:rsidR="00337AAB">
        <w:rPr>
          <w:rFonts w:ascii="Times New Roman" w:hAnsi="Times New Roman" w:cs="Times New Roman"/>
          <w:sz w:val="28"/>
          <w:szCs w:val="28"/>
        </w:rPr>
        <w:t>Since that time, however, courts in Arizona have failed to do so.</w:t>
      </w:r>
      <w:r w:rsidR="00337AAB">
        <w:rPr>
          <w:rStyle w:val="FootnoteReference"/>
          <w:rFonts w:ascii="Times New Roman" w:hAnsi="Times New Roman" w:cs="Times New Roman"/>
          <w:sz w:val="28"/>
          <w:szCs w:val="28"/>
        </w:rPr>
        <w:footnoteReference w:id="2"/>
      </w:r>
      <w:r w:rsidR="00337AAB">
        <w:rPr>
          <w:rFonts w:ascii="Times New Roman" w:hAnsi="Times New Roman" w:cs="Times New Roman"/>
          <w:sz w:val="28"/>
          <w:szCs w:val="28"/>
        </w:rPr>
        <w:t xml:space="preserve"> </w:t>
      </w:r>
      <w:r w:rsidR="008348C1" w:rsidRPr="00555A18">
        <w:rPr>
          <w:rFonts w:ascii="Times New Roman" w:hAnsi="Times New Roman" w:cs="Times New Roman"/>
          <w:sz w:val="28"/>
          <w:szCs w:val="28"/>
        </w:rPr>
        <w:t>The proposed amendment to Rule 24</w:t>
      </w:r>
      <w:r w:rsidR="0070443F">
        <w:rPr>
          <w:rFonts w:ascii="Times New Roman" w:hAnsi="Times New Roman" w:cs="Times New Roman"/>
          <w:sz w:val="28"/>
          <w:szCs w:val="28"/>
        </w:rPr>
        <w:t xml:space="preserve"> </w:t>
      </w:r>
      <w:r w:rsidR="008348C1" w:rsidRPr="00555A18">
        <w:rPr>
          <w:rFonts w:ascii="Times New Roman" w:hAnsi="Times New Roman" w:cs="Times New Roman"/>
          <w:sz w:val="28"/>
          <w:szCs w:val="28"/>
        </w:rPr>
        <w:t xml:space="preserve">is </w:t>
      </w:r>
      <w:r w:rsidR="00E548CD">
        <w:rPr>
          <w:rFonts w:ascii="Times New Roman" w:hAnsi="Times New Roman" w:cs="Times New Roman"/>
          <w:sz w:val="28"/>
          <w:szCs w:val="28"/>
        </w:rPr>
        <w:t xml:space="preserve">a necessary first step toward accomplishing this goal </w:t>
      </w:r>
      <w:r w:rsidR="008348C1" w:rsidRPr="00555A18">
        <w:rPr>
          <w:rFonts w:ascii="Times New Roman" w:hAnsi="Times New Roman" w:cs="Times New Roman"/>
          <w:sz w:val="28"/>
          <w:szCs w:val="28"/>
        </w:rPr>
        <w:t xml:space="preserve">in Arizona. </w:t>
      </w:r>
      <w:r w:rsidR="00E548CD">
        <w:rPr>
          <w:rFonts w:ascii="Times New Roman" w:hAnsi="Times New Roman" w:cs="Times New Roman"/>
          <w:sz w:val="28"/>
          <w:szCs w:val="28"/>
        </w:rPr>
        <w:t>T</w:t>
      </w:r>
      <w:r w:rsidR="008348C1" w:rsidRPr="00555A18">
        <w:rPr>
          <w:rFonts w:ascii="Times New Roman" w:hAnsi="Times New Roman" w:cs="Times New Roman"/>
          <w:sz w:val="28"/>
          <w:szCs w:val="28"/>
        </w:rPr>
        <w:t xml:space="preserve">his </w:t>
      </w:r>
      <w:r w:rsidR="0070443F">
        <w:rPr>
          <w:rFonts w:ascii="Times New Roman" w:hAnsi="Times New Roman" w:cs="Times New Roman"/>
          <w:sz w:val="28"/>
          <w:szCs w:val="28"/>
        </w:rPr>
        <w:t xml:space="preserve">proposed </w:t>
      </w:r>
      <w:r w:rsidR="008348C1" w:rsidRPr="00555A18">
        <w:rPr>
          <w:rFonts w:ascii="Times New Roman" w:hAnsi="Times New Roman" w:cs="Times New Roman"/>
          <w:sz w:val="28"/>
          <w:szCs w:val="28"/>
        </w:rPr>
        <w:t>rule provide</w:t>
      </w:r>
      <w:r w:rsidR="00E548CD">
        <w:rPr>
          <w:rFonts w:ascii="Times New Roman" w:hAnsi="Times New Roman" w:cs="Times New Roman"/>
          <w:sz w:val="28"/>
          <w:szCs w:val="28"/>
        </w:rPr>
        <w:t>s</w:t>
      </w:r>
      <w:r w:rsidR="008348C1" w:rsidRPr="00555A18">
        <w:rPr>
          <w:rFonts w:ascii="Times New Roman" w:hAnsi="Times New Roman" w:cs="Times New Roman"/>
          <w:sz w:val="28"/>
          <w:szCs w:val="28"/>
        </w:rPr>
        <w:t xml:space="preserve"> detailed guidance to parties and courts by outlining the procedures for conducting a </w:t>
      </w:r>
      <w:r w:rsidR="008348C1" w:rsidRPr="00555A18">
        <w:rPr>
          <w:rFonts w:ascii="Times New Roman" w:hAnsi="Times New Roman" w:cs="Times New Roman"/>
          <w:i/>
          <w:iCs/>
          <w:sz w:val="28"/>
          <w:szCs w:val="28"/>
        </w:rPr>
        <w:t xml:space="preserve">Batson </w:t>
      </w:r>
      <w:r w:rsidR="008348C1" w:rsidRPr="00555A18">
        <w:rPr>
          <w:rFonts w:ascii="Times New Roman" w:hAnsi="Times New Roman" w:cs="Times New Roman"/>
          <w:sz w:val="28"/>
          <w:szCs w:val="28"/>
        </w:rPr>
        <w:t>inquiry</w:t>
      </w:r>
      <w:r w:rsidR="00616757">
        <w:rPr>
          <w:rFonts w:ascii="Times New Roman" w:hAnsi="Times New Roman" w:cs="Times New Roman"/>
          <w:sz w:val="28"/>
          <w:szCs w:val="28"/>
        </w:rPr>
        <w:t xml:space="preserve"> </w:t>
      </w:r>
      <w:r w:rsidR="00E548CD">
        <w:rPr>
          <w:rFonts w:ascii="Times New Roman" w:hAnsi="Times New Roman" w:cs="Times New Roman"/>
          <w:sz w:val="28"/>
          <w:szCs w:val="28"/>
        </w:rPr>
        <w:t>while</w:t>
      </w:r>
      <w:r w:rsidR="008348C1" w:rsidRPr="00555A18">
        <w:rPr>
          <w:rFonts w:ascii="Times New Roman" w:hAnsi="Times New Roman" w:cs="Times New Roman"/>
          <w:sz w:val="28"/>
          <w:szCs w:val="28"/>
        </w:rPr>
        <w:t xml:space="preserve"> account</w:t>
      </w:r>
      <w:r w:rsidR="00E548CD">
        <w:rPr>
          <w:rFonts w:ascii="Times New Roman" w:hAnsi="Times New Roman" w:cs="Times New Roman"/>
          <w:sz w:val="28"/>
          <w:szCs w:val="28"/>
        </w:rPr>
        <w:t>ing</w:t>
      </w:r>
      <w:r w:rsidR="008348C1" w:rsidRPr="00555A18">
        <w:rPr>
          <w:rFonts w:ascii="Times New Roman" w:hAnsi="Times New Roman" w:cs="Times New Roman"/>
          <w:sz w:val="28"/>
          <w:szCs w:val="28"/>
        </w:rPr>
        <w:t xml:space="preserve"> for implicit bias that impacts even the most well-intentioned attorneys.</w:t>
      </w:r>
      <w:r w:rsidR="0092132A">
        <w:rPr>
          <w:rStyle w:val="FootnoteReference"/>
          <w:rFonts w:ascii="Times New Roman" w:hAnsi="Times New Roman" w:cs="Times New Roman"/>
          <w:sz w:val="28"/>
          <w:szCs w:val="28"/>
        </w:rPr>
        <w:footnoteReference w:id="3"/>
      </w:r>
      <w:r w:rsidR="008348C1" w:rsidRPr="00555A18">
        <w:rPr>
          <w:rFonts w:ascii="Times New Roman" w:hAnsi="Times New Roman" w:cs="Times New Roman"/>
          <w:sz w:val="28"/>
          <w:szCs w:val="28"/>
        </w:rPr>
        <w:t xml:space="preserve"> </w:t>
      </w:r>
      <w:r w:rsidR="00555A18" w:rsidRPr="00555A18">
        <w:rPr>
          <w:rFonts w:ascii="Times New Roman" w:hAnsi="Times New Roman" w:cs="Times New Roman"/>
          <w:sz w:val="28"/>
          <w:szCs w:val="28"/>
        </w:rPr>
        <w:t xml:space="preserve">As modified, Rule 24 </w:t>
      </w:r>
      <w:r w:rsidR="00E548CD">
        <w:rPr>
          <w:rFonts w:ascii="Times New Roman" w:hAnsi="Times New Roman" w:cs="Times New Roman"/>
          <w:sz w:val="28"/>
          <w:szCs w:val="28"/>
        </w:rPr>
        <w:t>may</w:t>
      </w:r>
      <w:r w:rsidR="00555A18" w:rsidRPr="00555A18">
        <w:rPr>
          <w:rFonts w:ascii="Times New Roman" w:hAnsi="Times New Roman" w:cs="Times New Roman"/>
          <w:sz w:val="28"/>
          <w:szCs w:val="28"/>
        </w:rPr>
        <w:t xml:space="preserve"> help alleviate some of </w:t>
      </w:r>
      <w:r w:rsidR="00555A18" w:rsidRPr="00555A18">
        <w:rPr>
          <w:rFonts w:ascii="Times New Roman" w:hAnsi="Times New Roman" w:cs="Times New Roman"/>
          <w:sz w:val="28"/>
          <w:szCs w:val="28"/>
        </w:rPr>
        <w:lastRenderedPageBreak/>
        <w:t xml:space="preserve">the racial disparities in Arizona’s criminal legal system and will </w:t>
      </w:r>
      <w:r w:rsidR="00E548CD">
        <w:rPr>
          <w:rFonts w:ascii="Times New Roman" w:hAnsi="Times New Roman" w:cs="Times New Roman"/>
          <w:sz w:val="28"/>
          <w:szCs w:val="28"/>
        </w:rPr>
        <w:t xml:space="preserve">begin to </w:t>
      </w:r>
      <w:r w:rsidR="00555A18" w:rsidRPr="00555A18">
        <w:rPr>
          <w:rFonts w:ascii="Times New Roman" w:hAnsi="Times New Roman" w:cs="Times New Roman"/>
          <w:sz w:val="28"/>
          <w:szCs w:val="28"/>
        </w:rPr>
        <w:t xml:space="preserve">fulfill </w:t>
      </w:r>
      <w:r w:rsidR="00555A18" w:rsidRPr="00555A18">
        <w:rPr>
          <w:rFonts w:ascii="Times New Roman" w:hAnsi="Times New Roman" w:cs="Times New Roman"/>
          <w:i/>
          <w:iCs/>
          <w:sz w:val="28"/>
          <w:szCs w:val="28"/>
        </w:rPr>
        <w:t>Batson</w:t>
      </w:r>
      <w:r w:rsidR="00555A18" w:rsidRPr="00555A18">
        <w:rPr>
          <w:rFonts w:ascii="Times New Roman" w:hAnsi="Times New Roman" w:cs="Times New Roman"/>
          <w:sz w:val="28"/>
          <w:szCs w:val="28"/>
        </w:rPr>
        <w:t>’s promise of e</w:t>
      </w:r>
      <w:r w:rsidR="00E548CD">
        <w:rPr>
          <w:rFonts w:ascii="Times New Roman" w:hAnsi="Times New Roman" w:cs="Times New Roman"/>
          <w:sz w:val="28"/>
          <w:szCs w:val="28"/>
        </w:rPr>
        <w:t>liminating</w:t>
      </w:r>
      <w:r w:rsidR="00555A18" w:rsidRPr="00555A18">
        <w:rPr>
          <w:rFonts w:ascii="Times New Roman" w:hAnsi="Times New Roman" w:cs="Times New Roman"/>
          <w:sz w:val="28"/>
          <w:szCs w:val="28"/>
        </w:rPr>
        <w:t xml:space="preserve"> the discriminatory use of peremptory challenges. </w:t>
      </w:r>
      <w:r w:rsidR="00E548CD">
        <w:rPr>
          <w:rFonts w:ascii="Times New Roman" w:hAnsi="Times New Roman" w:cs="Times New Roman"/>
          <w:sz w:val="28"/>
          <w:szCs w:val="28"/>
        </w:rPr>
        <w:t>Moreover, a</w:t>
      </w:r>
      <w:r w:rsidR="00555A18">
        <w:rPr>
          <w:rFonts w:ascii="Times New Roman" w:hAnsi="Times New Roman" w:cs="Times New Roman"/>
          <w:sz w:val="28"/>
          <w:szCs w:val="28"/>
        </w:rPr>
        <w:t>mendment</w:t>
      </w:r>
      <w:r w:rsidR="00E548CD">
        <w:rPr>
          <w:rFonts w:ascii="Times New Roman" w:hAnsi="Times New Roman" w:cs="Times New Roman"/>
          <w:sz w:val="28"/>
          <w:szCs w:val="28"/>
        </w:rPr>
        <w:t>s to court rules such as this are</w:t>
      </w:r>
      <w:r w:rsidR="00555A18">
        <w:rPr>
          <w:rFonts w:ascii="Times New Roman" w:hAnsi="Times New Roman" w:cs="Times New Roman"/>
          <w:sz w:val="28"/>
          <w:szCs w:val="28"/>
        </w:rPr>
        <w:t xml:space="preserve"> </w:t>
      </w:r>
      <w:r w:rsidR="00E548CD">
        <w:rPr>
          <w:rFonts w:ascii="Times New Roman" w:hAnsi="Times New Roman" w:cs="Times New Roman"/>
          <w:sz w:val="28"/>
          <w:szCs w:val="28"/>
        </w:rPr>
        <w:t>contemplated</w:t>
      </w:r>
      <w:r w:rsidR="00555A18">
        <w:rPr>
          <w:rFonts w:ascii="Times New Roman" w:hAnsi="Times New Roman" w:cs="Times New Roman"/>
          <w:sz w:val="28"/>
          <w:szCs w:val="28"/>
        </w:rPr>
        <w:t xml:space="preserve"> under </w:t>
      </w:r>
      <w:r w:rsidR="00555A18">
        <w:rPr>
          <w:rFonts w:ascii="Times New Roman" w:hAnsi="Times New Roman" w:cs="Times New Roman"/>
          <w:i/>
          <w:iCs/>
          <w:sz w:val="28"/>
          <w:szCs w:val="28"/>
        </w:rPr>
        <w:t xml:space="preserve">Batson </w:t>
      </w:r>
      <w:r w:rsidR="00555A18">
        <w:rPr>
          <w:rFonts w:ascii="Times New Roman" w:hAnsi="Times New Roman" w:cs="Times New Roman"/>
          <w:sz w:val="28"/>
          <w:szCs w:val="28"/>
        </w:rPr>
        <w:t>and similar amendments have proven successful in other states.</w:t>
      </w:r>
      <w:r w:rsidR="00E548CD">
        <w:rPr>
          <w:rStyle w:val="FootnoteReference"/>
          <w:rFonts w:ascii="Times New Roman" w:hAnsi="Times New Roman" w:cs="Times New Roman"/>
          <w:sz w:val="28"/>
          <w:szCs w:val="28"/>
        </w:rPr>
        <w:footnoteReference w:id="4"/>
      </w:r>
    </w:p>
    <w:p w14:paraId="00B5F9A4" w14:textId="33A69882" w:rsidR="00975D9E" w:rsidRDefault="001851C7" w:rsidP="00854CF1">
      <w:pPr>
        <w:pStyle w:val="NoSpacing"/>
        <w:numPr>
          <w:ilvl w:val="1"/>
          <w:numId w:val="1"/>
        </w:numPr>
        <w:jc w:val="both"/>
        <w:rPr>
          <w:rFonts w:ascii="Times New Roman" w:hAnsi="Times New Roman" w:cs="Times New Roman"/>
          <w:b/>
          <w:bCs/>
          <w:sz w:val="28"/>
          <w:szCs w:val="28"/>
        </w:rPr>
      </w:pPr>
      <w:r>
        <w:rPr>
          <w:rFonts w:ascii="Times New Roman" w:hAnsi="Times New Roman" w:cs="Times New Roman"/>
          <w:b/>
          <w:bCs/>
          <w:sz w:val="28"/>
          <w:szCs w:val="28"/>
        </w:rPr>
        <w:t>Racial Disparities Continue to Plague Arizona’s Criminal Legal System</w:t>
      </w:r>
    </w:p>
    <w:p w14:paraId="19358C2B" w14:textId="77777777" w:rsidR="00854CF1" w:rsidRPr="00FD454A" w:rsidRDefault="00854CF1" w:rsidP="00854CF1">
      <w:pPr>
        <w:pStyle w:val="NoSpacing"/>
        <w:jc w:val="both"/>
        <w:rPr>
          <w:rFonts w:ascii="Times New Roman" w:hAnsi="Times New Roman" w:cs="Times New Roman"/>
          <w:b/>
          <w:bCs/>
          <w:sz w:val="28"/>
          <w:szCs w:val="28"/>
        </w:rPr>
      </w:pPr>
    </w:p>
    <w:p w14:paraId="6369AB62" w14:textId="659B5CEB" w:rsidR="00854CF1" w:rsidRPr="009A3F81" w:rsidRDefault="006B3BBE" w:rsidP="00854CF1">
      <w:pPr>
        <w:widowControl w:v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Arizona courts are tasked with providing “justice for all.”</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 xml:space="preserve"> </w:t>
      </w:r>
      <w:r w:rsidR="00854CF1">
        <w:rPr>
          <w:rFonts w:ascii="Times New Roman" w:hAnsi="Times New Roman" w:cs="Times New Roman"/>
          <w:sz w:val="28"/>
          <w:szCs w:val="28"/>
        </w:rPr>
        <w:t>Yet</w:t>
      </w:r>
      <w:r>
        <w:rPr>
          <w:rFonts w:ascii="Times New Roman" w:hAnsi="Times New Roman" w:cs="Times New Roman"/>
          <w:sz w:val="28"/>
          <w:szCs w:val="28"/>
        </w:rPr>
        <w:t xml:space="preserve"> Arizona’s criminal legal system is plagued by racial disparities.</w:t>
      </w:r>
      <w:r w:rsidRPr="006B3BBE">
        <w:rPr>
          <w:rFonts w:ascii="Times New Roman" w:hAnsi="Times New Roman" w:cs="Times New Roman"/>
          <w:sz w:val="28"/>
          <w:szCs w:val="28"/>
        </w:rPr>
        <w:t xml:space="preserve"> </w:t>
      </w:r>
      <w:r w:rsidR="00854CF1" w:rsidRPr="009A3F81">
        <w:rPr>
          <w:rFonts w:ascii="Times New Roman" w:hAnsi="Times New Roman" w:cs="Times New Roman"/>
          <w:sz w:val="28"/>
          <w:szCs w:val="28"/>
        </w:rPr>
        <w:t>Arizona has the highest rate of imprisoned Latinos</w:t>
      </w:r>
      <w:r w:rsidR="00854CF1">
        <w:rPr>
          <w:rFonts w:ascii="Times New Roman" w:hAnsi="Times New Roman" w:cs="Times New Roman"/>
          <w:sz w:val="28"/>
          <w:szCs w:val="28"/>
        </w:rPr>
        <w:t xml:space="preserve"> </w:t>
      </w:r>
      <w:r w:rsidR="00854CF1" w:rsidRPr="009A3F81">
        <w:rPr>
          <w:rFonts w:ascii="Times New Roman" w:hAnsi="Times New Roman" w:cs="Times New Roman"/>
          <w:sz w:val="28"/>
          <w:szCs w:val="28"/>
        </w:rPr>
        <w:t>and the sixth highest</w:t>
      </w:r>
      <w:r w:rsidR="00854CF1">
        <w:rPr>
          <w:rFonts w:ascii="Times New Roman" w:hAnsi="Times New Roman" w:cs="Times New Roman"/>
          <w:sz w:val="28"/>
          <w:szCs w:val="28"/>
        </w:rPr>
        <w:t xml:space="preserve"> rate of</w:t>
      </w:r>
      <w:r w:rsidR="00616757">
        <w:rPr>
          <w:rFonts w:ascii="Times New Roman" w:hAnsi="Times New Roman" w:cs="Times New Roman"/>
          <w:sz w:val="28"/>
          <w:szCs w:val="28"/>
        </w:rPr>
        <w:t xml:space="preserve"> imprisoned</w:t>
      </w:r>
      <w:r w:rsidR="00854CF1" w:rsidRPr="009A3F81">
        <w:rPr>
          <w:rFonts w:ascii="Times New Roman" w:hAnsi="Times New Roman" w:cs="Times New Roman"/>
          <w:sz w:val="28"/>
          <w:szCs w:val="28"/>
        </w:rPr>
        <w:t xml:space="preserve"> Black </w:t>
      </w:r>
      <w:r w:rsidR="00854CF1">
        <w:rPr>
          <w:rFonts w:ascii="Times New Roman" w:hAnsi="Times New Roman" w:cs="Times New Roman"/>
          <w:sz w:val="28"/>
          <w:szCs w:val="28"/>
        </w:rPr>
        <w:t>persons in the nation</w:t>
      </w:r>
      <w:r w:rsidR="00854CF1" w:rsidRPr="009A3F81">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6"/>
      </w:r>
      <w:r w:rsidR="00854CF1" w:rsidRPr="009A3F81">
        <w:rPr>
          <w:rFonts w:ascii="Times New Roman" w:hAnsi="Times New Roman" w:cs="Times New Roman"/>
          <w:sz w:val="28"/>
          <w:szCs w:val="28"/>
        </w:rPr>
        <w:t xml:space="preserve"> Such racial disparities wreak havoc on communities of color.</w:t>
      </w:r>
      <w:r w:rsidR="00854CF1" w:rsidRPr="009A3F81">
        <w:rPr>
          <w:rStyle w:val="FootnoteReference"/>
          <w:rFonts w:ascii="Times New Roman" w:hAnsi="Times New Roman" w:cs="Times New Roman"/>
          <w:sz w:val="28"/>
          <w:szCs w:val="28"/>
        </w:rPr>
        <w:footnoteReference w:id="7"/>
      </w:r>
      <w:r w:rsidR="00854CF1" w:rsidRPr="009A3F81">
        <w:rPr>
          <w:rFonts w:ascii="Times New Roman" w:hAnsi="Times New Roman" w:cs="Times New Roman"/>
          <w:sz w:val="28"/>
          <w:szCs w:val="28"/>
        </w:rPr>
        <w:t xml:space="preserve"> From increased harassment by police</w:t>
      </w:r>
      <w:r w:rsidR="00854CF1" w:rsidRPr="009A3F81">
        <w:rPr>
          <w:rStyle w:val="FootnoteReference"/>
          <w:rFonts w:ascii="Times New Roman" w:hAnsi="Times New Roman" w:cs="Times New Roman"/>
          <w:sz w:val="28"/>
          <w:szCs w:val="28"/>
        </w:rPr>
        <w:footnoteReference w:id="8"/>
      </w:r>
      <w:r w:rsidR="00854CF1" w:rsidRPr="009A3F81">
        <w:rPr>
          <w:rFonts w:ascii="Times New Roman" w:hAnsi="Times New Roman" w:cs="Times New Roman"/>
          <w:sz w:val="28"/>
          <w:szCs w:val="28"/>
        </w:rPr>
        <w:t xml:space="preserve"> to arrest rates</w:t>
      </w:r>
      <w:r w:rsidR="00AD426C">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9"/>
      </w:r>
      <w:r w:rsidR="00854CF1" w:rsidRPr="009A3F81">
        <w:rPr>
          <w:rFonts w:ascii="Times New Roman" w:hAnsi="Times New Roman" w:cs="Times New Roman"/>
          <w:sz w:val="28"/>
          <w:szCs w:val="28"/>
        </w:rPr>
        <w:t xml:space="preserve"> from pre-trial detention rates</w:t>
      </w:r>
      <w:r w:rsidR="00854CF1" w:rsidRPr="009A3F81">
        <w:rPr>
          <w:rStyle w:val="FootnoteReference"/>
          <w:rFonts w:ascii="Times New Roman" w:hAnsi="Times New Roman" w:cs="Times New Roman"/>
          <w:sz w:val="28"/>
          <w:szCs w:val="28"/>
        </w:rPr>
        <w:footnoteReference w:id="10"/>
      </w:r>
      <w:r w:rsidR="00854CF1" w:rsidRPr="009A3F81">
        <w:rPr>
          <w:rFonts w:ascii="Times New Roman" w:hAnsi="Times New Roman" w:cs="Times New Roman"/>
          <w:sz w:val="28"/>
          <w:szCs w:val="28"/>
        </w:rPr>
        <w:t xml:space="preserve"> to </w:t>
      </w:r>
      <w:r w:rsidR="00854CF1" w:rsidRPr="009A3F81">
        <w:rPr>
          <w:rFonts w:ascii="Times New Roman" w:hAnsi="Times New Roman" w:cs="Times New Roman"/>
          <w:sz w:val="28"/>
          <w:szCs w:val="28"/>
        </w:rPr>
        <w:lastRenderedPageBreak/>
        <w:t>sentencing outcomes</w:t>
      </w:r>
      <w:r w:rsidR="00AD426C">
        <w:rPr>
          <w:rFonts w:ascii="Times New Roman" w:hAnsi="Times New Roman" w:cs="Times New Roman"/>
          <w:sz w:val="28"/>
          <w:szCs w:val="28"/>
        </w:rPr>
        <w:t>,</w:t>
      </w:r>
      <w:r w:rsidR="00854CF1" w:rsidRPr="009A3F81">
        <w:rPr>
          <w:rStyle w:val="FootnoteReference"/>
          <w:rFonts w:ascii="Times New Roman" w:hAnsi="Times New Roman" w:cs="Times New Roman"/>
          <w:sz w:val="28"/>
          <w:szCs w:val="28"/>
        </w:rPr>
        <w:footnoteReference w:id="11"/>
      </w:r>
      <w:r w:rsidR="00854CF1" w:rsidRPr="009A3F81">
        <w:rPr>
          <w:rFonts w:ascii="Times New Roman" w:hAnsi="Times New Roman" w:cs="Times New Roman"/>
          <w:sz w:val="28"/>
          <w:szCs w:val="28"/>
        </w:rPr>
        <w:t xml:space="preserve"> the statistics on racial disparities confirm that justice is not equal for all.</w:t>
      </w:r>
    </w:p>
    <w:p w14:paraId="67E0B4CD" w14:textId="7F492356" w:rsidR="00854CF1" w:rsidRPr="009A3F81" w:rsidRDefault="00854CF1" w:rsidP="00854CF1">
      <w:pPr>
        <w:widowControl w:val="0"/>
        <w:spacing w:line="480" w:lineRule="auto"/>
        <w:ind w:firstLine="720"/>
        <w:jc w:val="both"/>
        <w:rPr>
          <w:rFonts w:ascii="Times New Roman" w:hAnsi="Times New Roman" w:cs="Times New Roman"/>
          <w:sz w:val="28"/>
          <w:szCs w:val="28"/>
        </w:rPr>
      </w:pPr>
      <w:r w:rsidRPr="009A3F81">
        <w:rPr>
          <w:rFonts w:ascii="Times New Roman" w:hAnsi="Times New Roman" w:cs="Times New Roman"/>
          <w:sz w:val="28"/>
          <w:szCs w:val="28"/>
        </w:rPr>
        <w:t>In Arizona, sentencing disparities are particularly troublesome. Overall, communities of color in Arizona experience imprisonment at higher rates than white people.</w:t>
      </w:r>
      <w:r w:rsidRPr="009A3F81">
        <w:rPr>
          <w:rStyle w:val="FootnoteReference"/>
          <w:rFonts w:ascii="Times New Roman" w:hAnsi="Times New Roman" w:cs="Times New Roman"/>
          <w:sz w:val="28"/>
          <w:szCs w:val="28"/>
        </w:rPr>
        <w:footnoteReference w:id="12"/>
      </w:r>
      <w:r w:rsidRPr="009A3F81">
        <w:rPr>
          <w:rFonts w:ascii="Times New Roman" w:hAnsi="Times New Roman" w:cs="Times New Roman"/>
          <w:sz w:val="28"/>
          <w:szCs w:val="28"/>
        </w:rPr>
        <w:t xml:space="preserve"> </w:t>
      </w:r>
      <w:r w:rsidR="00832F67">
        <w:rPr>
          <w:rFonts w:ascii="Times New Roman" w:hAnsi="Times New Roman" w:cs="Times New Roman"/>
          <w:sz w:val="28"/>
          <w:szCs w:val="28"/>
        </w:rPr>
        <w:t>In 2017, Latinos made up 31% of Arizona’s population, but 37% of those imprisoned.</w:t>
      </w:r>
      <w:r w:rsidR="00832F67">
        <w:rPr>
          <w:rStyle w:val="FootnoteReference"/>
          <w:rFonts w:ascii="Times New Roman" w:hAnsi="Times New Roman" w:cs="Times New Roman"/>
          <w:sz w:val="28"/>
          <w:szCs w:val="28"/>
        </w:rPr>
        <w:footnoteReference w:id="13"/>
      </w:r>
      <w:r w:rsidR="00832F67">
        <w:rPr>
          <w:rFonts w:ascii="Times New Roman" w:hAnsi="Times New Roman" w:cs="Times New Roman"/>
          <w:sz w:val="28"/>
          <w:szCs w:val="28"/>
        </w:rPr>
        <w:t xml:space="preserve"> Black people made up 5% of the </w:t>
      </w:r>
      <w:r w:rsidR="00F56304">
        <w:rPr>
          <w:rFonts w:ascii="Times New Roman" w:hAnsi="Times New Roman" w:cs="Times New Roman"/>
          <w:sz w:val="28"/>
          <w:szCs w:val="28"/>
        </w:rPr>
        <w:t>s</w:t>
      </w:r>
      <w:r w:rsidR="00832F67">
        <w:rPr>
          <w:rFonts w:ascii="Times New Roman" w:hAnsi="Times New Roman" w:cs="Times New Roman"/>
          <w:sz w:val="28"/>
          <w:szCs w:val="28"/>
        </w:rPr>
        <w:t>tate’s population, but comprised 13% of the prison population.</w:t>
      </w:r>
      <w:r w:rsidR="00832F67">
        <w:rPr>
          <w:rStyle w:val="FootnoteReference"/>
          <w:rFonts w:ascii="Times New Roman" w:hAnsi="Times New Roman" w:cs="Times New Roman"/>
          <w:sz w:val="28"/>
          <w:szCs w:val="28"/>
        </w:rPr>
        <w:footnoteReference w:id="14"/>
      </w:r>
      <w:r w:rsidR="00832F67">
        <w:rPr>
          <w:rFonts w:ascii="Times New Roman" w:hAnsi="Times New Roman" w:cs="Times New Roman"/>
          <w:sz w:val="28"/>
          <w:szCs w:val="28"/>
        </w:rPr>
        <w:t xml:space="preserve"> White people, on the other hand, made up 55% of the overall </w:t>
      </w:r>
      <w:r w:rsidR="00F56304">
        <w:rPr>
          <w:rFonts w:ascii="Times New Roman" w:hAnsi="Times New Roman" w:cs="Times New Roman"/>
          <w:sz w:val="28"/>
          <w:szCs w:val="28"/>
        </w:rPr>
        <w:t>s</w:t>
      </w:r>
      <w:r w:rsidR="00832F67">
        <w:rPr>
          <w:rFonts w:ascii="Times New Roman" w:hAnsi="Times New Roman" w:cs="Times New Roman"/>
          <w:sz w:val="28"/>
          <w:szCs w:val="28"/>
        </w:rPr>
        <w:t>tate population but only 40% of the prison population.</w:t>
      </w:r>
      <w:r w:rsidR="00832F67">
        <w:rPr>
          <w:rStyle w:val="FootnoteReference"/>
          <w:rFonts w:ascii="Times New Roman" w:hAnsi="Times New Roman" w:cs="Times New Roman"/>
          <w:sz w:val="28"/>
          <w:szCs w:val="28"/>
        </w:rPr>
        <w:footnoteReference w:id="15"/>
      </w:r>
      <w:r w:rsidR="00832F67">
        <w:rPr>
          <w:rFonts w:ascii="Times New Roman" w:hAnsi="Times New Roman" w:cs="Times New Roman"/>
          <w:sz w:val="28"/>
          <w:szCs w:val="28"/>
        </w:rPr>
        <w:t xml:space="preserve"> </w:t>
      </w:r>
      <w:r w:rsidRPr="009A3F81">
        <w:rPr>
          <w:rFonts w:ascii="Times New Roman" w:hAnsi="Times New Roman" w:cs="Times New Roman"/>
          <w:sz w:val="28"/>
          <w:szCs w:val="28"/>
        </w:rPr>
        <w:t>In addition to the “stark differences” in who is sent to prison, there are also racial and ethnic disparities in how much time people spend in prison.</w:t>
      </w:r>
      <w:r w:rsidRPr="009A3F81">
        <w:rPr>
          <w:rStyle w:val="FootnoteReference"/>
          <w:rFonts w:ascii="Times New Roman" w:hAnsi="Times New Roman" w:cs="Times New Roman"/>
          <w:sz w:val="28"/>
          <w:szCs w:val="28"/>
        </w:rPr>
        <w:footnoteReference w:id="16"/>
      </w:r>
      <w:r w:rsidRPr="009A3F81">
        <w:rPr>
          <w:rFonts w:ascii="Times New Roman" w:hAnsi="Times New Roman" w:cs="Times New Roman"/>
          <w:sz w:val="28"/>
          <w:szCs w:val="28"/>
        </w:rPr>
        <w:t xml:space="preserve"> After controlling for gender, offense type, and the number of prior felonies, Black people receive the longest average prison sentences in Arizona.</w:t>
      </w:r>
      <w:r w:rsidRPr="009A3F81">
        <w:rPr>
          <w:rStyle w:val="FootnoteReference"/>
          <w:rFonts w:ascii="Times New Roman" w:hAnsi="Times New Roman" w:cs="Times New Roman"/>
          <w:sz w:val="28"/>
          <w:szCs w:val="28"/>
        </w:rPr>
        <w:footnoteReference w:id="17"/>
      </w:r>
      <w:r>
        <w:rPr>
          <w:rFonts w:ascii="Times New Roman" w:hAnsi="Times New Roman" w:cs="Times New Roman"/>
          <w:sz w:val="28"/>
          <w:szCs w:val="28"/>
        </w:rPr>
        <w:t xml:space="preserve"> </w:t>
      </w:r>
      <w:r w:rsidRPr="009A3F81">
        <w:rPr>
          <w:rFonts w:ascii="Times New Roman" w:hAnsi="Times New Roman" w:cs="Times New Roman"/>
          <w:sz w:val="28"/>
          <w:szCs w:val="28"/>
        </w:rPr>
        <w:t>Such disparities have wide-ranging effects that “touch the entire community.”</w:t>
      </w:r>
      <w:r w:rsidRPr="009A3F81">
        <w:rPr>
          <w:rStyle w:val="FootnoteReference"/>
          <w:rFonts w:ascii="Times New Roman" w:hAnsi="Times New Roman" w:cs="Times New Roman"/>
          <w:sz w:val="28"/>
          <w:szCs w:val="28"/>
        </w:rPr>
        <w:footnoteReference w:id="18"/>
      </w:r>
    </w:p>
    <w:p w14:paraId="3E77E0FA" w14:textId="43C2205C" w:rsidR="001B223C" w:rsidRDefault="00854CF1" w:rsidP="00832F67">
      <w:pPr>
        <w:pStyle w:val="NoSpacing"/>
        <w:spacing w:line="480" w:lineRule="auto"/>
        <w:ind w:firstLine="720"/>
        <w:jc w:val="both"/>
        <w:rPr>
          <w:rFonts w:ascii="Times New Roman" w:hAnsi="Times New Roman" w:cs="Times New Roman"/>
          <w:sz w:val="28"/>
          <w:szCs w:val="28"/>
        </w:rPr>
      </w:pPr>
      <w:r w:rsidRPr="009A3F81">
        <w:rPr>
          <w:rFonts w:ascii="Times New Roman" w:hAnsi="Times New Roman" w:cs="Times New Roman"/>
          <w:sz w:val="28"/>
          <w:szCs w:val="28"/>
        </w:rPr>
        <w:lastRenderedPageBreak/>
        <w:t xml:space="preserve">Although the problems of racial disparities and racial discrimination in the criminal legal system do not begin nor end with proper jury selection, juries provide a functional and symbolic bulwark against the misuse of government power. </w:t>
      </w:r>
      <w:r>
        <w:rPr>
          <w:rFonts w:ascii="Times New Roman" w:hAnsi="Times New Roman" w:cs="Times New Roman"/>
          <w:sz w:val="28"/>
          <w:szCs w:val="28"/>
        </w:rPr>
        <w:t xml:space="preserve"> </w:t>
      </w:r>
      <w:r w:rsidR="00F56304">
        <w:rPr>
          <w:rFonts w:ascii="Times New Roman" w:hAnsi="Times New Roman" w:cs="Times New Roman"/>
          <w:sz w:val="28"/>
          <w:szCs w:val="28"/>
        </w:rPr>
        <w:t>Indeed, “[i]</w:t>
      </w:r>
      <w:r w:rsidRPr="009A3F81">
        <w:rPr>
          <w:rFonts w:ascii="Times New Roman" w:hAnsi="Times New Roman" w:cs="Times New Roman"/>
          <w:sz w:val="28"/>
          <w:szCs w:val="28"/>
        </w:rPr>
        <w:t>t is the jury that is a criminal defendant’s fundamental protection of life and liberty against race or color prejudice.”</w:t>
      </w:r>
      <w:r w:rsidRPr="009A3F81">
        <w:rPr>
          <w:rStyle w:val="FootnoteReference"/>
          <w:rFonts w:ascii="Times New Roman" w:hAnsi="Times New Roman" w:cs="Times New Roman"/>
          <w:sz w:val="28"/>
          <w:szCs w:val="28"/>
        </w:rPr>
        <w:footnoteReference w:id="19"/>
      </w:r>
      <w:r w:rsidRPr="009A3F81">
        <w:rPr>
          <w:rFonts w:ascii="Times New Roman" w:hAnsi="Times New Roman" w:cs="Times New Roman"/>
          <w:sz w:val="28"/>
          <w:szCs w:val="28"/>
        </w:rPr>
        <w:t xml:space="preserve"> </w:t>
      </w:r>
      <w:r w:rsidR="00492E71">
        <w:rPr>
          <w:rFonts w:ascii="Times New Roman" w:hAnsi="Times New Roman" w:cs="Times New Roman"/>
          <w:sz w:val="28"/>
          <w:szCs w:val="28"/>
        </w:rPr>
        <w:t xml:space="preserve">For these reasons, it is urgent that </w:t>
      </w:r>
      <w:r w:rsidR="00F56304">
        <w:rPr>
          <w:rFonts w:ascii="Times New Roman" w:hAnsi="Times New Roman" w:cs="Times New Roman"/>
          <w:sz w:val="28"/>
          <w:szCs w:val="28"/>
        </w:rPr>
        <w:t>Arizona</w:t>
      </w:r>
      <w:r w:rsidR="00492E71">
        <w:rPr>
          <w:rFonts w:ascii="Times New Roman" w:hAnsi="Times New Roman" w:cs="Times New Roman"/>
          <w:sz w:val="28"/>
          <w:szCs w:val="28"/>
        </w:rPr>
        <w:t xml:space="preserve"> strengthen</w:t>
      </w:r>
      <w:r w:rsidR="00F56304">
        <w:rPr>
          <w:rFonts w:ascii="Times New Roman" w:hAnsi="Times New Roman" w:cs="Times New Roman"/>
          <w:sz w:val="28"/>
          <w:szCs w:val="28"/>
        </w:rPr>
        <w:t>s</w:t>
      </w:r>
      <w:r w:rsidR="00492E71">
        <w:rPr>
          <w:rFonts w:ascii="Times New Roman" w:hAnsi="Times New Roman" w:cs="Times New Roman"/>
          <w:sz w:val="28"/>
          <w:szCs w:val="28"/>
        </w:rPr>
        <w:t xml:space="preserve"> the </w:t>
      </w:r>
      <w:r w:rsidR="00832F67">
        <w:rPr>
          <w:rFonts w:ascii="Times New Roman" w:hAnsi="Times New Roman" w:cs="Times New Roman"/>
          <w:sz w:val="28"/>
          <w:szCs w:val="28"/>
        </w:rPr>
        <w:t>process of effectuating the constitutional guarantee</w:t>
      </w:r>
      <w:r w:rsidR="00492E71">
        <w:rPr>
          <w:rFonts w:ascii="Times New Roman" w:hAnsi="Times New Roman" w:cs="Times New Roman"/>
          <w:sz w:val="28"/>
          <w:szCs w:val="28"/>
        </w:rPr>
        <w:t xml:space="preserve"> </w:t>
      </w:r>
      <w:r w:rsidR="00C22D60">
        <w:rPr>
          <w:rFonts w:ascii="Times New Roman" w:hAnsi="Times New Roman" w:cs="Times New Roman"/>
          <w:sz w:val="28"/>
          <w:szCs w:val="28"/>
        </w:rPr>
        <w:t xml:space="preserve">of </w:t>
      </w:r>
      <w:r w:rsidR="00492E71">
        <w:rPr>
          <w:rFonts w:ascii="Times New Roman" w:hAnsi="Times New Roman" w:cs="Times New Roman"/>
          <w:sz w:val="28"/>
          <w:szCs w:val="28"/>
        </w:rPr>
        <w:t xml:space="preserve">racially </w:t>
      </w:r>
      <w:r w:rsidR="00C22D60">
        <w:rPr>
          <w:rFonts w:ascii="Times New Roman" w:hAnsi="Times New Roman" w:cs="Times New Roman"/>
          <w:sz w:val="28"/>
          <w:szCs w:val="28"/>
        </w:rPr>
        <w:t>bias-free</w:t>
      </w:r>
      <w:r w:rsidR="00492E71">
        <w:rPr>
          <w:rFonts w:ascii="Times New Roman" w:hAnsi="Times New Roman" w:cs="Times New Roman"/>
          <w:sz w:val="28"/>
          <w:szCs w:val="28"/>
        </w:rPr>
        <w:t xml:space="preserve"> </w:t>
      </w:r>
      <w:r w:rsidR="00832F67">
        <w:rPr>
          <w:rFonts w:ascii="Times New Roman" w:hAnsi="Times New Roman" w:cs="Times New Roman"/>
          <w:sz w:val="28"/>
          <w:szCs w:val="28"/>
        </w:rPr>
        <w:t xml:space="preserve">jury selection </w:t>
      </w:r>
      <w:r w:rsidR="00492E71">
        <w:rPr>
          <w:rFonts w:ascii="Times New Roman" w:hAnsi="Times New Roman" w:cs="Times New Roman"/>
          <w:sz w:val="28"/>
          <w:szCs w:val="28"/>
        </w:rPr>
        <w:t>by amending Rule 24</w:t>
      </w:r>
      <w:r w:rsidR="00832F67">
        <w:rPr>
          <w:rFonts w:ascii="Times New Roman" w:hAnsi="Times New Roman" w:cs="Times New Roman"/>
          <w:sz w:val="28"/>
          <w:szCs w:val="28"/>
        </w:rPr>
        <w:t>.</w:t>
      </w:r>
    </w:p>
    <w:p w14:paraId="380A51B6" w14:textId="6A57ECE3" w:rsidR="001851C7" w:rsidRDefault="001851C7" w:rsidP="00832F67">
      <w:pPr>
        <w:pStyle w:val="NoSpacing"/>
        <w:numPr>
          <w:ilvl w:val="1"/>
          <w:numId w:val="1"/>
        </w:numPr>
        <w:jc w:val="both"/>
        <w:rPr>
          <w:rFonts w:ascii="Times New Roman" w:hAnsi="Times New Roman" w:cs="Times New Roman"/>
          <w:b/>
          <w:bCs/>
          <w:sz w:val="28"/>
          <w:szCs w:val="28"/>
        </w:rPr>
      </w:pPr>
      <w:r>
        <w:rPr>
          <w:rFonts w:ascii="Times New Roman" w:hAnsi="Times New Roman" w:cs="Times New Roman"/>
          <w:b/>
          <w:bCs/>
          <w:i/>
          <w:iCs/>
          <w:sz w:val="28"/>
          <w:szCs w:val="28"/>
        </w:rPr>
        <w:t xml:space="preserve">Batson </w:t>
      </w:r>
      <w:r>
        <w:rPr>
          <w:rFonts w:ascii="Times New Roman" w:hAnsi="Times New Roman" w:cs="Times New Roman"/>
          <w:b/>
          <w:bCs/>
          <w:sz w:val="28"/>
          <w:szCs w:val="28"/>
        </w:rPr>
        <w:t>Provides an Inadequate Framework for Ensuring Racially Bias-Free Jury Selection</w:t>
      </w:r>
    </w:p>
    <w:p w14:paraId="4A279F19" w14:textId="77777777" w:rsidR="00832F67" w:rsidRDefault="00832F67" w:rsidP="00832F67">
      <w:pPr>
        <w:pStyle w:val="NoSpacing"/>
        <w:jc w:val="both"/>
        <w:rPr>
          <w:rFonts w:ascii="Times New Roman" w:hAnsi="Times New Roman" w:cs="Times New Roman"/>
          <w:b/>
          <w:bCs/>
          <w:sz w:val="28"/>
          <w:szCs w:val="28"/>
        </w:rPr>
      </w:pPr>
    </w:p>
    <w:p w14:paraId="0D50321E" w14:textId="7C839B19" w:rsidR="00323044" w:rsidRDefault="001851C7" w:rsidP="00323044">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United States Supreme Court held in </w:t>
      </w:r>
      <w:r>
        <w:rPr>
          <w:rFonts w:ascii="Times New Roman" w:hAnsi="Times New Roman" w:cs="Times New Roman"/>
          <w:i/>
          <w:iCs/>
          <w:sz w:val="28"/>
          <w:szCs w:val="28"/>
        </w:rPr>
        <w:t>Batson</w:t>
      </w:r>
      <w:r w:rsidR="00AD426C">
        <w:rPr>
          <w:rFonts w:ascii="Times New Roman" w:hAnsi="Times New Roman" w:cs="Times New Roman"/>
          <w:i/>
          <w:iCs/>
          <w:sz w:val="28"/>
          <w:szCs w:val="28"/>
        </w:rPr>
        <w:t xml:space="preserve"> </w:t>
      </w:r>
      <w:r>
        <w:rPr>
          <w:rFonts w:ascii="Times New Roman" w:hAnsi="Times New Roman" w:cs="Times New Roman"/>
          <w:sz w:val="28"/>
          <w:szCs w:val="28"/>
        </w:rPr>
        <w:t xml:space="preserve">that the Equal Protection Clause of the Fourteenth Amendment is violated when the </w:t>
      </w:r>
      <w:r w:rsidR="004F00C9">
        <w:rPr>
          <w:rFonts w:ascii="Times New Roman" w:hAnsi="Times New Roman" w:cs="Times New Roman"/>
          <w:sz w:val="28"/>
          <w:szCs w:val="28"/>
        </w:rPr>
        <w:t>government</w:t>
      </w:r>
      <w:r>
        <w:rPr>
          <w:rFonts w:ascii="Times New Roman" w:hAnsi="Times New Roman" w:cs="Times New Roman"/>
          <w:sz w:val="28"/>
          <w:szCs w:val="28"/>
        </w:rPr>
        <w:t xml:space="preserve"> exercises peremptory strikes in a discriminatory manner</w:t>
      </w:r>
      <w:r w:rsidR="00DD02B7">
        <w:rPr>
          <w:rFonts w:ascii="Times New Roman" w:hAnsi="Times New Roman" w:cs="Times New Roman"/>
          <w:sz w:val="28"/>
          <w:szCs w:val="28"/>
        </w:rPr>
        <w:t>.</w:t>
      </w:r>
      <w:r w:rsidR="00DD02B7">
        <w:rPr>
          <w:rStyle w:val="FootnoteReference"/>
          <w:rFonts w:ascii="Times New Roman" w:hAnsi="Times New Roman" w:cs="Times New Roman"/>
          <w:sz w:val="28"/>
          <w:szCs w:val="28"/>
        </w:rPr>
        <w:footnoteReference w:id="20"/>
      </w:r>
      <w:r>
        <w:rPr>
          <w:rFonts w:ascii="Times New Roman" w:hAnsi="Times New Roman" w:cs="Times New Roman"/>
          <w:sz w:val="28"/>
          <w:szCs w:val="28"/>
        </w:rPr>
        <w:t xml:space="preserve"> </w:t>
      </w:r>
      <w:r w:rsidR="00323044">
        <w:rPr>
          <w:rFonts w:ascii="Times New Roman" w:hAnsi="Times New Roman" w:cs="Times New Roman"/>
          <w:sz w:val="28"/>
          <w:szCs w:val="28"/>
        </w:rPr>
        <w:t xml:space="preserve">In evaluating whether a prosecutor struck a juror for discriminatory reasons, a reviewing court engages in a three-step process: </w:t>
      </w:r>
    </w:p>
    <w:p w14:paraId="73C48AC3" w14:textId="6666565D" w:rsidR="00323044" w:rsidRDefault="00323044" w:rsidP="00323044">
      <w:pPr>
        <w:pStyle w:val="NoSpacing"/>
        <w:ind w:left="1440" w:right="1440"/>
        <w:jc w:val="both"/>
        <w:rPr>
          <w:rFonts w:ascii="Times New Roman" w:hAnsi="Times New Roman" w:cs="Times New Roman"/>
          <w:sz w:val="28"/>
          <w:szCs w:val="28"/>
        </w:rPr>
      </w:pPr>
      <w:r>
        <w:rPr>
          <w:rFonts w:ascii="Times New Roman" w:hAnsi="Times New Roman" w:cs="Times New Roman"/>
          <w:sz w:val="28"/>
          <w:szCs w:val="28"/>
        </w:rPr>
        <w:t xml:space="preserve">First, a defendant must make a prima facie showing that a peremptory challenge has been exercised on the basis of race. Second, if that showing has been made, the prosecution must offer a race-neutral basis for striking the juror in question. </w:t>
      </w:r>
      <w:r w:rsidR="00DD02B7">
        <w:rPr>
          <w:rFonts w:ascii="Times New Roman" w:hAnsi="Times New Roman" w:cs="Times New Roman"/>
          <w:sz w:val="28"/>
          <w:szCs w:val="28"/>
        </w:rPr>
        <w:t>Third, in light of the parties’ submissions, the trial court must determine whether the defendant has shown purposeful discrimination.</w:t>
      </w:r>
      <w:r w:rsidR="00DD02B7">
        <w:rPr>
          <w:rStyle w:val="FootnoteReference"/>
          <w:rFonts w:ascii="Times New Roman" w:hAnsi="Times New Roman" w:cs="Times New Roman"/>
          <w:sz w:val="28"/>
          <w:szCs w:val="28"/>
        </w:rPr>
        <w:footnoteReference w:id="21"/>
      </w:r>
    </w:p>
    <w:p w14:paraId="30BE662B" w14:textId="77777777" w:rsidR="00323044" w:rsidRDefault="00323044" w:rsidP="00323044">
      <w:pPr>
        <w:pStyle w:val="NoSpacing"/>
        <w:ind w:left="1440" w:right="1440"/>
        <w:jc w:val="both"/>
        <w:rPr>
          <w:rFonts w:ascii="Times New Roman" w:hAnsi="Times New Roman" w:cs="Times New Roman"/>
          <w:sz w:val="28"/>
          <w:szCs w:val="28"/>
        </w:rPr>
      </w:pPr>
    </w:p>
    <w:p w14:paraId="6DDE17A1" w14:textId="253D8461" w:rsidR="001851C7" w:rsidRDefault="001851C7" w:rsidP="00323044">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Unfortunately, the procedures established in </w:t>
      </w:r>
      <w:r>
        <w:rPr>
          <w:rFonts w:ascii="Times New Roman" w:hAnsi="Times New Roman" w:cs="Times New Roman"/>
          <w:i/>
          <w:iCs/>
          <w:sz w:val="28"/>
          <w:szCs w:val="28"/>
        </w:rPr>
        <w:t xml:space="preserve">Batson </w:t>
      </w:r>
      <w:r>
        <w:rPr>
          <w:rFonts w:ascii="Times New Roman" w:hAnsi="Times New Roman" w:cs="Times New Roman"/>
          <w:sz w:val="28"/>
          <w:szCs w:val="28"/>
        </w:rPr>
        <w:t xml:space="preserve">have failed to protect against racial discrimination in jury selection. </w:t>
      </w:r>
      <w:r w:rsidR="004D5996">
        <w:rPr>
          <w:rFonts w:ascii="Times New Roman" w:hAnsi="Times New Roman" w:cs="Times New Roman"/>
          <w:sz w:val="28"/>
          <w:szCs w:val="28"/>
        </w:rPr>
        <w:t xml:space="preserve">Numerous studies have shown that </w:t>
      </w:r>
      <w:r w:rsidR="004D5996">
        <w:rPr>
          <w:rFonts w:ascii="Times New Roman" w:hAnsi="Times New Roman" w:cs="Times New Roman"/>
          <w:i/>
          <w:iCs/>
          <w:sz w:val="28"/>
          <w:szCs w:val="28"/>
        </w:rPr>
        <w:t>Batson</w:t>
      </w:r>
      <w:r w:rsidR="004D5996">
        <w:rPr>
          <w:rFonts w:ascii="Times New Roman" w:hAnsi="Times New Roman" w:cs="Times New Roman"/>
          <w:sz w:val="28"/>
          <w:szCs w:val="28"/>
        </w:rPr>
        <w:t xml:space="preserve">’s “guarantee of equal </w:t>
      </w:r>
      <w:r w:rsidR="00E451D8">
        <w:rPr>
          <w:rFonts w:ascii="Times New Roman" w:hAnsi="Times New Roman" w:cs="Times New Roman"/>
          <w:sz w:val="28"/>
          <w:szCs w:val="28"/>
        </w:rPr>
        <w:t>protection [has] become nothing more than empty words</w:t>
      </w:r>
      <w:r w:rsidR="00B17474">
        <w:rPr>
          <w:rFonts w:ascii="Times New Roman" w:hAnsi="Times New Roman" w:cs="Times New Roman"/>
          <w:sz w:val="28"/>
          <w:szCs w:val="28"/>
        </w:rPr>
        <w:t>.</w:t>
      </w:r>
      <w:r w:rsidR="00E451D8">
        <w:rPr>
          <w:rFonts w:ascii="Times New Roman" w:hAnsi="Times New Roman" w:cs="Times New Roman"/>
          <w:sz w:val="28"/>
          <w:szCs w:val="28"/>
        </w:rPr>
        <w:t>”</w:t>
      </w:r>
      <w:r w:rsidR="00E451D8">
        <w:rPr>
          <w:rStyle w:val="FootnoteReference"/>
          <w:rFonts w:ascii="Times New Roman" w:hAnsi="Times New Roman" w:cs="Times New Roman"/>
          <w:sz w:val="28"/>
          <w:szCs w:val="28"/>
        </w:rPr>
        <w:footnoteReference w:id="22"/>
      </w:r>
      <w:r w:rsidR="00B17474">
        <w:rPr>
          <w:rFonts w:ascii="Times New Roman" w:hAnsi="Times New Roman" w:cs="Times New Roman"/>
          <w:sz w:val="28"/>
          <w:szCs w:val="28"/>
        </w:rPr>
        <w:t xml:space="preserve"> One study </w:t>
      </w:r>
      <w:r w:rsidR="00975D9E">
        <w:rPr>
          <w:rFonts w:ascii="Times New Roman" w:hAnsi="Times New Roman" w:cs="Times New Roman"/>
          <w:sz w:val="28"/>
          <w:szCs w:val="28"/>
        </w:rPr>
        <w:t>examined “all opinions and orders between January 1, 2000</w:t>
      </w:r>
      <w:r w:rsidR="00AD426C">
        <w:rPr>
          <w:rFonts w:ascii="Times New Roman" w:hAnsi="Times New Roman" w:cs="Times New Roman"/>
          <w:sz w:val="28"/>
          <w:szCs w:val="28"/>
        </w:rPr>
        <w:t>,</w:t>
      </w:r>
      <w:r w:rsidR="00975D9E">
        <w:rPr>
          <w:rFonts w:ascii="Times New Roman" w:hAnsi="Times New Roman" w:cs="Times New Roman"/>
          <w:sz w:val="28"/>
          <w:szCs w:val="28"/>
        </w:rPr>
        <w:t xml:space="preserve"> and December 31, 2009</w:t>
      </w:r>
      <w:r w:rsidR="00AD426C">
        <w:rPr>
          <w:rFonts w:ascii="Times New Roman" w:hAnsi="Times New Roman" w:cs="Times New Roman"/>
          <w:sz w:val="28"/>
          <w:szCs w:val="28"/>
        </w:rPr>
        <w:t>,</w:t>
      </w:r>
      <w:r w:rsidR="00975D9E">
        <w:rPr>
          <w:rFonts w:ascii="Times New Roman" w:hAnsi="Times New Roman" w:cs="Times New Roman"/>
          <w:sz w:val="28"/>
          <w:szCs w:val="28"/>
        </w:rPr>
        <w:t xml:space="preserve"> in which a federal court evaluated a race-based </w:t>
      </w:r>
      <w:r w:rsidR="00975D9E">
        <w:rPr>
          <w:rFonts w:ascii="Times New Roman" w:hAnsi="Times New Roman" w:cs="Times New Roman"/>
          <w:i/>
          <w:iCs/>
          <w:sz w:val="28"/>
          <w:szCs w:val="28"/>
        </w:rPr>
        <w:t xml:space="preserve">Batson </w:t>
      </w:r>
      <w:r w:rsidR="00975D9E">
        <w:rPr>
          <w:rFonts w:ascii="Times New Roman" w:hAnsi="Times New Roman" w:cs="Times New Roman"/>
          <w:sz w:val="28"/>
          <w:szCs w:val="28"/>
        </w:rPr>
        <w:t>challenge in either a civil or criminal case …,” which equated to 269 decisions.</w:t>
      </w:r>
      <w:r w:rsidR="00616757" w:rsidRPr="00616757">
        <w:rPr>
          <w:rStyle w:val="FootnoteReference"/>
          <w:rFonts w:ascii="Times New Roman" w:hAnsi="Times New Roman" w:cs="Times New Roman"/>
          <w:sz w:val="28"/>
          <w:szCs w:val="28"/>
        </w:rPr>
        <w:t xml:space="preserve"> </w:t>
      </w:r>
      <w:r w:rsidR="00616757">
        <w:rPr>
          <w:rStyle w:val="FootnoteReference"/>
          <w:rFonts w:ascii="Times New Roman" w:hAnsi="Times New Roman" w:cs="Times New Roman"/>
          <w:sz w:val="28"/>
          <w:szCs w:val="28"/>
        </w:rPr>
        <w:footnoteReference w:id="23"/>
      </w:r>
      <w:r w:rsidR="00975D9E">
        <w:rPr>
          <w:rFonts w:ascii="Times New Roman" w:hAnsi="Times New Roman" w:cs="Times New Roman"/>
          <w:sz w:val="28"/>
          <w:szCs w:val="28"/>
        </w:rPr>
        <w:t xml:space="preserve"> The study concluded</w:t>
      </w:r>
      <w:r w:rsidR="00B17474">
        <w:rPr>
          <w:rFonts w:ascii="Times New Roman" w:hAnsi="Times New Roman" w:cs="Times New Roman"/>
          <w:sz w:val="28"/>
          <w:szCs w:val="28"/>
        </w:rPr>
        <w:t xml:space="preserve"> that reviewing federal courts granted new trials in only 6.69% of cases </w:t>
      </w:r>
      <w:r w:rsidR="00975D9E">
        <w:rPr>
          <w:rFonts w:ascii="Times New Roman" w:hAnsi="Times New Roman" w:cs="Times New Roman"/>
          <w:sz w:val="28"/>
          <w:szCs w:val="28"/>
        </w:rPr>
        <w:t xml:space="preserve">reviewed and rejected </w:t>
      </w:r>
      <w:r w:rsidR="00975D9E">
        <w:rPr>
          <w:rFonts w:ascii="Times New Roman" w:hAnsi="Times New Roman" w:cs="Times New Roman"/>
          <w:i/>
          <w:iCs/>
          <w:sz w:val="28"/>
          <w:szCs w:val="28"/>
        </w:rPr>
        <w:t xml:space="preserve">Batson </w:t>
      </w:r>
      <w:r w:rsidR="00975D9E">
        <w:rPr>
          <w:rFonts w:ascii="Times New Roman" w:hAnsi="Times New Roman" w:cs="Times New Roman"/>
          <w:sz w:val="28"/>
          <w:szCs w:val="28"/>
        </w:rPr>
        <w:t>claims entirely in 85.1% of cases.</w:t>
      </w:r>
      <w:r w:rsidR="00616757">
        <w:rPr>
          <w:rStyle w:val="FootnoteReference"/>
          <w:rFonts w:ascii="Times New Roman" w:hAnsi="Times New Roman" w:cs="Times New Roman"/>
          <w:sz w:val="28"/>
          <w:szCs w:val="28"/>
        </w:rPr>
        <w:footnoteReference w:id="24"/>
      </w:r>
      <w:r w:rsidR="00975D9E">
        <w:rPr>
          <w:rFonts w:ascii="Times New Roman" w:hAnsi="Times New Roman" w:cs="Times New Roman"/>
          <w:sz w:val="28"/>
          <w:szCs w:val="28"/>
        </w:rPr>
        <w:t xml:space="preserve"> </w:t>
      </w:r>
    </w:p>
    <w:p w14:paraId="7D643B85" w14:textId="0C080F0C" w:rsidR="006C7CF1" w:rsidRDefault="00D218CE" w:rsidP="007351EE">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not surprising, </w:t>
      </w:r>
      <w:r w:rsidR="00492E71">
        <w:rPr>
          <w:rFonts w:ascii="Times New Roman" w:hAnsi="Times New Roman" w:cs="Times New Roman"/>
          <w:sz w:val="28"/>
          <w:szCs w:val="28"/>
        </w:rPr>
        <w:t xml:space="preserve">given the “charade that has become the </w:t>
      </w:r>
      <w:r w:rsidR="00492E71">
        <w:rPr>
          <w:rFonts w:ascii="Times New Roman" w:hAnsi="Times New Roman" w:cs="Times New Roman"/>
          <w:i/>
          <w:iCs/>
          <w:sz w:val="28"/>
          <w:szCs w:val="28"/>
        </w:rPr>
        <w:t>Batson</w:t>
      </w:r>
      <w:r w:rsidR="00492E71">
        <w:rPr>
          <w:rFonts w:ascii="Times New Roman" w:hAnsi="Times New Roman" w:cs="Times New Roman"/>
          <w:sz w:val="28"/>
          <w:szCs w:val="28"/>
        </w:rPr>
        <w:t xml:space="preserve"> process</w:t>
      </w:r>
      <w:r w:rsidR="006C7CF1">
        <w:rPr>
          <w:rFonts w:ascii="Times New Roman" w:hAnsi="Times New Roman" w:cs="Times New Roman"/>
          <w:sz w:val="28"/>
          <w:szCs w:val="28"/>
        </w:rPr>
        <w:t>”</w:t>
      </w:r>
      <w:r w:rsidR="00C22D60">
        <w:rPr>
          <w:rFonts w:ascii="Times New Roman" w:hAnsi="Times New Roman" w:cs="Times New Roman"/>
          <w:sz w:val="28"/>
          <w:szCs w:val="28"/>
        </w:rPr>
        <w:t xml:space="preserve"> in the criminal context,</w:t>
      </w:r>
      <w:r w:rsidR="006C7CF1">
        <w:rPr>
          <w:rFonts w:ascii="Times New Roman" w:hAnsi="Times New Roman" w:cs="Times New Roman"/>
          <w:sz w:val="28"/>
          <w:szCs w:val="28"/>
        </w:rPr>
        <w:t xml:space="preserve"> which allows </w:t>
      </w:r>
      <w:r w:rsidR="00E7284E">
        <w:rPr>
          <w:rFonts w:ascii="Times New Roman" w:hAnsi="Times New Roman" w:cs="Times New Roman"/>
          <w:sz w:val="28"/>
          <w:szCs w:val="28"/>
        </w:rPr>
        <w:t>prosecutors</w:t>
      </w:r>
      <w:r w:rsidR="006C7CF1">
        <w:rPr>
          <w:rFonts w:ascii="Times New Roman" w:hAnsi="Times New Roman" w:cs="Times New Roman"/>
          <w:sz w:val="28"/>
          <w:szCs w:val="28"/>
        </w:rPr>
        <w:t xml:space="preserve"> to</w:t>
      </w:r>
    </w:p>
    <w:p w14:paraId="4E19911B" w14:textId="5D6813B3" w:rsidR="00492E71" w:rsidRDefault="00E7284E" w:rsidP="00E7284E">
      <w:pPr>
        <w:ind w:left="1080" w:right="1080"/>
        <w:jc w:val="both"/>
        <w:rPr>
          <w:rFonts w:ascii="Times New Roman" w:hAnsi="Times New Roman" w:cs="Times New Roman"/>
          <w:sz w:val="28"/>
          <w:szCs w:val="28"/>
        </w:rPr>
      </w:pPr>
      <w:r w:rsidRPr="00FE7853">
        <w:rPr>
          <w:rFonts w:ascii="Times New Roman" w:hAnsi="Times New Roman" w:cs="Times New Roman"/>
          <w:sz w:val="28"/>
          <w:szCs w:val="28"/>
        </w:rPr>
        <w:t xml:space="preserve">provide the trial court with a series of pat race-neutral reasons for exercise of peremptory challenges. Since reviewing courts examine only the record, we wonder if the reasons can be given without a smile. Surely, new prosecutors are given a manual, probably entitled, “Handy Race-Neutral Explanations” or “20 Time-Tested Race-Neutral Explanations.”  It might include: too old, too young, divorced, “long, unkempt hair,” free-lance writer, religion, social worker, renter, lack of maturity, improper demeanor, unemployed, improper attire, juror lived alone, misspelled place of employment, living with girlfriend, unemployed spouse, spouse employed as school teacher, employment as part-time barber, friendship with city council member, failure to remove hat, lack of community ties, children </w:t>
      </w:r>
      <w:r w:rsidRPr="00FE7853">
        <w:rPr>
          <w:rFonts w:ascii="Times New Roman" w:hAnsi="Times New Roman" w:cs="Times New Roman"/>
          <w:sz w:val="28"/>
          <w:szCs w:val="28"/>
        </w:rPr>
        <w:lastRenderedPageBreak/>
        <w:t>same “age bracket” as defendant, deceased father, and prospective juror’s aunt receiving psychiatric care.</w:t>
      </w:r>
      <w:r w:rsidRPr="00FE7853">
        <w:rPr>
          <w:rStyle w:val="FootnoteReference"/>
          <w:rFonts w:ascii="Times New Roman" w:hAnsi="Times New Roman" w:cs="Times New Roman"/>
          <w:sz w:val="28"/>
          <w:szCs w:val="28"/>
        </w:rPr>
        <w:footnoteReference w:id="25"/>
      </w:r>
    </w:p>
    <w:p w14:paraId="73EA518D" w14:textId="77777777" w:rsidR="006C7CF1" w:rsidRPr="00492E71" w:rsidRDefault="006C7CF1" w:rsidP="006C7CF1">
      <w:pPr>
        <w:pStyle w:val="NoSpacing"/>
        <w:ind w:left="1440" w:right="1350"/>
        <w:jc w:val="both"/>
        <w:rPr>
          <w:rFonts w:ascii="Times New Roman" w:hAnsi="Times New Roman" w:cs="Times New Roman"/>
          <w:sz w:val="28"/>
          <w:szCs w:val="28"/>
        </w:rPr>
      </w:pPr>
    </w:p>
    <w:p w14:paraId="44886738" w14:textId="4924FED3" w:rsidR="00241655" w:rsidRDefault="00492E71" w:rsidP="008348C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D218CE">
        <w:rPr>
          <w:rFonts w:ascii="Times New Roman" w:hAnsi="Times New Roman" w:cs="Times New Roman"/>
          <w:sz w:val="28"/>
          <w:szCs w:val="28"/>
        </w:rPr>
        <w:t xml:space="preserve">“race-neutral” justifications courts </w:t>
      </w:r>
      <w:r>
        <w:rPr>
          <w:rFonts w:ascii="Times New Roman" w:hAnsi="Times New Roman" w:cs="Times New Roman"/>
          <w:sz w:val="28"/>
          <w:szCs w:val="28"/>
        </w:rPr>
        <w:t xml:space="preserve">have </w:t>
      </w:r>
      <w:r w:rsidR="006C3080">
        <w:rPr>
          <w:rFonts w:ascii="Times New Roman" w:hAnsi="Times New Roman" w:cs="Times New Roman"/>
          <w:sz w:val="28"/>
          <w:szCs w:val="28"/>
        </w:rPr>
        <w:t>accepted</w:t>
      </w:r>
      <w:r w:rsidR="00D218CE">
        <w:rPr>
          <w:rFonts w:ascii="Times New Roman" w:hAnsi="Times New Roman" w:cs="Times New Roman"/>
          <w:sz w:val="28"/>
          <w:szCs w:val="28"/>
        </w:rPr>
        <w:t xml:space="preserve"> at </w:t>
      </w:r>
      <w:r w:rsidR="00D218CE">
        <w:rPr>
          <w:rFonts w:ascii="Times New Roman" w:hAnsi="Times New Roman" w:cs="Times New Roman"/>
          <w:i/>
          <w:iCs/>
          <w:sz w:val="28"/>
          <w:szCs w:val="28"/>
        </w:rPr>
        <w:t>Batson</w:t>
      </w:r>
      <w:r w:rsidR="00D218CE">
        <w:rPr>
          <w:rFonts w:ascii="Times New Roman" w:hAnsi="Times New Roman" w:cs="Times New Roman"/>
          <w:sz w:val="28"/>
          <w:szCs w:val="28"/>
        </w:rPr>
        <w:t>’s second step</w:t>
      </w:r>
      <w:r>
        <w:rPr>
          <w:rFonts w:ascii="Times New Roman" w:hAnsi="Times New Roman" w:cs="Times New Roman"/>
          <w:sz w:val="28"/>
          <w:szCs w:val="28"/>
        </w:rPr>
        <w:t xml:space="preserve"> are as numerous as the</w:t>
      </w:r>
      <w:r w:rsidR="007A4381">
        <w:rPr>
          <w:rFonts w:ascii="Times New Roman" w:hAnsi="Times New Roman" w:cs="Times New Roman"/>
          <w:sz w:val="28"/>
          <w:szCs w:val="28"/>
        </w:rPr>
        <w:t>y</w:t>
      </w:r>
      <w:r>
        <w:rPr>
          <w:rFonts w:ascii="Times New Roman" w:hAnsi="Times New Roman" w:cs="Times New Roman"/>
          <w:sz w:val="28"/>
          <w:szCs w:val="28"/>
        </w:rPr>
        <w:t xml:space="preserve"> are laughable</w:t>
      </w:r>
      <w:r w:rsidR="00D218CE">
        <w:rPr>
          <w:rFonts w:ascii="Times New Roman" w:hAnsi="Times New Roman" w:cs="Times New Roman"/>
          <w:sz w:val="28"/>
          <w:szCs w:val="28"/>
        </w:rPr>
        <w:t>. Such justifications</w:t>
      </w:r>
      <w:r w:rsidR="00350E61">
        <w:rPr>
          <w:rFonts w:ascii="Times New Roman" w:hAnsi="Times New Roman" w:cs="Times New Roman"/>
          <w:sz w:val="28"/>
          <w:szCs w:val="28"/>
        </w:rPr>
        <w:t xml:space="preserve"> need not be “persuasive, or even plausible,”</w:t>
      </w:r>
      <w:r w:rsidR="00350E61">
        <w:rPr>
          <w:rStyle w:val="FootnoteReference"/>
          <w:rFonts w:ascii="Times New Roman" w:hAnsi="Times New Roman" w:cs="Times New Roman"/>
          <w:sz w:val="28"/>
          <w:szCs w:val="28"/>
        </w:rPr>
        <w:footnoteReference w:id="26"/>
      </w:r>
      <w:r w:rsidR="00350E61">
        <w:rPr>
          <w:rFonts w:ascii="Times New Roman" w:hAnsi="Times New Roman" w:cs="Times New Roman"/>
          <w:sz w:val="28"/>
          <w:szCs w:val="28"/>
        </w:rPr>
        <w:t xml:space="preserve"> and</w:t>
      </w:r>
      <w:r w:rsidR="00D218CE">
        <w:rPr>
          <w:rFonts w:ascii="Times New Roman" w:hAnsi="Times New Roman" w:cs="Times New Roman"/>
          <w:sz w:val="28"/>
          <w:szCs w:val="28"/>
        </w:rPr>
        <w:t xml:space="preserve"> </w:t>
      </w:r>
      <w:r w:rsidR="00232374">
        <w:rPr>
          <w:rFonts w:ascii="Times New Roman" w:hAnsi="Times New Roman" w:cs="Times New Roman"/>
          <w:sz w:val="28"/>
          <w:szCs w:val="28"/>
        </w:rPr>
        <w:t>can</w:t>
      </w:r>
      <w:r w:rsidR="00D218CE">
        <w:rPr>
          <w:rFonts w:ascii="Times New Roman" w:hAnsi="Times New Roman" w:cs="Times New Roman"/>
          <w:sz w:val="28"/>
          <w:szCs w:val="28"/>
        </w:rPr>
        <w:t xml:space="preserve"> include</w:t>
      </w:r>
      <w:r w:rsidR="00232374">
        <w:rPr>
          <w:rFonts w:ascii="Times New Roman" w:hAnsi="Times New Roman" w:cs="Times New Roman"/>
          <w:sz w:val="28"/>
          <w:szCs w:val="28"/>
        </w:rPr>
        <w:t xml:space="preserve"> </w:t>
      </w:r>
      <w:r w:rsidR="00B5234D">
        <w:rPr>
          <w:rFonts w:ascii="Times New Roman" w:hAnsi="Times New Roman" w:cs="Times New Roman"/>
          <w:sz w:val="28"/>
          <w:szCs w:val="28"/>
        </w:rPr>
        <w:t>inappropriate dress, physical appearance, age, body language, attitude, lack of family contact, and living in an area consisting predominantly of apartment complexes.</w:t>
      </w:r>
      <w:r w:rsidR="00B5234D">
        <w:rPr>
          <w:rStyle w:val="FootnoteReference"/>
          <w:rFonts w:ascii="Times New Roman" w:hAnsi="Times New Roman" w:cs="Times New Roman"/>
          <w:sz w:val="28"/>
          <w:szCs w:val="28"/>
        </w:rPr>
        <w:footnoteReference w:id="27"/>
      </w:r>
    </w:p>
    <w:p w14:paraId="4E5EA99E" w14:textId="05E71634" w:rsidR="00350E61" w:rsidRPr="006C7CF1" w:rsidRDefault="00232374" w:rsidP="008348C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Arizona courts </w:t>
      </w:r>
      <w:r w:rsidR="008348C1">
        <w:rPr>
          <w:rFonts w:ascii="Times New Roman" w:hAnsi="Times New Roman" w:cs="Times New Roman"/>
          <w:sz w:val="28"/>
          <w:szCs w:val="28"/>
        </w:rPr>
        <w:t xml:space="preserve">have failed to reject </w:t>
      </w:r>
      <w:r w:rsidR="004F00C9">
        <w:rPr>
          <w:rFonts w:ascii="Times New Roman" w:hAnsi="Times New Roman" w:cs="Times New Roman"/>
          <w:sz w:val="28"/>
          <w:szCs w:val="28"/>
        </w:rPr>
        <w:t xml:space="preserve">the use of peremptory strikes for </w:t>
      </w:r>
      <w:r w:rsidR="008348C1">
        <w:rPr>
          <w:rFonts w:ascii="Times New Roman" w:hAnsi="Times New Roman" w:cs="Times New Roman"/>
          <w:sz w:val="28"/>
          <w:szCs w:val="28"/>
        </w:rPr>
        <w:t>similar reasons</w:t>
      </w:r>
      <w:r>
        <w:rPr>
          <w:rFonts w:ascii="Times New Roman" w:hAnsi="Times New Roman" w:cs="Times New Roman"/>
          <w:sz w:val="28"/>
          <w:szCs w:val="28"/>
        </w:rPr>
        <w:t xml:space="preserve">. The Arizona Supreme Court has rejected </w:t>
      </w:r>
      <w:r>
        <w:rPr>
          <w:rFonts w:ascii="Times New Roman" w:hAnsi="Times New Roman" w:cs="Times New Roman"/>
          <w:i/>
          <w:iCs/>
          <w:sz w:val="28"/>
          <w:szCs w:val="28"/>
        </w:rPr>
        <w:t xml:space="preserve">Batson </w:t>
      </w:r>
      <w:r>
        <w:rPr>
          <w:rFonts w:ascii="Times New Roman" w:hAnsi="Times New Roman" w:cs="Times New Roman"/>
          <w:sz w:val="28"/>
          <w:szCs w:val="28"/>
        </w:rPr>
        <w:t xml:space="preserve">challenges </w:t>
      </w:r>
      <w:r w:rsidR="00350E61">
        <w:rPr>
          <w:rFonts w:ascii="Times New Roman" w:hAnsi="Times New Roman" w:cs="Times New Roman"/>
          <w:sz w:val="28"/>
          <w:szCs w:val="28"/>
        </w:rPr>
        <w:t>in cases where a prosecutor struck Black jurors for looking “stern” and “angry,” failing to make eye contact with prosecutors, and being “sympathetic” to drug users.</w:t>
      </w:r>
      <w:r w:rsidR="00350E61">
        <w:rPr>
          <w:rStyle w:val="FootnoteReference"/>
          <w:rFonts w:ascii="Times New Roman" w:hAnsi="Times New Roman" w:cs="Times New Roman"/>
          <w:sz w:val="28"/>
          <w:szCs w:val="28"/>
        </w:rPr>
        <w:footnoteReference w:id="28"/>
      </w:r>
      <w:r w:rsidR="00350E61">
        <w:rPr>
          <w:rFonts w:ascii="Times New Roman" w:hAnsi="Times New Roman" w:cs="Times New Roman"/>
          <w:sz w:val="28"/>
          <w:szCs w:val="28"/>
        </w:rPr>
        <w:t xml:space="preserve"> </w:t>
      </w:r>
      <w:r w:rsidR="008A1821">
        <w:rPr>
          <w:rFonts w:ascii="Times New Roman" w:hAnsi="Times New Roman" w:cs="Times New Roman"/>
          <w:sz w:val="28"/>
          <w:szCs w:val="28"/>
        </w:rPr>
        <w:t>The court has also accepted having family members with prior felony convictions and having a “blended” family as acceptable race-neutral justifications</w:t>
      </w:r>
      <w:r w:rsidR="004F00C9">
        <w:rPr>
          <w:rFonts w:ascii="Times New Roman" w:hAnsi="Times New Roman" w:cs="Times New Roman"/>
          <w:sz w:val="28"/>
          <w:szCs w:val="28"/>
        </w:rPr>
        <w:t xml:space="preserve"> for a peremptory strike</w:t>
      </w:r>
      <w:r w:rsidR="008A1821">
        <w:rPr>
          <w:rFonts w:ascii="Times New Roman" w:hAnsi="Times New Roman" w:cs="Times New Roman"/>
          <w:sz w:val="28"/>
          <w:szCs w:val="28"/>
        </w:rPr>
        <w:t>.</w:t>
      </w:r>
      <w:r w:rsidR="008A1821">
        <w:rPr>
          <w:rStyle w:val="FootnoteReference"/>
          <w:rFonts w:ascii="Times New Roman" w:hAnsi="Times New Roman" w:cs="Times New Roman"/>
          <w:sz w:val="28"/>
          <w:szCs w:val="28"/>
        </w:rPr>
        <w:footnoteReference w:id="29"/>
      </w:r>
      <w:r w:rsidR="008A1821">
        <w:rPr>
          <w:rFonts w:ascii="Times New Roman" w:hAnsi="Times New Roman" w:cs="Times New Roman"/>
          <w:sz w:val="28"/>
          <w:szCs w:val="28"/>
        </w:rPr>
        <w:t xml:space="preserve"> </w:t>
      </w:r>
      <w:r w:rsidR="004E396F">
        <w:rPr>
          <w:rFonts w:ascii="Times New Roman" w:hAnsi="Times New Roman" w:cs="Times New Roman"/>
          <w:sz w:val="28"/>
          <w:szCs w:val="28"/>
        </w:rPr>
        <w:t xml:space="preserve">Finally, </w:t>
      </w:r>
      <w:r w:rsidR="006B3BBE">
        <w:rPr>
          <w:rFonts w:ascii="Times New Roman" w:hAnsi="Times New Roman" w:cs="Times New Roman"/>
          <w:sz w:val="28"/>
          <w:szCs w:val="28"/>
        </w:rPr>
        <w:t xml:space="preserve">Arizona courts have found </w:t>
      </w:r>
      <w:r w:rsidR="00350E61">
        <w:rPr>
          <w:rFonts w:ascii="Times New Roman" w:hAnsi="Times New Roman" w:cs="Times New Roman"/>
          <w:sz w:val="28"/>
          <w:szCs w:val="28"/>
        </w:rPr>
        <w:t>“</w:t>
      </w:r>
      <w:r w:rsidR="006B3BBE">
        <w:rPr>
          <w:rFonts w:ascii="Times New Roman" w:hAnsi="Times New Roman" w:cs="Times New Roman"/>
          <w:sz w:val="28"/>
          <w:szCs w:val="28"/>
        </w:rPr>
        <w:t>a</w:t>
      </w:r>
      <w:r w:rsidR="00350E61">
        <w:rPr>
          <w:rFonts w:ascii="Times New Roman" w:hAnsi="Times New Roman" w:cs="Times New Roman"/>
          <w:sz w:val="28"/>
          <w:szCs w:val="28"/>
        </w:rPr>
        <w:t xml:space="preserve">ntipathy </w:t>
      </w:r>
      <w:r w:rsidR="00924F59">
        <w:rPr>
          <w:rFonts w:ascii="Times New Roman" w:hAnsi="Times New Roman" w:cs="Times New Roman"/>
          <w:sz w:val="28"/>
          <w:szCs w:val="28"/>
        </w:rPr>
        <w:t>toward police alone may constitute a valid reason to strike jurors when the State’s case relies on police testimony.”</w:t>
      </w:r>
      <w:r w:rsidR="007351EE">
        <w:rPr>
          <w:rStyle w:val="FootnoteReference"/>
          <w:rFonts w:ascii="Times New Roman" w:hAnsi="Times New Roman" w:cs="Times New Roman"/>
          <w:sz w:val="28"/>
          <w:szCs w:val="28"/>
        </w:rPr>
        <w:footnoteReference w:id="30"/>
      </w:r>
      <w:r w:rsidR="00924F59">
        <w:rPr>
          <w:rFonts w:ascii="Times New Roman" w:hAnsi="Times New Roman" w:cs="Times New Roman"/>
          <w:sz w:val="28"/>
          <w:szCs w:val="28"/>
        </w:rPr>
        <w:t xml:space="preserve"> </w:t>
      </w:r>
      <w:r w:rsidR="004E396F">
        <w:rPr>
          <w:rFonts w:ascii="Times New Roman" w:hAnsi="Times New Roman" w:cs="Times New Roman"/>
          <w:sz w:val="28"/>
          <w:szCs w:val="28"/>
        </w:rPr>
        <w:lastRenderedPageBreak/>
        <w:t>Many of these</w:t>
      </w:r>
      <w:r w:rsidR="008348C1">
        <w:rPr>
          <w:rFonts w:ascii="Times New Roman" w:hAnsi="Times New Roman" w:cs="Times New Roman"/>
          <w:sz w:val="28"/>
          <w:szCs w:val="28"/>
        </w:rPr>
        <w:t xml:space="preserve"> excuses have historically been tied to the life experiences of jurors of color. </w:t>
      </w:r>
      <w:r w:rsidR="006C7CF1">
        <w:rPr>
          <w:rFonts w:ascii="Times New Roman" w:hAnsi="Times New Roman" w:cs="Times New Roman"/>
          <w:sz w:val="28"/>
          <w:szCs w:val="28"/>
        </w:rPr>
        <w:t xml:space="preserve">If such pat excuses can extinguish an allegation of racial discrimination in jury selection, </w:t>
      </w:r>
      <w:r w:rsidR="006C7CF1">
        <w:rPr>
          <w:rFonts w:ascii="Times New Roman" w:hAnsi="Times New Roman" w:cs="Times New Roman"/>
          <w:i/>
          <w:iCs/>
          <w:sz w:val="28"/>
          <w:szCs w:val="28"/>
        </w:rPr>
        <w:t xml:space="preserve">Batson </w:t>
      </w:r>
      <w:r w:rsidR="006C7CF1">
        <w:rPr>
          <w:rFonts w:ascii="Times New Roman" w:hAnsi="Times New Roman" w:cs="Times New Roman"/>
          <w:sz w:val="28"/>
          <w:szCs w:val="28"/>
        </w:rPr>
        <w:t xml:space="preserve">is surely not working as it was intended. By adopting the proposed amendment to Rule 24, this Court will be taking a </w:t>
      </w:r>
      <w:r w:rsidR="008348C1">
        <w:rPr>
          <w:rFonts w:ascii="Times New Roman" w:hAnsi="Times New Roman" w:cs="Times New Roman"/>
          <w:sz w:val="28"/>
          <w:szCs w:val="28"/>
        </w:rPr>
        <w:t>much-needed</w:t>
      </w:r>
      <w:r w:rsidR="006C7CF1">
        <w:rPr>
          <w:rFonts w:ascii="Times New Roman" w:hAnsi="Times New Roman" w:cs="Times New Roman"/>
          <w:sz w:val="28"/>
          <w:szCs w:val="28"/>
        </w:rPr>
        <w:t xml:space="preserve"> step towards ending the </w:t>
      </w:r>
      <w:r w:rsidR="004F00C9">
        <w:rPr>
          <w:rFonts w:ascii="Times New Roman" w:hAnsi="Times New Roman" w:cs="Times New Roman"/>
          <w:sz w:val="28"/>
          <w:szCs w:val="28"/>
        </w:rPr>
        <w:t>“charade”</w:t>
      </w:r>
      <w:r w:rsidR="006C7CF1">
        <w:rPr>
          <w:rFonts w:ascii="Times New Roman" w:hAnsi="Times New Roman" w:cs="Times New Roman"/>
          <w:sz w:val="28"/>
          <w:szCs w:val="28"/>
        </w:rPr>
        <w:t xml:space="preserve"> that has become the </w:t>
      </w:r>
      <w:r w:rsidR="006C7CF1">
        <w:rPr>
          <w:rFonts w:ascii="Times New Roman" w:hAnsi="Times New Roman" w:cs="Times New Roman"/>
          <w:i/>
          <w:iCs/>
          <w:sz w:val="28"/>
          <w:szCs w:val="28"/>
        </w:rPr>
        <w:t xml:space="preserve">Batson </w:t>
      </w:r>
      <w:r w:rsidR="006C7CF1">
        <w:rPr>
          <w:rFonts w:ascii="Times New Roman" w:hAnsi="Times New Roman" w:cs="Times New Roman"/>
          <w:sz w:val="28"/>
          <w:szCs w:val="28"/>
        </w:rPr>
        <w:t xml:space="preserve">process </w:t>
      </w:r>
      <w:r w:rsidR="004F00C9">
        <w:rPr>
          <w:rFonts w:ascii="Times New Roman" w:hAnsi="Times New Roman" w:cs="Times New Roman"/>
          <w:sz w:val="28"/>
          <w:szCs w:val="28"/>
        </w:rPr>
        <w:t>by helping</w:t>
      </w:r>
      <w:r w:rsidR="006C7CF1">
        <w:rPr>
          <w:rFonts w:ascii="Times New Roman" w:hAnsi="Times New Roman" w:cs="Times New Roman"/>
          <w:sz w:val="28"/>
          <w:szCs w:val="28"/>
        </w:rPr>
        <w:t xml:space="preserve"> ensure that race-based peremptory challenges become a thing of the past.</w:t>
      </w:r>
    </w:p>
    <w:p w14:paraId="51BF47CD" w14:textId="6F463CF3" w:rsidR="004F00C9" w:rsidRDefault="001851C7" w:rsidP="004F00C9">
      <w:pPr>
        <w:pStyle w:val="NoSpacing"/>
        <w:numPr>
          <w:ilvl w:val="1"/>
          <w:numId w:val="1"/>
        </w:numPr>
        <w:jc w:val="both"/>
        <w:rPr>
          <w:rFonts w:ascii="Times New Roman" w:hAnsi="Times New Roman" w:cs="Times New Roman"/>
          <w:b/>
          <w:bCs/>
          <w:sz w:val="28"/>
          <w:szCs w:val="28"/>
        </w:rPr>
      </w:pPr>
      <w:r w:rsidRPr="00AD426C">
        <w:rPr>
          <w:rFonts w:ascii="Times New Roman" w:hAnsi="Times New Roman" w:cs="Times New Roman"/>
          <w:b/>
          <w:bCs/>
          <w:i/>
          <w:iCs/>
          <w:sz w:val="28"/>
          <w:szCs w:val="28"/>
        </w:rPr>
        <w:t>Batson</w:t>
      </w:r>
      <w:r>
        <w:rPr>
          <w:rFonts w:ascii="Times New Roman" w:hAnsi="Times New Roman" w:cs="Times New Roman"/>
          <w:b/>
          <w:bCs/>
          <w:sz w:val="28"/>
          <w:szCs w:val="28"/>
        </w:rPr>
        <w:t xml:space="preserve"> Allows States to Adopt Procedures to </w:t>
      </w:r>
      <w:r w:rsidR="00022B43">
        <w:rPr>
          <w:rFonts w:ascii="Times New Roman" w:hAnsi="Times New Roman" w:cs="Times New Roman"/>
          <w:b/>
          <w:bCs/>
          <w:sz w:val="28"/>
          <w:szCs w:val="28"/>
        </w:rPr>
        <w:t xml:space="preserve">Better </w:t>
      </w:r>
      <w:r>
        <w:rPr>
          <w:rFonts w:ascii="Times New Roman" w:hAnsi="Times New Roman" w:cs="Times New Roman"/>
          <w:b/>
          <w:bCs/>
          <w:sz w:val="28"/>
          <w:szCs w:val="28"/>
        </w:rPr>
        <w:t>Effectuate the Constitutional Guarantee of Racially Bias-Free Jury Selection</w:t>
      </w:r>
    </w:p>
    <w:p w14:paraId="2A3693D1" w14:textId="77777777" w:rsidR="004F00C9" w:rsidRPr="004F00C9" w:rsidRDefault="004F00C9" w:rsidP="004F00C9">
      <w:pPr>
        <w:pStyle w:val="NoSpacing"/>
        <w:jc w:val="both"/>
        <w:rPr>
          <w:rFonts w:ascii="Times New Roman" w:hAnsi="Times New Roman" w:cs="Times New Roman"/>
          <w:b/>
          <w:bCs/>
          <w:sz w:val="28"/>
          <w:szCs w:val="28"/>
        </w:rPr>
      </w:pPr>
    </w:p>
    <w:p w14:paraId="7095A72A" w14:textId="677EF77A" w:rsidR="00C63BB2" w:rsidRDefault="00C63BB2" w:rsidP="008D2A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Supreme Court has left it to state courts to create their own procedures “to be followed upon a defendant’s timely objection to a prosecutor’s challenge.”</w:t>
      </w:r>
      <w:r>
        <w:rPr>
          <w:rStyle w:val="FootnoteReference"/>
          <w:rFonts w:ascii="Times New Roman" w:hAnsi="Times New Roman" w:cs="Times New Roman"/>
          <w:sz w:val="28"/>
          <w:szCs w:val="28"/>
        </w:rPr>
        <w:footnoteReference w:id="31"/>
      </w:r>
      <w:r>
        <w:rPr>
          <w:rFonts w:ascii="Times New Roman" w:hAnsi="Times New Roman" w:cs="Times New Roman"/>
          <w:sz w:val="28"/>
          <w:szCs w:val="28"/>
        </w:rPr>
        <w:t xml:space="preserve"> </w:t>
      </w:r>
      <w:r w:rsidR="008D2AD0">
        <w:rPr>
          <w:rFonts w:ascii="Times New Roman" w:hAnsi="Times New Roman" w:cs="Times New Roman"/>
          <w:sz w:val="28"/>
          <w:szCs w:val="28"/>
        </w:rPr>
        <w:t xml:space="preserve">Indeed, </w:t>
      </w:r>
      <w:r w:rsidR="008D2AD0" w:rsidRPr="00FE7853">
        <w:rPr>
          <w:rFonts w:ascii="Times New Roman" w:hAnsi="Times New Roman" w:cs="Times New Roman"/>
          <w:sz w:val="28"/>
          <w:szCs w:val="28"/>
        </w:rPr>
        <w:t>the Supreme Court made “no attempt to instruct” state or federal courts about how they should implement the Court’s ultimate holding</w:t>
      </w:r>
      <w:r w:rsidR="008D2AD0">
        <w:rPr>
          <w:rFonts w:ascii="Times New Roman" w:hAnsi="Times New Roman" w:cs="Times New Roman"/>
          <w:sz w:val="28"/>
          <w:szCs w:val="28"/>
        </w:rPr>
        <w:t xml:space="preserve"> in </w:t>
      </w:r>
      <w:r w:rsidR="008D2AD0">
        <w:rPr>
          <w:rFonts w:ascii="Times New Roman" w:hAnsi="Times New Roman" w:cs="Times New Roman"/>
          <w:i/>
          <w:iCs/>
          <w:sz w:val="28"/>
          <w:szCs w:val="28"/>
        </w:rPr>
        <w:t>Batson</w:t>
      </w:r>
      <w:r w:rsidR="008D2AD0" w:rsidRPr="00FE7853">
        <w:rPr>
          <w:rFonts w:ascii="Times New Roman" w:hAnsi="Times New Roman" w:cs="Times New Roman"/>
          <w:sz w:val="28"/>
          <w:szCs w:val="28"/>
        </w:rPr>
        <w:t>.</w:t>
      </w:r>
      <w:r w:rsidR="008D2AD0" w:rsidRPr="00FE7853">
        <w:rPr>
          <w:rStyle w:val="FootnoteReference"/>
          <w:rFonts w:ascii="Times New Roman" w:hAnsi="Times New Roman" w:cs="Times New Roman"/>
          <w:sz w:val="28"/>
          <w:szCs w:val="28"/>
        </w:rPr>
        <w:footnoteReference w:id="32"/>
      </w:r>
      <w:r w:rsidR="008D2AD0">
        <w:rPr>
          <w:rFonts w:ascii="Times New Roman" w:hAnsi="Times New Roman" w:cs="Times New Roman"/>
          <w:sz w:val="28"/>
          <w:szCs w:val="28"/>
        </w:rPr>
        <w:t xml:space="preserve"> </w:t>
      </w:r>
      <w:r w:rsidR="005C3E3C">
        <w:rPr>
          <w:rFonts w:ascii="Times New Roman" w:hAnsi="Times New Roman" w:cs="Times New Roman"/>
          <w:sz w:val="28"/>
          <w:szCs w:val="28"/>
        </w:rPr>
        <w:t>Thus, c</w:t>
      </w:r>
      <w:r w:rsidR="002006B4">
        <w:rPr>
          <w:rFonts w:ascii="Times New Roman" w:hAnsi="Times New Roman" w:cs="Times New Roman"/>
          <w:sz w:val="28"/>
          <w:szCs w:val="28"/>
        </w:rPr>
        <w:t xml:space="preserve">ourts have taken this opportunity to devise a variety of approaches to </w:t>
      </w:r>
      <w:r w:rsidR="00747CB1">
        <w:rPr>
          <w:rFonts w:ascii="Times New Roman" w:hAnsi="Times New Roman" w:cs="Times New Roman"/>
          <w:sz w:val="28"/>
          <w:szCs w:val="28"/>
        </w:rPr>
        <w:t xml:space="preserve">better </w:t>
      </w:r>
      <w:r w:rsidR="002006B4">
        <w:rPr>
          <w:rFonts w:ascii="Times New Roman" w:hAnsi="Times New Roman" w:cs="Times New Roman"/>
          <w:sz w:val="28"/>
          <w:szCs w:val="28"/>
        </w:rPr>
        <w:t xml:space="preserve">combat </w:t>
      </w:r>
      <w:r w:rsidR="002C5AE8">
        <w:rPr>
          <w:rFonts w:ascii="Times New Roman" w:hAnsi="Times New Roman" w:cs="Times New Roman"/>
          <w:sz w:val="28"/>
          <w:szCs w:val="28"/>
        </w:rPr>
        <w:t>racially biased</w:t>
      </w:r>
      <w:r w:rsidR="002006B4">
        <w:rPr>
          <w:rFonts w:ascii="Times New Roman" w:hAnsi="Times New Roman" w:cs="Times New Roman"/>
          <w:sz w:val="28"/>
          <w:szCs w:val="28"/>
        </w:rPr>
        <w:t xml:space="preserve"> jury selection.</w:t>
      </w:r>
      <w:r w:rsidR="002006B4">
        <w:rPr>
          <w:rStyle w:val="FootnoteReference"/>
          <w:rFonts w:ascii="Times New Roman" w:hAnsi="Times New Roman" w:cs="Times New Roman"/>
          <w:sz w:val="28"/>
          <w:szCs w:val="28"/>
        </w:rPr>
        <w:footnoteReference w:id="33"/>
      </w:r>
      <w:r w:rsidR="002006B4">
        <w:rPr>
          <w:rFonts w:ascii="Times New Roman" w:hAnsi="Times New Roman" w:cs="Times New Roman"/>
          <w:sz w:val="28"/>
          <w:szCs w:val="28"/>
        </w:rPr>
        <w:t xml:space="preserve"> </w:t>
      </w:r>
    </w:p>
    <w:p w14:paraId="1AFD1042" w14:textId="32D69B0B" w:rsidR="00C22D60" w:rsidRDefault="004E396F"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Washington is o</w:t>
      </w:r>
      <w:r w:rsidR="005374DD">
        <w:rPr>
          <w:rFonts w:ascii="Times New Roman" w:hAnsi="Times New Roman" w:cs="Times New Roman"/>
          <w:sz w:val="28"/>
          <w:szCs w:val="28"/>
        </w:rPr>
        <w:t xml:space="preserve">ne state that has taken </w:t>
      </w:r>
      <w:r w:rsidR="002C5AE8">
        <w:rPr>
          <w:rFonts w:ascii="Times New Roman" w:hAnsi="Times New Roman" w:cs="Times New Roman"/>
          <w:sz w:val="28"/>
          <w:szCs w:val="28"/>
        </w:rPr>
        <w:t xml:space="preserve">a </w:t>
      </w:r>
      <w:r w:rsidR="005374DD">
        <w:rPr>
          <w:rFonts w:ascii="Times New Roman" w:hAnsi="Times New Roman" w:cs="Times New Roman"/>
          <w:sz w:val="28"/>
          <w:szCs w:val="28"/>
        </w:rPr>
        <w:t>necessary</w:t>
      </w:r>
      <w:r w:rsidR="00C22D60">
        <w:rPr>
          <w:rFonts w:ascii="Times New Roman" w:hAnsi="Times New Roman" w:cs="Times New Roman"/>
          <w:sz w:val="28"/>
          <w:szCs w:val="28"/>
        </w:rPr>
        <w:t xml:space="preserve"> step</w:t>
      </w:r>
      <w:r w:rsidR="005374DD">
        <w:rPr>
          <w:rFonts w:ascii="Times New Roman" w:hAnsi="Times New Roman" w:cs="Times New Roman"/>
          <w:sz w:val="28"/>
          <w:szCs w:val="28"/>
        </w:rPr>
        <w:t xml:space="preserve"> to </w:t>
      </w:r>
      <w:r w:rsidR="002C5AE8">
        <w:rPr>
          <w:rFonts w:ascii="Times New Roman" w:hAnsi="Times New Roman" w:cs="Times New Roman"/>
          <w:sz w:val="28"/>
          <w:szCs w:val="28"/>
        </w:rPr>
        <w:t xml:space="preserve">better </w:t>
      </w:r>
      <w:r w:rsidR="005374DD">
        <w:rPr>
          <w:rFonts w:ascii="Times New Roman" w:hAnsi="Times New Roman" w:cs="Times New Roman"/>
          <w:sz w:val="28"/>
          <w:szCs w:val="28"/>
        </w:rPr>
        <w:t xml:space="preserve">combat </w:t>
      </w:r>
      <w:r w:rsidR="002C5AE8">
        <w:rPr>
          <w:rFonts w:ascii="Times New Roman" w:hAnsi="Times New Roman" w:cs="Times New Roman"/>
          <w:sz w:val="28"/>
          <w:szCs w:val="28"/>
        </w:rPr>
        <w:t>racial</w:t>
      </w:r>
      <w:r w:rsidR="006E3BE0">
        <w:rPr>
          <w:rFonts w:ascii="Times New Roman" w:hAnsi="Times New Roman" w:cs="Times New Roman"/>
          <w:sz w:val="28"/>
          <w:szCs w:val="28"/>
        </w:rPr>
        <w:t xml:space="preserve"> discrimination in jury selection. In 2018, Washington adopted General Rule </w:t>
      </w:r>
      <w:r w:rsidR="002C5AE8">
        <w:rPr>
          <w:rFonts w:ascii="Times New Roman" w:hAnsi="Times New Roman" w:cs="Times New Roman"/>
          <w:sz w:val="28"/>
          <w:szCs w:val="28"/>
        </w:rPr>
        <w:t>3</w:t>
      </w:r>
      <w:r w:rsidR="006E3BE0">
        <w:rPr>
          <w:rFonts w:ascii="Times New Roman" w:hAnsi="Times New Roman" w:cs="Times New Roman"/>
          <w:sz w:val="28"/>
          <w:szCs w:val="28"/>
        </w:rPr>
        <w:t>7,</w:t>
      </w:r>
      <w:r w:rsidR="00D058E4">
        <w:rPr>
          <w:rFonts w:ascii="Times New Roman" w:hAnsi="Times New Roman" w:cs="Times New Roman"/>
          <w:sz w:val="28"/>
          <w:szCs w:val="28"/>
        </w:rPr>
        <w:t xml:space="preserve"> which</w:t>
      </w:r>
      <w:r w:rsidR="006E3BE0">
        <w:rPr>
          <w:rFonts w:ascii="Times New Roman" w:hAnsi="Times New Roman" w:cs="Times New Roman"/>
          <w:sz w:val="28"/>
          <w:szCs w:val="28"/>
        </w:rPr>
        <w:t xml:space="preserve"> is </w:t>
      </w:r>
      <w:r w:rsidR="00D058E4">
        <w:rPr>
          <w:rFonts w:ascii="Times New Roman" w:hAnsi="Times New Roman" w:cs="Times New Roman"/>
          <w:sz w:val="28"/>
          <w:szCs w:val="28"/>
        </w:rPr>
        <w:t>virtually</w:t>
      </w:r>
      <w:r w:rsidR="006E3BE0">
        <w:rPr>
          <w:rFonts w:ascii="Times New Roman" w:hAnsi="Times New Roman" w:cs="Times New Roman"/>
          <w:sz w:val="28"/>
          <w:szCs w:val="28"/>
        </w:rPr>
        <w:t xml:space="preserve"> identical to </w:t>
      </w:r>
      <w:r w:rsidR="007351EE">
        <w:rPr>
          <w:rFonts w:ascii="Times New Roman" w:hAnsi="Times New Roman" w:cs="Times New Roman"/>
          <w:sz w:val="28"/>
          <w:szCs w:val="28"/>
        </w:rPr>
        <w:t xml:space="preserve">the proposed amendment to Rule </w:t>
      </w:r>
      <w:r w:rsidR="00D058E4">
        <w:rPr>
          <w:rFonts w:ascii="Times New Roman" w:hAnsi="Times New Roman" w:cs="Times New Roman"/>
          <w:sz w:val="28"/>
          <w:szCs w:val="28"/>
        </w:rPr>
        <w:t>24.</w:t>
      </w:r>
      <w:r w:rsidR="006C7CF1">
        <w:rPr>
          <w:rFonts w:ascii="Times New Roman" w:hAnsi="Times New Roman" w:cs="Times New Roman"/>
          <w:sz w:val="28"/>
          <w:szCs w:val="28"/>
        </w:rPr>
        <w:t xml:space="preserve"> </w:t>
      </w:r>
      <w:r w:rsidR="002C5AE8">
        <w:rPr>
          <w:rFonts w:ascii="Times New Roman" w:hAnsi="Times New Roman" w:cs="Times New Roman"/>
          <w:sz w:val="28"/>
          <w:szCs w:val="28"/>
        </w:rPr>
        <w:t xml:space="preserve">Like this </w:t>
      </w:r>
      <w:r w:rsidR="002C5AE8">
        <w:rPr>
          <w:rFonts w:ascii="Times New Roman" w:hAnsi="Times New Roman" w:cs="Times New Roman"/>
          <w:sz w:val="28"/>
          <w:szCs w:val="28"/>
        </w:rPr>
        <w:lastRenderedPageBreak/>
        <w:t xml:space="preserve">proposed rule change, Washington’s adoption of General Rule 37 was aimed at </w:t>
      </w:r>
      <w:r w:rsidR="008D2AD0">
        <w:rPr>
          <w:rFonts w:ascii="Times New Roman" w:hAnsi="Times New Roman" w:cs="Times New Roman"/>
          <w:sz w:val="28"/>
          <w:szCs w:val="28"/>
        </w:rPr>
        <w:t>eliminating both implicit and intentional racial bias in jury selection</w:t>
      </w:r>
      <w:r w:rsidR="00941871">
        <w:rPr>
          <w:rFonts w:ascii="Times New Roman" w:hAnsi="Times New Roman" w:cs="Times New Roman"/>
          <w:sz w:val="28"/>
          <w:szCs w:val="28"/>
        </w:rPr>
        <w:t xml:space="preserve"> and was adopted after extensive review and study through the Washington Supreme Court’s Minority Justice Symposium</w:t>
      </w:r>
      <w:r w:rsidR="008D2AD0">
        <w:rPr>
          <w:rFonts w:ascii="Times New Roman" w:hAnsi="Times New Roman" w:cs="Times New Roman"/>
          <w:sz w:val="28"/>
          <w:szCs w:val="28"/>
        </w:rPr>
        <w:t>.</w:t>
      </w:r>
      <w:r w:rsidR="00941871">
        <w:rPr>
          <w:rStyle w:val="FootnoteReference"/>
          <w:rFonts w:ascii="Times New Roman" w:hAnsi="Times New Roman" w:cs="Times New Roman"/>
          <w:sz w:val="28"/>
          <w:szCs w:val="28"/>
        </w:rPr>
        <w:footnoteReference w:id="34"/>
      </w:r>
      <w:r w:rsidR="00B36C2A">
        <w:rPr>
          <w:rFonts w:ascii="Times New Roman" w:hAnsi="Times New Roman" w:cs="Times New Roman"/>
          <w:sz w:val="28"/>
          <w:szCs w:val="28"/>
        </w:rPr>
        <w:t xml:space="preserve">  </w:t>
      </w:r>
      <w:r w:rsidR="0050043E">
        <w:rPr>
          <w:rFonts w:ascii="Times New Roman" w:hAnsi="Times New Roman" w:cs="Times New Roman"/>
          <w:sz w:val="28"/>
          <w:szCs w:val="28"/>
        </w:rPr>
        <w:t>As in Washington, t</w:t>
      </w:r>
      <w:r w:rsidR="00B36C2A">
        <w:rPr>
          <w:rFonts w:ascii="Times New Roman" w:hAnsi="Times New Roman" w:cs="Times New Roman"/>
          <w:sz w:val="28"/>
          <w:szCs w:val="28"/>
        </w:rPr>
        <w:t xml:space="preserve">he adoption of this rule change in Arizona is necessary to </w:t>
      </w:r>
      <w:r w:rsidR="00B36C2A" w:rsidRPr="00FE7853">
        <w:rPr>
          <w:rFonts w:ascii="Times New Roman" w:hAnsi="Times New Roman" w:cs="Times New Roman"/>
          <w:sz w:val="28"/>
          <w:szCs w:val="28"/>
        </w:rPr>
        <w:t xml:space="preserve">protect the right of </w:t>
      </w:r>
      <w:r w:rsidR="00B36C2A">
        <w:rPr>
          <w:rFonts w:ascii="Times New Roman" w:hAnsi="Times New Roman" w:cs="Times New Roman"/>
          <w:sz w:val="28"/>
          <w:szCs w:val="28"/>
        </w:rPr>
        <w:t xml:space="preserve">the criminally accused </w:t>
      </w:r>
      <w:r w:rsidR="00B36C2A" w:rsidRPr="00FE7853">
        <w:rPr>
          <w:rFonts w:ascii="Times New Roman" w:hAnsi="Times New Roman" w:cs="Times New Roman"/>
          <w:sz w:val="28"/>
          <w:szCs w:val="28"/>
        </w:rPr>
        <w:t>to a fair and impartial jury select</w:t>
      </w:r>
      <w:r w:rsidR="00C22D60">
        <w:rPr>
          <w:rFonts w:ascii="Times New Roman" w:hAnsi="Times New Roman" w:cs="Times New Roman"/>
          <w:sz w:val="28"/>
          <w:szCs w:val="28"/>
        </w:rPr>
        <w:t>ion process</w:t>
      </w:r>
      <w:r w:rsidR="00B36C2A" w:rsidRPr="00FE7853">
        <w:rPr>
          <w:rFonts w:ascii="Times New Roman" w:hAnsi="Times New Roman" w:cs="Times New Roman"/>
          <w:sz w:val="28"/>
          <w:szCs w:val="28"/>
        </w:rPr>
        <w:t>.</w:t>
      </w:r>
      <w:r w:rsidR="00B36C2A">
        <w:rPr>
          <w:rStyle w:val="FootnoteReference"/>
          <w:rFonts w:ascii="Times New Roman" w:hAnsi="Times New Roman" w:cs="Times New Roman"/>
          <w:sz w:val="28"/>
          <w:szCs w:val="28"/>
        </w:rPr>
        <w:footnoteReference w:id="35"/>
      </w:r>
    </w:p>
    <w:p w14:paraId="23178FA6" w14:textId="25239263" w:rsidR="00B36C2A" w:rsidRDefault="00C22D60"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Importantly, the adoption of this rule change </w:t>
      </w:r>
      <w:r w:rsidR="00B36C2A" w:rsidRPr="00FE7853">
        <w:rPr>
          <w:rFonts w:ascii="Times New Roman" w:hAnsi="Times New Roman" w:cs="Times New Roman"/>
          <w:sz w:val="28"/>
          <w:szCs w:val="28"/>
        </w:rPr>
        <w:t xml:space="preserve">will </w:t>
      </w:r>
      <w:r w:rsidR="00B36C2A">
        <w:rPr>
          <w:rFonts w:ascii="Times New Roman" w:hAnsi="Times New Roman" w:cs="Times New Roman"/>
          <w:sz w:val="28"/>
          <w:szCs w:val="28"/>
        </w:rPr>
        <w:t xml:space="preserve">also </w:t>
      </w:r>
      <w:r w:rsidR="00B36C2A" w:rsidRPr="00FE7853">
        <w:rPr>
          <w:rFonts w:ascii="Times New Roman" w:hAnsi="Times New Roman" w:cs="Times New Roman"/>
          <w:sz w:val="28"/>
          <w:szCs w:val="28"/>
        </w:rPr>
        <w:t>protect the rights of jurors to serve, as “[p]eople excluded from juries because of their race are as much aggrieved as those indicted and tried by juries chosen under a system of racial exclusion.”</w:t>
      </w:r>
      <w:r w:rsidR="00B36C2A" w:rsidRPr="00FE7853">
        <w:rPr>
          <w:rStyle w:val="FootnoteReference"/>
          <w:rFonts w:ascii="Times New Roman" w:hAnsi="Times New Roman" w:cs="Times New Roman"/>
          <w:sz w:val="28"/>
          <w:szCs w:val="28"/>
        </w:rPr>
        <w:footnoteReference w:id="36"/>
      </w:r>
      <w:r w:rsidR="00B36C2A" w:rsidRPr="00FE7853">
        <w:rPr>
          <w:rFonts w:ascii="Times New Roman" w:hAnsi="Times New Roman" w:cs="Times New Roman"/>
          <w:sz w:val="28"/>
          <w:szCs w:val="28"/>
        </w:rPr>
        <w:t xml:space="preserve"> </w:t>
      </w:r>
      <w:r w:rsidR="00B36C2A">
        <w:rPr>
          <w:rFonts w:ascii="Times New Roman" w:hAnsi="Times New Roman" w:cs="Times New Roman"/>
          <w:sz w:val="28"/>
          <w:szCs w:val="28"/>
        </w:rPr>
        <w:t>Moreover, adoption of this rule change</w:t>
      </w:r>
      <w:r w:rsidR="00B36C2A" w:rsidRPr="00FE7853">
        <w:rPr>
          <w:rFonts w:ascii="Times New Roman" w:hAnsi="Times New Roman" w:cs="Times New Roman"/>
          <w:sz w:val="28"/>
          <w:szCs w:val="28"/>
        </w:rPr>
        <w:t xml:space="preserve"> will build public confidence in the fairness of our courts and our system of justice. As the Supreme Court has repeatedly observed, “[r]ace discrimination within the courtroom raises serious questions as to the fairness of the proceedings conducted there. Racial bias mars the integrity of the judicial system, and prevents the idea of democratic government from becoming a reality.”</w:t>
      </w:r>
      <w:r w:rsidR="00B36C2A" w:rsidRPr="00FE7853">
        <w:rPr>
          <w:rStyle w:val="FootnoteReference"/>
          <w:rFonts w:ascii="Times New Roman" w:hAnsi="Times New Roman" w:cs="Times New Roman"/>
          <w:sz w:val="28"/>
          <w:szCs w:val="28"/>
        </w:rPr>
        <w:footnoteReference w:id="37"/>
      </w:r>
      <w:r w:rsidR="0050043E">
        <w:rPr>
          <w:rFonts w:ascii="Times New Roman" w:hAnsi="Times New Roman" w:cs="Times New Roman"/>
          <w:sz w:val="28"/>
          <w:szCs w:val="28"/>
        </w:rPr>
        <w:t xml:space="preserve">  For these reasons, Arizona should join Washington in adopting this necessary rule change.</w:t>
      </w:r>
    </w:p>
    <w:p w14:paraId="31C914E5" w14:textId="6DD93578" w:rsidR="00B36C2A" w:rsidRPr="00B36C2A" w:rsidRDefault="00B36C2A" w:rsidP="00B36C2A">
      <w:pPr>
        <w:pStyle w:val="ListParagraph"/>
        <w:numPr>
          <w:ilvl w:val="0"/>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Conclusion</w:t>
      </w:r>
    </w:p>
    <w:p w14:paraId="4CA180D6" w14:textId="7CE09563" w:rsidR="006C7CF1" w:rsidRPr="00B36C2A" w:rsidRDefault="004D4A1D" w:rsidP="00B36C2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Additional</w:t>
      </w:r>
      <w:r w:rsidR="006C7CF1">
        <w:rPr>
          <w:rFonts w:ascii="Times New Roman" w:hAnsi="Times New Roman" w:cs="Times New Roman"/>
          <w:sz w:val="28"/>
          <w:szCs w:val="28"/>
        </w:rPr>
        <w:t>, more robust protections are needed to prevent race-based discrimination in jury selection</w:t>
      </w:r>
      <w:r w:rsidR="00B36C2A">
        <w:rPr>
          <w:rFonts w:ascii="Times New Roman" w:hAnsi="Times New Roman" w:cs="Times New Roman"/>
          <w:sz w:val="28"/>
          <w:szCs w:val="28"/>
        </w:rPr>
        <w:t xml:space="preserve"> in Arizona.</w:t>
      </w:r>
      <w:r w:rsidR="006C7CF1">
        <w:rPr>
          <w:rFonts w:ascii="Times New Roman" w:hAnsi="Times New Roman" w:cs="Times New Roman"/>
          <w:sz w:val="28"/>
          <w:szCs w:val="28"/>
        </w:rPr>
        <w:t xml:space="preserve"> The proposed </w:t>
      </w:r>
      <w:r w:rsidR="00AD426C">
        <w:rPr>
          <w:rFonts w:ascii="Times New Roman" w:hAnsi="Times New Roman" w:cs="Times New Roman"/>
          <w:sz w:val="28"/>
          <w:szCs w:val="28"/>
        </w:rPr>
        <w:t>adoption of</w:t>
      </w:r>
      <w:r w:rsidR="006C7CF1">
        <w:rPr>
          <w:rFonts w:ascii="Times New Roman" w:hAnsi="Times New Roman" w:cs="Times New Roman"/>
          <w:sz w:val="28"/>
          <w:szCs w:val="28"/>
        </w:rPr>
        <w:t xml:space="preserve"> Rule 24</w:t>
      </w:r>
      <w:r w:rsidR="00B36C2A">
        <w:rPr>
          <w:rFonts w:ascii="Times New Roman" w:hAnsi="Times New Roman" w:cs="Times New Roman"/>
          <w:sz w:val="28"/>
          <w:szCs w:val="28"/>
        </w:rPr>
        <w:t xml:space="preserve"> is a first step in realizing the constitutional guarantee to racially bias-free jury selection and should be adopted</w:t>
      </w:r>
      <w:r w:rsidR="006C7CF1">
        <w:rPr>
          <w:rFonts w:ascii="Times New Roman" w:hAnsi="Times New Roman" w:cs="Times New Roman"/>
          <w:sz w:val="28"/>
          <w:szCs w:val="28"/>
        </w:rPr>
        <w:t xml:space="preserve">.  </w:t>
      </w:r>
    </w:p>
    <w:p w14:paraId="045849FD" w14:textId="5FDA8F3E" w:rsidR="00B36C2A" w:rsidRPr="009A3F81" w:rsidRDefault="00FD55C9" w:rsidP="00B36C2A">
      <w:pPr>
        <w:autoSpaceDE w:val="0"/>
        <w:autoSpaceDN w:val="0"/>
        <w:adjustRightInd w:val="0"/>
        <w:ind w:left="720"/>
        <w:rPr>
          <w:rFonts w:ascii="Times New Roman" w:hAnsi="Times New Roman" w:cs="Times New Roman"/>
          <w:sz w:val="28"/>
          <w:szCs w:val="28"/>
        </w:rPr>
      </w:pPr>
      <w:r w:rsidRPr="00FD55C9">
        <w:rPr>
          <w:rFonts w:ascii="Times New Roman" w:hAnsi="Times New Roman" w:cs="Times New Roman"/>
          <w:sz w:val="28"/>
          <w:szCs w:val="28"/>
        </w:rPr>
        <w:t xml:space="preserve"> </w:t>
      </w:r>
      <w:r w:rsidR="00B36C2A" w:rsidRPr="009A3F81">
        <w:rPr>
          <w:rFonts w:ascii="Times New Roman" w:hAnsi="Times New Roman" w:cs="Times New Roman"/>
          <w:sz w:val="28"/>
          <w:szCs w:val="28"/>
        </w:rPr>
        <w:t xml:space="preserve">Respectfully submitted, this </w:t>
      </w:r>
      <w:r w:rsidR="00B36C2A">
        <w:rPr>
          <w:rFonts w:ascii="Times New Roman" w:hAnsi="Times New Roman" w:cs="Times New Roman"/>
          <w:sz w:val="28"/>
          <w:szCs w:val="28"/>
        </w:rPr>
        <w:t xml:space="preserve">6th </w:t>
      </w:r>
      <w:r w:rsidR="00B36C2A" w:rsidRPr="009A3F81">
        <w:rPr>
          <w:rFonts w:ascii="Times New Roman" w:hAnsi="Times New Roman" w:cs="Times New Roman"/>
          <w:sz w:val="28"/>
          <w:szCs w:val="28"/>
        </w:rPr>
        <w:t xml:space="preserve">day of </w:t>
      </w:r>
      <w:r w:rsidR="00B36C2A">
        <w:rPr>
          <w:rFonts w:ascii="Times New Roman" w:hAnsi="Times New Roman" w:cs="Times New Roman"/>
          <w:sz w:val="28"/>
          <w:szCs w:val="28"/>
        </w:rPr>
        <w:t>April 2010</w:t>
      </w:r>
      <w:r w:rsidR="00B36C2A" w:rsidRPr="009A3F81">
        <w:rPr>
          <w:rFonts w:ascii="Times New Roman" w:hAnsi="Times New Roman" w:cs="Times New Roman"/>
          <w:sz w:val="28"/>
          <w:szCs w:val="28"/>
        </w:rPr>
        <w:t>.</w:t>
      </w:r>
    </w:p>
    <w:p w14:paraId="4A1B1FC3" w14:textId="77777777" w:rsidR="00B36C2A" w:rsidRPr="009A3F81" w:rsidRDefault="00B36C2A" w:rsidP="00B36C2A">
      <w:pPr>
        <w:autoSpaceDE w:val="0"/>
        <w:autoSpaceDN w:val="0"/>
        <w:adjustRightInd w:val="0"/>
        <w:ind w:left="2160"/>
        <w:rPr>
          <w:rFonts w:ascii="Times New Roman" w:hAnsi="Times New Roman" w:cs="Times New Roman"/>
          <w:i/>
          <w:iCs/>
          <w:sz w:val="28"/>
          <w:szCs w:val="28"/>
        </w:rPr>
      </w:pPr>
    </w:p>
    <w:p w14:paraId="0D9E662B" w14:textId="77777777" w:rsidR="00B36C2A" w:rsidRPr="009A3F81" w:rsidRDefault="00B36C2A" w:rsidP="00B36C2A">
      <w:pPr>
        <w:autoSpaceDE w:val="0"/>
        <w:autoSpaceDN w:val="0"/>
        <w:adjustRightInd w:val="0"/>
        <w:ind w:left="2160"/>
        <w:rPr>
          <w:rFonts w:ascii="Times New Roman" w:hAnsi="Times New Roman" w:cs="Times New Roman"/>
          <w:i/>
          <w:iCs/>
          <w:sz w:val="28"/>
          <w:szCs w:val="28"/>
        </w:rPr>
      </w:pPr>
      <w:r w:rsidRPr="009A3F81">
        <w:rPr>
          <w:rFonts w:ascii="Times New Roman" w:hAnsi="Times New Roman" w:cs="Times New Roman"/>
          <w:iCs/>
          <w:sz w:val="28"/>
          <w:szCs w:val="28"/>
        </w:rPr>
        <w:t xml:space="preserve">By </w:t>
      </w:r>
      <w:r w:rsidRPr="009A3F81">
        <w:rPr>
          <w:rFonts w:ascii="Times New Roman" w:hAnsi="Times New Roman" w:cs="Times New Roman"/>
          <w:iCs/>
          <w:sz w:val="28"/>
          <w:szCs w:val="28"/>
          <w:u w:val="single"/>
        </w:rPr>
        <w:t>/s</w:t>
      </w:r>
      <w:r w:rsidRPr="009A3F81">
        <w:rPr>
          <w:rFonts w:ascii="Times New Roman" w:hAnsi="Times New Roman" w:cs="Times New Roman"/>
          <w:i/>
          <w:iCs/>
          <w:sz w:val="28"/>
          <w:szCs w:val="28"/>
          <w:u w:val="single"/>
        </w:rPr>
        <w:t>/Jared G. Keenan</w:t>
      </w:r>
    </w:p>
    <w:p w14:paraId="10C2296F" w14:textId="77777777" w:rsidR="00B36C2A" w:rsidRPr="009A3F81" w:rsidRDefault="00B36C2A" w:rsidP="00B36C2A">
      <w:pPr>
        <w:autoSpaceDE w:val="0"/>
        <w:autoSpaceDN w:val="0"/>
        <w:adjustRightInd w:val="0"/>
        <w:spacing w:line="240" w:lineRule="exact"/>
        <w:ind w:left="2592"/>
        <w:rPr>
          <w:rFonts w:ascii="Times New Roman" w:hAnsi="Times New Roman" w:cs="Times New Roman"/>
          <w:sz w:val="28"/>
          <w:szCs w:val="28"/>
        </w:rPr>
      </w:pPr>
      <w:r w:rsidRPr="009A3F81">
        <w:rPr>
          <w:rFonts w:ascii="Times New Roman" w:hAnsi="Times New Roman" w:cs="Times New Roman"/>
          <w:sz w:val="28"/>
          <w:szCs w:val="28"/>
        </w:rPr>
        <w:t xml:space="preserve">Jared G. Keenan </w:t>
      </w:r>
    </w:p>
    <w:p w14:paraId="192A306F" w14:textId="429FD060" w:rsidR="00AD60C8" w:rsidRPr="00AD60C8" w:rsidRDefault="00B36C2A" w:rsidP="00B36C2A">
      <w:pPr>
        <w:autoSpaceDE w:val="0"/>
        <w:autoSpaceDN w:val="0"/>
        <w:adjustRightInd w:val="0"/>
        <w:spacing w:line="240" w:lineRule="exact"/>
        <w:ind w:left="2592"/>
        <w:rPr>
          <w:rFonts w:ascii="Times New Roman" w:hAnsi="Times New Roman" w:cs="Times New Roman"/>
          <w:sz w:val="28"/>
          <w:szCs w:val="28"/>
        </w:rPr>
      </w:pPr>
      <w:r w:rsidRPr="009A3F81">
        <w:rPr>
          <w:rFonts w:ascii="Times New Roman" w:hAnsi="Times New Roman" w:cs="Times New Roman"/>
          <w:sz w:val="28"/>
          <w:szCs w:val="28"/>
        </w:rPr>
        <w:t>American Civil Liberties Union Foundation of Arizona</w:t>
      </w:r>
    </w:p>
    <w:sectPr w:rsidR="00AD60C8" w:rsidRPr="00AD60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93FD" w14:textId="77777777" w:rsidR="00D75B84" w:rsidRDefault="00D75B84" w:rsidP="00DF35F2">
      <w:r>
        <w:separator/>
      </w:r>
    </w:p>
  </w:endnote>
  <w:endnote w:type="continuationSeparator" w:id="0">
    <w:p w14:paraId="574D232E" w14:textId="77777777" w:rsidR="00D75B84" w:rsidRDefault="00D75B84" w:rsidP="00D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420403298"/>
      <w:docPartObj>
        <w:docPartGallery w:val="Page Numbers (Bottom of Page)"/>
        <w:docPartUnique/>
      </w:docPartObj>
    </w:sdtPr>
    <w:sdtEndPr>
      <w:rPr>
        <w:noProof/>
      </w:rPr>
    </w:sdtEndPr>
    <w:sdtContent>
      <w:p w14:paraId="10A33363" w14:textId="23CB95E6" w:rsidR="00B36C2A" w:rsidRPr="00B36C2A" w:rsidRDefault="00B36C2A">
        <w:pPr>
          <w:pStyle w:val="Footer"/>
          <w:jc w:val="center"/>
          <w:rPr>
            <w:rFonts w:ascii="Times New Roman" w:hAnsi="Times New Roman" w:cs="Times New Roman"/>
            <w:sz w:val="28"/>
            <w:szCs w:val="28"/>
          </w:rPr>
        </w:pPr>
        <w:r w:rsidRPr="00B36C2A">
          <w:rPr>
            <w:rFonts w:ascii="Times New Roman" w:hAnsi="Times New Roman" w:cs="Times New Roman"/>
            <w:sz w:val="28"/>
            <w:szCs w:val="28"/>
          </w:rPr>
          <w:fldChar w:fldCharType="begin"/>
        </w:r>
        <w:r w:rsidRPr="00B36C2A">
          <w:rPr>
            <w:rFonts w:ascii="Times New Roman" w:hAnsi="Times New Roman" w:cs="Times New Roman"/>
            <w:sz w:val="28"/>
            <w:szCs w:val="28"/>
          </w:rPr>
          <w:instrText xml:space="preserve"> PAGE   \* MERGEFORMAT </w:instrText>
        </w:r>
        <w:r w:rsidRPr="00B36C2A">
          <w:rPr>
            <w:rFonts w:ascii="Times New Roman" w:hAnsi="Times New Roman" w:cs="Times New Roman"/>
            <w:sz w:val="28"/>
            <w:szCs w:val="28"/>
          </w:rPr>
          <w:fldChar w:fldCharType="separate"/>
        </w:r>
        <w:r w:rsidRPr="00B36C2A">
          <w:rPr>
            <w:rFonts w:ascii="Times New Roman" w:hAnsi="Times New Roman" w:cs="Times New Roman"/>
            <w:noProof/>
            <w:sz w:val="28"/>
            <w:szCs w:val="28"/>
          </w:rPr>
          <w:t>2</w:t>
        </w:r>
        <w:r w:rsidRPr="00B36C2A">
          <w:rPr>
            <w:rFonts w:ascii="Times New Roman" w:hAnsi="Times New Roman" w:cs="Times New Roman"/>
            <w:noProof/>
            <w:sz w:val="28"/>
            <w:szCs w:val="28"/>
          </w:rPr>
          <w:fldChar w:fldCharType="end"/>
        </w:r>
      </w:p>
    </w:sdtContent>
  </w:sdt>
  <w:p w14:paraId="4B92E160" w14:textId="77777777" w:rsidR="00B36C2A" w:rsidRDefault="00B36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98B25" w14:textId="77777777" w:rsidR="00D75B84" w:rsidRDefault="00D75B84" w:rsidP="00DF35F2">
      <w:r>
        <w:separator/>
      </w:r>
    </w:p>
  </w:footnote>
  <w:footnote w:type="continuationSeparator" w:id="0">
    <w:p w14:paraId="15C9D547" w14:textId="77777777" w:rsidR="00D75B84" w:rsidRDefault="00D75B84" w:rsidP="00DF35F2">
      <w:r>
        <w:continuationSeparator/>
      </w:r>
    </w:p>
  </w:footnote>
  <w:footnote w:id="1">
    <w:p w14:paraId="68089D7D" w14:textId="7D04D8F5" w:rsidR="00515ED8" w:rsidRPr="00337AAB" w:rsidRDefault="00515ED8">
      <w:pPr>
        <w:pStyle w:val="FootnoteText"/>
        <w:rPr>
          <w:rFonts w:ascii="Times New Roman" w:hAnsi="Times New Roman" w:cs="Times New Roman"/>
          <w:i/>
          <w:iCs/>
          <w:sz w:val="28"/>
          <w:szCs w:val="28"/>
        </w:rPr>
      </w:pPr>
      <w:r w:rsidRPr="00337AAB">
        <w:rPr>
          <w:rStyle w:val="FootnoteReference"/>
          <w:rFonts w:ascii="Times New Roman" w:hAnsi="Times New Roman" w:cs="Times New Roman"/>
          <w:sz w:val="28"/>
          <w:szCs w:val="28"/>
        </w:rPr>
        <w:footnoteRef/>
      </w:r>
      <w:r w:rsidRPr="00337AAB">
        <w:rPr>
          <w:rFonts w:ascii="Times New Roman" w:hAnsi="Times New Roman" w:cs="Times New Roman"/>
          <w:sz w:val="28"/>
          <w:szCs w:val="28"/>
        </w:rPr>
        <w:t xml:space="preserve"> </w:t>
      </w:r>
      <w:r w:rsidRPr="00337AAB">
        <w:rPr>
          <w:rFonts w:ascii="Times New Roman" w:hAnsi="Times New Roman" w:cs="Times New Roman"/>
          <w:i/>
          <w:sz w:val="28"/>
          <w:szCs w:val="28"/>
        </w:rPr>
        <w:t>State v. Cruz</w:t>
      </w:r>
      <w:r w:rsidRPr="00337AAB">
        <w:rPr>
          <w:rFonts w:ascii="Times New Roman" w:hAnsi="Times New Roman" w:cs="Times New Roman"/>
          <w:sz w:val="28"/>
          <w:szCs w:val="28"/>
        </w:rPr>
        <w:t>, 175 Ariz. 395, 400 (1993) (adopting an “independent verification” requirement for any “wholly subjective” reason for a peremptory strike).</w:t>
      </w:r>
    </w:p>
  </w:footnote>
  <w:footnote w:id="2">
    <w:p w14:paraId="0EDDE80E" w14:textId="44A116D4" w:rsidR="00337AAB" w:rsidRPr="0092132A" w:rsidRDefault="00337AAB">
      <w:pPr>
        <w:pStyle w:val="FootnoteText"/>
        <w:rPr>
          <w:rFonts w:ascii="Times New Roman" w:hAnsi="Times New Roman" w:cs="Times New Roman"/>
          <w:sz w:val="28"/>
          <w:szCs w:val="28"/>
        </w:rPr>
      </w:pPr>
      <w:r w:rsidRPr="00337AAB">
        <w:rPr>
          <w:rStyle w:val="FootnoteReference"/>
          <w:rFonts w:ascii="Times New Roman" w:hAnsi="Times New Roman" w:cs="Times New Roman"/>
          <w:sz w:val="28"/>
          <w:szCs w:val="28"/>
        </w:rPr>
        <w:footnoteRef/>
      </w:r>
      <w:r w:rsidRPr="00337AAB">
        <w:rPr>
          <w:rFonts w:ascii="Times New Roman" w:hAnsi="Times New Roman" w:cs="Times New Roman"/>
          <w:sz w:val="28"/>
          <w:szCs w:val="28"/>
        </w:rPr>
        <w:t xml:space="preserve"> </w:t>
      </w:r>
      <w:r>
        <w:rPr>
          <w:rFonts w:ascii="Times New Roman" w:hAnsi="Times New Roman" w:cs="Times New Roman"/>
          <w:i/>
          <w:iCs/>
          <w:sz w:val="28"/>
          <w:szCs w:val="28"/>
        </w:rPr>
        <w:t>E.g.</w:t>
      </w:r>
      <w:r w:rsidR="0070443F">
        <w:rPr>
          <w:rFonts w:ascii="Times New Roman" w:hAnsi="Times New Roman" w:cs="Times New Roman"/>
          <w:sz w:val="28"/>
          <w:szCs w:val="28"/>
        </w:rPr>
        <w:t>,</w:t>
      </w:r>
      <w:r>
        <w:rPr>
          <w:rFonts w:ascii="Times New Roman" w:hAnsi="Times New Roman" w:cs="Times New Roman"/>
          <w:i/>
          <w:iCs/>
          <w:sz w:val="28"/>
          <w:szCs w:val="28"/>
        </w:rPr>
        <w:t xml:space="preserve"> </w:t>
      </w:r>
      <w:r w:rsidRPr="0093116E">
        <w:rPr>
          <w:rFonts w:ascii="Times New Roman" w:hAnsi="Times New Roman" w:cs="Times New Roman"/>
          <w:i/>
          <w:sz w:val="28"/>
          <w:szCs w:val="28"/>
        </w:rPr>
        <w:t>State v. Gentry</w:t>
      </w:r>
      <w:r>
        <w:rPr>
          <w:rFonts w:ascii="Times New Roman" w:hAnsi="Times New Roman" w:cs="Times New Roman"/>
          <w:sz w:val="28"/>
          <w:szCs w:val="28"/>
        </w:rPr>
        <w:t>, 247 Ariz. 381, ¶¶ 11-13</w:t>
      </w:r>
      <w:r w:rsidR="00A50289">
        <w:rPr>
          <w:rFonts w:ascii="Times New Roman" w:hAnsi="Times New Roman" w:cs="Times New Roman"/>
          <w:sz w:val="28"/>
          <w:szCs w:val="28"/>
        </w:rPr>
        <w:t xml:space="preserve"> (</w:t>
      </w:r>
      <w:r w:rsidR="0070443F">
        <w:rPr>
          <w:rFonts w:ascii="Times New Roman" w:hAnsi="Times New Roman" w:cs="Times New Roman"/>
          <w:sz w:val="28"/>
          <w:szCs w:val="28"/>
        </w:rPr>
        <w:t xml:space="preserve">App. </w:t>
      </w:r>
      <w:r w:rsidR="00A50289">
        <w:rPr>
          <w:rFonts w:ascii="Times New Roman" w:hAnsi="Times New Roman" w:cs="Times New Roman"/>
          <w:sz w:val="28"/>
          <w:szCs w:val="28"/>
        </w:rPr>
        <w:t>2019)</w:t>
      </w:r>
      <w:r>
        <w:rPr>
          <w:rFonts w:ascii="Times New Roman" w:hAnsi="Times New Roman" w:cs="Times New Roman"/>
          <w:sz w:val="28"/>
          <w:szCs w:val="28"/>
        </w:rPr>
        <w:t xml:space="preserve"> (holding prosecutor’s peremptory strike of “only remaining African-American juror did not violate </w:t>
      </w:r>
      <w:r>
        <w:rPr>
          <w:rFonts w:ascii="Times New Roman" w:hAnsi="Times New Roman" w:cs="Times New Roman"/>
          <w:i/>
          <w:iCs/>
          <w:sz w:val="28"/>
          <w:szCs w:val="28"/>
        </w:rPr>
        <w:t>Batson</w:t>
      </w:r>
      <w:r>
        <w:rPr>
          <w:rFonts w:ascii="Times New Roman" w:hAnsi="Times New Roman" w:cs="Times New Roman"/>
          <w:sz w:val="28"/>
          <w:szCs w:val="28"/>
        </w:rPr>
        <w:t xml:space="preserve">” and rejecting call to strengthen Arizona’s </w:t>
      </w:r>
      <w:r>
        <w:rPr>
          <w:rFonts w:ascii="Times New Roman" w:hAnsi="Times New Roman" w:cs="Times New Roman"/>
          <w:i/>
          <w:iCs/>
          <w:sz w:val="28"/>
          <w:szCs w:val="28"/>
        </w:rPr>
        <w:t xml:space="preserve">Batson </w:t>
      </w:r>
      <w:r>
        <w:rPr>
          <w:rFonts w:ascii="Times New Roman" w:hAnsi="Times New Roman" w:cs="Times New Roman"/>
          <w:sz w:val="28"/>
          <w:szCs w:val="28"/>
        </w:rPr>
        <w:t xml:space="preserve">procedures), </w:t>
      </w:r>
      <w:r w:rsidR="0070443F" w:rsidRPr="0070443F">
        <w:rPr>
          <w:rFonts w:ascii="Times New Roman" w:hAnsi="Times New Roman" w:cs="Times New Roman"/>
          <w:i/>
          <w:iCs/>
          <w:sz w:val="28"/>
          <w:szCs w:val="28"/>
        </w:rPr>
        <w:t>review denied</w:t>
      </w:r>
      <w:r w:rsidR="00A50289">
        <w:rPr>
          <w:rFonts w:ascii="Times New Roman" w:hAnsi="Times New Roman" w:cs="Times New Roman"/>
          <w:sz w:val="28"/>
          <w:szCs w:val="28"/>
        </w:rPr>
        <w:t xml:space="preserve"> January 7, 2020; </w:t>
      </w:r>
      <w:r w:rsidR="00A50289">
        <w:rPr>
          <w:rFonts w:ascii="Times New Roman" w:hAnsi="Times New Roman" w:cs="Times New Roman"/>
          <w:i/>
          <w:iCs/>
          <w:sz w:val="28"/>
          <w:szCs w:val="28"/>
        </w:rPr>
        <w:t>State v. Ybarra</w:t>
      </w:r>
      <w:r w:rsidR="00A50289">
        <w:rPr>
          <w:rFonts w:ascii="Times New Roman" w:hAnsi="Times New Roman" w:cs="Times New Roman"/>
          <w:sz w:val="28"/>
          <w:szCs w:val="28"/>
        </w:rPr>
        <w:t>, 2019 WL 2233299, ¶ 26</w:t>
      </w:r>
      <w:r w:rsidR="0070443F">
        <w:rPr>
          <w:rFonts w:ascii="Times New Roman" w:hAnsi="Times New Roman" w:cs="Times New Roman"/>
          <w:sz w:val="28"/>
          <w:szCs w:val="28"/>
        </w:rPr>
        <w:t xml:space="preserve"> (mem., May 22, 2019)</w:t>
      </w:r>
      <w:r w:rsidR="00A50289">
        <w:rPr>
          <w:rFonts w:ascii="Times New Roman" w:hAnsi="Times New Roman" w:cs="Times New Roman"/>
          <w:sz w:val="28"/>
          <w:szCs w:val="28"/>
        </w:rPr>
        <w:t xml:space="preserve"> (holding </w:t>
      </w:r>
      <w:r w:rsidR="00A50289" w:rsidRPr="0092132A">
        <w:rPr>
          <w:rFonts w:ascii="Times New Roman" w:hAnsi="Times New Roman" w:cs="Times New Roman"/>
          <w:sz w:val="28"/>
          <w:szCs w:val="28"/>
        </w:rPr>
        <w:t xml:space="preserve">prosecutor’s peremptory strike of only African-American juror did not violate </w:t>
      </w:r>
      <w:r w:rsidR="00A50289" w:rsidRPr="0092132A">
        <w:rPr>
          <w:rFonts w:ascii="Times New Roman" w:hAnsi="Times New Roman" w:cs="Times New Roman"/>
          <w:i/>
          <w:iCs/>
          <w:sz w:val="28"/>
          <w:szCs w:val="28"/>
        </w:rPr>
        <w:t>Batson</w:t>
      </w:r>
      <w:r w:rsidR="00A50289" w:rsidRPr="0092132A">
        <w:rPr>
          <w:rFonts w:ascii="Times New Roman" w:hAnsi="Times New Roman" w:cs="Times New Roman"/>
          <w:sz w:val="28"/>
          <w:szCs w:val="28"/>
        </w:rPr>
        <w:t xml:space="preserve">), </w:t>
      </w:r>
      <w:r w:rsidR="0070443F" w:rsidRPr="0070443F">
        <w:rPr>
          <w:rFonts w:ascii="Times New Roman" w:hAnsi="Times New Roman" w:cs="Times New Roman"/>
          <w:i/>
          <w:iCs/>
          <w:sz w:val="28"/>
          <w:szCs w:val="28"/>
        </w:rPr>
        <w:t>review</w:t>
      </w:r>
      <w:r w:rsidR="00A50289" w:rsidRPr="0070443F">
        <w:rPr>
          <w:rFonts w:ascii="Times New Roman" w:hAnsi="Times New Roman" w:cs="Times New Roman"/>
          <w:i/>
          <w:iCs/>
          <w:sz w:val="28"/>
          <w:szCs w:val="28"/>
        </w:rPr>
        <w:t xml:space="preserve"> denied</w:t>
      </w:r>
      <w:r w:rsidR="00A50289" w:rsidRPr="0092132A">
        <w:rPr>
          <w:rFonts w:ascii="Times New Roman" w:hAnsi="Times New Roman" w:cs="Times New Roman"/>
          <w:sz w:val="28"/>
          <w:szCs w:val="28"/>
        </w:rPr>
        <w:t xml:space="preserve"> March 3, 2020.</w:t>
      </w:r>
    </w:p>
  </w:footnote>
  <w:footnote w:id="3">
    <w:p w14:paraId="701EEB62" w14:textId="6F1E0A8E" w:rsidR="0092132A" w:rsidRPr="0092132A" w:rsidRDefault="0092132A">
      <w:pPr>
        <w:pStyle w:val="FootnoteText"/>
        <w:rPr>
          <w:rFonts w:ascii="Times New Roman" w:hAnsi="Times New Roman" w:cs="Times New Roman"/>
          <w:i/>
          <w:iCs/>
          <w:sz w:val="28"/>
          <w:szCs w:val="28"/>
        </w:rPr>
      </w:pPr>
      <w:r w:rsidRPr="0092132A">
        <w:rPr>
          <w:rStyle w:val="FootnoteReference"/>
          <w:rFonts w:ascii="Times New Roman" w:hAnsi="Times New Roman" w:cs="Times New Roman"/>
          <w:sz w:val="28"/>
          <w:szCs w:val="28"/>
        </w:rPr>
        <w:footnoteRef/>
      </w:r>
      <w:r w:rsidRPr="0092132A">
        <w:rPr>
          <w:rFonts w:ascii="Times New Roman" w:hAnsi="Times New Roman" w:cs="Times New Roman"/>
          <w:sz w:val="28"/>
          <w:szCs w:val="28"/>
        </w:rPr>
        <w:t xml:space="preserve"> </w:t>
      </w:r>
      <w:r>
        <w:rPr>
          <w:rFonts w:ascii="Times New Roman" w:hAnsi="Times New Roman" w:cs="Times New Roman"/>
          <w:i/>
          <w:iCs/>
          <w:sz w:val="28"/>
          <w:szCs w:val="28"/>
        </w:rPr>
        <w:t xml:space="preserve">See </w:t>
      </w:r>
      <w:r>
        <w:rPr>
          <w:rFonts w:ascii="Times New Roman" w:hAnsi="Times New Roman" w:cs="Times New Roman"/>
          <w:sz w:val="28"/>
          <w:szCs w:val="28"/>
        </w:rPr>
        <w:t xml:space="preserve">Stephanie Russell-Kraft, “Lawyers Are Uniquely Challenging Audience for </w:t>
      </w:r>
      <w:r w:rsidRPr="0092132A">
        <w:rPr>
          <w:rFonts w:ascii="Times New Roman" w:hAnsi="Times New Roman" w:cs="Times New Roman"/>
          <w:sz w:val="28"/>
          <w:szCs w:val="28"/>
        </w:rPr>
        <w:t xml:space="preserve">Anti-Bias Training,” </w:t>
      </w:r>
      <w:r w:rsidRPr="0092132A">
        <w:rPr>
          <w:rFonts w:ascii="Times New Roman" w:hAnsi="Times New Roman" w:cs="Times New Roman"/>
          <w:caps/>
          <w:sz w:val="28"/>
          <w:szCs w:val="28"/>
        </w:rPr>
        <w:t>Bloomberg law</w:t>
      </w:r>
      <w:r w:rsidRPr="0092132A">
        <w:rPr>
          <w:rFonts w:ascii="Times New Roman" w:hAnsi="Times New Roman" w:cs="Times New Roman"/>
          <w:sz w:val="28"/>
          <w:szCs w:val="28"/>
        </w:rPr>
        <w:t xml:space="preserve"> (May 13, 2019), </w:t>
      </w:r>
      <w:r w:rsidRPr="0092132A">
        <w:rPr>
          <w:rFonts w:ascii="Times New Roman" w:hAnsi="Times New Roman" w:cs="Times New Roman"/>
          <w:i/>
          <w:iCs/>
          <w:sz w:val="28"/>
          <w:szCs w:val="28"/>
        </w:rPr>
        <w:t xml:space="preserve">available at: </w:t>
      </w:r>
      <w:hyperlink r:id="rId1" w:history="1">
        <w:r w:rsidRPr="0092132A">
          <w:rPr>
            <w:rStyle w:val="Hyperlink"/>
            <w:rFonts w:ascii="Times New Roman" w:hAnsi="Times New Roman" w:cs="Times New Roman"/>
            <w:sz w:val="28"/>
            <w:szCs w:val="28"/>
          </w:rPr>
          <w:t>https://news.bloomberglaw.com/us-law-week/lawyers-are-uniquely-challenging-audience-for-anti-bias-training</w:t>
        </w:r>
      </w:hyperlink>
      <w:r w:rsidRPr="0092132A">
        <w:rPr>
          <w:rFonts w:ascii="Times New Roman" w:hAnsi="Times New Roman" w:cs="Times New Roman"/>
          <w:sz w:val="28"/>
          <w:szCs w:val="28"/>
        </w:rPr>
        <w:t>.</w:t>
      </w:r>
    </w:p>
  </w:footnote>
  <w:footnote w:id="4">
    <w:p w14:paraId="4F940302" w14:textId="26A67957" w:rsidR="00E548CD" w:rsidRPr="00E548CD" w:rsidRDefault="00E548CD" w:rsidP="00E548CD">
      <w:pPr>
        <w:pStyle w:val="FootnoteText"/>
        <w:tabs>
          <w:tab w:val="center" w:pos="4680"/>
        </w:tabs>
      </w:pPr>
      <w:r w:rsidRPr="00337AAB">
        <w:rPr>
          <w:rStyle w:val="FootnoteReference"/>
          <w:rFonts w:ascii="Times New Roman" w:hAnsi="Times New Roman" w:cs="Times New Roman"/>
          <w:sz w:val="28"/>
          <w:szCs w:val="28"/>
        </w:rPr>
        <w:footnoteRef/>
      </w:r>
      <w:r w:rsidRPr="00337AAB">
        <w:rPr>
          <w:rFonts w:ascii="Times New Roman" w:hAnsi="Times New Roman" w:cs="Times New Roman"/>
          <w:sz w:val="28"/>
          <w:szCs w:val="28"/>
        </w:rPr>
        <w:t xml:space="preserve"> </w:t>
      </w:r>
      <w:r w:rsidRPr="00337AAB">
        <w:rPr>
          <w:rFonts w:ascii="Times New Roman" w:hAnsi="Times New Roman" w:cs="Times New Roman"/>
          <w:i/>
          <w:iCs/>
          <w:sz w:val="28"/>
          <w:szCs w:val="28"/>
        </w:rPr>
        <w:t>See</w:t>
      </w:r>
      <w:r>
        <w:rPr>
          <w:rFonts w:ascii="Times New Roman" w:hAnsi="Times New Roman" w:cs="Times New Roman"/>
          <w:i/>
          <w:iCs/>
          <w:sz w:val="28"/>
          <w:szCs w:val="28"/>
        </w:rPr>
        <w:t xml:space="preserve"> </w:t>
      </w:r>
      <w:r>
        <w:rPr>
          <w:rFonts w:ascii="Times New Roman" w:hAnsi="Times New Roman" w:cs="Times New Roman"/>
          <w:sz w:val="28"/>
          <w:szCs w:val="28"/>
        </w:rPr>
        <w:t>W</w:t>
      </w:r>
      <w:r w:rsidR="00A27E93">
        <w:rPr>
          <w:rFonts w:ascii="Times New Roman" w:hAnsi="Times New Roman" w:cs="Times New Roman"/>
          <w:sz w:val="28"/>
          <w:szCs w:val="28"/>
        </w:rPr>
        <w:t>ash. Gen. R.</w:t>
      </w:r>
      <w:bookmarkStart w:id="0" w:name="_GoBack"/>
      <w:bookmarkEnd w:id="0"/>
      <w:r w:rsidR="00337AAB">
        <w:rPr>
          <w:rFonts w:ascii="Times New Roman" w:hAnsi="Times New Roman" w:cs="Times New Roman"/>
          <w:sz w:val="28"/>
          <w:szCs w:val="28"/>
        </w:rPr>
        <w:t xml:space="preserve"> 37 (2018).</w:t>
      </w:r>
    </w:p>
  </w:footnote>
  <w:footnote w:id="5">
    <w:p w14:paraId="05F26708" w14:textId="21BC5050" w:rsidR="006B3BBE" w:rsidRPr="00515ED8" w:rsidRDefault="006B3BBE">
      <w:pPr>
        <w:pStyle w:val="FootnoteText"/>
        <w:rPr>
          <w:rFonts w:ascii="Times New Roman" w:hAnsi="Times New Roman" w:cs="Times New Roman"/>
          <w:sz w:val="28"/>
          <w:szCs w:val="28"/>
        </w:rPr>
      </w:pPr>
      <w:r w:rsidRPr="00E548CD">
        <w:rPr>
          <w:rStyle w:val="FootnoteReference"/>
          <w:rFonts w:ascii="Times New Roman" w:hAnsi="Times New Roman" w:cs="Times New Roman"/>
          <w:sz w:val="28"/>
          <w:szCs w:val="28"/>
        </w:rPr>
        <w:footnoteRef/>
      </w:r>
      <w:r w:rsidRPr="00E548CD">
        <w:rPr>
          <w:rFonts w:ascii="Times New Roman" w:hAnsi="Times New Roman" w:cs="Times New Roman"/>
          <w:sz w:val="28"/>
          <w:szCs w:val="28"/>
        </w:rPr>
        <w:t xml:space="preserve"> Supreme Court of Arizona, Justice for All: Report and Recommendations of the Task</w:t>
      </w:r>
      <w:r w:rsidRPr="00515ED8">
        <w:rPr>
          <w:rFonts w:ascii="Times New Roman" w:hAnsi="Times New Roman" w:cs="Times New Roman"/>
          <w:sz w:val="28"/>
          <w:szCs w:val="28"/>
        </w:rPr>
        <w:t xml:space="preserve"> Force on Fair Justice for All: Court-Ordered Fines, Penalties, Fees, and Pretrial Release Policies, </w:t>
      </w:r>
      <w:r w:rsidR="0070443F">
        <w:rPr>
          <w:rFonts w:ascii="Times New Roman" w:hAnsi="Times New Roman" w:cs="Times New Roman"/>
          <w:sz w:val="28"/>
          <w:szCs w:val="28"/>
        </w:rPr>
        <w:t xml:space="preserve">p. </w:t>
      </w:r>
      <w:r w:rsidRPr="00515ED8">
        <w:rPr>
          <w:rFonts w:ascii="Times New Roman" w:hAnsi="Times New Roman" w:cs="Times New Roman"/>
          <w:sz w:val="28"/>
          <w:szCs w:val="28"/>
        </w:rPr>
        <w:t xml:space="preserve">13 (2016). </w:t>
      </w:r>
    </w:p>
  </w:footnote>
  <w:footnote w:id="6">
    <w:p w14:paraId="36457A8F" w14:textId="77777777" w:rsidR="00854CF1" w:rsidRPr="00EF73A0" w:rsidRDefault="00854CF1" w:rsidP="00854CF1">
      <w:pPr>
        <w:pStyle w:val="FootnoteText"/>
        <w:widowControl w:val="0"/>
        <w:spacing w:line="240" w:lineRule="exact"/>
        <w:rPr>
          <w:rFonts w:ascii="Times New Roman" w:hAnsi="Times New Roman" w:cs="Times New Roman"/>
          <w:sz w:val="28"/>
          <w:szCs w:val="28"/>
        </w:rPr>
      </w:pPr>
      <w:r w:rsidRPr="00BD64C5">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The S</w:t>
      </w:r>
      <w:bookmarkStart w:id="1" w:name="_BA_Cite_1740C8_000389"/>
      <w:bookmarkEnd w:id="1"/>
      <w:r w:rsidRPr="00EF73A0">
        <w:rPr>
          <w:rFonts w:ascii="Times New Roman" w:hAnsi="Times New Roman" w:cs="Times New Roman"/>
          <w:sz w:val="28"/>
          <w:szCs w:val="28"/>
        </w:rPr>
        <w:t xml:space="preserve">entencing Project, </w:t>
      </w:r>
      <w:r w:rsidRPr="00EF73A0">
        <w:rPr>
          <w:rFonts w:ascii="Times New Roman" w:hAnsi="Times New Roman" w:cs="Times New Roman"/>
          <w:i/>
          <w:sz w:val="28"/>
          <w:szCs w:val="28"/>
        </w:rPr>
        <w:t>The Color of Race and Justice: Racial and Ethnic Disparity in State Prisons</w:t>
      </w:r>
      <w:r w:rsidRPr="00EF73A0">
        <w:rPr>
          <w:rFonts w:ascii="Times New Roman" w:hAnsi="Times New Roman" w:cs="Times New Roman"/>
          <w:sz w:val="28"/>
          <w:szCs w:val="28"/>
        </w:rPr>
        <w:t xml:space="preserve"> (Jun. 14, 2016), </w:t>
      </w:r>
      <w:r w:rsidRPr="00EF73A0">
        <w:rPr>
          <w:rFonts w:ascii="Times New Roman" w:hAnsi="Times New Roman" w:cs="Times New Roman"/>
          <w:i/>
          <w:sz w:val="28"/>
          <w:szCs w:val="28"/>
        </w:rPr>
        <w:t xml:space="preserve">available at: </w:t>
      </w:r>
      <w:hyperlink r:id="rId2" w:history="1">
        <w:r w:rsidRPr="00EF73A0">
          <w:rPr>
            <w:rStyle w:val="Hyperlink"/>
            <w:rFonts w:ascii="Times New Roman" w:hAnsi="Times New Roman" w:cs="Times New Roman"/>
            <w:sz w:val="28"/>
            <w:szCs w:val="28"/>
          </w:rPr>
          <w:t>https://www.sentencingproject.org/publications/color-of-justice-racial-and-ethnic-disparity-in-state-prisons/</w:t>
        </w:r>
      </w:hyperlink>
      <w:r w:rsidRPr="00EF73A0">
        <w:rPr>
          <w:rFonts w:ascii="Times New Roman" w:hAnsi="Times New Roman" w:cs="Times New Roman"/>
          <w:sz w:val="28"/>
          <w:szCs w:val="28"/>
        </w:rPr>
        <w:t>.</w:t>
      </w:r>
    </w:p>
  </w:footnote>
  <w:footnote w:id="7">
    <w:p w14:paraId="227B7F44" w14:textId="77777777" w:rsidR="00854CF1" w:rsidRPr="00EF73A0" w:rsidRDefault="00854CF1" w:rsidP="00854CF1">
      <w:pPr>
        <w:pStyle w:val="FootnoteText"/>
        <w:spacing w:after="120" w:line="240" w:lineRule="exac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See e.g.</w:t>
      </w:r>
      <w:r w:rsidRPr="00EF73A0">
        <w:rPr>
          <w:rFonts w:ascii="Times New Roman" w:hAnsi="Times New Roman" w:cs="Times New Roman"/>
          <w:sz w:val="28"/>
          <w:szCs w:val="28"/>
        </w:rPr>
        <w:t xml:space="preserve"> Michelle Alexander, The New Jim Crow: Mass Incarceration in the Age of Colorblindness 6-7, 13, 16-19 (The New Press) (2010); Chris Hayes, A Colony in a Nation 23, 32-39 (W. W. Norton and Co.) (2017).</w:t>
      </w:r>
    </w:p>
  </w:footnote>
  <w:footnote w:id="8">
    <w:p w14:paraId="76CE19D5" w14:textId="77777777" w:rsidR="00854CF1" w:rsidRPr="00EF73A0" w:rsidRDefault="00854CF1" w:rsidP="00854CF1">
      <w:pPr>
        <w:pStyle w:val="FootnoteText"/>
        <w:spacing w:after="120" w:line="240" w:lineRule="exac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See</w:t>
      </w:r>
      <w:r w:rsidRPr="00EF73A0">
        <w:rPr>
          <w:rFonts w:ascii="Times New Roman" w:hAnsi="Times New Roman" w:cs="Times New Roman"/>
          <w:sz w:val="28"/>
          <w:szCs w:val="28"/>
        </w:rPr>
        <w:t xml:space="preserve"> P</w:t>
      </w:r>
      <w:bookmarkStart w:id="2" w:name="_BA_Cite_1740C8_000373"/>
      <w:bookmarkEnd w:id="2"/>
      <w:r w:rsidRPr="00EF73A0">
        <w:rPr>
          <w:rFonts w:ascii="Times New Roman" w:hAnsi="Times New Roman" w:cs="Times New Roman"/>
          <w:sz w:val="28"/>
          <w:szCs w:val="28"/>
        </w:rPr>
        <w:t xml:space="preserve">hilip Bump, </w:t>
      </w:r>
      <w:r w:rsidRPr="00EF73A0">
        <w:rPr>
          <w:rFonts w:ascii="Times New Roman" w:hAnsi="Times New Roman" w:cs="Times New Roman"/>
          <w:i/>
          <w:sz w:val="28"/>
          <w:szCs w:val="28"/>
        </w:rPr>
        <w:t>The Facts About Stop-and-Frisk in New York City</w:t>
      </w:r>
      <w:r w:rsidRPr="00EF73A0">
        <w:rPr>
          <w:rFonts w:ascii="Times New Roman" w:hAnsi="Times New Roman" w:cs="Times New Roman"/>
          <w:sz w:val="28"/>
          <w:szCs w:val="28"/>
        </w:rPr>
        <w:t xml:space="preserve">, Wash. Post, Sep. 26, 2016, </w:t>
      </w:r>
      <w:r w:rsidRPr="00EF73A0">
        <w:rPr>
          <w:rFonts w:ascii="Times New Roman" w:hAnsi="Times New Roman" w:cs="Times New Roman"/>
          <w:i/>
          <w:sz w:val="28"/>
          <w:szCs w:val="28"/>
        </w:rPr>
        <w:t>available at</w:t>
      </w:r>
      <w:r w:rsidRPr="00EF73A0">
        <w:rPr>
          <w:rFonts w:ascii="Times New Roman" w:hAnsi="Times New Roman" w:cs="Times New Roman"/>
          <w:sz w:val="28"/>
          <w:szCs w:val="28"/>
        </w:rPr>
        <w:t xml:space="preserve">: </w:t>
      </w:r>
      <w:hyperlink r:id="rId3" w:history="1">
        <w:r w:rsidRPr="00EF73A0">
          <w:rPr>
            <w:rStyle w:val="Hyperlink"/>
            <w:rFonts w:ascii="Times New Roman" w:hAnsi="Times New Roman" w:cs="Times New Roman"/>
            <w:sz w:val="28"/>
            <w:szCs w:val="28"/>
          </w:rPr>
          <w:t>https://www.washingtonpost.com/news/the-fix/wp/2016/09/21/it-looks-like-rudy-giuliani-convinced-donald-trump-that-stop-and-frisk-actually-works/?utm_term=.298d46a6863f</w:t>
        </w:r>
      </w:hyperlink>
      <w:r>
        <w:rPr>
          <w:rFonts w:ascii="Times New Roman" w:hAnsi="Times New Roman" w:cs="Times New Roman"/>
          <w:sz w:val="28"/>
          <w:szCs w:val="28"/>
        </w:rPr>
        <w:t>.</w:t>
      </w:r>
    </w:p>
  </w:footnote>
  <w:footnote w:id="9">
    <w:p w14:paraId="5BC2012E" w14:textId="77777777" w:rsidR="00854CF1" w:rsidRPr="00EF73A0" w:rsidRDefault="00854CF1" w:rsidP="00854CF1">
      <w:pPr>
        <w:pStyle w:val="FootnoteText"/>
        <w:spacing w:after="120" w:line="240" w:lineRule="exac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Christopher Hartney &amp; Linh Vuong, </w:t>
      </w:r>
      <w:r w:rsidRPr="00EF73A0">
        <w:rPr>
          <w:rFonts w:ascii="Times New Roman" w:hAnsi="Times New Roman" w:cs="Times New Roman"/>
          <w:i/>
          <w:sz w:val="28"/>
          <w:szCs w:val="28"/>
        </w:rPr>
        <w:t>Created Equal: Racial and Ethnic Disparities in the U</w:t>
      </w:r>
      <w:bookmarkStart w:id="3" w:name="_BA_Cite_1740C8_000399"/>
      <w:bookmarkEnd w:id="3"/>
      <w:r w:rsidRPr="00EF73A0">
        <w:rPr>
          <w:rFonts w:ascii="Times New Roman" w:hAnsi="Times New Roman" w:cs="Times New Roman"/>
          <w:i/>
          <w:sz w:val="28"/>
          <w:szCs w:val="28"/>
        </w:rPr>
        <w:t>S Criminal Justice System</w:t>
      </w:r>
      <w:r w:rsidRPr="00EF73A0">
        <w:rPr>
          <w:rFonts w:ascii="Times New Roman" w:hAnsi="Times New Roman" w:cs="Times New Roman"/>
          <w:sz w:val="28"/>
          <w:szCs w:val="28"/>
        </w:rPr>
        <w:t xml:space="preserve">, National Council on Crime and Delinquency, 2009, at 3, </w:t>
      </w:r>
      <w:r w:rsidRPr="00EF73A0">
        <w:rPr>
          <w:rFonts w:ascii="Times New Roman" w:hAnsi="Times New Roman" w:cs="Times New Roman"/>
          <w:i/>
          <w:sz w:val="28"/>
          <w:szCs w:val="28"/>
        </w:rPr>
        <w:t>available at</w:t>
      </w:r>
      <w:r w:rsidRPr="00EF73A0">
        <w:rPr>
          <w:rFonts w:ascii="Times New Roman" w:hAnsi="Times New Roman" w:cs="Times New Roman"/>
          <w:sz w:val="28"/>
          <w:szCs w:val="28"/>
        </w:rPr>
        <w:t xml:space="preserve">: </w:t>
      </w:r>
      <w:hyperlink r:id="rId4" w:history="1">
        <w:r w:rsidRPr="00EF73A0">
          <w:rPr>
            <w:rStyle w:val="Hyperlink"/>
            <w:rFonts w:ascii="Times New Roman" w:hAnsi="Times New Roman" w:cs="Times New Roman"/>
            <w:sz w:val="28"/>
            <w:szCs w:val="28"/>
          </w:rPr>
          <w:t>http://www.nccdglobal.org/sites/default/files/publication_pdf/created-equal.pdf</w:t>
        </w:r>
      </w:hyperlink>
      <w:r w:rsidRPr="00EF73A0">
        <w:rPr>
          <w:rFonts w:ascii="Times New Roman" w:hAnsi="Times New Roman" w:cs="Times New Roman"/>
          <w:sz w:val="28"/>
          <w:szCs w:val="28"/>
        </w:rPr>
        <w:t>.</w:t>
      </w:r>
    </w:p>
  </w:footnote>
  <w:footnote w:id="10">
    <w:p w14:paraId="3CB424D7" w14:textId="77777777" w:rsidR="00854CF1" w:rsidRPr="00EF73A0" w:rsidRDefault="00854CF1" w:rsidP="00854CF1">
      <w:pPr>
        <w:pStyle w:val="FootnoteText"/>
        <w:spacing w:after="120" w:line="240" w:lineRule="exac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P</w:t>
      </w:r>
      <w:bookmarkStart w:id="4" w:name="_BA_Cite_1740C8_000391"/>
      <w:bookmarkEnd w:id="4"/>
      <w:r w:rsidRPr="00EF73A0">
        <w:rPr>
          <w:rFonts w:ascii="Times New Roman" w:hAnsi="Times New Roman" w:cs="Times New Roman"/>
          <w:sz w:val="28"/>
          <w:szCs w:val="28"/>
        </w:rPr>
        <w:t xml:space="preserve">retrial Justice Institute, “Race and Bail,” </w:t>
      </w:r>
      <w:r w:rsidRPr="00EF73A0">
        <w:rPr>
          <w:rFonts w:ascii="Times New Roman" w:hAnsi="Times New Roman" w:cs="Times New Roman"/>
          <w:i/>
          <w:sz w:val="28"/>
          <w:szCs w:val="28"/>
        </w:rPr>
        <w:t>available at</w:t>
      </w:r>
      <w:r w:rsidRPr="00EF73A0">
        <w:rPr>
          <w:rFonts w:ascii="Times New Roman" w:hAnsi="Times New Roman" w:cs="Times New Roman"/>
          <w:sz w:val="28"/>
          <w:szCs w:val="28"/>
        </w:rPr>
        <w:t xml:space="preserve">: </w:t>
      </w:r>
      <w:hyperlink r:id="rId5" w:history="1">
        <w:r w:rsidRPr="00EF73A0">
          <w:rPr>
            <w:rStyle w:val="Hyperlink"/>
            <w:rFonts w:ascii="Times New Roman" w:hAnsi="Times New Roman" w:cs="Times New Roman"/>
            <w:sz w:val="28"/>
            <w:szCs w:val="28"/>
          </w:rPr>
          <w:t>http://projects.pretrial.org/racialjustice/</w:t>
        </w:r>
      </w:hyperlink>
      <w:r w:rsidRPr="00EF73A0">
        <w:rPr>
          <w:rFonts w:ascii="Times New Roman" w:hAnsi="Times New Roman" w:cs="Times New Roman"/>
          <w:sz w:val="28"/>
          <w:szCs w:val="28"/>
        </w:rPr>
        <w:t>.</w:t>
      </w:r>
    </w:p>
  </w:footnote>
  <w:footnote w:id="11">
    <w:p w14:paraId="65F631DB" w14:textId="77777777" w:rsidR="00854CF1" w:rsidRPr="000457DE" w:rsidRDefault="00854CF1" w:rsidP="00854CF1">
      <w:pPr>
        <w:pStyle w:val="FootnoteText"/>
        <w:spacing w:after="120" w:line="240" w:lineRule="exac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See</w:t>
      </w:r>
      <w:r w:rsidRPr="00EF73A0">
        <w:rPr>
          <w:rFonts w:ascii="Times New Roman" w:hAnsi="Times New Roman" w:cs="Times New Roman"/>
          <w:sz w:val="28"/>
          <w:szCs w:val="28"/>
        </w:rPr>
        <w:t xml:space="preserve"> The Sentencing Project, </w:t>
      </w:r>
      <w:r w:rsidRPr="00EF73A0">
        <w:rPr>
          <w:rFonts w:ascii="Times New Roman" w:hAnsi="Times New Roman" w:cs="Times New Roman"/>
          <w:i/>
          <w:sz w:val="28"/>
          <w:szCs w:val="28"/>
        </w:rPr>
        <w:t>supra</w:t>
      </w:r>
      <w:r w:rsidRPr="00EF73A0">
        <w:rPr>
          <w:rFonts w:ascii="Times New Roman" w:hAnsi="Times New Roman" w:cs="Times New Roman"/>
          <w:sz w:val="28"/>
          <w:szCs w:val="28"/>
        </w:rPr>
        <w:t xml:space="preserve"> note </w:t>
      </w:r>
      <w:r>
        <w:rPr>
          <w:rFonts w:ascii="Times New Roman" w:hAnsi="Times New Roman" w:cs="Times New Roman"/>
          <w:sz w:val="28"/>
          <w:szCs w:val="28"/>
        </w:rPr>
        <w:t>3</w:t>
      </w:r>
      <w:r w:rsidRPr="00EF73A0">
        <w:rPr>
          <w:rFonts w:ascii="Times New Roman" w:hAnsi="Times New Roman" w:cs="Times New Roman"/>
          <w:sz w:val="28"/>
          <w:szCs w:val="28"/>
        </w:rPr>
        <w:t xml:space="preserve">; Brandon L. Garrett, End of Its Rope: How Killing the Death Penalty Can Revive Criminal Justice 1147-49,192 (Harvard </w:t>
      </w:r>
      <w:r w:rsidRPr="00DC6A98">
        <w:rPr>
          <w:rFonts w:ascii="Times New Roman" w:hAnsi="Times New Roman" w:cs="Times New Roman"/>
          <w:sz w:val="28"/>
          <w:szCs w:val="28"/>
        </w:rPr>
        <w:t xml:space="preserve">University Press) (2017) (discussing racial disparities in capital sentencing and </w:t>
      </w:r>
      <w:r w:rsidRPr="000457DE">
        <w:rPr>
          <w:rFonts w:ascii="Times New Roman" w:hAnsi="Times New Roman" w:cs="Times New Roman"/>
          <w:sz w:val="28"/>
          <w:szCs w:val="28"/>
        </w:rPr>
        <w:t>execution rates).</w:t>
      </w:r>
    </w:p>
  </w:footnote>
  <w:footnote w:id="12">
    <w:p w14:paraId="30E39206" w14:textId="77777777" w:rsidR="00854CF1" w:rsidRPr="009404F5" w:rsidRDefault="00854CF1" w:rsidP="00854CF1">
      <w:pPr>
        <w:pStyle w:val="FootnoteText"/>
        <w:spacing w:after="120" w:line="240" w:lineRule="exact"/>
        <w:rPr>
          <w:rFonts w:ascii="Times New Roman" w:hAnsi="Times New Roman" w:cs="Times New Roman"/>
          <w:sz w:val="28"/>
          <w:szCs w:val="28"/>
        </w:rPr>
      </w:pPr>
      <w:r w:rsidRPr="000457DE">
        <w:rPr>
          <w:rStyle w:val="FootnoteReference"/>
          <w:rFonts w:ascii="Times New Roman" w:hAnsi="Times New Roman" w:cs="Times New Roman"/>
          <w:sz w:val="28"/>
          <w:szCs w:val="28"/>
        </w:rPr>
        <w:footnoteRef/>
      </w:r>
      <w:r w:rsidRPr="000457DE">
        <w:rPr>
          <w:rFonts w:ascii="Times New Roman" w:hAnsi="Times New Roman" w:cs="Times New Roman"/>
          <w:sz w:val="28"/>
          <w:szCs w:val="28"/>
        </w:rPr>
        <w:t xml:space="preserve"> </w:t>
      </w:r>
      <w:r>
        <w:rPr>
          <w:rFonts w:ascii="Times New Roman" w:hAnsi="Times New Roman" w:cs="Times New Roman"/>
          <w:sz w:val="28"/>
          <w:szCs w:val="28"/>
        </w:rPr>
        <w:t xml:space="preserve">FWD.us, </w:t>
      </w:r>
      <w:r>
        <w:rPr>
          <w:rFonts w:ascii="Times New Roman" w:hAnsi="Times New Roman" w:cs="Times New Roman"/>
          <w:i/>
          <w:sz w:val="28"/>
          <w:szCs w:val="28"/>
        </w:rPr>
        <w:t>Arizona’s Imprisonment Crisis: P</w:t>
      </w:r>
      <w:bookmarkStart w:id="5" w:name="_BA_Cite_1740C8_000719"/>
      <w:bookmarkEnd w:id="5"/>
      <w:r>
        <w:rPr>
          <w:rFonts w:ascii="Times New Roman" w:hAnsi="Times New Roman" w:cs="Times New Roman"/>
          <w:i/>
          <w:sz w:val="28"/>
          <w:szCs w:val="28"/>
        </w:rPr>
        <w:t xml:space="preserve">art 2, </w:t>
      </w:r>
      <w:r w:rsidRPr="00F3492C">
        <w:rPr>
          <w:rFonts w:ascii="Times New Roman" w:hAnsi="Times New Roman" w:cs="Times New Roman"/>
          <w:i/>
          <w:sz w:val="28"/>
          <w:szCs w:val="28"/>
        </w:rPr>
        <w:t>The Cost to C</w:t>
      </w:r>
      <w:bookmarkStart w:id="6" w:name="_BA_Cite_1740C8_000639"/>
      <w:bookmarkEnd w:id="6"/>
      <w:r w:rsidRPr="00F3492C">
        <w:rPr>
          <w:rFonts w:ascii="Times New Roman" w:hAnsi="Times New Roman" w:cs="Times New Roman"/>
          <w:i/>
          <w:sz w:val="28"/>
          <w:szCs w:val="28"/>
        </w:rPr>
        <w:t>ommunities</w:t>
      </w:r>
      <w:r>
        <w:rPr>
          <w:rFonts w:ascii="Times New Roman" w:hAnsi="Times New Roman" w:cs="Times New Roman"/>
          <w:sz w:val="28"/>
          <w:szCs w:val="28"/>
        </w:rPr>
        <w:t xml:space="preserve">, Nov. 2018 </w:t>
      </w:r>
      <w:r w:rsidRPr="000457DE">
        <w:rPr>
          <w:rFonts w:ascii="Times New Roman" w:hAnsi="Times New Roman" w:cs="Times New Roman"/>
          <w:sz w:val="28"/>
          <w:szCs w:val="28"/>
        </w:rPr>
        <w:t>at 10-16</w:t>
      </w:r>
      <w:r>
        <w:rPr>
          <w:rFonts w:ascii="Times New Roman" w:hAnsi="Times New Roman" w:cs="Times New Roman"/>
          <w:sz w:val="28"/>
          <w:szCs w:val="28"/>
        </w:rPr>
        <w:t xml:space="preserve">, </w:t>
      </w:r>
      <w:r>
        <w:rPr>
          <w:rFonts w:ascii="Times New Roman" w:hAnsi="Times New Roman" w:cs="Times New Roman"/>
          <w:i/>
          <w:sz w:val="28"/>
          <w:szCs w:val="28"/>
        </w:rPr>
        <w:t xml:space="preserve">available </w:t>
      </w:r>
      <w:r w:rsidRPr="009404F5">
        <w:rPr>
          <w:rFonts w:ascii="Times New Roman" w:hAnsi="Times New Roman" w:cs="Times New Roman"/>
          <w:i/>
          <w:sz w:val="28"/>
          <w:szCs w:val="28"/>
        </w:rPr>
        <w:t>at</w:t>
      </w:r>
      <w:r w:rsidRPr="009404F5">
        <w:rPr>
          <w:rFonts w:ascii="Times New Roman" w:hAnsi="Times New Roman" w:cs="Times New Roman"/>
          <w:sz w:val="28"/>
          <w:szCs w:val="28"/>
        </w:rPr>
        <w:t xml:space="preserve">: </w:t>
      </w:r>
      <w:hyperlink r:id="rId6" w:history="1">
        <w:r w:rsidRPr="009404F5">
          <w:rPr>
            <w:rStyle w:val="Hyperlink"/>
            <w:rFonts w:ascii="Times New Roman" w:hAnsi="Times New Roman" w:cs="Times New Roman"/>
            <w:sz w:val="28"/>
            <w:szCs w:val="28"/>
          </w:rPr>
          <w:t>https://36shgf3jsufe2xojr925ehv6-wpengine.netdna-ssl.com/wp-content/uploads/2018/11/PART-2-The-cost-to-communities-1.pdf</w:t>
        </w:r>
      </w:hyperlink>
      <w:r>
        <w:rPr>
          <w:rFonts w:ascii="Times New Roman" w:hAnsi="Times New Roman" w:cs="Times New Roman"/>
          <w:sz w:val="28"/>
          <w:szCs w:val="28"/>
        </w:rPr>
        <w:t>.</w:t>
      </w:r>
    </w:p>
  </w:footnote>
  <w:footnote w:id="13">
    <w:p w14:paraId="0439182B" w14:textId="020478AD" w:rsidR="00832F67" w:rsidRPr="00616757" w:rsidRDefault="00832F67" w:rsidP="00832F67">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00616757">
        <w:rPr>
          <w:rFonts w:ascii="Times New Roman" w:hAnsi="Times New Roman" w:cs="Times New Roman"/>
          <w:i/>
          <w:iCs/>
          <w:sz w:val="28"/>
          <w:szCs w:val="28"/>
        </w:rPr>
        <w:t>Id.</w:t>
      </w:r>
      <w:r w:rsidR="00616757">
        <w:rPr>
          <w:rFonts w:ascii="Times New Roman" w:hAnsi="Times New Roman" w:cs="Times New Roman"/>
          <w:sz w:val="28"/>
          <w:szCs w:val="28"/>
        </w:rPr>
        <w:t xml:space="preserve"> at 10.</w:t>
      </w:r>
    </w:p>
  </w:footnote>
  <w:footnote w:id="14">
    <w:p w14:paraId="1D60D9A7" w14:textId="77777777" w:rsidR="00832F67" w:rsidRPr="003D7711" w:rsidRDefault="00832F67" w:rsidP="00832F67">
      <w:pPr>
        <w:pStyle w:val="FootnoteText"/>
        <w:rPr>
          <w:rFonts w:ascii="Times New Roman" w:hAnsi="Times New Roman" w:cs="Times New Roman"/>
          <w:i/>
          <w:iCs/>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3D7711">
        <w:rPr>
          <w:rFonts w:ascii="Times New Roman" w:hAnsi="Times New Roman" w:cs="Times New Roman"/>
          <w:i/>
          <w:iCs/>
          <w:sz w:val="28"/>
          <w:szCs w:val="28"/>
        </w:rPr>
        <w:t>Id.</w:t>
      </w:r>
    </w:p>
  </w:footnote>
  <w:footnote w:id="15">
    <w:p w14:paraId="278A9FB4" w14:textId="77777777" w:rsidR="00832F67" w:rsidRPr="003D7711" w:rsidRDefault="00832F67" w:rsidP="00832F67">
      <w:pPr>
        <w:pStyle w:val="FootnoteText"/>
        <w:rPr>
          <w:rFonts w:ascii="Times New Roman" w:hAnsi="Times New Roman" w:cs="Times New Roman"/>
          <w:i/>
          <w:iCs/>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3D7711">
        <w:rPr>
          <w:rFonts w:ascii="Times New Roman" w:hAnsi="Times New Roman" w:cs="Times New Roman"/>
          <w:i/>
          <w:iCs/>
          <w:sz w:val="28"/>
          <w:szCs w:val="28"/>
        </w:rPr>
        <w:t xml:space="preserve">Id. </w:t>
      </w:r>
    </w:p>
  </w:footnote>
  <w:footnote w:id="16">
    <w:p w14:paraId="2565C680" w14:textId="77777777" w:rsidR="00854CF1" w:rsidRPr="00427693" w:rsidRDefault="00854CF1" w:rsidP="00854CF1">
      <w:pPr>
        <w:pStyle w:val="FootnoteText"/>
        <w:spacing w:after="120" w:line="240" w:lineRule="exact"/>
        <w:rPr>
          <w:rFonts w:ascii="Times New Roman" w:hAnsi="Times New Roman" w:cs="Times New Roman"/>
          <w:sz w:val="28"/>
          <w:szCs w:val="28"/>
        </w:rPr>
      </w:pPr>
      <w:r w:rsidRPr="00427693">
        <w:rPr>
          <w:rStyle w:val="FootnoteReference"/>
          <w:rFonts w:ascii="Times New Roman" w:hAnsi="Times New Roman" w:cs="Times New Roman"/>
          <w:sz w:val="28"/>
          <w:szCs w:val="28"/>
        </w:rPr>
        <w:footnoteRef/>
      </w:r>
      <w:r w:rsidRPr="00427693">
        <w:rPr>
          <w:rFonts w:ascii="Times New Roman" w:hAnsi="Times New Roman" w:cs="Times New Roman"/>
          <w:sz w:val="28"/>
          <w:szCs w:val="28"/>
        </w:rPr>
        <w:t xml:space="preserve"> </w:t>
      </w:r>
      <w:r w:rsidRPr="00427693">
        <w:rPr>
          <w:rFonts w:ascii="Times New Roman" w:hAnsi="Times New Roman" w:cs="Times New Roman"/>
          <w:i/>
          <w:sz w:val="28"/>
          <w:szCs w:val="28"/>
        </w:rPr>
        <w:t>I</w:t>
      </w:r>
      <w:bookmarkStart w:id="7" w:name="_BA_Cite_1740C8_000684"/>
      <w:bookmarkEnd w:id="7"/>
      <w:r w:rsidRPr="00427693">
        <w:rPr>
          <w:rFonts w:ascii="Times New Roman" w:hAnsi="Times New Roman" w:cs="Times New Roman"/>
          <w:i/>
          <w:sz w:val="28"/>
          <w:szCs w:val="28"/>
        </w:rPr>
        <w:t xml:space="preserve">d. </w:t>
      </w:r>
      <w:r w:rsidRPr="00427693">
        <w:rPr>
          <w:rFonts w:ascii="Times New Roman" w:hAnsi="Times New Roman" w:cs="Times New Roman"/>
          <w:sz w:val="28"/>
          <w:szCs w:val="28"/>
        </w:rPr>
        <w:t>at 13-14.</w:t>
      </w:r>
    </w:p>
  </w:footnote>
  <w:footnote w:id="17">
    <w:p w14:paraId="4C7CD991" w14:textId="77777777" w:rsidR="00854CF1" w:rsidRPr="00427693" w:rsidRDefault="00854CF1" w:rsidP="00854CF1">
      <w:pPr>
        <w:pStyle w:val="FootnoteText"/>
        <w:spacing w:after="120" w:line="240" w:lineRule="exact"/>
        <w:rPr>
          <w:rFonts w:ascii="Times New Roman" w:hAnsi="Times New Roman" w:cs="Times New Roman"/>
          <w:sz w:val="28"/>
          <w:szCs w:val="28"/>
        </w:rPr>
      </w:pPr>
      <w:r w:rsidRPr="00427693">
        <w:rPr>
          <w:rStyle w:val="FootnoteReference"/>
          <w:rFonts w:ascii="Times New Roman" w:hAnsi="Times New Roman" w:cs="Times New Roman"/>
          <w:sz w:val="28"/>
          <w:szCs w:val="28"/>
        </w:rPr>
        <w:footnoteRef/>
      </w:r>
      <w:r w:rsidRPr="00427693">
        <w:rPr>
          <w:rFonts w:ascii="Times New Roman" w:hAnsi="Times New Roman" w:cs="Times New Roman"/>
          <w:sz w:val="28"/>
          <w:szCs w:val="28"/>
        </w:rPr>
        <w:t xml:space="preserve"> </w:t>
      </w:r>
      <w:r>
        <w:rPr>
          <w:rFonts w:ascii="Times New Roman" w:hAnsi="Times New Roman" w:cs="Times New Roman"/>
          <w:i/>
          <w:sz w:val="28"/>
          <w:szCs w:val="28"/>
        </w:rPr>
        <w:t>I</w:t>
      </w:r>
      <w:bookmarkStart w:id="8" w:name="_BA_Cite_1740C8_000685"/>
      <w:bookmarkEnd w:id="8"/>
      <w:r>
        <w:rPr>
          <w:rFonts w:ascii="Times New Roman" w:hAnsi="Times New Roman" w:cs="Times New Roman"/>
          <w:i/>
          <w:sz w:val="28"/>
          <w:szCs w:val="28"/>
        </w:rPr>
        <w:t xml:space="preserve">d. </w:t>
      </w:r>
      <w:r>
        <w:rPr>
          <w:rFonts w:ascii="Times New Roman" w:hAnsi="Times New Roman" w:cs="Times New Roman"/>
          <w:sz w:val="28"/>
          <w:szCs w:val="28"/>
        </w:rPr>
        <w:t>at 13.</w:t>
      </w:r>
    </w:p>
  </w:footnote>
  <w:footnote w:id="18">
    <w:p w14:paraId="6CB36AF0" w14:textId="77777777" w:rsidR="00854CF1" w:rsidRPr="00427693" w:rsidRDefault="00854CF1" w:rsidP="00854CF1">
      <w:pPr>
        <w:pStyle w:val="FootnoteText"/>
        <w:spacing w:after="120" w:line="240" w:lineRule="exact"/>
        <w:rPr>
          <w:rFonts w:ascii="Times New Roman" w:hAnsi="Times New Roman" w:cs="Times New Roman"/>
          <w:sz w:val="28"/>
          <w:szCs w:val="28"/>
        </w:rPr>
      </w:pPr>
      <w:r w:rsidRPr="00666971">
        <w:rPr>
          <w:rStyle w:val="FootnoteReference"/>
          <w:rFonts w:ascii="Times New Roman" w:hAnsi="Times New Roman" w:cs="Times New Roman"/>
          <w:sz w:val="28"/>
          <w:szCs w:val="28"/>
        </w:rPr>
        <w:footnoteRef/>
      </w:r>
      <w:r w:rsidRPr="00666971">
        <w:rPr>
          <w:rFonts w:ascii="Times New Roman" w:hAnsi="Times New Roman" w:cs="Times New Roman"/>
          <w:sz w:val="28"/>
          <w:szCs w:val="28"/>
        </w:rPr>
        <w:t xml:space="preserve"> </w:t>
      </w:r>
      <w:r w:rsidRPr="00666971">
        <w:rPr>
          <w:rFonts w:ascii="Times New Roman" w:hAnsi="Times New Roman" w:cs="Times New Roman"/>
          <w:i/>
          <w:sz w:val="28"/>
          <w:szCs w:val="28"/>
        </w:rPr>
        <w:t>B</w:t>
      </w:r>
      <w:bookmarkStart w:id="9" w:name="_BA_Cite_1740C8_000273"/>
      <w:bookmarkEnd w:id="9"/>
      <w:r w:rsidRPr="00666971">
        <w:rPr>
          <w:rFonts w:ascii="Times New Roman" w:hAnsi="Times New Roman" w:cs="Times New Roman"/>
          <w:i/>
          <w:sz w:val="28"/>
          <w:szCs w:val="28"/>
        </w:rPr>
        <w:t>atson</w:t>
      </w:r>
      <w:r w:rsidRPr="00427693">
        <w:rPr>
          <w:rFonts w:ascii="Times New Roman" w:hAnsi="Times New Roman" w:cs="Times New Roman"/>
          <w:i/>
          <w:sz w:val="28"/>
          <w:szCs w:val="28"/>
        </w:rPr>
        <w:t xml:space="preserve"> v. Kentucky</w:t>
      </w:r>
      <w:r w:rsidRPr="00427693">
        <w:rPr>
          <w:rFonts w:ascii="Times New Roman" w:hAnsi="Times New Roman" w:cs="Times New Roman"/>
          <w:sz w:val="28"/>
          <w:szCs w:val="28"/>
        </w:rPr>
        <w:t>, 476 U.S. 79, 87 (1986).</w:t>
      </w:r>
    </w:p>
  </w:footnote>
  <w:footnote w:id="19">
    <w:p w14:paraId="3A1A5C2B" w14:textId="77777777" w:rsidR="00854CF1" w:rsidRPr="00DD02B7" w:rsidRDefault="00854CF1" w:rsidP="00854CF1">
      <w:pPr>
        <w:pStyle w:val="FootnoteText"/>
        <w:rPr>
          <w:rFonts w:ascii="Times New Roman" w:hAnsi="Times New Roman" w:cs="Times New Roman"/>
          <w:sz w:val="28"/>
          <w:szCs w:val="28"/>
        </w:rPr>
      </w:pPr>
      <w:r w:rsidRPr="00DD02B7">
        <w:rPr>
          <w:rStyle w:val="FootnoteReference"/>
          <w:rFonts w:ascii="Times New Roman" w:hAnsi="Times New Roman" w:cs="Times New Roman"/>
          <w:sz w:val="28"/>
          <w:szCs w:val="28"/>
        </w:rPr>
        <w:footnoteRef/>
      </w:r>
      <w:r w:rsidRPr="00DD02B7">
        <w:rPr>
          <w:rFonts w:ascii="Times New Roman" w:hAnsi="Times New Roman" w:cs="Times New Roman"/>
          <w:sz w:val="28"/>
          <w:szCs w:val="28"/>
        </w:rPr>
        <w:t xml:space="preserve"> </w:t>
      </w:r>
      <w:r w:rsidRPr="00DD02B7">
        <w:rPr>
          <w:rFonts w:ascii="Times New Roman" w:hAnsi="Times New Roman" w:cs="Times New Roman"/>
          <w:i/>
          <w:sz w:val="28"/>
          <w:szCs w:val="28"/>
        </w:rPr>
        <w:t>S</w:t>
      </w:r>
      <w:bookmarkStart w:id="10" w:name="_BA_Cite_1740C8_000279"/>
      <w:bookmarkEnd w:id="10"/>
      <w:r w:rsidRPr="00DD02B7">
        <w:rPr>
          <w:rFonts w:ascii="Times New Roman" w:hAnsi="Times New Roman" w:cs="Times New Roman"/>
          <w:i/>
          <w:sz w:val="28"/>
          <w:szCs w:val="28"/>
        </w:rPr>
        <w:t>trauder v. West Virginia</w:t>
      </w:r>
      <w:r w:rsidRPr="00DD02B7">
        <w:rPr>
          <w:rFonts w:ascii="Times New Roman" w:hAnsi="Times New Roman" w:cs="Times New Roman"/>
          <w:sz w:val="28"/>
          <w:szCs w:val="28"/>
        </w:rPr>
        <w:t>, 100 U.S. 303, 309 (1880).</w:t>
      </w:r>
    </w:p>
  </w:footnote>
  <w:footnote w:id="20">
    <w:p w14:paraId="6AF2E73F" w14:textId="2B7B540F" w:rsidR="00DD02B7" w:rsidRPr="00DD02B7" w:rsidRDefault="00DD02B7">
      <w:pPr>
        <w:pStyle w:val="FootnoteText"/>
        <w:rPr>
          <w:rFonts w:ascii="Times New Roman" w:hAnsi="Times New Roman" w:cs="Times New Roman"/>
          <w:sz w:val="28"/>
          <w:szCs w:val="28"/>
        </w:rPr>
      </w:pPr>
      <w:r w:rsidRPr="00DD02B7">
        <w:rPr>
          <w:rStyle w:val="FootnoteReference"/>
          <w:rFonts w:ascii="Times New Roman" w:hAnsi="Times New Roman" w:cs="Times New Roman"/>
          <w:sz w:val="28"/>
          <w:szCs w:val="28"/>
        </w:rPr>
        <w:footnoteRef/>
      </w:r>
      <w:r w:rsidRPr="00DD02B7">
        <w:rPr>
          <w:rFonts w:ascii="Times New Roman" w:hAnsi="Times New Roman" w:cs="Times New Roman"/>
          <w:sz w:val="28"/>
          <w:szCs w:val="28"/>
        </w:rPr>
        <w:t xml:space="preserve"> 476 U.S. </w:t>
      </w:r>
      <w:r w:rsidR="0003542C">
        <w:rPr>
          <w:rFonts w:ascii="Times New Roman" w:hAnsi="Times New Roman" w:cs="Times New Roman"/>
          <w:sz w:val="28"/>
          <w:szCs w:val="28"/>
        </w:rPr>
        <w:t>at</w:t>
      </w:r>
      <w:r w:rsidRPr="00DD02B7">
        <w:rPr>
          <w:rFonts w:ascii="Times New Roman" w:hAnsi="Times New Roman" w:cs="Times New Roman"/>
          <w:sz w:val="28"/>
          <w:szCs w:val="28"/>
        </w:rPr>
        <w:t xml:space="preserve"> 85-68.</w:t>
      </w:r>
    </w:p>
  </w:footnote>
  <w:footnote w:id="21">
    <w:p w14:paraId="7F0C1389" w14:textId="7F42C0CB" w:rsidR="00DD02B7" w:rsidRPr="00FE65D1" w:rsidRDefault="00DD02B7">
      <w:pPr>
        <w:pStyle w:val="FootnoteText"/>
        <w:rPr>
          <w:rFonts w:ascii="Times New Roman" w:hAnsi="Times New Roman" w:cs="Times New Roman"/>
          <w:sz w:val="28"/>
          <w:szCs w:val="28"/>
        </w:rPr>
      </w:pPr>
      <w:r w:rsidRPr="00DD02B7">
        <w:rPr>
          <w:rStyle w:val="FootnoteReference"/>
          <w:rFonts w:ascii="Times New Roman" w:hAnsi="Times New Roman" w:cs="Times New Roman"/>
          <w:sz w:val="28"/>
          <w:szCs w:val="28"/>
        </w:rPr>
        <w:footnoteRef/>
      </w:r>
      <w:r w:rsidRPr="00DD02B7">
        <w:rPr>
          <w:rFonts w:ascii="Times New Roman" w:hAnsi="Times New Roman" w:cs="Times New Roman"/>
          <w:sz w:val="28"/>
          <w:szCs w:val="28"/>
        </w:rPr>
        <w:t xml:space="preserve"> </w:t>
      </w:r>
      <w:r>
        <w:rPr>
          <w:rFonts w:ascii="Times New Roman" w:hAnsi="Times New Roman" w:cs="Times New Roman"/>
          <w:i/>
          <w:iCs/>
          <w:sz w:val="28"/>
          <w:szCs w:val="28"/>
        </w:rPr>
        <w:t>Snyder v. Louisiana</w:t>
      </w:r>
      <w:r>
        <w:rPr>
          <w:rFonts w:ascii="Times New Roman" w:hAnsi="Times New Roman" w:cs="Times New Roman"/>
          <w:sz w:val="28"/>
          <w:szCs w:val="28"/>
        </w:rPr>
        <w:t>, 552 U.S. 472, 476-77 (2008)</w:t>
      </w:r>
      <w:r w:rsidR="00FE65D1">
        <w:rPr>
          <w:rFonts w:ascii="Times New Roman" w:hAnsi="Times New Roman" w:cs="Times New Roman"/>
          <w:sz w:val="28"/>
          <w:szCs w:val="28"/>
        </w:rPr>
        <w:t xml:space="preserve"> (</w:t>
      </w:r>
      <w:r w:rsidR="00FE65D1" w:rsidRPr="00FE65D1">
        <w:rPr>
          <w:rFonts w:ascii="Times New Roman" w:hAnsi="Times New Roman" w:cs="Times New Roman"/>
          <w:sz w:val="28"/>
          <w:szCs w:val="28"/>
        </w:rPr>
        <w:t xml:space="preserve">citing </w:t>
      </w:r>
      <w:r w:rsidR="00FE65D1">
        <w:rPr>
          <w:rFonts w:ascii="Times New Roman" w:hAnsi="Times New Roman" w:cs="Times New Roman"/>
          <w:i/>
          <w:iCs/>
          <w:sz w:val="28"/>
          <w:szCs w:val="28"/>
        </w:rPr>
        <w:t>Miller-El v. Dretke</w:t>
      </w:r>
      <w:r w:rsidR="00FE65D1">
        <w:rPr>
          <w:rFonts w:ascii="Times New Roman" w:hAnsi="Times New Roman" w:cs="Times New Roman"/>
          <w:sz w:val="28"/>
          <w:szCs w:val="28"/>
        </w:rPr>
        <w:t>, 545 U.S. 231, 277 (2005)).</w:t>
      </w:r>
    </w:p>
  </w:footnote>
  <w:footnote w:id="22">
    <w:p w14:paraId="6B194E31" w14:textId="41DB875A" w:rsidR="00E451D8" w:rsidRPr="003D7711" w:rsidRDefault="00E451D8">
      <w:pPr>
        <w:pStyle w:val="FootnoteText"/>
        <w:rPr>
          <w:rFonts w:ascii="Times New Roman" w:hAnsi="Times New Roman" w:cs="Times New Roman"/>
          <w:sz w:val="28"/>
          <w:szCs w:val="28"/>
        </w:rPr>
      </w:pPr>
      <w:r w:rsidRPr="00DD02B7">
        <w:rPr>
          <w:rStyle w:val="FootnoteReference"/>
          <w:rFonts w:ascii="Times New Roman" w:hAnsi="Times New Roman" w:cs="Times New Roman"/>
          <w:sz w:val="28"/>
          <w:szCs w:val="28"/>
        </w:rPr>
        <w:footnoteRef/>
      </w:r>
      <w:r w:rsidRPr="00DD02B7">
        <w:rPr>
          <w:rFonts w:ascii="Times New Roman" w:hAnsi="Times New Roman" w:cs="Times New Roman"/>
          <w:sz w:val="28"/>
          <w:szCs w:val="28"/>
        </w:rPr>
        <w:t xml:space="preserve"> </w:t>
      </w:r>
      <w:r w:rsidRPr="00241655">
        <w:rPr>
          <w:rFonts w:ascii="Times New Roman" w:hAnsi="Times New Roman" w:cs="Times New Roman"/>
          <w:i/>
          <w:iCs/>
          <w:sz w:val="28"/>
          <w:szCs w:val="28"/>
        </w:rPr>
        <w:t>Cruz</w:t>
      </w:r>
      <w:r w:rsidRPr="003D7711">
        <w:rPr>
          <w:rFonts w:ascii="Times New Roman" w:hAnsi="Times New Roman" w:cs="Times New Roman"/>
          <w:sz w:val="28"/>
          <w:szCs w:val="28"/>
        </w:rPr>
        <w:t xml:space="preserve">, 175 Ariz. </w:t>
      </w:r>
      <w:r w:rsidR="00241655">
        <w:rPr>
          <w:rFonts w:ascii="Times New Roman" w:hAnsi="Times New Roman" w:cs="Times New Roman"/>
          <w:sz w:val="28"/>
          <w:szCs w:val="28"/>
        </w:rPr>
        <w:t>at</w:t>
      </w:r>
      <w:r w:rsidRPr="003D7711">
        <w:rPr>
          <w:rFonts w:ascii="Times New Roman" w:hAnsi="Times New Roman" w:cs="Times New Roman"/>
          <w:sz w:val="28"/>
          <w:szCs w:val="28"/>
        </w:rPr>
        <w:t xml:space="preserve"> 400.</w:t>
      </w:r>
    </w:p>
  </w:footnote>
  <w:footnote w:id="23">
    <w:p w14:paraId="2B1AA3FD" w14:textId="77777777" w:rsidR="00616757" w:rsidRPr="00616757" w:rsidRDefault="00616757" w:rsidP="00616757">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Jeffery Bellin &amp; Junichi P. Semitsu, </w:t>
      </w:r>
      <w:r w:rsidRPr="003D7711">
        <w:rPr>
          <w:rFonts w:ascii="Times New Roman" w:hAnsi="Times New Roman" w:cs="Times New Roman"/>
          <w:i/>
          <w:iCs/>
          <w:sz w:val="28"/>
          <w:szCs w:val="28"/>
        </w:rPr>
        <w:t xml:space="preserve">Widening Batson’s Net to Ensnare More </w:t>
      </w:r>
      <w:r w:rsidRPr="00616757">
        <w:rPr>
          <w:rFonts w:ascii="Times New Roman" w:hAnsi="Times New Roman" w:cs="Times New Roman"/>
          <w:i/>
          <w:iCs/>
          <w:sz w:val="28"/>
          <w:szCs w:val="28"/>
        </w:rPr>
        <w:t>Than the Unapologetically Bigoted or Painfully Unimaginative Attorney</w:t>
      </w:r>
      <w:r w:rsidRPr="00616757">
        <w:rPr>
          <w:rFonts w:ascii="Times New Roman" w:hAnsi="Times New Roman" w:cs="Times New Roman"/>
          <w:sz w:val="28"/>
          <w:szCs w:val="28"/>
        </w:rPr>
        <w:t xml:space="preserve">, 96 Cornell L. Rev. 1975, 1092 (2011). </w:t>
      </w:r>
    </w:p>
  </w:footnote>
  <w:footnote w:id="24">
    <w:p w14:paraId="440C4F5C" w14:textId="7D320651" w:rsidR="00616757" w:rsidRPr="00616757" w:rsidRDefault="00616757">
      <w:pPr>
        <w:pStyle w:val="FootnoteText"/>
        <w:rPr>
          <w:i/>
          <w:iCs/>
        </w:rPr>
      </w:pPr>
      <w:r w:rsidRPr="00616757">
        <w:rPr>
          <w:rStyle w:val="FootnoteReference"/>
          <w:rFonts w:ascii="Times New Roman" w:hAnsi="Times New Roman" w:cs="Times New Roman"/>
          <w:sz w:val="28"/>
          <w:szCs w:val="28"/>
        </w:rPr>
        <w:footnoteRef/>
      </w:r>
      <w:r w:rsidRPr="00616757">
        <w:rPr>
          <w:rFonts w:ascii="Times New Roman" w:hAnsi="Times New Roman" w:cs="Times New Roman"/>
          <w:i/>
          <w:iCs/>
          <w:sz w:val="28"/>
          <w:szCs w:val="28"/>
        </w:rPr>
        <w:t xml:space="preserve"> Id.</w:t>
      </w:r>
    </w:p>
  </w:footnote>
  <w:footnote w:id="25">
    <w:p w14:paraId="742E9166" w14:textId="2023EA39" w:rsidR="00E7284E" w:rsidRPr="00C24538" w:rsidRDefault="00E7284E" w:rsidP="00E7284E">
      <w:pPr>
        <w:pStyle w:val="FootnoteText"/>
        <w:rPr>
          <w:rFonts w:ascii="Times New Roman" w:hAnsi="Times New Roman" w:cs="Times New Roman"/>
          <w:sz w:val="28"/>
          <w:szCs w:val="28"/>
        </w:rPr>
      </w:pPr>
      <w:r w:rsidRPr="00C24538">
        <w:rPr>
          <w:rStyle w:val="FootnoteReference"/>
          <w:rFonts w:ascii="Times New Roman" w:hAnsi="Times New Roman" w:cs="Times New Roman"/>
          <w:sz w:val="28"/>
          <w:szCs w:val="28"/>
        </w:rPr>
        <w:footnoteRef/>
      </w:r>
      <w:r w:rsidRPr="00C24538">
        <w:rPr>
          <w:rFonts w:ascii="Times New Roman" w:hAnsi="Times New Roman" w:cs="Times New Roman"/>
          <w:sz w:val="28"/>
          <w:szCs w:val="28"/>
        </w:rPr>
        <w:t xml:space="preserve"> </w:t>
      </w:r>
      <w:r w:rsidRPr="00EF73A0">
        <w:rPr>
          <w:rFonts w:ascii="Times New Roman" w:hAnsi="Times New Roman" w:cs="Times New Roman"/>
          <w:i/>
          <w:sz w:val="28"/>
          <w:szCs w:val="28"/>
        </w:rPr>
        <w:t>P</w:t>
      </w:r>
      <w:bookmarkStart w:id="11" w:name="_BA_Cite_1740C8_000283"/>
      <w:bookmarkEnd w:id="11"/>
      <w:r w:rsidRPr="00EF73A0">
        <w:rPr>
          <w:rFonts w:ascii="Times New Roman" w:hAnsi="Times New Roman" w:cs="Times New Roman"/>
          <w:i/>
          <w:sz w:val="28"/>
          <w:szCs w:val="28"/>
        </w:rPr>
        <w:t>eople v. Randall</w:t>
      </w:r>
      <w:r w:rsidRPr="00EF73A0">
        <w:rPr>
          <w:rFonts w:ascii="Times New Roman" w:hAnsi="Times New Roman" w:cs="Times New Roman"/>
          <w:sz w:val="28"/>
          <w:szCs w:val="28"/>
        </w:rPr>
        <w:t>, 283 Ill.App.3d 1019, 1025</w:t>
      </w:r>
      <w:r>
        <w:rPr>
          <w:rFonts w:ascii="Times New Roman" w:hAnsi="Times New Roman" w:cs="Times New Roman"/>
          <w:sz w:val="28"/>
          <w:szCs w:val="28"/>
        </w:rPr>
        <w:t>-26</w:t>
      </w:r>
      <w:r w:rsidRPr="00EF73A0">
        <w:rPr>
          <w:rFonts w:ascii="Times New Roman" w:hAnsi="Times New Roman" w:cs="Times New Roman"/>
          <w:sz w:val="28"/>
          <w:szCs w:val="28"/>
        </w:rPr>
        <w:t xml:space="preserve"> (1996)</w:t>
      </w:r>
      <w:r w:rsidRPr="00C24538">
        <w:rPr>
          <w:rFonts w:ascii="Times New Roman" w:hAnsi="Times New Roman" w:cs="Times New Roman"/>
          <w:sz w:val="28"/>
          <w:szCs w:val="28"/>
        </w:rPr>
        <w:t>.</w:t>
      </w:r>
    </w:p>
  </w:footnote>
  <w:footnote w:id="26">
    <w:p w14:paraId="192C2A60" w14:textId="3FEC95ED" w:rsidR="00350E61" w:rsidRPr="003D7711" w:rsidRDefault="00350E61">
      <w:pPr>
        <w:pStyle w:val="FootnoteText"/>
        <w:rPr>
          <w:rFonts w:ascii="Times New Roman" w:hAnsi="Times New Roman" w:cs="Times New Roman"/>
          <w:i/>
          <w:iCs/>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241655">
        <w:rPr>
          <w:rFonts w:ascii="Times New Roman" w:hAnsi="Times New Roman" w:cs="Times New Roman"/>
          <w:i/>
          <w:iCs/>
          <w:sz w:val="28"/>
          <w:szCs w:val="28"/>
        </w:rPr>
        <w:t>State v. Lucas</w:t>
      </w:r>
      <w:r w:rsidRPr="003D7711">
        <w:rPr>
          <w:rFonts w:ascii="Times New Roman" w:hAnsi="Times New Roman" w:cs="Times New Roman"/>
          <w:sz w:val="28"/>
          <w:szCs w:val="28"/>
        </w:rPr>
        <w:t>, 199 Ariz. 366, ¶ 7 (App.</w:t>
      </w:r>
      <w:r w:rsidR="00241655">
        <w:rPr>
          <w:rFonts w:ascii="Times New Roman" w:hAnsi="Times New Roman" w:cs="Times New Roman"/>
          <w:sz w:val="28"/>
          <w:szCs w:val="28"/>
        </w:rPr>
        <w:t xml:space="preserve"> </w:t>
      </w:r>
      <w:r w:rsidRPr="003D7711">
        <w:rPr>
          <w:rFonts w:ascii="Times New Roman" w:hAnsi="Times New Roman" w:cs="Times New Roman"/>
          <w:sz w:val="28"/>
          <w:szCs w:val="28"/>
        </w:rPr>
        <w:t xml:space="preserve">2001) (quoting </w:t>
      </w:r>
      <w:r w:rsidRPr="00241655">
        <w:rPr>
          <w:rFonts w:ascii="Times New Roman" w:hAnsi="Times New Roman" w:cs="Times New Roman"/>
          <w:i/>
          <w:iCs/>
          <w:sz w:val="28"/>
          <w:szCs w:val="28"/>
        </w:rPr>
        <w:t>Purkett v. Elem</w:t>
      </w:r>
      <w:r w:rsidRPr="003D7711">
        <w:rPr>
          <w:rFonts w:ascii="Times New Roman" w:hAnsi="Times New Roman" w:cs="Times New Roman"/>
          <w:sz w:val="28"/>
          <w:szCs w:val="28"/>
        </w:rPr>
        <w:t xml:space="preserve">, 514 U.S. 765, 768 (1995). </w:t>
      </w:r>
    </w:p>
  </w:footnote>
  <w:footnote w:id="27">
    <w:p w14:paraId="09BD8632" w14:textId="468CA814" w:rsidR="00B5234D" w:rsidRPr="003D7711" w:rsidRDefault="00B5234D">
      <w:pPr>
        <w:pStyle w:val="FootnoteText"/>
        <w:rPr>
          <w:rFonts w:ascii="Times New Roman" w:hAnsi="Times New Roman" w:cs="Times New Roman"/>
          <w:i/>
          <w:iCs/>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3D7711">
        <w:rPr>
          <w:rFonts w:ascii="Times New Roman" w:hAnsi="Times New Roman" w:cs="Times New Roman"/>
          <w:i/>
          <w:iCs/>
          <w:sz w:val="28"/>
          <w:szCs w:val="28"/>
        </w:rPr>
        <w:t xml:space="preserve">Randall, </w:t>
      </w:r>
      <w:r w:rsidRPr="003D7711">
        <w:rPr>
          <w:rFonts w:ascii="Times New Roman" w:hAnsi="Times New Roman" w:cs="Times New Roman"/>
          <w:sz w:val="28"/>
          <w:szCs w:val="28"/>
        </w:rPr>
        <w:t xml:space="preserve">283 Ill.App.3d </w:t>
      </w:r>
      <w:r w:rsidR="006C3080">
        <w:rPr>
          <w:rFonts w:ascii="Times New Roman" w:hAnsi="Times New Roman" w:cs="Times New Roman"/>
          <w:sz w:val="28"/>
          <w:szCs w:val="28"/>
        </w:rPr>
        <w:t>at</w:t>
      </w:r>
      <w:r w:rsidRPr="003D7711">
        <w:rPr>
          <w:rFonts w:ascii="Times New Roman" w:hAnsi="Times New Roman" w:cs="Times New Roman"/>
          <w:sz w:val="28"/>
          <w:szCs w:val="28"/>
        </w:rPr>
        <w:t xml:space="preserve"> 1025; </w:t>
      </w:r>
      <w:r w:rsidR="00232374" w:rsidRPr="003D7711">
        <w:rPr>
          <w:rFonts w:ascii="Times New Roman" w:hAnsi="Times New Roman" w:cs="Times New Roman"/>
          <w:sz w:val="28"/>
          <w:szCs w:val="28"/>
        </w:rPr>
        <w:t xml:space="preserve">Kyle C. Barry, </w:t>
      </w:r>
      <w:r w:rsidR="00232374" w:rsidRPr="003D7711">
        <w:rPr>
          <w:rFonts w:ascii="Times New Roman" w:hAnsi="Times New Roman" w:cs="Times New Roman"/>
          <w:i/>
          <w:iCs/>
          <w:sz w:val="28"/>
          <w:szCs w:val="28"/>
        </w:rPr>
        <w:t>Prosecutors’ ‘O.J. Simpson question’ and the case against peremptory strikes</w:t>
      </w:r>
      <w:r w:rsidR="00232374" w:rsidRPr="003D7711">
        <w:rPr>
          <w:rFonts w:ascii="Times New Roman" w:hAnsi="Times New Roman" w:cs="Times New Roman"/>
          <w:sz w:val="28"/>
          <w:szCs w:val="28"/>
        </w:rPr>
        <w:t xml:space="preserve">, The Daily Appeal (Mar. 5, 2020), </w:t>
      </w:r>
      <w:hyperlink r:id="rId7" w:history="1">
        <w:r w:rsidR="003D7711" w:rsidRPr="00113AB3">
          <w:rPr>
            <w:rStyle w:val="Hyperlink"/>
            <w:rFonts w:ascii="Times New Roman" w:hAnsi="Times New Roman" w:cs="Times New Roman"/>
            <w:sz w:val="28"/>
            <w:szCs w:val="28"/>
          </w:rPr>
          <w:t>https://mailchi.mp/theappeal/daily-appeal-347787?e=f12f515f5c</w:t>
        </w:r>
      </w:hyperlink>
      <w:r w:rsidR="00232374" w:rsidRPr="003D7711">
        <w:rPr>
          <w:rFonts w:ascii="Times New Roman" w:hAnsi="Times New Roman" w:cs="Times New Roman"/>
          <w:sz w:val="28"/>
          <w:szCs w:val="28"/>
        </w:rPr>
        <w:t>.</w:t>
      </w:r>
      <w:r w:rsidR="003D7711">
        <w:rPr>
          <w:rFonts w:ascii="Times New Roman" w:hAnsi="Times New Roman" w:cs="Times New Roman"/>
          <w:sz w:val="28"/>
          <w:szCs w:val="28"/>
        </w:rPr>
        <w:t xml:space="preserve"> </w:t>
      </w:r>
    </w:p>
  </w:footnote>
  <w:footnote w:id="28">
    <w:p w14:paraId="1618F192" w14:textId="19F81F6D" w:rsidR="00350E61" w:rsidRPr="003D7711" w:rsidRDefault="00350E61">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241655">
        <w:rPr>
          <w:rFonts w:ascii="Times New Roman" w:hAnsi="Times New Roman" w:cs="Times New Roman"/>
          <w:i/>
          <w:iCs/>
          <w:sz w:val="28"/>
          <w:szCs w:val="28"/>
        </w:rPr>
        <w:t>State v. Gay</w:t>
      </w:r>
      <w:r w:rsidRPr="003D7711">
        <w:rPr>
          <w:rFonts w:ascii="Times New Roman" w:hAnsi="Times New Roman" w:cs="Times New Roman"/>
          <w:sz w:val="28"/>
          <w:szCs w:val="28"/>
        </w:rPr>
        <w:t>, 214 Ariz. 214, 220-21, ¶ 18-19 (</w:t>
      </w:r>
      <w:r w:rsidR="00AD426C">
        <w:rPr>
          <w:rFonts w:ascii="Times New Roman" w:hAnsi="Times New Roman" w:cs="Times New Roman"/>
          <w:sz w:val="28"/>
          <w:szCs w:val="28"/>
        </w:rPr>
        <w:t xml:space="preserve">App. </w:t>
      </w:r>
      <w:r w:rsidRPr="003D7711">
        <w:rPr>
          <w:rFonts w:ascii="Times New Roman" w:hAnsi="Times New Roman" w:cs="Times New Roman"/>
          <w:sz w:val="28"/>
          <w:szCs w:val="28"/>
        </w:rPr>
        <w:t xml:space="preserve">2007). </w:t>
      </w:r>
    </w:p>
  </w:footnote>
  <w:footnote w:id="29">
    <w:p w14:paraId="5FF9F0A3" w14:textId="73724DF0" w:rsidR="008A1821" w:rsidRPr="003D7711" w:rsidRDefault="008A1821">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241655">
        <w:rPr>
          <w:rFonts w:ascii="Times New Roman" w:hAnsi="Times New Roman" w:cs="Times New Roman"/>
          <w:i/>
          <w:iCs/>
          <w:sz w:val="28"/>
          <w:szCs w:val="28"/>
        </w:rPr>
        <w:t>Gentry</w:t>
      </w:r>
      <w:r w:rsidRPr="003D7711">
        <w:rPr>
          <w:rFonts w:ascii="Times New Roman" w:hAnsi="Times New Roman" w:cs="Times New Roman"/>
          <w:sz w:val="28"/>
          <w:szCs w:val="28"/>
        </w:rPr>
        <w:t xml:space="preserve">, </w:t>
      </w:r>
      <w:r w:rsidR="00241655">
        <w:rPr>
          <w:rFonts w:ascii="Times New Roman" w:hAnsi="Times New Roman" w:cs="Times New Roman"/>
          <w:sz w:val="28"/>
          <w:szCs w:val="28"/>
        </w:rPr>
        <w:t>247 Ariz. 381</w:t>
      </w:r>
      <w:r w:rsidRPr="003D7711">
        <w:rPr>
          <w:rFonts w:ascii="Times New Roman" w:hAnsi="Times New Roman" w:cs="Times New Roman"/>
          <w:sz w:val="28"/>
          <w:szCs w:val="28"/>
        </w:rPr>
        <w:t>, ¶</w:t>
      </w:r>
      <w:r w:rsidR="00C63BB2" w:rsidRPr="003D7711">
        <w:rPr>
          <w:rFonts w:ascii="Times New Roman" w:hAnsi="Times New Roman" w:cs="Times New Roman"/>
          <w:sz w:val="28"/>
          <w:szCs w:val="28"/>
        </w:rPr>
        <w:t>11-12.</w:t>
      </w:r>
    </w:p>
  </w:footnote>
  <w:footnote w:id="30">
    <w:p w14:paraId="6E8844E3" w14:textId="6BA798DF" w:rsidR="007351EE" w:rsidRPr="003D7711" w:rsidRDefault="007351EE">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1C06EC">
        <w:rPr>
          <w:rFonts w:ascii="Times New Roman" w:hAnsi="Times New Roman" w:cs="Times New Roman"/>
          <w:i/>
          <w:iCs/>
          <w:sz w:val="28"/>
          <w:szCs w:val="28"/>
        </w:rPr>
        <w:t>State v. Roque</w:t>
      </w:r>
      <w:r w:rsidRPr="003D7711">
        <w:rPr>
          <w:rFonts w:ascii="Times New Roman" w:hAnsi="Times New Roman" w:cs="Times New Roman"/>
          <w:sz w:val="28"/>
          <w:szCs w:val="28"/>
        </w:rPr>
        <w:t>, 213 Ariz. 193, ¶ 15 (2006)</w:t>
      </w:r>
      <w:r w:rsidR="00AD426C">
        <w:rPr>
          <w:rFonts w:ascii="Times New Roman" w:hAnsi="Times New Roman" w:cs="Times New Roman"/>
          <w:sz w:val="28"/>
          <w:szCs w:val="28"/>
        </w:rPr>
        <w:t xml:space="preserve">, </w:t>
      </w:r>
      <w:r w:rsidRPr="00AD426C">
        <w:rPr>
          <w:rFonts w:ascii="Times New Roman" w:hAnsi="Times New Roman" w:cs="Times New Roman"/>
          <w:i/>
          <w:iCs/>
          <w:sz w:val="28"/>
          <w:szCs w:val="28"/>
        </w:rPr>
        <w:t>overruled on other grounds by</w:t>
      </w:r>
      <w:r w:rsidRPr="003D7711">
        <w:rPr>
          <w:rFonts w:ascii="Times New Roman" w:hAnsi="Times New Roman" w:cs="Times New Roman"/>
          <w:sz w:val="28"/>
          <w:szCs w:val="28"/>
        </w:rPr>
        <w:t xml:space="preserve"> </w:t>
      </w:r>
      <w:r w:rsidRPr="001C06EC">
        <w:rPr>
          <w:rFonts w:ascii="Times New Roman" w:hAnsi="Times New Roman" w:cs="Times New Roman"/>
          <w:i/>
          <w:iCs/>
          <w:sz w:val="28"/>
          <w:szCs w:val="28"/>
        </w:rPr>
        <w:t>State v. Escalante-Orozco</w:t>
      </w:r>
      <w:r w:rsidRPr="003D7711">
        <w:rPr>
          <w:rFonts w:ascii="Times New Roman" w:hAnsi="Times New Roman" w:cs="Times New Roman"/>
          <w:sz w:val="28"/>
          <w:szCs w:val="28"/>
        </w:rPr>
        <w:t>, 214 Ariz. 254, ¶ 13-15 (2017</w:t>
      </w:r>
      <w:r w:rsidR="001C06EC">
        <w:rPr>
          <w:rFonts w:ascii="Times New Roman" w:hAnsi="Times New Roman" w:cs="Times New Roman"/>
          <w:sz w:val="28"/>
          <w:szCs w:val="28"/>
        </w:rPr>
        <w:t>)</w:t>
      </w:r>
      <w:r w:rsidRPr="003D7711">
        <w:rPr>
          <w:rFonts w:ascii="Times New Roman" w:hAnsi="Times New Roman" w:cs="Times New Roman"/>
          <w:sz w:val="28"/>
          <w:szCs w:val="28"/>
        </w:rPr>
        <w:t>.</w:t>
      </w:r>
    </w:p>
  </w:footnote>
  <w:footnote w:id="31">
    <w:p w14:paraId="4A613CEE" w14:textId="1AC1DC6A" w:rsidR="00C63BB2" w:rsidRPr="003D7711" w:rsidRDefault="00C63BB2">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3D7711">
        <w:rPr>
          <w:rFonts w:ascii="Times New Roman" w:hAnsi="Times New Roman" w:cs="Times New Roman"/>
          <w:i/>
          <w:iCs/>
          <w:sz w:val="28"/>
          <w:szCs w:val="28"/>
        </w:rPr>
        <w:t>Batson</w:t>
      </w:r>
      <w:r w:rsidRPr="003D7711">
        <w:rPr>
          <w:rFonts w:ascii="Times New Roman" w:hAnsi="Times New Roman" w:cs="Times New Roman"/>
          <w:sz w:val="28"/>
          <w:szCs w:val="28"/>
        </w:rPr>
        <w:t xml:space="preserve">, 476 U.S. at </w:t>
      </w:r>
      <w:r w:rsidR="00AD426C">
        <w:rPr>
          <w:rFonts w:ascii="Times New Roman" w:hAnsi="Times New Roman" w:cs="Times New Roman"/>
          <w:sz w:val="28"/>
          <w:szCs w:val="28"/>
        </w:rPr>
        <w:t>99.</w:t>
      </w:r>
      <w:r w:rsidRPr="003D7711">
        <w:rPr>
          <w:rFonts w:ascii="Times New Roman" w:hAnsi="Times New Roman" w:cs="Times New Roman"/>
          <w:sz w:val="28"/>
          <w:szCs w:val="28"/>
        </w:rPr>
        <w:t xml:space="preserve"> </w:t>
      </w:r>
    </w:p>
  </w:footnote>
  <w:footnote w:id="32">
    <w:p w14:paraId="2DC316B6" w14:textId="77777777" w:rsidR="008D2AD0" w:rsidRPr="00EF73A0" w:rsidRDefault="008D2AD0" w:rsidP="008D2AD0">
      <w:pPr>
        <w:pStyle w:val="FootnoteTex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I</w:t>
      </w:r>
      <w:bookmarkStart w:id="12" w:name="_BA_Cite_1740C8_000445"/>
      <w:bookmarkEnd w:id="12"/>
      <w:r w:rsidRPr="00EF73A0">
        <w:rPr>
          <w:rFonts w:ascii="Times New Roman" w:hAnsi="Times New Roman" w:cs="Times New Roman"/>
          <w:i/>
          <w:sz w:val="28"/>
          <w:szCs w:val="28"/>
        </w:rPr>
        <w:t>d</w:t>
      </w:r>
      <w:r w:rsidRPr="00EF73A0">
        <w:rPr>
          <w:rFonts w:ascii="Times New Roman" w:hAnsi="Times New Roman" w:cs="Times New Roman"/>
          <w:sz w:val="28"/>
          <w:szCs w:val="28"/>
        </w:rPr>
        <w:t>.</w:t>
      </w:r>
    </w:p>
  </w:footnote>
  <w:footnote w:id="33">
    <w:p w14:paraId="03C31E1C" w14:textId="3BABDCC1" w:rsidR="002006B4" w:rsidRPr="003D7711" w:rsidRDefault="002006B4">
      <w:pPr>
        <w:pStyle w:val="FootnoteText"/>
        <w:rPr>
          <w:rFonts w:ascii="Times New Roman" w:hAnsi="Times New Roman" w:cs="Times New Roman"/>
          <w:sz w:val="28"/>
          <w:szCs w:val="28"/>
        </w:rPr>
      </w:pPr>
      <w:r w:rsidRPr="003D7711">
        <w:rPr>
          <w:rStyle w:val="FootnoteReference"/>
          <w:rFonts w:ascii="Times New Roman" w:hAnsi="Times New Roman" w:cs="Times New Roman"/>
          <w:sz w:val="28"/>
          <w:szCs w:val="28"/>
        </w:rPr>
        <w:footnoteRef/>
      </w:r>
      <w:r w:rsidRPr="003D7711">
        <w:rPr>
          <w:rFonts w:ascii="Times New Roman" w:hAnsi="Times New Roman" w:cs="Times New Roman"/>
          <w:sz w:val="28"/>
          <w:szCs w:val="28"/>
        </w:rPr>
        <w:t xml:space="preserve"> </w:t>
      </w:r>
      <w:r w:rsidRPr="005C3E3C">
        <w:rPr>
          <w:rFonts w:ascii="Times New Roman" w:hAnsi="Times New Roman" w:cs="Times New Roman"/>
          <w:i/>
          <w:iCs/>
          <w:sz w:val="28"/>
          <w:szCs w:val="28"/>
        </w:rPr>
        <w:t>Cruz</w:t>
      </w:r>
      <w:r w:rsidRPr="003D7711">
        <w:rPr>
          <w:rFonts w:ascii="Times New Roman" w:hAnsi="Times New Roman" w:cs="Times New Roman"/>
          <w:sz w:val="28"/>
          <w:szCs w:val="28"/>
        </w:rPr>
        <w:t xml:space="preserve">, 175 Ariz. at 397-98 (acknowledging that “many state and federal cases since </w:t>
      </w:r>
      <w:r w:rsidRPr="003D7711">
        <w:rPr>
          <w:rFonts w:ascii="Times New Roman" w:hAnsi="Times New Roman" w:cs="Times New Roman"/>
          <w:i/>
          <w:iCs/>
          <w:sz w:val="28"/>
          <w:szCs w:val="28"/>
        </w:rPr>
        <w:t xml:space="preserve">Batson </w:t>
      </w:r>
      <w:r w:rsidRPr="003D7711">
        <w:rPr>
          <w:rFonts w:ascii="Times New Roman" w:hAnsi="Times New Roman" w:cs="Times New Roman"/>
          <w:sz w:val="28"/>
          <w:szCs w:val="28"/>
        </w:rPr>
        <w:t>have extended its application</w:t>
      </w:r>
      <w:r w:rsidR="004E396F">
        <w:rPr>
          <w:rFonts w:ascii="Times New Roman" w:hAnsi="Times New Roman" w:cs="Times New Roman"/>
          <w:sz w:val="28"/>
          <w:szCs w:val="28"/>
        </w:rPr>
        <w:t>”</w:t>
      </w:r>
      <w:r w:rsidRPr="003D7711">
        <w:rPr>
          <w:rFonts w:ascii="Times New Roman" w:hAnsi="Times New Roman" w:cs="Times New Roman"/>
          <w:sz w:val="28"/>
          <w:szCs w:val="28"/>
        </w:rPr>
        <w:t xml:space="preserve">); </w:t>
      </w:r>
      <w:r w:rsidRPr="005C3E3C">
        <w:rPr>
          <w:rFonts w:ascii="Times New Roman" w:hAnsi="Times New Roman" w:cs="Times New Roman"/>
          <w:i/>
          <w:iCs/>
          <w:sz w:val="28"/>
          <w:szCs w:val="28"/>
        </w:rPr>
        <w:t>State v. Urrea</w:t>
      </w:r>
      <w:r w:rsidRPr="003D7711">
        <w:rPr>
          <w:rFonts w:ascii="Times New Roman" w:hAnsi="Times New Roman" w:cs="Times New Roman"/>
          <w:sz w:val="28"/>
          <w:szCs w:val="28"/>
        </w:rPr>
        <w:t>, 244 Ariz. 443, ¶¶ 11-16 (acknowledging that “the trial court plays a ‘</w:t>
      </w:r>
      <w:r w:rsidR="00D058E4" w:rsidRPr="003D7711">
        <w:rPr>
          <w:rFonts w:ascii="Times New Roman" w:hAnsi="Times New Roman" w:cs="Times New Roman"/>
          <w:sz w:val="28"/>
          <w:szCs w:val="28"/>
        </w:rPr>
        <w:t>pivotal</w:t>
      </w:r>
      <w:r w:rsidRPr="003D7711">
        <w:rPr>
          <w:rFonts w:ascii="Times New Roman" w:hAnsi="Times New Roman" w:cs="Times New Roman"/>
          <w:sz w:val="28"/>
          <w:szCs w:val="28"/>
        </w:rPr>
        <w:t xml:space="preserve"> role’ in the </w:t>
      </w:r>
      <w:r w:rsidRPr="003D7711">
        <w:rPr>
          <w:rFonts w:ascii="Times New Roman" w:hAnsi="Times New Roman" w:cs="Times New Roman"/>
          <w:i/>
          <w:iCs/>
          <w:sz w:val="28"/>
          <w:szCs w:val="28"/>
        </w:rPr>
        <w:t xml:space="preserve">Batson </w:t>
      </w:r>
      <w:r w:rsidRPr="003D7711">
        <w:rPr>
          <w:rFonts w:ascii="Times New Roman" w:hAnsi="Times New Roman" w:cs="Times New Roman"/>
          <w:sz w:val="28"/>
          <w:szCs w:val="28"/>
        </w:rPr>
        <w:t>process</w:t>
      </w:r>
      <w:r w:rsidR="004E396F">
        <w:rPr>
          <w:rFonts w:ascii="Times New Roman" w:hAnsi="Times New Roman" w:cs="Times New Roman"/>
          <w:sz w:val="28"/>
          <w:szCs w:val="28"/>
        </w:rPr>
        <w:t>”</w:t>
      </w:r>
      <w:r w:rsidRPr="003D7711">
        <w:rPr>
          <w:rFonts w:ascii="Times New Roman" w:hAnsi="Times New Roman" w:cs="Times New Roman"/>
          <w:sz w:val="28"/>
          <w:szCs w:val="28"/>
        </w:rPr>
        <w:t xml:space="preserve"> and noting the variety of approaches state courts have taken in the </w:t>
      </w:r>
      <w:r w:rsidRPr="003D7711">
        <w:rPr>
          <w:rFonts w:ascii="Times New Roman" w:hAnsi="Times New Roman" w:cs="Times New Roman"/>
          <w:i/>
          <w:iCs/>
          <w:sz w:val="28"/>
          <w:szCs w:val="28"/>
        </w:rPr>
        <w:t>Batson</w:t>
      </w:r>
      <w:r w:rsidRPr="003D7711">
        <w:rPr>
          <w:rFonts w:ascii="Times New Roman" w:hAnsi="Times New Roman" w:cs="Times New Roman"/>
          <w:sz w:val="28"/>
          <w:szCs w:val="28"/>
        </w:rPr>
        <w:t xml:space="preserve"> context). </w:t>
      </w:r>
    </w:p>
  </w:footnote>
  <w:footnote w:id="34">
    <w:p w14:paraId="11883F6B" w14:textId="66D9E19F" w:rsidR="00941871" w:rsidRPr="00941871" w:rsidRDefault="00941871">
      <w:pPr>
        <w:pStyle w:val="FootnoteText"/>
        <w:rPr>
          <w:rFonts w:ascii="Times New Roman" w:hAnsi="Times New Roman" w:cs="Times New Roman"/>
          <w:sz w:val="28"/>
          <w:szCs w:val="28"/>
        </w:rPr>
      </w:pPr>
      <w:r w:rsidRPr="00941871">
        <w:rPr>
          <w:rStyle w:val="FootnoteReference"/>
          <w:rFonts w:ascii="Times New Roman" w:hAnsi="Times New Roman" w:cs="Times New Roman"/>
          <w:sz w:val="28"/>
          <w:szCs w:val="28"/>
        </w:rPr>
        <w:footnoteRef/>
      </w:r>
      <w:r w:rsidRPr="00941871">
        <w:rPr>
          <w:rFonts w:ascii="Times New Roman" w:hAnsi="Times New Roman" w:cs="Times New Roman"/>
          <w:sz w:val="28"/>
          <w:szCs w:val="28"/>
        </w:rPr>
        <w:t xml:space="preserve"> </w:t>
      </w:r>
      <w:r>
        <w:rPr>
          <w:rFonts w:ascii="Times New Roman" w:hAnsi="Times New Roman" w:cs="Times New Roman"/>
          <w:sz w:val="28"/>
          <w:szCs w:val="28"/>
        </w:rPr>
        <w:t>Proceedings of the Washington Supreme Court’s Minority Justice Symposium are available here</w:t>
      </w:r>
      <w:r w:rsidRPr="00941871">
        <w:rPr>
          <w:rFonts w:ascii="Times New Roman" w:hAnsi="Times New Roman" w:cs="Times New Roman"/>
          <w:sz w:val="28"/>
          <w:szCs w:val="28"/>
        </w:rPr>
        <w:t xml:space="preserve">: </w:t>
      </w:r>
      <w:hyperlink r:id="rId8" w:history="1">
        <w:r w:rsidRPr="00941871">
          <w:rPr>
            <w:rStyle w:val="Hyperlink"/>
            <w:rFonts w:ascii="Times New Roman" w:hAnsi="Times New Roman" w:cs="Times New Roman"/>
            <w:sz w:val="28"/>
            <w:szCs w:val="28"/>
          </w:rPr>
          <w:t>https://www.tvw.org/watch/?eventID=2017051090</w:t>
        </w:r>
      </w:hyperlink>
      <w:r>
        <w:rPr>
          <w:rFonts w:ascii="Times New Roman" w:hAnsi="Times New Roman" w:cs="Times New Roman"/>
          <w:sz w:val="28"/>
          <w:szCs w:val="28"/>
        </w:rPr>
        <w:t>.</w:t>
      </w:r>
    </w:p>
  </w:footnote>
  <w:footnote w:id="35">
    <w:p w14:paraId="7638298D" w14:textId="77777777" w:rsidR="00B36C2A" w:rsidRPr="00D47471" w:rsidRDefault="00B36C2A" w:rsidP="00B36C2A">
      <w:pPr>
        <w:pStyle w:val="FootnoteText"/>
      </w:pPr>
      <w:r w:rsidRPr="00941871">
        <w:rPr>
          <w:rStyle w:val="FootnoteReference"/>
          <w:rFonts w:ascii="Times New Roman" w:hAnsi="Times New Roman" w:cs="Times New Roman"/>
          <w:sz w:val="28"/>
          <w:szCs w:val="28"/>
        </w:rPr>
        <w:footnoteRef/>
      </w:r>
      <w:r w:rsidRPr="00941871">
        <w:rPr>
          <w:rFonts w:ascii="Times New Roman" w:hAnsi="Times New Roman" w:cs="Times New Roman"/>
          <w:sz w:val="28"/>
          <w:szCs w:val="28"/>
        </w:rPr>
        <w:t xml:space="preserve"> </w:t>
      </w:r>
      <w:r w:rsidRPr="00941871">
        <w:rPr>
          <w:rFonts w:ascii="Times New Roman" w:hAnsi="Times New Roman" w:cs="Times New Roman"/>
          <w:i/>
          <w:sz w:val="28"/>
          <w:szCs w:val="28"/>
        </w:rPr>
        <w:t>See</w:t>
      </w:r>
      <w:r w:rsidRPr="00D47471">
        <w:rPr>
          <w:rFonts w:ascii="Times New Roman" w:hAnsi="Times New Roman" w:cs="Times New Roman"/>
          <w:i/>
          <w:sz w:val="28"/>
          <w:szCs w:val="28"/>
        </w:rPr>
        <w:t xml:space="preserve"> State</w:t>
      </w:r>
      <w:r w:rsidRPr="00BC2901">
        <w:rPr>
          <w:rFonts w:ascii="Times New Roman" w:hAnsi="Times New Roman" w:cs="Times New Roman"/>
          <w:i/>
          <w:sz w:val="28"/>
          <w:szCs w:val="28"/>
        </w:rPr>
        <w:t xml:space="preserve"> v. Superior Court (Gardner)</w:t>
      </w:r>
      <w:r w:rsidRPr="00BC2901">
        <w:rPr>
          <w:rFonts w:ascii="Times New Roman" w:hAnsi="Times New Roman" w:cs="Times New Roman"/>
          <w:sz w:val="28"/>
          <w:szCs w:val="28"/>
        </w:rPr>
        <w:t>, 157 Ariz. 541, 545-46 (1988)</w:t>
      </w:r>
      <w:r>
        <w:rPr>
          <w:rFonts w:ascii="Times New Roman" w:hAnsi="Times New Roman" w:cs="Times New Roman"/>
          <w:sz w:val="28"/>
          <w:szCs w:val="28"/>
        </w:rPr>
        <w:t xml:space="preserve"> (finding the constitutional guarantee of trial by jury supports courts in applying “the </w:t>
      </w:r>
      <w:r>
        <w:rPr>
          <w:rFonts w:ascii="Times New Roman" w:hAnsi="Times New Roman" w:cs="Times New Roman"/>
          <w:i/>
          <w:sz w:val="28"/>
          <w:szCs w:val="28"/>
        </w:rPr>
        <w:t xml:space="preserve">Batson </w:t>
      </w:r>
      <w:r>
        <w:rPr>
          <w:rFonts w:ascii="Times New Roman" w:hAnsi="Times New Roman" w:cs="Times New Roman"/>
          <w:sz w:val="28"/>
          <w:szCs w:val="28"/>
        </w:rPr>
        <w:t xml:space="preserve">principle … to situations going beyond </w:t>
      </w:r>
      <w:r>
        <w:rPr>
          <w:rFonts w:ascii="Times New Roman" w:hAnsi="Times New Roman" w:cs="Times New Roman"/>
          <w:i/>
          <w:sz w:val="28"/>
          <w:szCs w:val="28"/>
        </w:rPr>
        <w:t>Batson</w:t>
      </w:r>
      <w:r>
        <w:rPr>
          <w:rFonts w:ascii="Times New Roman" w:hAnsi="Times New Roman" w:cs="Times New Roman"/>
          <w:sz w:val="28"/>
          <w:szCs w:val="28"/>
        </w:rPr>
        <w:t>’s specific facts….”).</w:t>
      </w:r>
    </w:p>
  </w:footnote>
  <w:footnote w:id="36">
    <w:p w14:paraId="639EF33E" w14:textId="77777777" w:rsidR="00B36C2A" w:rsidRPr="00EF73A0" w:rsidRDefault="00B36C2A" w:rsidP="00B36C2A">
      <w:pPr>
        <w:pStyle w:val="FootnoteTex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C</w:t>
      </w:r>
      <w:bookmarkStart w:id="13" w:name="_BA_Cite_1740C8_000303"/>
      <w:bookmarkEnd w:id="13"/>
      <w:r w:rsidRPr="00EF73A0">
        <w:rPr>
          <w:rFonts w:ascii="Times New Roman" w:hAnsi="Times New Roman" w:cs="Times New Roman"/>
          <w:i/>
          <w:sz w:val="28"/>
          <w:szCs w:val="28"/>
        </w:rPr>
        <w:t>arter v. Jury Commission</w:t>
      </w:r>
      <w:r w:rsidRPr="00EF73A0">
        <w:rPr>
          <w:rFonts w:ascii="Times New Roman" w:hAnsi="Times New Roman" w:cs="Times New Roman"/>
          <w:sz w:val="28"/>
          <w:szCs w:val="28"/>
        </w:rPr>
        <w:t>, 396 U.S. 320, 329 (1970).</w:t>
      </w:r>
    </w:p>
  </w:footnote>
  <w:footnote w:id="37">
    <w:p w14:paraId="63E67673" w14:textId="77777777" w:rsidR="00B36C2A" w:rsidRPr="00EF73A0" w:rsidRDefault="00B36C2A" w:rsidP="00B36C2A">
      <w:pPr>
        <w:pStyle w:val="FootnoteText"/>
        <w:rPr>
          <w:rFonts w:ascii="Times New Roman" w:hAnsi="Times New Roman" w:cs="Times New Roman"/>
          <w:sz w:val="28"/>
          <w:szCs w:val="28"/>
        </w:rPr>
      </w:pPr>
      <w:r w:rsidRPr="00EF73A0">
        <w:rPr>
          <w:rStyle w:val="FootnoteReference"/>
          <w:rFonts w:ascii="Times New Roman" w:hAnsi="Times New Roman" w:cs="Times New Roman"/>
          <w:sz w:val="28"/>
          <w:szCs w:val="28"/>
        </w:rPr>
        <w:footnoteRef/>
      </w:r>
      <w:r w:rsidRPr="00EF73A0">
        <w:rPr>
          <w:rFonts w:ascii="Times New Roman" w:hAnsi="Times New Roman" w:cs="Times New Roman"/>
          <w:sz w:val="28"/>
          <w:szCs w:val="28"/>
        </w:rPr>
        <w:t xml:space="preserve"> </w:t>
      </w:r>
      <w:r w:rsidRPr="00EF73A0">
        <w:rPr>
          <w:rFonts w:ascii="Times New Roman" w:hAnsi="Times New Roman" w:cs="Times New Roman"/>
          <w:i/>
          <w:sz w:val="28"/>
          <w:szCs w:val="28"/>
        </w:rPr>
        <w:t>R</w:t>
      </w:r>
      <w:bookmarkStart w:id="14" w:name="_BA_Cite_1740C8_000305"/>
      <w:bookmarkEnd w:id="14"/>
      <w:r w:rsidRPr="00EF73A0">
        <w:rPr>
          <w:rFonts w:ascii="Times New Roman" w:hAnsi="Times New Roman" w:cs="Times New Roman"/>
          <w:i/>
          <w:sz w:val="28"/>
          <w:szCs w:val="28"/>
        </w:rPr>
        <w:t>ose v. Mitchell</w:t>
      </w:r>
      <w:r w:rsidRPr="00EF73A0">
        <w:rPr>
          <w:rFonts w:ascii="Times New Roman" w:hAnsi="Times New Roman" w:cs="Times New Roman"/>
          <w:sz w:val="28"/>
          <w:szCs w:val="28"/>
        </w:rPr>
        <w:t>, 443 U.S. 545, 556 (1979).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A67AA"/>
    <w:multiLevelType w:val="hybridMultilevel"/>
    <w:tmpl w:val="9696693E"/>
    <w:lvl w:ilvl="0" w:tplc="046030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C8"/>
    <w:rsid w:val="00022B43"/>
    <w:rsid w:val="0003542C"/>
    <w:rsid w:val="001851C7"/>
    <w:rsid w:val="001B223C"/>
    <w:rsid w:val="001C06EC"/>
    <w:rsid w:val="002006B4"/>
    <w:rsid w:val="00232374"/>
    <w:rsid w:val="00241655"/>
    <w:rsid w:val="002475D7"/>
    <w:rsid w:val="00274E82"/>
    <w:rsid w:val="002B504C"/>
    <w:rsid w:val="002C5AE8"/>
    <w:rsid w:val="00323044"/>
    <w:rsid w:val="0032316C"/>
    <w:rsid w:val="003236AB"/>
    <w:rsid w:val="00337AAB"/>
    <w:rsid w:val="00350E61"/>
    <w:rsid w:val="003D7711"/>
    <w:rsid w:val="004471CE"/>
    <w:rsid w:val="00461815"/>
    <w:rsid w:val="00492E71"/>
    <w:rsid w:val="004D4A1D"/>
    <w:rsid w:val="004D5996"/>
    <w:rsid w:val="004E396F"/>
    <w:rsid w:val="004E571F"/>
    <w:rsid w:val="004F00C9"/>
    <w:rsid w:val="0050043E"/>
    <w:rsid w:val="00515ED8"/>
    <w:rsid w:val="005374DD"/>
    <w:rsid w:val="00555A18"/>
    <w:rsid w:val="005C3E3C"/>
    <w:rsid w:val="005D3C7F"/>
    <w:rsid w:val="00616757"/>
    <w:rsid w:val="0064738E"/>
    <w:rsid w:val="006B3BBE"/>
    <w:rsid w:val="006C3080"/>
    <w:rsid w:val="006C7CF1"/>
    <w:rsid w:val="006E3BE0"/>
    <w:rsid w:val="0070443F"/>
    <w:rsid w:val="007351EE"/>
    <w:rsid w:val="00747CB1"/>
    <w:rsid w:val="007A4381"/>
    <w:rsid w:val="00832F67"/>
    <w:rsid w:val="008348C1"/>
    <w:rsid w:val="00854CF1"/>
    <w:rsid w:val="008A1821"/>
    <w:rsid w:val="008D2AD0"/>
    <w:rsid w:val="0092132A"/>
    <w:rsid w:val="00924F59"/>
    <w:rsid w:val="00941871"/>
    <w:rsid w:val="00975D9E"/>
    <w:rsid w:val="009F1469"/>
    <w:rsid w:val="00A27E93"/>
    <w:rsid w:val="00A50289"/>
    <w:rsid w:val="00AD426C"/>
    <w:rsid w:val="00AD60C8"/>
    <w:rsid w:val="00B17474"/>
    <w:rsid w:val="00B36C2A"/>
    <w:rsid w:val="00B5234D"/>
    <w:rsid w:val="00B62AE0"/>
    <w:rsid w:val="00C22D60"/>
    <w:rsid w:val="00C63BB2"/>
    <w:rsid w:val="00D058E4"/>
    <w:rsid w:val="00D14DB6"/>
    <w:rsid w:val="00D218CE"/>
    <w:rsid w:val="00D75B84"/>
    <w:rsid w:val="00DD02B7"/>
    <w:rsid w:val="00DD33E3"/>
    <w:rsid w:val="00DF35F2"/>
    <w:rsid w:val="00E053A4"/>
    <w:rsid w:val="00E451D8"/>
    <w:rsid w:val="00E548CD"/>
    <w:rsid w:val="00E7284E"/>
    <w:rsid w:val="00F56304"/>
    <w:rsid w:val="00FB3B9C"/>
    <w:rsid w:val="00FD454A"/>
    <w:rsid w:val="00FD55C9"/>
    <w:rsid w:val="00FE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B393"/>
  <w15:chartTrackingRefBased/>
  <w15:docId w15:val="{44B880D8-41A9-4BE9-B694-B6C60F9A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4CF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0C8"/>
    <w:pPr>
      <w:spacing w:after="0" w:line="240" w:lineRule="auto"/>
    </w:pPr>
  </w:style>
  <w:style w:type="character" w:styleId="Hyperlink">
    <w:name w:val="Hyperlink"/>
    <w:basedOn w:val="DefaultParagraphFont"/>
    <w:uiPriority w:val="99"/>
    <w:unhideWhenUsed/>
    <w:rsid w:val="00AD60C8"/>
    <w:rPr>
      <w:color w:val="0563C1" w:themeColor="hyperlink"/>
      <w:u w:val="single"/>
    </w:rPr>
  </w:style>
  <w:style w:type="character" w:styleId="UnresolvedMention">
    <w:name w:val="Unresolved Mention"/>
    <w:basedOn w:val="DefaultParagraphFont"/>
    <w:uiPriority w:val="99"/>
    <w:semiHidden/>
    <w:unhideWhenUsed/>
    <w:rsid w:val="00AD60C8"/>
    <w:rPr>
      <w:color w:val="605E5C"/>
      <w:shd w:val="clear" w:color="auto" w:fill="E1DFDD"/>
    </w:rPr>
  </w:style>
  <w:style w:type="paragraph" w:styleId="FootnoteText">
    <w:name w:val="footnote text"/>
    <w:basedOn w:val="Normal"/>
    <w:link w:val="FootnoteTextChar"/>
    <w:uiPriority w:val="99"/>
    <w:unhideWhenUsed/>
    <w:rsid w:val="00DF35F2"/>
    <w:rPr>
      <w:rFonts w:eastAsiaTheme="minorHAnsi"/>
      <w:sz w:val="20"/>
      <w:szCs w:val="20"/>
    </w:rPr>
  </w:style>
  <w:style w:type="character" w:customStyle="1" w:styleId="FootnoteTextChar">
    <w:name w:val="Footnote Text Char"/>
    <w:basedOn w:val="DefaultParagraphFont"/>
    <w:link w:val="FootnoteText"/>
    <w:uiPriority w:val="99"/>
    <w:rsid w:val="00DF35F2"/>
    <w:rPr>
      <w:sz w:val="20"/>
      <w:szCs w:val="20"/>
    </w:rPr>
  </w:style>
  <w:style w:type="character" w:styleId="FootnoteReference">
    <w:name w:val="footnote reference"/>
    <w:basedOn w:val="DefaultParagraphFont"/>
    <w:uiPriority w:val="99"/>
    <w:unhideWhenUsed/>
    <w:rsid w:val="00DF35F2"/>
    <w:rPr>
      <w:vertAlign w:val="superscript"/>
    </w:rPr>
  </w:style>
  <w:style w:type="paragraph" w:styleId="BalloonText">
    <w:name w:val="Balloon Text"/>
    <w:basedOn w:val="Normal"/>
    <w:link w:val="BalloonTextChar"/>
    <w:uiPriority w:val="99"/>
    <w:semiHidden/>
    <w:unhideWhenUsed/>
    <w:rsid w:val="009F146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F1469"/>
    <w:rPr>
      <w:rFonts w:ascii="Segoe UI" w:hAnsi="Segoe UI" w:cs="Segoe UI"/>
      <w:sz w:val="18"/>
      <w:szCs w:val="18"/>
    </w:rPr>
  </w:style>
  <w:style w:type="paragraph" w:styleId="ListParagraph">
    <w:name w:val="List Paragraph"/>
    <w:basedOn w:val="Normal"/>
    <w:uiPriority w:val="34"/>
    <w:qFormat/>
    <w:rsid w:val="00854CF1"/>
    <w:pPr>
      <w:ind w:left="720"/>
      <w:contextualSpacing/>
    </w:pPr>
  </w:style>
  <w:style w:type="paragraph" w:styleId="Header">
    <w:name w:val="header"/>
    <w:basedOn w:val="Normal"/>
    <w:link w:val="HeaderChar"/>
    <w:uiPriority w:val="99"/>
    <w:unhideWhenUsed/>
    <w:rsid w:val="00B36C2A"/>
    <w:pPr>
      <w:tabs>
        <w:tab w:val="center" w:pos="4680"/>
        <w:tab w:val="right" w:pos="9360"/>
      </w:tabs>
    </w:pPr>
  </w:style>
  <w:style w:type="character" w:customStyle="1" w:styleId="HeaderChar">
    <w:name w:val="Header Char"/>
    <w:basedOn w:val="DefaultParagraphFont"/>
    <w:link w:val="Header"/>
    <w:uiPriority w:val="99"/>
    <w:rsid w:val="00B36C2A"/>
    <w:rPr>
      <w:rFonts w:eastAsiaTheme="minorEastAsia"/>
      <w:sz w:val="24"/>
      <w:szCs w:val="24"/>
    </w:rPr>
  </w:style>
  <w:style w:type="paragraph" w:styleId="Footer">
    <w:name w:val="footer"/>
    <w:basedOn w:val="Normal"/>
    <w:link w:val="FooterChar"/>
    <w:uiPriority w:val="99"/>
    <w:unhideWhenUsed/>
    <w:rsid w:val="00B36C2A"/>
    <w:pPr>
      <w:tabs>
        <w:tab w:val="center" w:pos="4680"/>
        <w:tab w:val="right" w:pos="9360"/>
      </w:tabs>
    </w:pPr>
  </w:style>
  <w:style w:type="character" w:customStyle="1" w:styleId="FooterChar">
    <w:name w:val="Footer Char"/>
    <w:basedOn w:val="DefaultParagraphFont"/>
    <w:link w:val="Footer"/>
    <w:uiPriority w:val="99"/>
    <w:rsid w:val="00B36C2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6008">
      <w:bodyDiv w:val="1"/>
      <w:marLeft w:val="0"/>
      <w:marRight w:val="0"/>
      <w:marTop w:val="0"/>
      <w:marBottom w:val="0"/>
      <w:divBdr>
        <w:top w:val="none" w:sz="0" w:space="0" w:color="auto"/>
        <w:left w:val="none" w:sz="0" w:space="0" w:color="auto"/>
        <w:bottom w:val="none" w:sz="0" w:space="0" w:color="auto"/>
        <w:right w:val="none" w:sz="0" w:space="0" w:color="auto"/>
      </w:divBdr>
      <w:divsChild>
        <w:div w:id="1919055136">
          <w:marLeft w:val="0"/>
          <w:marRight w:val="0"/>
          <w:marTop w:val="0"/>
          <w:marBottom w:val="0"/>
          <w:divBdr>
            <w:top w:val="none" w:sz="0" w:space="0" w:color="auto"/>
            <w:left w:val="none" w:sz="0" w:space="0" w:color="auto"/>
            <w:bottom w:val="none" w:sz="0" w:space="0" w:color="auto"/>
            <w:right w:val="none" w:sz="0" w:space="0" w:color="auto"/>
          </w:divBdr>
          <w:divsChild>
            <w:div w:id="454715325">
              <w:marLeft w:val="0"/>
              <w:marRight w:val="0"/>
              <w:marTop w:val="0"/>
              <w:marBottom w:val="0"/>
              <w:divBdr>
                <w:top w:val="none" w:sz="0" w:space="0" w:color="auto"/>
                <w:left w:val="none" w:sz="0" w:space="0" w:color="auto"/>
                <w:bottom w:val="none" w:sz="0" w:space="0" w:color="auto"/>
                <w:right w:val="none" w:sz="0" w:space="0" w:color="auto"/>
              </w:divBdr>
              <w:divsChild>
                <w:div w:id="1644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6313">
      <w:bodyDiv w:val="1"/>
      <w:marLeft w:val="0"/>
      <w:marRight w:val="0"/>
      <w:marTop w:val="0"/>
      <w:marBottom w:val="0"/>
      <w:divBdr>
        <w:top w:val="none" w:sz="0" w:space="0" w:color="auto"/>
        <w:left w:val="none" w:sz="0" w:space="0" w:color="auto"/>
        <w:bottom w:val="none" w:sz="0" w:space="0" w:color="auto"/>
        <w:right w:val="none" w:sz="0" w:space="0" w:color="auto"/>
      </w:divBdr>
    </w:div>
    <w:div w:id="1530146641">
      <w:bodyDiv w:val="1"/>
      <w:marLeft w:val="0"/>
      <w:marRight w:val="0"/>
      <w:marTop w:val="0"/>
      <w:marBottom w:val="0"/>
      <w:divBdr>
        <w:top w:val="none" w:sz="0" w:space="0" w:color="auto"/>
        <w:left w:val="none" w:sz="0" w:space="0" w:color="auto"/>
        <w:bottom w:val="none" w:sz="0" w:space="0" w:color="auto"/>
        <w:right w:val="none" w:sz="0" w:space="0" w:color="auto"/>
      </w:divBdr>
    </w:div>
    <w:div w:id="2118675650">
      <w:bodyDiv w:val="1"/>
      <w:marLeft w:val="0"/>
      <w:marRight w:val="0"/>
      <w:marTop w:val="0"/>
      <w:marBottom w:val="0"/>
      <w:divBdr>
        <w:top w:val="none" w:sz="0" w:space="0" w:color="auto"/>
        <w:left w:val="none" w:sz="0" w:space="0" w:color="auto"/>
        <w:bottom w:val="none" w:sz="0" w:space="0" w:color="auto"/>
        <w:right w:val="none" w:sz="0" w:space="0" w:color="auto"/>
      </w:divBdr>
      <w:divsChild>
        <w:div w:id="1391803126">
          <w:marLeft w:val="0"/>
          <w:marRight w:val="0"/>
          <w:marTop w:val="0"/>
          <w:marBottom w:val="0"/>
          <w:divBdr>
            <w:top w:val="none" w:sz="0" w:space="0" w:color="auto"/>
            <w:left w:val="none" w:sz="0" w:space="0" w:color="auto"/>
            <w:bottom w:val="none" w:sz="0" w:space="0" w:color="auto"/>
            <w:right w:val="none" w:sz="0" w:space="0" w:color="auto"/>
          </w:divBdr>
          <w:divsChild>
            <w:div w:id="133840299">
              <w:marLeft w:val="0"/>
              <w:marRight w:val="0"/>
              <w:marTop w:val="0"/>
              <w:marBottom w:val="0"/>
              <w:divBdr>
                <w:top w:val="none" w:sz="0" w:space="0" w:color="auto"/>
                <w:left w:val="none" w:sz="0" w:space="0" w:color="auto"/>
                <w:bottom w:val="none" w:sz="0" w:space="0" w:color="auto"/>
                <w:right w:val="none" w:sz="0" w:space="0" w:color="auto"/>
              </w:divBdr>
              <w:divsChild>
                <w:div w:id="12124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an@acluaz.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vw.org/watch/?eventID=2017051090" TargetMode="External"/><Relationship Id="rId3" Type="http://schemas.openxmlformats.org/officeDocument/2006/relationships/hyperlink" Target="https://www.washingtonpost.com/news/the-fix/wp/2016/09/21/it-looks-like-rudy-giuliani-convinced-donald-trump-that-stop-and-frisk-actually-works/?utm_term=.298d46a6863f" TargetMode="External"/><Relationship Id="rId7" Type="http://schemas.openxmlformats.org/officeDocument/2006/relationships/hyperlink" Target="https://mailchi.mp/theappeal/daily-appeal-347787?e=f12f515f5c" TargetMode="External"/><Relationship Id="rId2" Type="http://schemas.openxmlformats.org/officeDocument/2006/relationships/hyperlink" Target="https://www.sentencingproject.org/publications/color-of-justice-racial-and-ethnic-disparity-in-state-prisons/" TargetMode="External"/><Relationship Id="rId1" Type="http://schemas.openxmlformats.org/officeDocument/2006/relationships/hyperlink" Target="https://news.bloomberglaw.com/us-law-week/lawyers-are-uniquely-challenging-audience-for-anti-bias-training" TargetMode="External"/><Relationship Id="rId6" Type="http://schemas.openxmlformats.org/officeDocument/2006/relationships/hyperlink" Target="https://36shgf3jsufe2xojr925ehv6-wpengine.netdna-ssl.com/wp-content/uploads/2018/11/PART-2-The-cost-to-communities-1.pdf" TargetMode="External"/><Relationship Id="rId5" Type="http://schemas.openxmlformats.org/officeDocument/2006/relationships/hyperlink" Target="http://projects.pretrial.org/racialjustice/" TargetMode="External"/><Relationship Id="rId4" Type="http://schemas.openxmlformats.org/officeDocument/2006/relationships/hyperlink" Target="http://www.nccdglobal.org/sites/default/files/publication_pdf/created-eq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1501-52AF-43CA-9EA2-E639BA33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10</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Halter</dc:creator>
  <cp:keywords/>
  <dc:description/>
  <cp:lastModifiedBy>Jared Keenan</cp:lastModifiedBy>
  <cp:revision>26</cp:revision>
  <dcterms:created xsi:type="dcterms:W3CDTF">2020-04-02T14:30:00Z</dcterms:created>
  <dcterms:modified xsi:type="dcterms:W3CDTF">2020-04-06T13:45:00Z</dcterms:modified>
</cp:coreProperties>
</file>