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5040"/>
        <w:gridCol w:w="3996"/>
      </w:tblGrid>
      <w:tr w:rsidR="00357F4D" w:rsidRPr="000F7A7F" w14:paraId="1F26B169" w14:textId="77777777" w:rsidTr="00987BDA">
        <w:trPr>
          <w:cantSplit/>
          <w:trHeight w:val="1987"/>
        </w:trPr>
        <w:tc>
          <w:tcPr>
            <w:tcW w:w="5040" w:type="dxa"/>
          </w:tcPr>
          <w:p w14:paraId="4A478943" w14:textId="77777777" w:rsidR="00987BDA" w:rsidRDefault="00987BDA" w:rsidP="00987BDA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Burton Ortiz, Bar No. 012838</w:t>
            </w:r>
          </w:p>
          <w:p w14:paraId="3569B65E" w14:textId="77777777" w:rsidR="00987BDA" w:rsidRDefault="00987BDA" w:rsidP="00987BDA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14:paraId="3386049F" w14:textId="77777777" w:rsidR="00987BDA" w:rsidRPr="006F63FD" w:rsidRDefault="00987BDA" w:rsidP="00987BDA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14:paraId="376C24C0" w14:textId="77777777" w:rsidR="00987BDA" w:rsidRPr="006F63FD" w:rsidRDefault="00987BDA" w:rsidP="00987BDA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3838 N. Central Avenue, Suite</w:t>
            </w:r>
            <w:r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850</w:t>
            </w:r>
          </w:p>
          <w:p w14:paraId="4ACA9D2F" w14:textId="77777777" w:rsidR="00987BDA" w:rsidRPr="006F63FD" w:rsidRDefault="00987BDA" w:rsidP="00987BDA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>
              <w:rPr>
                <w:sz w:val="28"/>
                <w:szCs w:val="28"/>
              </w:rPr>
              <w:t>2</w:t>
            </w:r>
          </w:p>
          <w:p w14:paraId="1186B546" w14:textId="3BEE53EF" w:rsidR="00357F4D" w:rsidRPr="006F63FD" w:rsidRDefault="00352347" w:rsidP="00987BDA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14:paraId="37D11B5E" w14:textId="77777777" w:rsidR="0050663D" w:rsidRDefault="00592739" w:rsidP="0050663D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11" w:history="1">
              <w:r w:rsidR="0050663D" w:rsidRPr="003126EB">
                <w:rPr>
                  <w:rStyle w:val="Hyperlink"/>
                  <w:sz w:val="28"/>
                  <w:szCs w:val="28"/>
                </w:rPr>
                <w:t>Elizabeth.Ortiz@apaacaz.com</w:t>
              </w:r>
            </w:hyperlink>
            <w:r w:rsidR="0050663D">
              <w:rPr>
                <w:sz w:val="28"/>
                <w:szCs w:val="28"/>
              </w:rPr>
              <w:t xml:space="preserve"> </w:t>
            </w:r>
          </w:p>
          <w:p w14:paraId="2796A6A2" w14:textId="77777777"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996" w:type="dxa"/>
          </w:tcPr>
          <w:p w14:paraId="59835A29" w14:textId="77777777"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14:paraId="2A70CCCE" w14:textId="77777777"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14:paraId="1856143E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D580" w14:textId="77777777"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14:paraId="44A46119" w14:textId="72E0E3BE"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3A1639">
              <w:rPr>
                <w:b/>
                <w:sz w:val="28"/>
                <w:szCs w:val="28"/>
              </w:rPr>
              <w:t xml:space="preserve">RULE </w:t>
            </w:r>
            <w:r w:rsidR="00622DDC">
              <w:rPr>
                <w:b/>
                <w:sz w:val="28"/>
                <w:szCs w:val="28"/>
              </w:rPr>
              <w:t xml:space="preserve">22.5, </w:t>
            </w:r>
            <w:r w:rsidR="00FE28DC">
              <w:rPr>
                <w:b/>
                <w:sz w:val="28"/>
                <w:szCs w:val="28"/>
              </w:rPr>
              <w:t>ARIZONA</w:t>
            </w:r>
            <w:r w:rsidR="0051273D">
              <w:rPr>
                <w:b/>
                <w:sz w:val="28"/>
                <w:szCs w:val="28"/>
              </w:rPr>
              <w:t xml:space="preserve"> RULES OF CRIMINAL PROCEDURE</w:t>
            </w:r>
          </w:p>
          <w:p w14:paraId="712DCE80" w14:textId="77777777"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557FD37" w14:textId="5D7320AB"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622DDC">
              <w:rPr>
                <w:sz w:val="28"/>
                <w:szCs w:val="28"/>
              </w:rPr>
              <w:t>20</w:t>
            </w:r>
            <w:r w:rsidR="003A1639">
              <w:rPr>
                <w:sz w:val="28"/>
                <w:szCs w:val="28"/>
              </w:rPr>
              <w:t>-001</w:t>
            </w:r>
            <w:r w:rsidR="00622DDC">
              <w:rPr>
                <w:sz w:val="28"/>
                <w:szCs w:val="28"/>
              </w:rPr>
              <w:t>5</w:t>
            </w:r>
          </w:p>
          <w:p w14:paraId="1B99CC13" w14:textId="7BBC408C"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14:paraId="7636A501" w14:textId="77777777"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14:paraId="296508BB" w14:textId="77777777"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14:paraId="240CC108" w14:textId="77777777"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14:paraId="39535B2D" w14:textId="77777777"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14:paraId="4DDDA038" w14:textId="77777777" w:rsidR="00526087" w:rsidRDefault="00526087" w:rsidP="00DE52B9">
      <w:pPr>
        <w:pStyle w:val="Body"/>
        <w:widowControl w:val="0"/>
        <w:spacing w:line="240" w:lineRule="auto"/>
        <w:ind w:firstLine="0"/>
        <w:rPr>
          <w:b/>
          <w:sz w:val="28"/>
          <w:szCs w:val="28"/>
        </w:rPr>
      </w:pPr>
      <w:r w:rsidRPr="00B87B69">
        <w:rPr>
          <w:b/>
          <w:sz w:val="28"/>
          <w:szCs w:val="28"/>
        </w:rPr>
        <w:t>I.</w:t>
      </w:r>
      <w:r w:rsidRPr="00B87B69">
        <w:rPr>
          <w:b/>
          <w:sz w:val="28"/>
          <w:szCs w:val="28"/>
        </w:rPr>
        <w:tab/>
        <w:t>BACKGROU</w:t>
      </w:r>
      <w:r>
        <w:rPr>
          <w:b/>
          <w:sz w:val="28"/>
          <w:szCs w:val="28"/>
        </w:rPr>
        <w:t>ND OF PETITION</w:t>
      </w:r>
    </w:p>
    <w:p w14:paraId="4A585A23" w14:textId="77777777" w:rsidR="00526087" w:rsidRDefault="00526087" w:rsidP="00526087">
      <w:pPr>
        <w:pStyle w:val="Body"/>
        <w:widowControl w:val="0"/>
        <w:spacing w:line="240" w:lineRule="auto"/>
        <w:ind w:firstLine="720"/>
        <w:rPr>
          <w:b/>
          <w:sz w:val="28"/>
          <w:szCs w:val="28"/>
        </w:rPr>
      </w:pPr>
    </w:p>
    <w:p w14:paraId="3A86C9BB" w14:textId="5DE64EBB" w:rsidR="00A0595A" w:rsidRDefault="00F31FE9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Maricopa County Attorney’s Office has</w:t>
      </w:r>
      <w:r w:rsidR="00BF5C46">
        <w:rPr>
          <w:sz w:val="28"/>
          <w:szCs w:val="28"/>
        </w:rPr>
        <w:t xml:space="preserve"> filed a petition to amend</w:t>
      </w:r>
      <w:r w:rsidR="00EB25FA">
        <w:rPr>
          <w:sz w:val="28"/>
          <w:szCs w:val="28"/>
        </w:rPr>
        <w:t xml:space="preserve"> Rule 22.5, Arizona Rule of Criminal Procedure, to </w:t>
      </w:r>
      <w:r w:rsidR="00DC7CED">
        <w:rPr>
          <w:sz w:val="28"/>
          <w:szCs w:val="28"/>
        </w:rPr>
        <w:t>regulate post-juror contact.</w:t>
      </w:r>
      <w:r w:rsidR="00C03119">
        <w:rPr>
          <w:rStyle w:val="FootnoteReference"/>
          <w:sz w:val="28"/>
          <w:szCs w:val="28"/>
        </w:rPr>
        <w:footnoteReference w:id="2"/>
      </w:r>
      <w:r w:rsidR="00DC7CED">
        <w:rPr>
          <w:sz w:val="28"/>
          <w:szCs w:val="28"/>
        </w:rPr>
        <w:t xml:space="preserve">  </w:t>
      </w:r>
      <w:r w:rsidR="007F4B4A">
        <w:rPr>
          <w:sz w:val="28"/>
          <w:szCs w:val="28"/>
        </w:rPr>
        <w:t>The</w:t>
      </w:r>
      <w:r w:rsidR="00605829">
        <w:rPr>
          <w:sz w:val="28"/>
          <w:szCs w:val="28"/>
        </w:rPr>
        <w:t xml:space="preserve"> amendment would </w:t>
      </w:r>
      <w:r w:rsidR="008E6487">
        <w:rPr>
          <w:sz w:val="28"/>
          <w:szCs w:val="28"/>
        </w:rPr>
        <w:t>add a new subsection (c)</w:t>
      </w:r>
      <w:r w:rsidR="00FF0F7F">
        <w:rPr>
          <w:sz w:val="28"/>
          <w:szCs w:val="28"/>
        </w:rPr>
        <w:t xml:space="preserve"> to </w:t>
      </w:r>
      <w:r w:rsidR="00605829">
        <w:rPr>
          <w:sz w:val="28"/>
          <w:szCs w:val="28"/>
        </w:rPr>
        <w:t>provide</w:t>
      </w:r>
      <w:r w:rsidR="00F52649">
        <w:rPr>
          <w:sz w:val="28"/>
          <w:szCs w:val="28"/>
        </w:rPr>
        <w:t xml:space="preserve"> that</w:t>
      </w:r>
      <w:r w:rsidR="000C239D">
        <w:rPr>
          <w:sz w:val="28"/>
          <w:szCs w:val="28"/>
        </w:rPr>
        <w:t xml:space="preserve"> </w:t>
      </w:r>
      <w:r w:rsidR="00126711">
        <w:rPr>
          <w:sz w:val="28"/>
          <w:szCs w:val="28"/>
        </w:rPr>
        <w:t xml:space="preserve">after </w:t>
      </w:r>
      <w:r w:rsidR="00957724">
        <w:rPr>
          <w:sz w:val="28"/>
          <w:szCs w:val="28"/>
        </w:rPr>
        <w:t xml:space="preserve">a </w:t>
      </w:r>
      <w:r w:rsidR="00126711">
        <w:rPr>
          <w:sz w:val="28"/>
          <w:szCs w:val="28"/>
        </w:rPr>
        <w:t>verdict</w:t>
      </w:r>
      <w:r w:rsidR="007D4BA1">
        <w:rPr>
          <w:sz w:val="28"/>
          <w:szCs w:val="28"/>
        </w:rPr>
        <w:t>,</w:t>
      </w:r>
      <w:r w:rsidR="00126711">
        <w:rPr>
          <w:sz w:val="28"/>
          <w:szCs w:val="28"/>
        </w:rPr>
        <w:t xml:space="preserve"> </w:t>
      </w:r>
      <w:r w:rsidR="000C239D">
        <w:rPr>
          <w:sz w:val="28"/>
          <w:szCs w:val="28"/>
        </w:rPr>
        <w:t>contact</w:t>
      </w:r>
      <w:r w:rsidR="00F429B6">
        <w:rPr>
          <w:sz w:val="28"/>
          <w:szCs w:val="28"/>
        </w:rPr>
        <w:t xml:space="preserve"> with juror</w:t>
      </w:r>
      <w:r w:rsidR="00FB1485">
        <w:rPr>
          <w:sz w:val="28"/>
          <w:szCs w:val="28"/>
        </w:rPr>
        <w:t>s</w:t>
      </w:r>
      <w:r w:rsidR="00F5207A">
        <w:rPr>
          <w:sz w:val="28"/>
          <w:szCs w:val="28"/>
        </w:rPr>
        <w:t xml:space="preserve"> by a party or </w:t>
      </w:r>
      <w:r w:rsidR="00C20760">
        <w:rPr>
          <w:sz w:val="28"/>
          <w:szCs w:val="28"/>
        </w:rPr>
        <w:t>party’s agent</w:t>
      </w:r>
      <w:r w:rsidR="00A85B63">
        <w:rPr>
          <w:sz w:val="28"/>
          <w:szCs w:val="28"/>
        </w:rPr>
        <w:t xml:space="preserve"> </w:t>
      </w:r>
      <w:r w:rsidR="004752EB">
        <w:rPr>
          <w:sz w:val="28"/>
          <w:szCs w:val="28"/>
        </w:rPr>
        <w:t xml:space="preserve">or representative </w:t>
      </w:r>
      <w:r w:rsidR="00837C19">
        <w:rPr>
          <w:sz w:val="28"/>
          <w:szCs w:val="28"/>
        </w:rPr>
        <w:t>would be</w:t>
      </w:r>
      <w:r w:rsidR="00A85B63">
        <w:rPr>
          <w:sz w:val="28"/>
          <w:szCs w:val="28"/>
        </w:rPr>
        <w:t xml:space="preserve"> prohibited after the 10-day time period </w:t>
      </w:r>
      <w:r w:rsidR="0002212D">
        <w:rPr>
          <w:sz w:val="28"/>
          <w:szCs w:val="28"/>
        </w:rPr>
        <w:t>of</w:t>
      </w:r>
      <w:r w:rsidR="00A85B63">
        <w:rPr>
          <w:sz w:val="28"/>
          <w:szCs w:val="28"/>
        </w:rPr>
        <w:t xml:space="preserve"> Rule 24.1 (</w:t>
      </w:r>
      <w:r w:rsidR="0050572F">
        <w:rPr>
          <w:sz w:val="28"/>
          <w:szCs w:val="28"/>
        </w:rPr>
        <w:t>“Motion for New Trial”)</w:t>
      </w:r>
      <w:r w:rsidR="00D370E9">
        <w:rPr>
          <w:sz w:val="28"/>
          <w:szCs w:val="28"/>
        </w:rPr>
        <w:t xml:space="preserve"> unless specifically authorized by the court upon motion and a finding of good cause.</w:t>
      </w:r>
      <w:r w:rsidR="00C46AF0">
        <w:rPr>
          <w:sz w:val="28"/>
          <w:szCs w:val="28"/>
        </w:rPr>
        <w:t xml:space="preserve">  Certain notice provisions are also written into the</w:t>
      </w:r>
      <w:r w:rsidR="00467324">
        <w:rPr>
          <w:sz w:val="28"/>
          <w:szCs w:val="28"/>
        </w:rPr>
        <w:t xml:space="preserve"> </w:t>
      </w:r>
      <w:r w:rsidR="003962C2">
        <w:rPr>
          <w:sz w:val="28"/>
          <w:szCs w:val="28"/>
        </w:rPr>
        <w:t>proposed amendment.</w:t>
      </w:r>
      <w:r w:rsidR="00F468E2">
        <w:rPr>
          <w:sz w:val="28"/>
          <w:szCs w:val="28"/>
        </w:rPr>
        <w:t xml:space="preserve">  Because</w:t>
      </w:r>
      <w:r w:rsidR="00912809">
        <w:rPr>
          <w:sz w:val="28"/>
          <w:szCs w:val="28"/>
        </w:rPr>
        <w:t xml:space="preserve"> the purpose </w:t>
      </w:r>
      <w:r w:rsidR="00912809">
        <w:rPr>
          <w:sz w:val="28"/>
          <w:szCs w:val="28"/>
        </w:rPr>
        <w:lastRenderedPageBreak/>
        <w:t xml:space="preserve">behind this petition is to </w:t>
      </w:r>
      <w:r w:rsidR="00B707F7">
        <w:rPr>
          <w:sz w:val="28"/>
          <w:szCs w:val="28"/>
        </w:rPr>
        <w:t>further protect</w:t>
      </w:r>
      <w:r w:rsidR="003B7DB2">
        <w:rPr>
          <w:sz w:val="28"/>
          <w:szCs w:val="28"/>
        </w:rPr>
        <w:t>,</w:t>
      </w:r>
      <w:r w:rsidR="00B707F7">
        <w:rPr>
          <w:sz w:val="28"/>
          <w:szCs w:val="28"/>
        </w:rPr>
        <w:t xml:space="preserve"> </w:t>
      </w:r>
      <w:r w:rsidR="00BE6E8A">
        <w:rPr>
          <w:sz w:val="28"/>
          <w:szCs w:val="28"/>
        </w:rPr>
        <w:t>post-verdict</w:t>
      </w:r>
      <w:r w:rsidR="003B7DB2">
        <w:rPr>
          <w:sz w:val="28"/>
          <w:szCs w:val="28"/>
        </w:rPr>
        <w:t>,</w:t>
      </w:r>
      <w:r w:rsidR="00BE6E8A">
        <w:rPr>
          <w:sz w:val="28"/>
          <w:szCs w:val="28"/>
        </w:rPr>
        <w:t xml:space="preserve"> </w:t>
      </w:r>
      <w:r w:rsidR="00B707F7">
        <w:rPr>
          <w:sz w:val="28"/>
          <w:szCs w:val="28"/>
        </w:rPr>
        <w:t>the rights and privacy of jurors</w:t>
      </w:r>
      <w:r w:rsidR="00B97486">
        <w:rPr>
          <w:sz w:val="28"/>
          <w:szCs w:val="28"/>
        </w:rPr>
        <w:t xml:space="preserve"> consistent with </w:t>
      </w:r>
      <w:r w:rsidR="00DE5398">
        <w:rPr>
          <w:sz w:val="28"/>
          <w:szCs w:val="28"/>
        </w:rPr>
        <w:t>existing</w:t>
      </w:r>
      <w:r w:rsidR="00D10346">
        <w:rPr>
          <w:sz w:val="28"/>
          <w:szCs w:val="28"/>
        </w:rPr>
        <w:t xml:space="preserve"> laws and rules</w:t>
      </w:r>
      <w:r w:rsidR="00E33FC7">
        <w:rPr>
          <w:sz w:val="28"/>
          <w:szCs w:val="28"/>
        </w:rPr>
        <w:t>,</w:t>
      </w:r>
      <w:r w:rsidR="00DE730A">
        <w:rPr>
          <w:sz w:val="28"/>
          <w:szCs w:val="28"/>
        </w:rPr>
        <w:t xml:space="preserve"> t</w:t>
      </w:r>
      <w:r w:rsidR="00E00AF4" w:rsidRPr="0023316F">
        <w:rPr>
          <w:sz w:val="28"/>
          <w:szCs w:val="28"/>
        </w:rPr>
        <w:t xml:space="preserve">he </w:t>
      </w:r>
      <w:r w:rsidR="00E00AF4">
        <w:rPr>
          <w:sz w:val="28"/>
          <w:szCs w:val="28"/>
        </w:rPr>
        <w:t xml:space="preserve">Arizona </w:t>
      </w:r>
      <w:r w:rsidR="00FD0C85">
        <w:rPr>
          <w:sz w:val="28"/>
          <w:szCs w:val="28"/>
        </w:rPr>
        <w:t>Prosecuting Attorneys’ Advisory Council (“APAAC”)</w:t>
      </w:r>
      <w:r w:rsidR="00E00AF4" w:rsidRPr="0023316F">
        <w:rPr>
          <w:sz w:val="28"/>
          <w:szCs w:val="28"/>
        </w:rPr>
        <w:t xml:space="preserve"> </w:t>
      </w:r>
      <w:r w:rsidR="00DE730A">
        <w:rPr>
          <w:sz w:val="28"/>
          <w:szCs w:val="28"/>
        </w:rPr>
        <w:t>supports th</w:t>
      </w:r>
      <w:r w:rsidR="002C7E32">
        <w:rPr>
          <w:sz w:val="28"/>
          <w:szCs w:val="28"/>
        </w:rPr>
        <w:t>e proposed amend</w:t>
      </w:r>
      <w:r w:rsidR="00C77E4E">
        <w:rPr>
          <w:sz w:val="28"/>
          <w:szCs w:val="28"/>
        </w:rPr>
        <w:t>ment to Rule 22.5.</w:t>
      </w:r>
      <w:r w:rsidR="00F115F7">
        <w:rPr>
          <w:sz w:val="28"/>
          <w:szCs w:val="28"/>
        </w:rPr>
        <w:t xml:space="preserve"> </w:t>
      </w:r>
      <w:r w:rsidR="00515CC0">
        <w:rPr>
          <w:sz w:val="28"/>
          <w:szCs w:val="28"/>
        </w:rPr>
        <w:t xml:space="preserve"> The proposal protects the jury deliberative process, promotes finality of verdicts and the integrity of the jury system, and prevents post-verdict harassment of jurors.</w:t>
      </w:r>
      <w:r w:rsidR="005A6D5C">
        <w:rPr>
          <w:sz w:val="28"/>
          <w:szCs w:val="28"/>
        </w:rPr>
        <w:t xml:space="preserve">  However, APAAC recommends</w:t>
      </w:r>
      <w:r w:rsidR="00CC288A">
        <w:rPr>
          <w:sz w:val="28"/>
          <w:szCs w:val="28"/>
        </w:rPr>
        <w:t xml:space="preserve"> that petitioner consider </w:t>
      </w:r>
      <w:r w:rsidR="00A57C58">
        <w:rPr>
          <w:sz w:val="28"/>
          <w:szCs w:val="28"/>
        </w:rPr>
        <w:t xml:space="preserve">a </w:t>
      </w:r>
      <w:r w:rsidR="00CC288A">
        <w:rPr>
          <w:sz w:val="28"/>
          <w:szCs w:val="28"/>
        </w:rPr>
        <w:t>modification to its petition to address the process for the proposed notification provisions.</w:t>
      </w:r>
    </w:p>
    <w:p w14:paraId="5FF5DCAE" w14:textId="77777777" w:rsidR="00AB1635" w:rsidRDefault="00AB1635" w:rsidP="00AB1635">
      <w:pPr>
        <w:pStyle w:val="Body"/>
        <w:widowControl w:val="0"/>
        <w:spacing w:line="480" w:lineRule="auto"/>
        <w:ind w:firstLine="0"/>
        <w:rPr>
          <w:b/>
          <w:sz w:val="28"/>
          <w:szCs w:val="28"/>
        </w:rPr>
      </w:pPr>
      <w:r w:rsidRPr="009D7A5B">
        <w:rPr>
          <w:b/>
          <w:sz w:val="28"/>
          <w:szCs w:val="28"/>
        </w:rPr>
        <w:t>II.</w:t>
      </w:r>
      <w:r>
        <w:rPr>
          <w:b/>
          <w:sz w:val="28"/>
          <w:szCs w:val="28"/>
        </w:rPr>
        <w:tab/>
      </w:r>
      <w:r w:rsidRPr="009D7A5B">
        <w:rPr>
          <w:b/>
          <w:sz w:val="28"/>
          <w:szCs w:val="28"/>
        </w:rPr>
        <w:t>DISCUSSION/ANALYSIS</w:t>
      </w:r>
    </w:p>
    <w:p w14:paraId="045F6FF3" w14:textId="774E5F01" w:rsidR="00515CC0" w:rsidRDefault="005007BE" w:rsidP="00515CC0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87708A">
        <w:rPr>
          <w:bCs/>
          <w:sz w:val="28"/>
          <w:szCs w:val="28"/>
        </w:rPr>
        <w:t xml:space="preserve">The petition sets forth numerous </w:t>
      </w:r>
      <w:r w:rsidR="008438A4">
        <w:rPr>
          <w:bCs/>
          <w:sz w:val="28"/>
          <w:szCs w:val="28"/>
        </w:rPr>
        <w:t>Arizona</w:t>
      </w:r>
      <w:r w:rsidR="00DD71C0">
        <w:rPr>
          <w:bCs/>
          <w:sz w:val="28"/>
          <w:szCs w:val="28"/>
        </w:rPr>
        <w:t xml:space="preserve"> rules and statutory provisions </w:t>
      </w:r>
      <w:r w:rsidR="009F529F">
        <w:rPr>
          <w:bCs/>
          <w:sz w:val="28"/>
          <w:szCs w:val="28"/>
        </w:rPr>
        <w:t>aimed at</w:t>
      </w:r>
      <w:r w:rsidR="00CA08C1">
        <w:rPr>
          <w:bCs/>
          <w:sz w:val="28"/>
          <w:szCs w:val="28"/>
        </w:rPr>
        <w:t xml:space="preserve"> protecting</w:t>
      </w:r>
      <w:r w:rsidR="00DD71C0">
        <w:rPr>
          <w:bCs/>
          <w:sz w:val="28"/>
          <w:szCs w:val="28"/>
        </w:rPr>
        <w:t xml:space="preserve"> the privacy</w:t>
      </w:r>
      <w:r w:rsidR="00560B56">
        <w:rPr>
          <w:bCs/>
          <w:sz w:val="28"/>
          <w:szCs w:val="28"/>
        </w:rPr>
        <w:t xml:space="preserve"> interests of jurors </w:t>
      </w:r>
      <w:r w:rsidR="00A57C58">
        <w:rPr>
          <w:bCs/>
          <w:sz w:val="28"/>
          <w:szCs w:val="28"/>
        </w:rPr>
        <w:t xml:space="preserve">who have been </w:t>
      </w:r>
      <w:r w:rsidR="00560B56">
        <w:rPr>
          <w:bCs/>
          <w:sz w:val="28"/>
          <w:szCs w:val="28"/>
        </w:rPr>
        <w:t>summoned to service.</w:t>
      </w:r>
      <w:r w:rsidR="004D6A85">
        <w:rPr>
          <w:bCs/>
          <w:sz w:val="28"/>
          <w:szCs w:val="28"/>
        </w:rPr>
        <w:t xml:space="preserve">  </w:t>
      </w:r>
      <w:proofErr w:type="spellStart"/>
      <w:r w:rsidR="004D6A85">
        <w:rPr>
          <w:bCs/>
          <w:sz w:val="28"/>
          <w:szCs w:val="28"/>
        </w:rPr>
        <w:t>Ariz.R.Crim.P</w:t>
      </w:r>
      <w:proofErr w:type="spellEnd"/>
      <w:r w:rsidR="004D6A85">
        <w:rPr>
          <w:bCs/>
          <w:sz w:val="28"/>
          <w:szCs w:val="28"/>
        </w:rPr>
        <w:t>. 18.3(b)</w:t>
      </w:r>
      <w:r w:rsidR="006E1DB9">
        <w:rPr>
          <w:bCs/>
          <w:sz w:val="28"/>
          <w:szCs w:val="28"/>
        </w:rPr>
        <w:t xml:space="preserve"> (juror</w:t>
      </w:r>
      <w:r w:rsidR="00CF1ACD">
        <w:rPr>
          <w:bCs/>
          <w:sz w:val="28"/>
          <w:szCs w:val="28"/>
        </w:rPr>
        <w:t>s’ information</w:t>
      </w:r>
      <w:r w:rsidR="00277CA3">
        <w:rPr>
          <w:bCs/>
          <w:sz w:val="28"/>
          <w:szCs w:val="28"/>
        </w:rPr>
        <w:t xml:space="preserve"> </w:t>
      </w:r>
      <w:r w:rsidR="00922EA3">
        <w:rPr>
          <w:bCs/>
          <w:sz w:val="28"/>
          <w:szCs w:val="28"/>
        </w:rPr>
        <w:t xml:space="preserve">to be </w:t>
      </w:r>
      <w:r w:rsidR="00277CA3">
        <w:rPr>
          <w:bCs/>
          <w:sz w:val="28"/>
          <w:szCs w:val="28"/>
        </w:rPr>
        <w:t>kept confidential)</w:t>
      </w:r>
      <w:r w:rsidR="00B6288D">
        <w:rPr>
          <w:bCs/>
          <w:sz w:val="28"/>
          <w:szCs w:val="28"/>
        </w:rPr>
        <w:t>, 18.5(e)</w:t>
      </w:r>
      <w:r w:rsidR="002236A8">
        <w:rPr>
          <w:bCs/>
          <w:sz w:val="28"/>
          <w:szCs w:val="28"/>
        </w:rPr>
        <w:t xml:space="preserve"> (</w:t>
      </w:r>
      <w:r w:rsidR="00497679">
        <w:rPr>
          <w:bCs/>
          <w:sz w:val="28"/>
          <w:szCs w:val="28"/>
        </w:rPr>
        <w:t>jurors’ privacy</w:t>
      </w:r>
      <w:r w:rsidR="00973A44">
        <w:rPr>
          <w:bCs/>
          <w:sz w:val="28"/>
          <w:szCs w:val="28"/>
        </w:rPr>
        <w:t xml:space="preserve"> </w:t>
      </w:r>
      <w:r w:rsidR="00922EA3">
        <w:rPr>
          <w:bCs/>
          <w:sz w:val="28"/>
          <w:szCs w:val="28"/>
        </w:rPr>
        <w:t xml:space="preserve">to be </w:t>
      </w:r>
      <w:r w:rsidR="00973A44">
        <w:rPr>
          <w:bCs/>
          <w:sz w:val="28"/>
          <w:szCs w:val="28"/>
        </w:rPr>
        <w:t>reasonably protected by court</w:t>
      </w:r>
      <w:r w:rsidR="00B2442B">
        <w:rPr>
          <w:bCs/>
          <w:sz w:val="28"/>
          <w:szCs w:val="28"/>
        </w:rPr>
        <w:t>)</w:t>
      </w:r>
      <w:r w:rsidR="00B6288D">
        <w:rPr>
          <w:bCs/>
          <w:sz w:val="28"/>
          <w:szCs w:val="28"/>
        </w:rPr>
        <w:t xml:space="preserve">, </w:t>
      </w:r>
      <w:r w:rsidR="00C16213">
        <w:rPr>
          <w:bCs/>
          <w:sz w:val="28"/>
          <w:szCs w:val="28"/>
        </w:rPr>
        <w:t>18.6</w:t>
      </w:r>
      <w:r w:rsidR="00BE313E">
        <w:rPr>
          <w:bCs/>
          <w:sz w:val="28"/>
          <w:szCs w:val="28"/>
        </w:rPr>
        <w:t>(a) (</w:t>
      </w:r>
      <w:r w:rsidR="00EC67B6">
        <w:rPr>
          <w:bCs/>
          <w:sz w:val="28"/>
          <w:szCs w:val="28"/>
        </w:rPr>
        <w:t>prospective juror</w:t>
      </w:r>
      <w:r w:rsidR="00497679">
        <w:rPr>
          <w:bCs/>
          <w:sz w:val="28"/>
          <w:szCs w:val="28"/>
        </w:rPr>
        <w:t>s’</w:t>
      </w:r>
      <w:r w:rsidR="00EC2B9C">
        <w:rPr>
          <w:bCs/>
          <w:sz w:val="28"/>
          <w:szCs w:val="28"/>
        </w:rPr>
        <w:t xml:space="preserve"> </w:t>
      </w:r>
      <w:r w:rsidR="00922EA3">
        <w:rPr>
          <w:bCs/>
          <w:sz w:val="28"/>
          <w:szCs w:val="28"/>
        </w:rPr>
        <w:t xml:space="preserve">to receive </w:t>
      </w:r>
      <w:r w:rsidR="00EC67B6">
        <w:rPr>
          <w:bCs/>
          <w:sz w:val="28"/>
          <w:szCs w:val="28"/>
        </w:rPr>
        <w:t xml:space="preserve">orientation </w:t>
      </w:r>
      <w:r w:rsidR="00260087">
        <w:rPr>
          <w:bCs/>
          <w:sz w:val="28"/>
          <w:szCs w:val="28"/>
        </w:rPr>
        <w:t xml:space="preserve">information), </w:t>
      </w:r>
      <w:r w:rsidR="00B6288D">
        <w:rPr>
          <w:bCs/>
          <w:sz w:val="28"/>
          <w:szCs w:val="28"/>
        </w:rPr>
        <w:t>23.3(b)</w:t>
      </w:r>
      <w:r w:rsidR="00D328DD">
        <w:rPr>
          <w:bCs/>
          <w:sz w:val="28"/>
          <w:szCs w:val="28"/>
        </w:rPr>
        <w:t xml:space="preserve"> (juror’s</w:t>
      </w:r>
      <w:r w:rsidR="00B76B25">
        <w:rPr>
          <w:bCs/>
          <w:sz w:val="28"/>
          <w:szCs w:val="28"/>
        </w:rPr>
        <w:t xml:space="preserve"> privacy</w:t>
      </w:r>
      <w:r w:rsidR="00796200">
        <w:rPr>
          <w:bCs/>
          <w:sz w:val="28"/>
          <w:szCs w:val="28"/>
        </w:rPr>
        <w:t xml:space="preserve"> </w:t>
      </w:r>
      <w:r w:rsidR="00922EA3">
        <w:rPr>
          <w:bCs/>
          <w:sz w:val="28"/>
          <w:szCs w:val="28"/>
        </w:rPr>
        <w:t xml:space="preserve">to be </w:t>
      </w:r>
      <w:r w:rsidR="00153965">
        <w:rPr>
          <w:bCs/>
          <w:sz w:val="28"/>
          <w:szCs w:val="28"/>
        </w:rPr>
        <w:t xml:space="preserve">ensured </w:t>
      </w:r>
      <w:r w:rsidR="001F675E">
        <w:rPr>
          <w:bCs/>
          <w:sz w:val="28"/>
          <w:szCs w:val="28"/>
        </w:rPr>
        <w:t>during polling)</w:t>
      </w:r>
      <w:r w:rsidR="0073002C">
        <w:rPr>
          <w:bCs/>
          <w:sz w:val="28"/>
          <w:szCs w:val="28"/>
        </w:rPr>
        <w:t>;</w:t>
      </w:r>
      <w:r w:rsidR="00B6288D">
        <w:rPr>
          <w:bCs/>
          <w:sz w:val="28"/>
          <w:szCs w:val="28"/>
        </w:rPr>
        <w:t xml:space="preserve"> A.R.S.</w:t>
      </w:r>
      <w:r w:rsidR="00810EE7">
        <w:rPr>
          <w:bCs/>
          <w:sz w:val="28"/>
          <w:szCs w:val="28"/>
        </w:rPr>
        <w:t xml:space="preserve"> §</w:t>
      </w:r>
      <w:r w:rsidR="00986746">
        <w:rPr>
          <w:bCs/>
          <w:sz w:val="28"/>
          <w:szCs w:val="28"/>
        </w:rPr>
        <w:t xml:space="preserve"> 21-312</w:t>
      </w:r>
      <w:r w:rsidR="00141541">
        <w:rPr>
          <w:bCs/>
          <w:sz w:val="28"/>
          <w:szCs w:val="28"/>
        </w:rPr>
        <w:t xml:space="preserve"> (jurors’ information </w:t>
      </w:r>
      <w:r w:rsidR="00A66EBC">
        <w:rPr>
          <w:bCs/>
          <w:sz w:val="28"/>
          <w:szCs w:val="28"/>
        </w:rPr>
        <w:t>not</w:t>
      </w:r>
      <w:r w:rsidR="004740B4">
        <w:rPr>
          <w:bCs/>
          <w:sz w:val="28"/>
          <w:szCs w:val="28"/>
        </w:rPr>
        <w:t xml:space="preserve"> </w:t>
      </w:r>
      <w:r w:rsidR="00A413CF">
        <w:rPr>
          <w:bCs/>
          <w:sz w:val="28"/>
          <w:szCs w:val="28"/>
        </w:rPr>
        <w:t xml:space="preserve">to be </w:t>
      </w:r>
      <w:r w:rsidR="00A66EBC">
        <w:rPr>
          <w:bCs/>
          <w:sz w:val="28"/>
          <w:szCs w:val="28"/>
        </w:rPr>
        <w:t>released without authorization</w:t>
      </w:r>
      <w:r w:rsidR="00D611BC">
        <w:rPr>
          <w:bCs/>
          <w:sz w:val="28"/>
          <w:szCs w:val="28"/>
        </w:rPr>
        <w:t>)</w:t>
      </w:r>
      <w:r w:rsidR="006F1E9E">
        <w:rPr>
          <w:bCs/>
          <w:sz w:val="28"/>
          <w:szCs w:val="28"/>
        </w:rPr>
        <w:t xml:space="preserve">.  </w:t>
      </w:r>
      <w:r w:rsidR="006F1E9E" w:rsidRPr="001D52C1">
        <w:rPr>
          <w:bCs/>
          <w:i/>
          <w:iCs/>
          <w:sz w:val="28"/>
          <w:szCs w:val="28"/>
        </w:rPr>
        <w:t>See also</w:t>
      </w:r>
      <w:r w:rsidR="0073002C">
        <w:rPr>
          <w:bCs/>
          <w:sz w:val="28"/>
          <w:szCs w:val="28"/>
        </w:rPr>
        <w:t xml:space="preserve"> </w:t>
      </w:r>
      <w:r w:rsidR="003C6DC9">
        <w:rPr>
          <w:bCs/>
          <w:sz w:val="28"/>
          <w:szCs w:val="28"/>
        </w:rPr>
        <w:t xml:space="preserve">Rule 123(e)(10), Rules of the Supreme Court of </w:t>
      </w:r>
      <w:r w:rsidR="0073002C">
        <w:rPr>
          <w:bCs/>
          <w:sz w:val="28"/>
          <w:szCs w:val="28"/>
        </w:rPr>
        <w:t>Ariz</w:t>
      </w:r>
      <w:r w:rsidR="006F1E9E">
        <w:rPr>
          <w:bCs/>
          <w:sz w:val="28"/>
          <w:szCs w:val="28"/>
        </w:rPr>
        <w:t>ona</w:t>
      </w:r>
      <w:r w:rsidR="00E56744">
        <w:rPr>
          <w:bCs/>
          <w:sz w:val="28"/>
          <w:szCs w:val="28"/>
        </w:rPr>
        <w:t xml:space="preserve"> (jurors’ </w:t>
      </w:r>
      <w:r w:rsidR="00C5010D">
        <w:rPr>
          <w:bCs/>
          <w:sz w:val="28"/>
          <w:szCs w:val="28"/>
        </w:rPr>
        <w:t>information</w:t>
      </w:r>
      <w:r w:rsidR="00D66A2A">
        <w:rPr>
          <w:bCs/>
          <w:sz w:val="28"/>
          <w:szCs w:val="28"/>
        </w:rPr>
        <w:t xml:space="preserve"> not </w:t>
      </w:r>
      <w:r w:rsidR="00E76E8F">
        <w:rPr>
          <w:bCs/>
          <w:sz w:val="28"/>
          <w:szCs w:val="28"/>
        </w:rPr>
        <w:t xml:space="preserve">accessible </w:t>
      </w:r>
      <w:r w:rsidR="00C5010D">
        <w:rPr>
          <w:bCs/>
          <w:sz w:val="28"/>
          <w:szCs w:val="28"/>
        </w:rPr>
        <w:t xml:space="preserve">as </w:t>
      </w:r>
      <w:r w:rsidR="00E76E8F">
        <w:rPr>
          <w:bCs/>
          <w:sz w:val="28"/>
          <w:szCs w:val="28"/>
        </w:rPr>
        <w:t>public</w:t>
      </w:r>
      <w:r w:rsidR="00C5010D">
        <w:rPr>
          <w:bCs/>
          <w:sz w:val="28"/>
          <w:szCs w:val="28"/>
        </w:rPr>
        <w:t xml:space="preserve"> record</w:t>
      </w:r>
      <w:r w:rsidR="006B26DD">
        <w:rPr>
          <w:bCs/>
          <w:sz w:val="28"/>
          <w:szCs w:val="28"/>
        </w:rPr>
        <w:t xml:space="preserve"> unless ordered</w:t>
      </w:r>
      <w:r w:rsidR="00E76E8F">
        <w:rPr>
          <w:bCs/>
          <w:sz w:val="28"/>
          <w:szCs w:val="28"/>
        </w:rPr>
        <w:t>).</w:t>
      </w:r>
      <w:r w:rsidR="00DF364E">
        <w:rPr>
          <w:bCs/>
          <w:sz w:val="28"/>
          <w:szCs w:val="28"/>
        </w:rPr>
        <w:t xml:space="preserve">  </w:t>
      </w:r>
      <w:r w:rsidR="001A0FAE">
        <w:rPr>
          <w:bCs/>
          <w:sz w:val="28"/>
          <w:szCs w:val="28"/>
        </w:rPr>
        <w:t>Case law has further extended these protections.</w:t>
      </w:r>
      <w:r w:rsidR="004A3A6E">
        <w:rPr>
          <w:bCs/>
          <w:sz w:val="28"/>
          <w:szCs w:val="28"/>
        </w:rPr>
        <w:t xml:space="preserve">  </w:t>
      </w:r>
      <w:r w:rsidR="003B3AB5" w:rsidRPr="003B3AB5">
        <w:rPr>
          <w:bCs/>
          <w:i/>
          <w:iCs/>
          <w:sz w:val="28"/>
          <w:szCs w:val="28"/>
        </w:rPr>
        <w:t>See</w:t>
      </w:r>
      <w:r w:rsidR="003B3AB5">
        <w:rPr>
          <w:bCs/>
          <w:sz w:val="28"/>
          <w:szCs w:val="28"/>
        </w:rPr>
        <w:t xml:space="preserve"> </w:t>
      </w:r>
      <w:r w:rsidR="005722E9" w:rsidRPr="005722E9">
        <w:rPr>
          <w:bCs/>
          <w:i/>
          <w:iCs/>
          <w:sz w:val="28"/>
          <w:szCs w:val="28"/>
        </w:rPr>
        <w:t>State v. McIntosh</w:t>
      </w:r>
      <w:r w:rsidR="005722E9" w:rsidRPr="005722E9">
        <w:rPr>
          <w:bCs/>
          <w:sz w:val="28"/>
          <w:szCs w:val="28"/>
        </w:rPr>
        <w:t>, 213 Ariz. 579, ¶ 11 (App. 2006)</w:t>
      </w:r>
      <w:r w:rsidR="007844B1">
        <w:rPr>
          <w:bCs/>
          <w:sz w:val="28"/>
          <w:szCs w:val="28"/>
        </w:rPr>
        <w:t xml:space="preserve"> (b</w:t>
      </w:r>
      <w:r w:rsidR="005722E9" w:rsidRPr="005722E9">
        <w:rPr>
          <w:bCs/>
          <w:sz w:val="28"/>
          <w:szCs w:val="28"/>
        </w:rPr>
        <w:t xml:space="preserve">ecause jurors’ privacy to be protected in the polling process, foreperson </w:t>
      </w:r>
      <w:r w:rsidR="007844B1">
        <w:rPr>
          <w:bCs/>
          <w:sz w:val="28"/>
          <w:szCs w:val="28"/>
        </w:rPr>
        <w:t xml:space="preserve">allowed to </w:t>
      </w:r>
      <w:r w:rsidR="005722E9" w:rsidRPr="005722E9">
        <w:rPr>
          <w:bCs/>
          <w:sz w:val="28"/>
          <w:szCs w:val="28"/>
        </w:rPr>
        <w:t>sign verdict with juror number</w:t>
      </w:r>
      <w:r w:rsidR="007844B1">
        <w:rPr>
          <w:bCs/>
          <w:sz w:val="28"/>
          <w:szCs w:val="28"/>
        </w:rPr>
        <w:t>)</w:t>
      </w:r>
      <w:r w:rsidR="00C8096A">
        <w:rPr>
          <w:bCs/>
          <w:sz w:val="28"/>
          <w:szCs w:val="28"/>
        </w:rPr>
        <w:t>;</w:t>
      </w:r>
      <w:r w:rsidR="005722E9" w:rsidRPr="005722E9">
        <w:rPr>
          <w:bCs/>
          <w:sz w:val="28"/>
          <w:szCs w:val="28"/>
        </w:rPr>
        <w:t xml:space="preserve"> </w:t>
      </w:r>
      <w:r w:rsidR="005D006B" w:rsidRPr="0000550A">
        <w:rPr>
          <w:bCs/>
          <w:i/>
          <w:iCs/>
          <w:sz w:val="28"/>
          <w:szCs w:val="28"/>
        </w:rPr>
        <w:t>State v.</w:t>
      </w:r>
      <w:r w:rsidR="00C8096A" w:rsidRPr="0000550A">
        <w:rPr>
          <w:bCs/>
          <w:i/>
          <w:iCs/>
          <w:sz w:val="28"/>
          <w:szCs w:val="28"/>
        </w:rPr>
        <w:t xml:space="preserve"> Carroll</w:t>
      </w:r>
      <w:r w:rsidR="00C8096A">
        <w:rPr>
          <w:bCs/>
          <w:sz w:val="28"/>
          <w:szCs w:val="28"/>
        </w:rPr>
        <w:t>, 214 Ariz</w:t>
      </w:r>
      <w:r w:rsidR="005B30D2">
        <w:rPr>
          <w:bCs/>
          <w:sz w:val="28"/>
          <w:szCs w:val="28"/>
        </w:rPr>
        <w:t xml:space="preserve">. 480, </w:t>
      </w:r>
      <w:r w:rsidR="005B30D2" w:rsidRPr="005722E9">
        <w:rPr>
          <w:bCs/>
          <w:sz w:val="28"/>
          <w:szCs w:val="28"/>
        </w:rPr>
        <w:t>¶</w:t>
      </w:r>
      <w:r w:rsidR="005B30D2">
        <w:rPr>
          <w:bCs/>
          <w:sz w:val="28"/>
          <w:szCs w:val="28"/>
        </w:rPr>
        <w:t xml:space="preserve"> 20</w:t>
      </w:r>
      <w:r w:rsidR="009E5097">
        <w:rPr>
          <w:bCs/>
          <w:sz w:val="28"/>
          <w:szCs w:val="28"/>
        </w:rPr>
        <w:t xml:space="preserve"> (App. 2007)</w:t>
      </w:r>
      <w:r w:rsidR="00C81A81">
        <w:rPr>
          <w:bCs/>
          <w:sz w:val="28"/>
          <w:szCs w:val="28"/>
        </w:rPr>
        <w:t xml:space="preserve"> (</w:t>
      </w:r>
      <w:r w:rsidR="00A54BA4">
        <w:rPr>
          <w:bCs/>
          <w:sz w:val="28"/>
          <w:szCs w:val="28"/>
        </w:rPr>
        <w:t>confidentiality</w:t>
      </w:r>
      <w:r w:rsidR="00B1743A">
        <w:rPr>
          <w:bCs/>
          <w:sz w:val="28"/>
          <w:szCs w:val="28"/>
        </w:rPr>
        <w:t xml:space="preserve"> and</w:t>
      </w:r>
      <w:r w:rsidR="00EA06C0">
        <w:rPr>
          <w:bCs/>
          <w:sz w:val="28"/>
          <w:szCs w:val="28"/>
        </w:rPr>
        <w:t xml:space="preserve"> </w:t>
      </w:r>
      <w:r w:rsidR="00C81A81">
        <w:rPr>
          <w:bCs/>
          <w:sz w:val="28"/>
          <w:szCs w:val="28"/>
        </w:rPr>
        <w:t>“opt-out” provision</w:t>
      </w:r>
      <w:r w:rsidR="00E56A86">
        <w:rPr>
          <w:bCs/>
          <w:sz w:val="28"/>
          <w:szCs w:val="28"/>
        </w:rPr>
        <w:t>s</w:t>
      </w:r>
      <w:r w:rsidR="00CB538B">
        <w:rPr>
          <w:bCs/>
          <w:sz w:val="28"/>
          <w:szCs w:val="28"/>
        </w:rPr>
        <w:t xml:space="preserve"> of juror exemption statute upheld)</w:t>
      </w:r>
      <w:r w:rsidR="00515CC0">
        <w:rPr>
          <w:bCs/>
          <w:sz w:val="28"/>
          <w:szCs w:val="28"/>
        </w:rPr>
        <w:t>.</w:t>
      </w:r>
    </w:p>
    <w:p w14:paraId="66D2EE3C" w14:textId="610FB88D" w:rsidR="00E9516E" w:rsidRDefault="00515CC0" w:rsidP="00DC7CED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These rules and laws </w:t>
      </w:r>
      <w:r w:rsidR="00C534FA">
        <w:rPr>
          <w:bCs/>
          <w:sz w:val="28"/>
          <w:szCs w:val="28"/>
        </w:rPr>
        <w:t>reflect</w:t>
      </w:r>
      <w:r>
        <w:rPr>
          <w:bCs/>
          <w:sz w:val="28"/>
          <w:szCs w:val="28"/>
        </w:rPr>
        <w:t xml:space="preserve"> the public policy that protecting juror privacy and safety is of paramount concern in Arizona.  Ho</w:t>
      </w:r>
      <w:r w:rsidR="00C7019F">
        <w:rPr>
          <w:bCs/>
          <w:sz w:val="28"/>
          <w:szCs w:val="28"/>
        </w:rPr>
        <w:t>wever, the</w:t>
      </w:r>
      <w:r>
        <w:rPr>
          <w:bCs/>
          <w:sz w:val="28"/>
          <w:szCs w:val="28"/>
        </w:rPr>
        <w:t xml:space="preserve">y </w:t>
      </w:r>
      <w:r w:rsidR="00C7019F">
        <w:rPr>
          <w:bCs/>
          <w:sz w:val="28"/>
          <w:szCs w:val="28"/>
        </w:rPr>
        <w:t xml:space="preserve">do not </w:t>
      </w:r>
      <w:r w:rsidR="00D14D82">
        <w:rPr>
          <w:bCs/>
          <w:sz w:val="28"/>
          <w:szCs w:val="28"/>
        </w:rPr>
        <w:t>e</w:t>
      </w:r>
      <w:r w:rsidR="00155667">
        <w:rPr>
          <w:bCs/>
          <w:sz w:val="28"/>
          <w:szCs w:val="28"/>
        </w:rPr>
        <w:t xml:space="preserve">xplicitly </w:t>
      </w:r>
      <w:r w:rsidR="00D14D82">
        <w:rPr>
          <w:bCs/>
          <w:sz w:val="28"/>
          <w:szCs w:val="28"/>
        </w:rPr>
        <w:t>address post-verdict contact between a party or party’s representative and a past juror.</w:t>
      </w:r>
      <w:r>
        <w:rPr>
          <w:bCs/>
          <w:sz w:val="28"/>
          <w:szCs w:val="28"/>
        </w:rPr>
        <w:t xml:space="preserve">  Many federal jurisdictions have local rules that regulate attorneys’ post-verdict communication with jurors, often requiring prior court approval and good cause.</w:t>
      </w:r>
      <w:r w:rsidR="00476D15">
        <w:rPr>
          <w:bCs/>
          <w:sz w:val="28"/>
          <w:szCs w:val="28"/>
        </w:rPr>
        <w:t xml:space="preserve">  </w:t>
      </w:r>
      <w:r w:rsidR="00282B3D" w:rsidRPr="00282B3D">
        <w:rPr>
          <w:bCs/>
          <w:i/>
          <w:iCs/>
          <w:sz w:val="28"/>
          <w:szCs w:val="28"/>
        </w:rPr>
        <w:t>See</w:t>
      </w:r>
      <w:r w:rsidR="00282B3D">
        <w:rPr>
          <w:bCs/>
          <w:sz w:val="28"/>
          <w:szCs w:val="28"/>
        </w:rPr>
        <w:t xml:space="preserve"> </w:t>
      </w:r>
      <w:r w:rsidR="00F76A14">
        <w:rPr>
          <w:bCs/>
          <w:sz w:val="28"/>
          <w:szCs w:val="28"/>
        </w:rPr>
        <w:t>Local Rule of Criminal Procedure</w:t>
      </w:r>
      <w:r w:rsidR="00546F90">
        <w:rPr>
          <w:bCs/>
          <w:sz w:val="28"/>
          <w:szCs w:val="28"/>
        </w:rPr>
        <w:t xml:space="preserve">, </w:t>
      </w:r>
      <w:r w:rsidR="00E46CDB">
        <w:rPr>
          <w:bCs/>
          <w:sz w:val="28"/>
          <w:szCs w:val="28"/>
        </w:rPr>
        <w:t>U.S. District Court</w:t>
      </w:r>
      <w:r w:rsidR="00505765">
        <w:rPr>
          <w:bCs/>
          <w:sz w:val="28"/>
          <w:szCs w:val="28"/>
        </w:rPr>
        <w:t xml:space="preserve"> (Arizona),</w:t>
      </w:r>
      <w:r w:rsidR="00553B21">
        <w:rPr>
          <w:bCs/>
          <w:sz w:val="28"/>
          <w:szCs w:val="28"/>
        </w:rPr>
        <w:t xml:space="preserve"> 24.2</w:t>
      </w:r>
      <w:r w:rsidR="000B5F6B">
        <w:rPr>
          <w:bCs/>
          <w:sz w:val="28"/>
          <w:szCs w:val="28"/>
        </w:rPr>
        <w:t xml:space="preserve"> (“Comm</w:t>
      </w:r>
      <w:r w:rsidR="00D51026">
        <w:rPr>
          <w:bCs/>
          <w:sz w:val="28"/>
          <w:szCs w:val="28"/>
        </w:rPr>
        <w:t>unications with Trial Jurors”)</w:t>
      </w:r>
      <w:r w:rsidR="00760241">
        <w:rPr>
          <w:bCs/>
          <w:sz w:val="28"/>
          <w:szCs w:val="28"/>
        </w:rPr>
        <w:t>,</w:t>
      </w:r>
      <w:r w:rsidR="006A0408">
        <w:rPr>
          <w:bCs/>
          <w:sz w:val="28"/>
          <w:szCs w:val="28"/>
        </w:rPr>
        <w:t xml:space="preserve"> referring to Rule 39.2, Local Rules of Civil Procedure</w:t>
      </w:r>
      <w:r w:rsidR="00E9516E">
        <w:rPr>
          <w:bCs/>
          <w:sz w:val="28"/>
          <w:szCs w:val="28"/>
        </w:rPr>
        <w:t>:</w:t>
      </w:r>
    </w:p>
    <w:p w14:paraId="5FF80E68" w14:textId="2738984E" w:rsidR="00954266" w:rsidRDefault="00B73566" w:rsidP="00E6164D">
      <w:pPr>
        <w:pStyle w:val="Body"/>
        <w:widowControl w:val="0"/>
        <w:spacing w:line="240" w:lineRule="auto"/>
        <w:ind w:left="720" w:right="720" w:firstLine="0"/>
        <w:jc w:val="both"/>
        <w:rPr>
          <w:bCs/>
          <w:sz w:val="28"/>
          <w:szCs w:val="28"/>
        </w:rPr>
      </w:pPr>
      <w:r w:rsidRPr="00B73566">
        <w:rPr>
          <w:b/>
          <w:sz w:val="28"/>
          <w:szCs w:val="28"/>
        </w:rPr>
        <w:t>(b) After Trial.</w:t>
      </w:r>
      <w:r>
        <w:rPr>
          <w:bCs/>
          <w:sz w:val="28"/>
          <w:szCs w:val="28"/>
        </w:rPr>
        <w:t xml:space="preserve">  Interviews</w:t>
      </w:r>
      <w:r w:rsidR="00954266">
        <w:rPr>
          <w:bCs/>
          <w:sz w:val="28"/>
          <w:szCs w:val="28"/>
        </w:rPr>
        <w:t xml:space="preserve"> with jurors after trial by or on behalf of parties involved in the trial are prohibited except on condition th</w:t>
      </w:r>
      <w:r w:rsidR="0028175D">
        <w:rPr>
          <w:bCs/>
          <w:sz w:val="28"/>
          <w:szCs w:val="28"/>
        </w:rPr>
        <w:t>at the attorney or party involved desiring such an interview file with the Court written interrogatories proposed to be submitted to the juror(s), to</w:t>
      </w:r>
      <w:r w:rsidR="00C24814">
        <w:rPr>
          <w:bCs/>
          <w:sz w:val="28"/>
          <w:szCs w:val="28"/>
        </w:rPr>
        <w:t>gether with an affidavit setting forth the reasons for such proposed interrogatories, within the time granted for a motion for a new trial.  Approval for the interview of jurors in a</w:t>
      </w:r>
      <w:r w:rsidR="00E46B19">
        <w:rPr>
          <w:bCs/>
          <w:sz w:val="28"/>
          <w:szCs w:val="28"/>
        </w:rPr>
        <w:t>ccordance</w:t>
      </w:r>
      <w:r w:rsidR="00737489">
        <w:rPr>
          <w:bCs/>
          <w:sz w:val="28"/>
          <w:szCs w:val="28"/>
        </w:rPr>
        <w:t xml:space="preserve"> with the interrogatories and affidavit so filed will be granted only upon the showing of good cause.</w:t>
      </w:r>
      <w:r w:rsidR="001010C5">
        <w:rPr>
          <w:bCs/>
          <w:sz w:val="28"/>
          <w:szCs w:val="28"/>
        </w:rPr>
        <w:t xml:space="preserve">  See Federal Rules of Evidence 606(b).  Following the interview, a second affidavit must be filed indicating the scope and results of the interviews with jurors and setting out the answers given to the interrogatories.</w:t>
      </w:r>
    </w:p>
    <w:p w14:paraId="41379DFC" w14:textId="77777777" w:rsidR="00E6164D" w:rsidRDefault="00E6164D" w:rsidP="00E6164D">
      <w:pPr>
        <w:pStyle w:val="Body"/>
        <w:widowControl w:val="0"/>
        <w:spacing w:line="240" w:lineRule="auto"/>
        <w:ind w:left="720" w:right="720" w:firstLine="0"/>
        <w:jc w:val="both"/>
        <w:rPr>
          <w:bCs/>
          <w:sz w:val="28"/>
          <w:szCs w:val="28"/>
        </w:rPr>
      </w:pPr>
    </w:p>
    <w:p w14:paraId="63149767" w14:textId="064F99B8" w:rsidR="00591E83" w:rsidRDefault="001010C5" w:rsidP="00DC7CED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LRCiv</w:t>
      </w:r>
      <w:proofErr w:type="spellEnd"/>
      <w:r>
        <w:rPr>
          <w:bCs/>
          <w:sz w:val="28"/>
          <w:szCs w:val="28"/>
        </w:rPr>
        <w:t xml:space="preserve"> 39.2(b).</w:t>
      </w:r>
      <w:r w:rsidR="00ED1B9F">
        <w:rPr>
          <w:bCs/>
          <w:sz w:val="28"/>
          <w:szCs w:val="28"/>
        </w:rPr>
        <w:t xml:space="preserve">  </w:t>
      </w:r>
      <w:r w:rsidR="00ED1B9F" w:rsidRPr="00ED1B9F">
        <w:rPr>
          <w:bCs/>
          <w:i/>
          <w:iCs/>
          <w:sz w:val="28"/>
          <w:szCs w:val="28"/>
        </w:rPr>
        <w:t>See also</w:t>
      </w:r>
      <w:r w:rsidR="00ED1B9F">
        <w:rPr>
          <w:bCs/>
          <w:sz w:val="28"/>
          <w:szCs w:val="28"/>
        </w:rPr>
        <w:t xml:space="preserve"> </w:t>
      </w:r>
      <w:r w:rsidR="00515CC0">
        <w:rPr>
          <w:bCs/>
          <w:sz w:val="28"/>
          <w:szCs w:val="28"/>
        </w:rPr>
        <w:t xml:space="preserve">Benjamin M. </w:t>
      </w:r>
      <w:proofErr w:type="spellStart"/>
      <w:r w:rsidR="00515CC0">
        <w:rPr>
          <w:bCs/>
          <w:sz w:val="28"/>
          <w:szCs w:val="28"/>
        </w:rPr>
        <w:t>Lawsky</w:t>
      </w:r>
      <w:proofErr w:type="spellEnd"/>
      <w:r w:rsidR="00515CC0">
        <w:rPr>
          <w:bCs/>
          <w:sz w:val="28"/>
          <w:szCs w:val="28"/>
        </w:rPr>
        <w:t xml:space="preserve">, </w:t>
      </w:r>
      <w:r w:rsidR="00515CC0" w:rsidRPr="00515CC0">
        <w:rPr>
          <w:bCs/>
          <w:i/>
          <w:iCs/>
          <w:sz w:val="28"/>
          <w:szCs w:val="28"/>
        </w:rPr>
        <w:t xml:space="preserve">Limitations on Attorney </w:t>
      </w:r>
      <w:proofErr w:type="spellStart"/>
      <w:r w:rsidR="00515CC0" w:rsidRPr="00515CC0">
        <w:rPr>
          <w:bCs/>
          <w:i/>
          <w:iCs/>
          <w:sz w:val="28"/>
          <w:szCs w:val="28"/>
        </w:rPr>
        <w:t>Postverdict</w:t>
      </w:r>
      <w:proofErr w:type="spellEnd"/>
      <w:r w:rsidR="00515CC0" w:rsidRPr="00515CC0">
        <w:rPr>
          <w:bCs/>
          <w:i/>
          <w:iCs/>
          <w:sz w:val="28"/>
          <w:szCs w:val="28"/>
        </w:rPr>
        <w:t xml:space="preserve"> Contact with Jurors: Protecting the Criminal Jury and Its Verdict at the Expense of the Defendant,</w:t>
      </w:r>
      <w:r w:rsidR="00515CC0">
        <w:rPr>
          <w:bCs/>
          <w:sz w:val="28"/>
          <w:szCs w:val="28"/>
        </w:rPr>
        <w:t xml:space="preserve"> 94 Colum. L. Rev. 1950, 1955-56 (1994).</w:t>
      </w:r>
      <w:r w:rsidR="006A79FD">
        <w:rPr>
          <w:bCs/>
          <w:sz w:val="28"/>
          <w:szCs w:val="28"/>
        </w:rPr>
        <w:t xml:space="preserve">  Federal Rule 606(b)</w:t>
      </w:r>
      <w:r w:rsidR="00D576EB">
        <w:rPr>
          <w:bCs/>
          <w:sz w:val="28"/>
          <w:szCs w:val="28"/>
        </w:rPr>
        <w:t xml:space="preserve"> </w:t>
      </w:r>
      <w:r w:rsidR="003C6B2E">
        <w:rPr>
          <w:bCs/>
          <w:sz w:val="28"/>
          <w:szCs w:val="28"/>
        </w:rPr>
        <w:t>limits</w:t>
      </w:r>
      <w:r w:rsidR="00D576EB">
        <w:rPr>
          <w:bCs/>
          <w:sz w:val="28"/>
          <w:szCs w:val="28"/>
        </w:rPr>
        <w:t xml:space="preserve"> all post-verdict</w:t>
      </w:r>
      <w:r w:rsidR="00CF4378">
        <w:rPr>
          <w:bCs/>
          <w:sz w:val="28"/>
          <w:szCs w:val="28"/>
        </w:rPr>
        <w:t xml:space="preserve"> inquiries into a juror’s de</w:t>
      </w:r>
      <w:r w:rsidR="00341493">
        <w:rPr>
          <w:bCs/>
          <w:sz w:val="28"/>
          <w:szCs w:val="28"/>
        </w:rPr>
        <w:t>cisional</w:t>
      </w:r>
      <w:r w:rsidR="00CF4378">
        <w:rPr>
          <w:bCs/>
          <w:sz w:val="28"/>
          <w:szCs w:val="28"/>
        </w:rPr>
        <w:t xml:space="preserve"> process.  </w:t>
      </w:r>
      <w:r w:rsidR="007E372E" w:rsidRPr="00341493">
        <w:rPr>
          <w:bCs/>
          <w:i/>
          <w:iCs/>
          <w:sz w:val="28"/>
          <w:szCs w:val="28"/>
        </w:rPr>
        <w:t xml:space="preserve">Smith v. </w:t>
      </w:r>
      <w:proofErr w:type="spellStart"/>
      <w:r w:rsidR="007E372E" w:rsidRPr="00341493">
        <w:rPr>
          <w:bCs/>
          <w:i/>
          <w:iCs/>
          <w:sz w:val="28"/>
          <w:szCs w:val="28"/>
        </w:rPr>
        <w:t>Cupp</w:t>
      </w:r>
      <w:proofErr w:type="spellEnd"/>
      <w:r w:rsidR="008B38C4">
        <w:rPr>
          <w:bCs/>
          <w:sz w:val="28"/>
          <w:szCs w:val="28"/>
        </w:rPr>
        <w:t>, 457 F.2d 1098, 1100 (9</w:t>
      </w:r>
      <w:r w:rsidR="008B38C4" w:rsidRPr="008B38C4">
        <w:rPr>
          <w:bCs/>
          <w:sz w:val="28"/>
          <w:szCs w:val="28"/>
          <w:vertAlign w:val="superscript"/>
        </w:rPr>
        <w:t>th</w:t>
      </w:r>
      <w:r w:rsidR="008B38C4">
        <w:rPr>
          <w:bCs/>
          <w:sz w:val="28"/>
          <w:szCs w:val="28"/>
        </w:rPr>
        <w:t xml:space="preserve"> Cir. 1972).</w:t>
      </w:r>
    </w:p>
    <w:p w14:paraId="0296DA44" w14:textId="5D7A9907" w:rsidR="00302A04" w:rsidRDefault="00302A04" w:rsidP="00DC7CED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Consistent with </w:t>
      </w:r>
      <w:r w:rsidR="00911386">
        <w:rPr>
          <w:bCs/>
          <w:sz w:val="28"/>
          <w:szCs w:val="28"/>
        </w:rPr>
        <w:t xml:space="preserve">existing Arizona law and </w:t>
      </w:r>
      <w:r w:rsidR="00B54E71">
        <w:rPr>
          <w:bCs/>
          <w:sz w:val="28"/>
          <w:szCs w:val="28"/>
        </w:rPr>
        <w:t xml:space="preserve">similar to </w:t>
      </w:r>
      <w:r>
        <w:rPr>
          <w:bCs/>
          <w:sz w:val="28"/>
          <w:szCs w:val="28"/>
        </w:rPr>
        <w:t>the federal rule</w:t>
      </w:r>
      <w:r w:rsidR="00911386">
        <w:rPr>
          <w:bCs/>
          <w:sz w:val="28"/>
          <w:szCs w:val="28"/>
        </w:rPr>
        <w:t xml:space="preserve">, proposed Rule </w:t>
      </w:r>
      <w:r w:rsidR="00345334">
        <w:rPr>
          <w:bCs/>
          <w:sz w:val="28"/>
          <w:szCs w:val="28"/>
        </w:rPr>
        <w:t xml:space="preserve">22.5(c) </w:t>
      </w:r>
      <w:r w:rsidR="00A32231">
        <w:rPr>
          <w:bCs/>
          <w:sz w:val="28"/>
          <w:szCs w:val="28"/>
        </w:rPr>
        <w:t>would require</w:t>
      </w:r>
      <w:r w:rsidR="00412863">
        <w:rPr>
          <w:bCs/>
          <w:sz w:val="28"/>
          <w:szCs w:val="28"/>
        </w:rPr>
        <w:t>, after the time given for a motion for a new trial</w:t>
      </w:r>
      <w:r w:rsidR="00707C93">
        <w:rPr>
          <w:bCs/>
          <w:sz w:val="28"/>
          <w:szCs w:val="28"/>
        </w:rPr>
        <w:t>,</w:t>
      </w:r>
      <w:r w:rsidR="00A32231">
        <w:rPr>
          <w:bCs/>
          <w:sz w:val="28"/>
          <w:szCs w:val="28"/>
        </w:rPr>
        <w:t xml:space="preserve"> </w:t>
      </w:r>
      <w:r w:rsidR="0069725C">
        <w:rPr>
          <w:bCs/>
          <w:sz w:val="28"/>
          <w:szCs w:val="28"/>
        </w:rPr>
        <w:t>a motion by a party</w:t>
      </w:r>
      <w:r w:rsidR="00707C93">
        <w:rPr>
          <w:bCs/>
          <w:sz w:val="28"/>
          <w:szCs w:val="28"/>
        </w:rPr>
        <w:t xml:space="preserve"> </w:t>
      </w:r>
      <w:r w:rsidR="009D3898">
        <w:rPr>
          <w:bCs/>
          <w:sz w:val="28"/>
          <w:szCs w:val="28"/>
        </w:rPr>
        <w:t>and a finding of good cause by the court</w:t>
      </w:r>
      <w:r w:rsidR="00B43B08">
        <w:rPr>
          <w:bCs/>
          <w:sz w:val="28"/>
          <w:szCs w:val="28"/>
        </w:rPr>
        <w:t xml:space="preserve"> before post-verdict juror contact would be authorized</w:t>
      </w:r>
      <w:r w:rsidR="009D3898">
        <w:rPr>
          <w:bCs/>
          <w:sz w:val="28"/>
          <w:szCs w:val="28"/>
        </w:rPr>
        <w:t>.</w:t>
      </w:r>
      <w:r w:rsidR="00E95B0E">
        <w:rPr>
          <w:bCs/>
          <w:sz w:val="28"/>
          <w:szCs w:val="28"/>
        </w:rPr>
        <w:t xml:space="preserve">  This </w:t>
      </w:r>
      <w:r w:rsidR="009448BF">
        <w:rPr>
          <w:bCs/>
          <w:sz w:val="28"/>
          <w:szCs w:val="28"/>
        </w:rPr>
        <w:t xml:space="preserve">reflects </w:t>
      </w:r>
      <w:r w:rsidR="00344E15">
        <w:rPr>
          <w:bCs/>
          <w:sz w:val="28"/>
          <w:szCs w:val="28"/>
        </w:rPr>
        <w:t xml:space="preserve">sound public policy and </w:t>
      </w:r>
      <w:r w:rsidR="00BD0EAB">
        <w:rPr>
          <w:bCs/>
          <w:sz w:val="28"/>
          <w:szCs w:val="28"/>
        </w:rPr>
        <w:t xml:space="preserve">is consistent with </w:t>
      </w:r>
      <w:r w:rsidR="009E3A7B">
        <w:rPr>
          <w:bCs/>
          <w:sz w:val="28"/>
          <w:szCs w:val="28"/>
        </w:rPr>
        <w:t>current case law</w:t>
      </w:r>
      <w:r w:rsidR="00AB55F7">
        <w:rPr>
          <w:bCs/>
          <w:sz w:val="28"/>
          <w:szCs w:val="28"/>
        </w:rPr>
        <w:t xml:space="preserve">.  </w:t>
      </w:r>
      <w:r w:rsidR="00AB55F7" w:rsidRPr="00B2350A">
        <w:rPr>
          <w:bCs/>
          <w:i/>
          <w:iCs/>
          <w:sz w:val="28"/>
          <w:szCs w:val="28"/>
        </w:rPr>
        <w:t xml:space="preserve">State v. </w:t>
      </w:r>
      <w:proofErr w:type="spellStart"/>
      <w:r w:rsidR="00AB55F7" w:rsidRPr="00B2350A">
        <w:rPr>
          <w:bCs/>
          <w:i/>
          <w:iCs/>
          <w:sz w:val="28"/>
          <w:szCs w:val="28"/>
        </w:rPr>
        <w:t>Olague</w:t>
      </w:r>
      <w:proofErr w:type="spellEnd"/>
      <w:r w:rsidR="00AB55F7">
        <w:rPr>
          <w:bCs/>
          <w:sz w:val="28"/>
          <w:szCs w:val="28"/>
        </w:rPr>
        <w:t>, 240 Ariz. 475 (App. 2016)</w:t>
      </w:r>
      <w:r w:rsidR="00B44DA7">
        <w:rPr>
          <w:bCs/>
          <w:sz w:val="28"/>
          <w:szCs w:val="28"/>
        </w:rPr>
        <w:t xml:space="preserve">, </w:t>
      </w:r>
      <w:r w:rsidR="00B44DA7" w:rsidRPr="006C2797">
        <w:rPr>
          <w:bCs/>
          <w:i/>
          <w:iCs/>
          <w:sz w:val="28"/>
          <w:szCs w:val="28"/>
        </w:rPr>
        <w:t>rev. denied</w:t>
      </w:r>
      <w:r w:rsidR="00B44DA7">
        <w:rPr>
          <w:bCs/>
          <w:sz w:val="28"/>
          <w:szCs w:val="28"/>
        </w:rPr>
        <w:t xml:space="preserve"> </w:t>
      </w:r>
      <w:r w:rsidR="00B41613">
        <w:rPr>
          <w:bCs/>
          <w:sz w:val="28"/>
          <w:szCs w:val="28"/>
        </w:rPr>
        <w:t>(counsel prohibited from contacting jurors without a prior showing of good cause</w:t>
      </w:r>
      <w:r w:rsidR="00C97947">
        <w:rPr>
          <w:bCs/>
          <w:sz w:val="28"/>
          <w:szCs w:val="28"/>
        </w:rPr>
        <w:t xml:space="preserve"> and approval from the court).</w:t>
      </w:r>
      <w:r w:rsidR="00012036">
        <w:rPr>
          <w:bCs/>
          <w:sz w:val="28"/>
          <w:szCs w:val="28"/>
        </w:rPr>
        <w:t xml:space="preserve"> </w:t>
      </w:r>
      <w:r w:rsidR="00F77362">
        <w:rPr>
          <w:bCs/>
          <w:sz w:val="28"/>
          <w:szCs w:val="28"/>
        </w:rPr>
        <w:t xml:space="preserve"> </w:t>
      </w:r>
      <w:r w:rsidR="00D362AE">
        <w:rPr>
          <w:bCs/>
          <w:sz w:val="28"/>
          <w:szCs w:val="28"/>
        </w:rPr>
        <w:t>Requiring good cause is not</w:t>
      </w:r>
      <w:r w:rsidR="00B15E54">
        <w:rPr>
          <w:bCs/>
          <w:sz w:val="28"/>
          <w:szCs w:val="28"/>
        </w:rPr>
        <w:t xml:space="preserve"> an oppressive standard.</w:t>
      </w:r>
      <w:r w:rsidR="00586DE7">
        <w:rPr>
          <w:bCs/>
          <w:sz w:val="28"/>
          <w:szCs w:val="28"/>
        </w:rPr>
        <w:t xml:space="preserve">  </w:t>
      </w:r>
      <w:r w:rsidR="00715E2B">
        <w:rPr>
          <w:bCs/>
          <w:sz w:val="28"/>
          <w:szCs w:val="28"/>
        </w:rPr>
        <w:t>Although the phrase</w:t>
      </w:r>
      <w:r w:rsidR="006B34DD">
        <w:rPr>
          <w:bCs/>
          <w:sz w:val="28"/>
          <w:szCs w:val="28"/>
        </w:rPr>
        <w:t xml:space="preserve"> </w:t>
      </w:r>
      <w:r w:rsidR="00E75DDA">
        <w:rPr>
          <w:bCs/>
          <w:sz w:val="28"/>
          <w:szCs w:val="28"/>
        </w:rPr>
        <w:t>has different meanings</w:t>
      </w:r>
      <w:r w:rsidR="006755DA">
        <w:rPr>
          <w:bCs/>
          <w:sz w:val="28"/>
          <w:szCs w:val="28"/>
        </w:rPr>
        <w:t xml:space="preserve"> in different contexts, it</w:t>
      </w:r>
      <w:r w:rsidR="00996736">
        <w:rPr>
          <w:bCs/>
          <w:sz w:val="28"/>
          <w:szCs w:val="28"/>
        </w:rPr>
        <w:t xml:space="preserve"> generally requires a substantial </w:t>
      </w:r>
      <w:r w:rsidR="00D1698D">
        <w:rPr>
          <w:bCs/>
          <w:sz w:val="28"/>
          <w:szCs w:val="28"/>
        </w:rPr>
        <w:t>basis.</w:t>
      </w:r>
      <w:r w:rsidR="003A09AB">
        <w:rPr>
          <w:bCs/>
          <w:sz w:val="28"/>
          <w:szCs w:val="28"/>
        </w:rPr>
        <w:t xml:space="preserve">  </w:t>
      </w:r>
      <w:r w:rsidR="00996736" w:rsidRPr="003A09AB">
        <w:rPr>
          <w:bCs/>
          <w:i/>
          <w:iCs/>
          <w:sz w:val="28"/>
          <w:szCs w:val="28"/>
        </w:rPr>
        <w:t>State v. Churchill</w:t>
      </w:r>
      <w:r w:rsidR="00996736">
        <w:rPr>
          <w:bCs/>
          <w:sz w:val="28"/>
          <w:szCs w:val="28"/>
        </w:rPr>
        <w:t xml:space="preserve">, 82 Ariz. 375, 380 (1957) (“Good cause means substantial reason, that is, one that </w:t>
      </w:r>
      <w:proofErr w:type="spellStart"/>
      <w:r w:rsidR="00996736">
        <w:rPr>
          <w:bCs/>
          <w:sz w:val="28"/>
          <w:szCs w:val="28"/>
        </w:rPr>
        <w:t>offords</w:t>
      </w:r>
      <w:proofErr w:type="spellEnd"/>
      <w:r w:rsidR="00996736">
        <w:rPr>
          <w:bCs/>
          <w:sz w:val="28"/>
          <w:szCs w:val="28"/>
        </w:rPr>
        <w:t xml:space="preserve"> [sic] a legal excuse.”)</w:t>
      </w:r>
      <w:r w:rsidR="003A09AB">
        <w:rPr>
          <w:bCs/>
          <w:sz w:val="28"/>
          <w:szCs w:val="28"/>
        </w:rPr>
        <w:t xml:space="preserve">  </w:t>
      </w:r>
      <w:r w:rsidR="003A09AB" w:rsidRPr="003A09AB">
        <w:rPr>
          <w:bCs/>
          <w:i/>
          <w:iCs/>
          <w:sz w:val="28"/>
          <w:szCs w:val="28"/>
        </w:rPr>
        <w:t xml:space="preserve">See also </w:t>
      </w:r>
      <w:r w:rsidR="00586DE7" w:rsidRPr="003A09AB">
        <w:rPr>
          <w:bCs/>
          <w:i/>
          <w:iCs/>
          <w:sz w:val="28"/>
          <w:szCs w:val="28"/>
        </w:rPr>
        <w:t xml:space="preserve">State v. </w:t>
      </w:r>
      <w:proofErr w:type="spellStart"/>
      <w:r w:rsidR="00586DE7" w:rsidRPr="003A09AB">
        <w:rPr>
          <w:bCs/>
          <w:i/>
          <w:iCs/>
          <w:sz w:val="28"/>
          <w:szCs w:val="28"/>
        </w:rPr>
        <w:t>Eichorn</w:t>
      </w:r>
      <w:proofErr w:type="spellEnd"/>
      <w:r w:rsidR="00C207C0">
        <w:rPr>
          <w:bCs/>
          <w:sz w:val="28"/>
          <w:szCs w:val="28"/>
        </w:rPr>
        <w:t>, 143 Ariz. 609, 610-11 (App. 1984) (good cause means</w:t>
      </w:r>
      <w:r w:rsidR="003A5F9F">
        <w:rPr>
          <w:bCs/>
          <w:sz w:val="28"/>
          <w:szCs w:val="28"/>
        </w:rPr>
        <w:t xml:space="preserve"> specific facts set</w:t>
      </w:r>
      <w:r w:rsidR="00FF5413">
        <w:rPr>
          <w:bCs/>
          <w:sz w:val="28"/>
          <w:szCs w:val="28"/>
        </w:rPr>
        <w:t xml:space="preserve"> forth</w:t>
      </w:r>
      <w:r w:rsidR="00EC7B81">
        <w:rPr>
          <w:bCs/>
          <w:sz w:val="28"/>
          <w:szCs w:val="28"/>
        </w:rPr>
        <w:t xml:space="preserve"> showing</w:t>
      </w:r>
      <w:r w:rsidR="00F84323">
        <w:rPr>
          <w:bCs/>
          <w:sz w:val="28"/>
          <w:szCs w:val="28"/>
        </w:rPr>
        <w:t xml:space="preserve"> the necessity of the action)</w:t>
      </w:r>
      <w:r w:rsidR="00B44FEE">
        <w:rPr>
          <w:bCs/>
          <w:sz w:val="28"/>
          <w:szCs w:val="28"/>
        </w:rPr>
        <w:t>.</w:t>
      </w:r>
    </w:p>
    <w:p w14:paraId="5B827295" w14:textId="6564D21F" w:rsidR="00DF16F1" w:rsidRDefault="00DF16F1" w:rsidP="00DC7CED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Requiring a motion and good cause </w:t>
      </w:r>
      <w:r w:rsidR="00B06820">
        <w:rPr>
          <w:bCs/>
          <w:sz w:val="28"/>
          <w:szCs w:val="28"/>
        </w:rPr>
        <w:t xml:space="preserve">prior to contact with </w:t>
      </w:r>
      <w:r w:rsidR="00C22800">
        <w:rPr>
          <w:bCs/>
          <w:sz w:val="28"/>
          <w:szCs w:val="28"/>
        </w:rPr>
        <w:t>discharged jurors</w:t>
      </w:r>
      <w:r w:rsidR="00470F8D">
        <w:rPr>
          <w:bCs/>
          <w:sz w:val="28"/>
          <w:szCs w:val="28"/>
        </w:rPr>
        <w:t xml:space="preserve"> </w:t>
      </w:r>
      <w:r w:rsidR="00D43A08">
        <w:rPr>
          <w:bCs/>
          <w:sz w:val="28"/>
          <w:szCs w:val="28"/>
        </w:rPr>
        <w:t xml:space="preserve">is a common-sense process that </w:t>
      </w:r>
      <w:r w:rsidR="00470F8D">
        <w:rPr>
          <w:bCs/>
          <w:sz w:val="28"/>
          <w:szCs w:val="28"/>
        </w:rPr>
        <w:t>protects jurors’ privacy interests</w:t>
      </w:r>
      <w:r w:rsidR="00C14DFA">
        <w:rPr>
          <w:bCs/>
          <w:sz w:val="28"/>
          <w:szCs w:val="28"/>
        </w:rPr>
        <w:t xml:space="preserve"> and </w:t>
      </w:r>
      <w:r w:rsidR="00C5003B">
        <w:rPr>
          <w:bCs/>
          <w:sz w:val="28"/>
          <w:szCs w:val="28"/>
        </w:rPr>
        <w:t xml:space="preserve">ensures future </w:t>
      </w:r>
      <w:proofErr w:type="spellStart"/>
      <w:r w:rsidR="00C5003B">
        <w:rPr>
          <w:bCs/>
          <w:sz w:val="28"/>
          <w:szCs w:val="28"/>
        </w:rPr>
        <w:t>cititzen</w:t>
      </w:r>
      <w:proofErr w:type="spellEnd"/>
      <w:r w:rsidR="00C5003B">
        <w:rPr>
          <w:bCs/>
          <w:sz w:val="28"/>
          <w:szCs w:val="28"/>
        </w:rPr>
        <w:t xml:space="preserve"> participation in the jury process</w:t>
      </w:r>
      <w:r w:rsidR="00D449D1">
        <w:rPr>
          <w:bCs/>
          <w:sz w:val="28"/>
          <w:szCs w:val="28"/>
        </w:rPr>
        <w:t xml:space="preserve">.  The proposal does not </w:t>
      </w:r>
      <w:r w:rsidR="00A06741">
        <w:rPr>
          <w:bCs/>
          <w:sz w:val="28"/>
          <w:szCs w:val="28"/>
        </w:rPr>
        <w:t>limit</w:t>
      </w:r>
      <w:r w:rsidR="00D449D1">
        <w:rPr>
          <w:bCs/>
          <w:sz w:val="28"/>
          <w:szCs w:val="28"/>
        </w:rPr>
        <w:t xml:space="preserve"> a defendant’s ability to </w:t>
      </w:r>
      <w:r w:rsidR="00E41D50">
        <w:rPr>
          <w:bCs/>
          <w:sz w:val="28"/>
          <w:szCs w:val="28"/>
        </w:rPr>
        <w:t>seek post-verdict juror contact; it simply requires</w:t>
      </w:r>
      <w:r w:rsidR="007072EA">
        <w:rPr>
          <w:bCs/>
          <w:sz w:val="28"/>
          <w:szCs w:val="28"/>
        </w:rPr>
        <w:t xml:space="preserve"> a </w:t>
      </w:r>
      <w:r w:rsidR="003D6867">
        <w:rPr>
          <w:bCs/>
          <w:sz w:val="28"/>
          <w:szCs w:val="28"/>
        </w:rPr>
        <w:t>court finding</w:t>
      </w:r>
      <w:r w:rsidR="007072EA">
        <w:rPr>
          <w:bCs/>
          <w:sz w:val="28"/>
          <w:szCs w:val="28"/>
        </w:rPr>
        <w:t xml:space="preserve"> of good cause.</w:t>
      </w:r>
    </w:p>
    <w:p w14:paraId="65C8C000" w14:textId="27BF85CB" w:rsidR="00DD2D20" w:rsidRDefault="00DD2D20" w:rsidP="00DC7CED">
      <w:pPr>
        <w:pStyle w:val="Body"/>
        <w:widowControl w:val="0"/>
        <w:spacing w:line="48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APAAC’s on</w:t>
      </w:r>
      <w:r w:rsidR="0016607E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concern with the petition is </w:t>
      </w:r>
      <w:r w:rsidR="00B93F39">
        <w:rPr>
          <w:bCs/>
          <w:sz w:val="28"/>
          <w:szCs w:val="28"/>
        </w:rPr>
        <w:t>with the proposed notice requirements</w:t>
      </w:r>
      <w:r w:rsidR="003A1DDA">
        <w:rPr>
          <w:bCs/>
          <w:sz w:val="28"/>
          <w:szCs w:val="28"/>
        </w:rPr>
        <w:t>.</w:t>
      </w:r>
      <w:r w:rsidR="00430187">
        <w:rPr>
          <w:bCs/>
          <w:sz w:val="28"/>
          <w:szCs w:val="28"/>
        </w:rPr>
        <w:t xml:space="preserve">  If a court authorizes contact with a juror</w:t>
      </w:r>
      <w:r w:rsidR="00A472C3">
        <w:rPr>
          <w:bCs/>
          <w:sz w:val="28"/>
          <w:szCs w:val="28"/>
        </w:rPr>
        <w:t xml:space="preserve">, under the proposal that juror must be </w:t>
      </w:r>
      <w:r w:rsidR="004C1161">
        <w:rPr>
          <w:bCs/>
          <w:sz w:val="28"/>
          <w:szCs w:val="28"/>
        </w:rPr>
        <w:t>“informed in writing at least 48 hours before any contact”</w:t>
      </w:r>
      <w:r w:rsidR="00EC5093">
        <w:rPr>
          <w:bCs/>
          <w:sz w:val="28"/>
          <w:szCs w:val="28"/>
        </w:rPr>
        <w:t xml:space="preserve"> </w:t>
      </w:r>
      <w:r w:rsidR="00815B11">
        <w:rPr>
          <w:bCs/>
          <w:sz w:val="28"/>
          <w:szCs w:val="28"/>
        </w:rPr>
        <w:t xml:space="preserve">of specific case </w:t>
      </w:r>
      <w:r w:rsidR="00815B11">
        <w:rPr>
          <w:bCs/>
          <w:sz w:val="28"/>
          <w:szCs w:val="28"/>
        </w:rPr>
        <w:lastRenderedPageBreak/>
        <w:t xml:space="preserve">information and </w:t>
      </w:r>
      <w:r w:rsidR="006B6CFB">
        <w:rPr>
          <w:bCs/>
          <w:sz w:val="28"/>
          <w:szCs w:val="28"/>
        </w:rPr>
        <w:t xml:space="preserve">certain </w:t>
      </w:r>
      <w:r w:rsidR="00815B11">
        <w:rPr>
          <w:bCs/>
          <w:sz w:val="28"/>
          <w:szCs w:val="28"/>
        </w:rPr>
        <w:t>right</w:t>
      </w:r>
      <w:r w:rsidR="00A431F1">
        <w:rPr>
          <w:bCs/>
          <w:sz w:val="28"/>
          <w:szCs w:val="28"/>
        </w:rPr>
        <w:t>s of th</w:t>
      </w:r>
      <w:r w:rsidR="004568A5">
        <w:rPr>
          <w:bCs/>
          <w:sz w:val="28"/>
          <w:szCs w:val="28"/>
        </w:rPr>
        <w:t>at</w:t>
      </w:r>
      <w:r w:rsidR="00A431F1">
        <w:rPr>
          <w:bCs/>
          <w:sz w:val="28"/>
          <w:szCs w:val="28"/>
        </w:rPr>
        <w:t xml:space="preserve"> juror.</w:t>
      </w:r>
      <w:r w:rsidR="000152FB">
        <w:rPr>
          <w:bCs/>
          <w:sz w:val="28"/>
          <w:szCs w:val="28"/>
        </w:rPr>
        <w:t xml:space="preserve">  </w:t>
      </w:r>
      <w:proofErr w:type="spellStart"/>
      <w:r w:rsidR="005C380A">
        <w:rPr>
          <w:bCs/>
          <w:sz w:val="28"/>
          <w:szCs w:val="28"/>
        </w:rPr>
        <w:t>No where</w:t>
      </w:r>
      <w:proofErr w:type="spellEnd"/>
      <w:r w:rsidR="005C380A">
        <w:rPr>
          <w:bCs/>
          <w:sz w:val="28"/>
          <w:szCs w:val="28"/>
        </w:rPr>
        <w:t xml:space="preserve"> in the proposal</w:t>
      </w:r>
      <w:r w:rsidR="00D4643E">
        <w:rPr>
          <w:bCs/>
          <w:sz w:val="28"/>
          <w:szCs w:val="28"/>
        </w:rPr>
        <w:t xml:space="preserve"> is contained a process </w:t>
      </w:r>
      <w:r w:rsidR="002E2C70">
        <w:rPr>
          <w:bCs/>
          <w:sz w:val="28"/>
          <w:szCs w:val="28"/>
        </w:rPr>
        <w:t>for giving that information</w:t>
      </w:r>
      <w:r w:rsidR="00942409">
        <w:rPr>
          <w:bCs/>
          <w:sz w:val="28"/>
          <w:szCs w:val="28"/>
        </w:rPr>
        <w:t xml:space="preserve"> or</w:t>
      </w:r>
      <w:r w:rsidR="000B6440">
        <w:rPr>
          <w:bCs/>
          <w:sz w:val="28"/>
          <w:szCs w:val="28"/>
        </w:rPr>
        <w:t xml:space="preserve"> </w:t>
      </w:r>
      <w:r w:rsidR="00AC5466">
        <w:rPr>
          <w:bCs/>
          <w:sz w:val="28"/>
          <w:szCs w:val="28"/>
        </w:rPr>
        <w:t xml:space="preserve">identifying which </w:t>
      </w:r>
      <w:r w:rsidR="000B6440">
        <w:rPr>
          <w:bCs/>
          <w:sz w:val="28"/>
          <w:szCs w:val="28"/>
        </w:rPr>
        <w:t>entity</w:t>
      </w:r>
      <w:r w:rsidR="00333F28">
        <w:rPr>
          <w:bCs/>
          <w:sz w:val="28"/>
          <w:szCs w:val="28"/>
        </w:rPr>
        <w:t xml:space="preserve"> is</w:t>
      </w:r>
      <w:r w:rsidR="000B6440">
        <w:rPr>
          <w:bCs/>
          <w:sz w:val="28"/>
          <w:szCs w:val="28"/>
        </w:rPr>
        <w:t xml:space="preserve"> responsible for providing it</w:t>
      </w:r>
      <w:r w:rsidR="00333F28">
        <w:rPr>
          <w:bCs/>
          <w:sz w:val="28"/>
          <w:szCs w:val="28"/>
        </w:rPr>
        <w:t xml:space="preserve"> </w:t>
      </w:r>
      <w:r w:rsidR="00510CB9">
        <w:rPr>
          <w:bCs/>
          <w:sz w:val="28"/>
          <w:szCs w:val="28"/>
        </w:rPr>
        <w:t>–</w:t>
      </w:r>
      <w:r w:rsidR="000B6440">
        <w:rPr>
          <w:bCs/>
          <w:sz w:val="28"/>
          <w:szCs w:val="28"/>
        </w:rPr>
        <w:t xml:space="preserve"> </w:t>
      </w:r>
      <w:r w:rsidR="00510CB9">
        <w:rPr>
          <w:bCs/>
          <w:sz w:val="28"/>
          <w:szCs w:val="28"/>
        </w:rPr>
        <w:t xml:space="preserve">whether it be </w:t>
      </w:r>
      <w:r w:rsidR="000B6440">
        <w:rPr>
          <w:bCs/>
          <w:sz w:val="28"/>
          <w:szCs w:val="28"/>
        </w:rPr>
        <w:t>the court, the prosecutor</w:t>
      </w:r>
      <w:r w:rsidR="00C54AB3">
        <w:rPr>
          <w:bCs/>
          <w:sz w:val="28"/>
          <w:szCs w:val="28"/>
        </w:rPr>
        <w:t xml:space="preserve">, or the party seeking the </w:t>
      </w:r>
      <w:r w:rsidR="00D07DC3">
        <w:rPr>
          <w:bCs/>
          <w:sz w:val="28"/>
          <w:szCs w:val="28"/>
        </w:rPr>
        <w:t xml:space="preserve">juror </w:t>
      </w:r>
      <w:r w:rsidR="00C54AB3">
        <w:rPr>
          <w:bCs/>
          <w:sz w:val="28"/>
          <w:szCs w:val="28"/>
        </w:rPr>
        <w:t xml:space="preserve">contact.  APAAC recommends that </w:t>
      </w:r>
      <w:r w:rsidR="001F1F89">
        <w:rPr>
          <w:bCs/>
          <w:sz w:val="28"/>
          <w:szCs w:val="28"/>
        </w:rPr>
        <w:t xml:space="preserve">the </w:t>
      </w:r>
      <w:r w:rsidR="00C54AB3">
        <w:rPr>
          <w:bCs/>
          <w:sz w:val="28"/>
          <w:szCs w:val="28"/>
        </w:rPr>
        <w:t>petitioner</w:t>
      </w:r>
      <w:r w:rsidR="00144C3C">
        <w:rPr>
          <w:bCs/>
          <w:sz w:val="28"/>
          <w:szCs w:val="28"/>
        </w:rPr>
        <w:t xml:space="preserve"> consider this question and modify its proposal to properly address it.</w:t>
      </w:r>
    </w:p>
    <w:p w14:paraId="0A6B3B8B" w14:textId="48D78A41" w:rsidR="00526087" w:rsidRPr="00104F4E" w:rsidRDefault="00526087" w:rsidP="007361D0">
      <w:pPr>
        <w:pStyle w:val="Body"/>
        <w:widowControl w:val="0"/>
        <w:spacing w:line="480" w:lineRule="auto"/>
        <w:ind w:firstLine="0"/>
        <w:jc w:val="both"/>
        <w:rPr>
          <w:b/>
          <w:sz w:val="28"/>
          <w:szCs w:val="28"/>
        </w:rPr>
      </w:pPr>
      <w:r w:rsidRPr="00104F4E">
        <w:rPr>
          <w:b/>
          <w:sz w:val="28"/>
          <w:szCs w:val="28"/>
        </w:rPr>
        <w:t>III.</w:t>
      </w:r>
      <w:r w:rsidRPr="00104F4E">
        <w:rPr>
          <w:b/>
          <w:sz w:val="28"/>
          <w:szCs w:val="28"/>
        </w:rPr>
        <w:tab/>
        <w:t>CONCLUSION</w:t>
      </w:r>
    </w:p>
    <w:p w14:paraId="4ED7F5FF" w14:textId="605BD742" w:rsidR="00526087" w:rsidRPr="00CF58A1" w:rsidRDefault="007103EF" w:rsidP="00770976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Current rules and statutes do not explicitly address post-verdict contact with jurors</w:t>
      </w:r>
      <w:r w:rsidR="005105F3">
        <w:rPr>
          <w:sz w:val="28"/>
          <w:szCs w:val="28"/>
        </w:rPr>
        <w:t xml:space="preserve"> by a party or party representative</w:t>
      </w:r>
      <w:r>
        <w:rPr>
          <w:sz w:val="28"/>
          <w:szCs w:val="28"/>
        </w:rPr>
        <w:t xml:space="preserve">.  </w:t>
      </w:r>
      <w:r w:rsidR="00515CC0">
        <w:rPr>
          <w:sz w:val="28"/>
          <w:szCs w:val="28"/>
        </w:rPr>
        <w:t xml:space="preserve">The proposed amendment to Rule 22.5 is designed only to protect jurors’ privacy interests rather than to limit the ability to impeach a jury’s verdict.  </w:t>
      </w:r>
      <w:r w:rsidR="00E00AF4"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 w:rsidR="00E00AF4">
        <w:rPr>
          <w:sz w:val="28"/>
          <w:szCs w:val="28"/>
        </w:rPr>
        <w:t xml:space="preserve"> </w:t>
      </w:r>
      <w:r w:rsidR="00660556">
        <w:rPr>
          <w:sz w:val="28"/>
          <w:szCs w:val="28"/>
        </w:rPr>
        <w:t xml:space="preserve">recognizes </w:t>
      </w:r>
      <w:r w:rsidR="00DC1516">
        <w:rPr>
          <w:sz w:val="28"/>
          <w:szCs w:val="28"/>
        </w:rPr>
        <w:t>the importance</w:t>
      </w:r>
      <w:r w:rsidR="00E16858">
        <w:rPr>
          <w:sz w:val="28"/>
          <w:szCs w:val="28"/>
        </w:rPr>
        <w:t xml:space="preserve"> of juror participation in the effective operation of the judicial system</w:t>
      </w:r>
      <w:r w:rsidR="00FC2DA8">
        <w:rPr>
          <w:sz w:val="28"/>
          <w:szCs w:val="28"/>
        </w:rPr>
        <w:t>.  The proposed amendment to Rule 22.5</w:t>
      </w:r>
      <w:r w:rsidR="00F16B6C">
        <w:rPr>
          <w:sz w:val="28"/>
          <w:szCs w:val="28"/>
        </w:rPr>
        <w:t xml:space="preserve"> is supported because it will have the effect of </w:t>
      </w:r>
      <w:r w:rsidR="00A94ECF">
        <w:rPr>
          <w:sz w:val="28"/>
          <w:szCs w:val="28"/>
        </w:rPr>
        <w:t xml:space="preserve">protecting </w:t>
      </w:r>
      <w:r w:rsidR="00685110">
        <w:rPr>
          <w:sz w:val="28"/>
          <w:szCs w:val="28"/>
        </w:rPr>
        <w:t xml:space="preserve">discharged </w:t>
      </w:r>
      <w:r w:rsidR="00A94ECF">
        <w:rPr>
          <w:sz w:val="28"/>
          <w:szCs w:val="28"/>
        </w:rPr>
        <w:t>juror</w:t>
      </w:r>
      <w:r w:rsidR="003D73BD">
        <w:rPr>
          <w:sz w:val="28"/>
          <w:szCs w:val="28"/>
        </w:rPr>
        <w:t xml:space="preserve">s from unwanted contact </w:t>
      </w:r>
      <w:r w:rsidR="009176FC">
        <w:rPr>
          <w:sz w:val="28"/>
          <w:szCs w:val="28"/>
        </w:rPr>
        <w:t xml:space="preserve">by a party or party’s representative </w:t>
      </w:r>
      <w:r w:rsidR="002A6DDC">
        <w:rPr>
          <w:sz w:val="28"/>
          <w:szCs w:val="28"/>
        </w:rPr>
        <w:t>while</w:t>
      </w:r>
      <w:r w:rsidR="00BE26C1">
        <w:rPr>
          <w:sz w:val="28"/>
          <w:szCs w:val="28"/>
        </w:rPr>
        <w:t xml:space="preserve"> providing defendants a means of seeking post-verdict juror contact.</w:t>
      </w:r>
    </w:p>
    <w:p w14:paraId="56AAC9B4" w14:textId="77777777" w:rsidR="009B5611" w:rsidRDefault="009B5611" w:rsidP="009B5611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t xml:space="preserve">       </w:t>
      </w:r>
      <w:r>
        <w:rPr>
          <w:sz w:val="28"/>
          <w:szCs w:val="28"/>
        </w:rPr>
        <w:t xml:space="preserve">RESPECTFULLY SUBMITTED this </w:t>
      </w:r>
      <w:r>
        <w:rPr>
          <w:sz w:val="28"/>
          <w:szCs w:val="28"/>
          <w:u w:val="single"/>
        </w:rPr>
        <w:t xml:space="preserve">  1st  </w:t>
      </w:r>
      <w:r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April,</w:t>
      </w:r>
      <w:proofErr w:type="gramEnd"/>
      <w:r>
        <w:rPr>
          <w:sz w:val="28"/>
          <w:szCs w:val="28"/>
        </w:rPr>
        <w:t xml:space="preserve"> 2020.</w:t>
      </w:r>
    </w:p>
    <w:p w14:paraId="7108CF9C" w14:textId="77777777" w:rsidR="009B5611" w:rsidRDefault="009B5611" w:rsidP="009B5611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7A118FFA" w14:textId="77777777" w:rsidR="009B5611" w:rsidRDefault="009B5611" w:rsidP="009B5611">
      <w:pPr>
        <w:pStyle w:val="Body"/>
        <w:widowControl w:val="0"/>
        <w:tabs>
          <w:tab w:val="left" w:pos="720"/>
        </w:tabs>
        <w:spacing w:line="240" w:lineRule="auto"/>
        <w:ind w:firstLine="0"/>
        <w:rPr>
          <w:rFonts w:ascii="Lucida Handwriting" w:hAnsi="Lucida Handwriting"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 /s/    </w:t>
      </w:r>
      <w:r>
        <w:rPr>
          <w:rFonts w:ascii="Lucida Handwriting" w:hAnsi="Lucida Handwriting"/>
          <w:sz w:val="28"/>
          <w:szCs w:val="28"/>
          <w:u w:val="single"/>
        </w:rPr>
        <w:t>Elizabeth Burton Ortiz</w:t>
      </w:r>
      <w:r>
        <w:rPr>
          <w:rFonts w:ascii="Lucida Handwriting" w:hAnsi="Lucida Handwriting"/>
          <w:sz w:val="28"/>
          <w:szCs w:val="28"/>
          <w:u w:val="single"/>
        </w:rPr>
        <w:tab/>
      </w:r>
      <w:r>
        <w:rPr>
          <w:rFonts w:ascii="Lucida Handwriting" w:hAnsi="Lucida Handwriting"/>
          <w:sz w:val="28"/>
          <w:szCs w:val="28"/>
          <w:u w:val="single"/>
        </w:rPr>
        <w:tab/>
      </w:r>
    </w:p>
    <w:p w14:paraId="0ECD50DA" w14:textId="77777777" w:rsidR="009B5611" w:rsidRDefault="009B5611" w:rsidP="009B5611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Elizabeth Burton Ortiz, #012838</w:t>
      </w:r>
    </w:p>
    <w:p w14:paraId="75A36561" w14:textId="77777777" w:rsidR="009B5611" w:rsidRDefault="009B5611" w:rsidP="009B561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14:paraId="18751E32" w14:textId="77777777" w:rsidR="009B5611" w:rsidRDefault="009B5611" w:rsidP="009B561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14:paraId="601423A0" w14:textId="77777777" w:rsidR="009B5611" w:rsidRDefault="009B5611" w:rsidP="009B5611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    Advisory Council</w:t>
      </w:r>
    </w:p>
    <w:p w14:paraId="7FA7AB8E" w14:textId="458319B1" w:rsidR="009B5611" w:rsidRDefault="00592739" w:rsidP="009B5611">
      <w:pPr>
        <w:pStyle w:val="PleadingSignature"/>
        <w:keepNext w:val="0"/>
        <w:keepLines w:val="0"/>
        <w:spacing w:line="240" w:lineRule="auto"/>
        <w:rPr>
          <w:szCs w:val="26"/>
        </w:rPr>
      </w:pPr>
      <w:r>
        <w:rPr>
          <w:szCs w:val="26"/>
        </w:rPr>
        <w:t>. . .</w:t>
      </w:r>
      <w:bookmarkStart w:id="2" w:name="_GoBack"/>
      <w:bookmarkEnd w:id="2"/>
    </w:p>
    <w:p w14:paraId="5E6D5F25" w14:textId="77777777" w:rsidR="009B5611" w:rsidRDefault="009B5611" w:rsidP="009B5611">
      <w:pPr>
        <w:widowControl w:val="0"/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lastRenderedPageBreak/>
        <w:t>Electronic copy filed with the</w:t>
      </w:r>
    </w:p>
    <w:p w14:paraId="24E7F253" w14:textId="77777777" w:rsidR="009B5611" w:rsidRDefault="009B5611" w:rsidP="009B5611">
      <w:pPr>
        <w:spacing w:line="240" w:lineRule="auto"/>
        <w:ind w:right="4140"/>
        <w:rPr>
          <w:sz w:val="28"/>
          <w:szCs w:val="28"/>
        </w:rPr>
      </w:pPr>
      <w:r>
        <w:rPr>
          <w:sz w:val="28"/>
          <w:szCs w:val="28"/>
        </w:rPr>
        <w:t>Clerk of the Arizona Supreme Court</w:t>
      </w:r>
    </w:p>
    <w:p w14:paraId="7148127F" w14:textId="77777777" w:rsidR="009B5611" w:rsidRDefault="009B5611" w:rsidP="009B5611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>
        <w:rPr>
          <w:sz w:val="28"/>
          <w:szCs w:val="28"/>
          <w:u w:val="single"/>
        </w:rPr>
        <w:t xml:space="preserve">  2nd  </w:t>
      </w:r>
      <w:r>
        <w:rPr>
          <w:sz w:val="28"/>
          <w:szCs w:val="28"/>
        </w:rPr>
        <w:t xml:space="preserve"> day of </w:t>
      </w:r>
      <w:proofErr w:type="gramStart"/>
      <w:r>
        <w:rPr>
          <w:sz w:val="28"/>
          <w:szCs w:val="28"/>
        </w:rPr>
        <w:t>April,</w:t>
      </w:r>
      <w:proofErr w:type="gramEnd"/>
      <w:r>
        <w:rPr>
          <w:sz w:val="28"/>
          <w:szCs w:val="28"/>
        </w:rPr>
        <w:t xml:space="preserve"> 2020.</w:t>
      </w:r>
    </w:p>
    <w:p w14:paraId="74FA82C0" w14:textId="77777777" w:rsidR="009B5611" w:rsidRDefault="009B5611" w:rsidP="009B5611">
      <w:pPr>
        <w:spacing w:line="240" w:lineRule="auto"/>
        <w:ind w:right="4572"/>
        <w:rPr>
          <w:sz w:val="28"/>
          <w:szCs w:val="28"/>
        </w:rPr>
      </w:pPr>
    </w:p>
    <w:p w14:paraId="49770040" w14:textId="77777777" w:rsidR="009B5611" w:rsidRDefault="009B5611" w:rsidP="009B5611">
      <w:pPr>
        <w:spacing w:line="240" w:lineRule="auto"/>
        <w:ind w:right="4572"/>
        <w:rPr>
          <w:sz w:val="28"/>
          <w:szCs w:val="28"/>
        </w:rPr>
      </w:pPr>
    </w:p>
    <w:p w14:paraId="755184DE" w14:textId="77777777" w:rsidR="009B5611" w:rsidRDefault="009B5611" w:rsidP="009B5611">
      <w:pPr>
        <w:spacing w:line="240" w:lineRule="auto"/>
        <w:ind w:right="4572"/>
        <w:rPr>
          <w:rFonts w:ascii="Bradley Hand ITC" w:hAnsi="Bradley Hand ITC"/>
          <w:sz w:val="32"/>
          <w:szCs w:val="32"/>
          <w:u w:val="single"/>
        </w:rPr>
      </w:pPr>
      <w:r>
        <w:rPr>
          <w:sz w:val="28"/>
          <w:szCs w:val="28"/>
        </w:rPr>
        <w:t xml:space="preserve">By:  </w:t>
      </w:r>
      <w:r>
        <w:rPr>
          <w:rFonts w:ascii="Bradley Hand ITC" w:hAnsi="Bradley Hand ITC"/>
          <w:sz w:val="32"/>
          <w:szCs w:val="32"/>
          <w:u w:val="single"/>
        </w:rPr>
        <w:tab/>
      </w:r>
      <w:r>
        <w:rPr>
          <w:sz w:val="28"/>
          <w:szCs w:val="28"/>
          <w:u w:val="single"/>
        </w:rPr>
        <w:t>/s</w:t>
      </w:r>
      <w:proofErr w:type="gramStart"/>
      <w:r>
        <w:rPr>
          <w:sz w:val="28"/>
          <w:szCs w:val="28"/>
          <w:u w:val="single"/>
        </w:rPr>
        <w:t xml:space="preserve">/  </w:t>
      </w:r>
      <w:r>
        <w:rPr>
          <w:rFonts w:ascii="Bradley Hand ITC" w:hAnsi="Bradley Hand ITC"/>
          <w:sz w:val="32"/>
          <w:szCs w:val="32"/>
          <w:u w:val="single"/>
        </w:rPr>
        <w:t>Diana</w:t>
      </w:r>
      <w:proofErr w:type="gramEnd"/>
      <w:r>
        <w:rPr>
          <w:rFonts w:ascii="Bradley Hand ITC" w:hAnsi="Bradley Hand ITC"/>
          <w:sz w:val="32"/>
          <w:szCs w:val="32"/>
          <w:u w:val="single"/>
        </w:rPr>
        <w:t xml:space="preserve"> Cooney</w:t>
      </w:r>
      <w:r>
        <w:rPr>
          <w:rFonts w:ascii="Bradley Hand ITC" w:hAnsi="Bradley Hand ITC"/>
          <w:sz w:val="32"/>
          <w:szCs w:val="32"/>
          <w:u w:val="single"/>
        </w:rPr>
        <w:tab/>
      </w:r>
      <w:r>
        <w:rPr>
          <w:rFonts w:ascii="Bradley Hand ITC" w:hAnsi="Bradley Hand ITC"/>
          <w:sz w:val="32"/>
          <w:szCs w:val="32"/>
          <w:u w:val="single"/>
        </w:rPr>
        <w:tab/>
      </w:r>
    </w:p>
    <w:p w14:paraId="7A652556" w14:textId="77777777" w:rsidR="00052372" w:rsidRPr="000F7A7F" w:rsidRDefault="00052372" w:rsidP="009B5611">
      <w:pPr>
        <w:pStyle w:val="Body"/>
        <w:widowControl w:val="0"/>
        <w:tabs>
          <w:tab w:val="left" w:pos="720"/>
        </w:tabs>
        <w:ind w:firstLine="0"/>
        <w:rPr>
          <w:szCs w:val="26"/>
        </w:rPr>
      </w:pPr>
    </w:p>
    <w:sectPr w:rsidR="00052372" w:rsidRPr="000F7A7F" w:rsidSect="006F63FD">
      <w:headerReference w:type="default" r:id="rId12"/>
      <w:footerReference w:type="even" r:id="rId13"/>
      <w:footerReference w:type="default" r:id="rId14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38EA1D" w14:textId="77777777" w:rsidR="00474834" w:rsidRDefault="00474834">
      <w:r>
        <w:separator/>
      </w:r>
    </w:p>
  </w:endnote>
  <w:endnote w:type="continuationSeparator" w:id="0">
    <w:p w14:paraId="08F6EC12" w14:textId="77777777" w:rsidR="00474834" w:rsidRDefault="00474834">
      <w:r>
        <w:continuationSeparator/>
      </w:r>
    </w:p>
  </w:endnote>
  <w:endnote w:type="continuationNotice" w:id="1">
    <w:p w14:paraId="25ECE235" w14:textId="77777777" w:rsidR="00474834" w:rsidRDefault="004748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E4592" w14:textId="77777777" w:rsidR="00526244" w:rsidRDefault="00526244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EFD937" w14:textId="77777777" w:rsidR="00526244" w:rsidRDefault="00526244" w:rsidP="00861563">
    <w:pPr>
      <w:pStyle w:val="Footer"/>
      <w:ind w:right="360"/>
    </w:pPr>
  </w:p>
  <w:p w14:paraId="1E6CF164" w14:textId="77777777" w:rsidR="00526244" w:rsidRDefault="005262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5A6C317" w14:textId="256FA35E" w:rsidR="00526244" w:rsidRPr="006B4F9A" w:rsidRDefault="00526244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15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59970812" w14:textId="77777777" w:rsidR="00526244" w:rsidRDefault="0052624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569C37" w14:textId="77777777" w:rsidR="00474834" w:rsidRDefault="00474834">
      <w:r>
        <w:separator/>
      </w:r>
    </w:p>
  </w:footnote>
  <w:footnote w:type="continuationSeparator" w:id="0">
    <w:p w14:paraId="12B96674" w14:textId="77777777" w:rsidR="00474834" w:rsidRDefault="00474834">
      <w:r>
        <w:continuationSeparator/>
      </w:r>
    </w:p>
  </w:footnote>
  <w:footnote w:type="continuationNotice" w:id="1">
    <w:p w14:paraId="19DE5845" w14:textId="77777777" w:rsidR="00474834" w:rsidRDefault="00474834">
      <w:pPr>
        <w:spacing w:line="240" w:lineRule="auto"/>
      </w:pPr>
    </w:p>
  </w:footnote>
  <w:footnote w:id="2">
    <w:p w14:paraId="3659E4CF" w14:textId="24FE1F26" w:rsidR="00C03119" w:rsidRDefault="00C03119">
      <w:pPr>
        <w:pStyle w:val="FootnoteText"/>
      </w:pPr>
      <w:r w:rsidRPr="000D113C">
        <w:rPr>
          <w:rStyle w:val="FootnoteReference"/>
          <w:sz w:val="28"/>
          <w:szCs w:val="28"/>
        </w:rPr>
        <w:footnoteRef/>
      </w:r>
      <w:r w:rsidRPr="000D113C">
        <w:rPr>
          <w:sz w:val="28"/>
          <w:szCs w:val="28"/>
        </w:rPr>
        <w:t xml:space="preserve"> </w:t>
      </w:r>
      <w:r w:rsidR="00A901FE" w:rsidRPr="000D113C">
        <w:rPr>
          <w:sz w:val="28"/>
          <w:szCs w:val="28"/>
        </w:rPr>
        <w:t xml:space="preserve">A </w:t>
      </w:r>
      <w:r w:rsidR="00837FBA">
        <w:rPr>
          <w:sz w:val="28"/>
          <w:szCs w:val="28"/>
        </w:rPr>
        <w:t xml:space="preserve">different </w:t>
      </w:r>
      <w:r w:rsidR="00A901FE" w:rsidRPr="000D113C">
        <w:rPr>
          <w:sz w:val="28"/>
          <w:szCs w:val="28"/>
        </w:rPr>
        <w:t>petition</w:t>
      </w:r>
      <w:r w:rsidR="00837FBA">
        <w:rPr>
          <w:sz w:val="28"/>
          <w:szCs w:val="28"/>
        </w:rPr>
        <w:t xml:space="preserve"> on the same </w:t>
      </w:r>
      <w:r w:rsidR="00676492">
        <w:rPr>
          <w:sz w:val="28"/>
          <w:szCs w:val="28"/>
        </w:rPr>
        <w:t xml:space="preserve">general </w:t>
      </w:r>
      <w:r w:rsidR="00837FBA">
        <w:rPr>
          <w:sz w:val="28"/>
          <w:szCs w:val="28"/>
        </w:rPr>
        <w:t>topic</w:t>
      </w:r>
      <w:r w:rsidR="00A901FE" w:rsidRPr="000D113C">
        <w:rPr>
          <w:sz w:val="28"/>
          <w:szCs w:val="28"/>
        </w:rPr>
        <w:t xml:space="preserve"> was filed last year in R-19-0008.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4CE94" w14:textId="77777777" w:rsidR="00526244" w:rsidRDefault="005262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C7712" id="RightBorder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820C18" id="LeftBorder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G2F0yxAEAAG8DAAAOAAAAAAAAAAAAAAAA&#10;AC4CAABkcnMvZTJvRG9jLnhtbFBLAQItABQABgAIAAAAIQCswk8k3AAAAAkBAAAPAAAAAAAAAAAA&#10;AAAAAB4EAABkcnMvZG93bnJldi54bWxQSwUGAAAAAAQABADzAAAAJ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3C2F3" id="LeftBorder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HlxAEAAG8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">
              <w10:wrap anchorx="margin" anchory="page"/>
            </v:line>
          </w:pict>
        </mc:Fallback>
      </mc:AlternateContent>
    </w:r>
  </w:p>
  <w:p w14:paraId="6C95D955" w14:textId="77777777" w:rsidR="00526244" w:rsidRDefault="00526244"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E0D1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51B95C0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F0CAAF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3406F26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98E809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AE7B72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666B64DB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41091D2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5AFEA6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8BF988E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094C491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4E9CD87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7229104A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2C62D687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66CCC565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8BD910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B7285F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38B8583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A8DF8C9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38E1D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E01046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48120BAD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7756D126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58A28ED2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6F4DFD68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1DFF66EF" w14:textId="77777777" w:rsidR="00526244" w:rsidRPr="00000C35" w:rsidRDefault="00526244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" stroked="f">
              <v:textbox inset="0,0,0,0">
                <w:txbxContent>
                  <w:p w14:paraId="102E0D1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14:paraId="51B95C0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14:paraId="4F0CAAF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14:paraId="3406F26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14:paraId="098E809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14:paraId="3AE7B72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14:paraId="666B64DB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14:paraId="41091D2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14:paraId="15AFEA6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14:paraId="18BF988E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14:paraId="094C491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14:paraId="4E9CD87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14:paraId="7229104A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14:paraId="2C62D687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14:paraId="66CCC565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14:paraId="58BD910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14:paraId="7B7285F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14:paraId="738B8583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14:paraId="4A8DF8C9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14:paraId="438E1D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14:paraId="3E01046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14:paraId="48120BAD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14:paraId="7756D126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14:paraId="58A28ED2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14:paraId="6F4DFD68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14:paraId="1DFF66EF" w14:textId="77777777" w:rsidR="00526244" w:rsidRPr="00000C35" w:rsidRDefault="00526244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93E8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A814D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73C0B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B4FD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E2D0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602D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D2776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1B027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86E85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00428E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E4188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84C47"/>
    <w:multiLevelType w:val="hybridMultilevel"/>
    <w:tmpl w:val="88605894"/>
    <w:lvl w:ilvl="0" w:tplc="2A266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224C33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C3724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503385"/>
    <w:multiLevelType w:val="hybridMultilevel"/>
    <w:tmpl w:val="647E9EB2"/>
    <w:lvl w:ilvl="0" w:tplc="B200319A">
      <w:start w:val="1"/>
      <w:numFmt w:val="decimal"/>
      <w:lvlText w:val="(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1D38B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B0B5C52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34F6FFA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94351E1"/>
    <w:multiLevelType w:val="hybridMultilevel"/>
    <w:tmpl w:val="59184A4C"/>
    <w:lvl w:ilvl="0" w:tplc="E8BC27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A85CAD"/>
    <w:multiLevelType w:val="hybridMultilevel"/>
    <w:tmpl w:val="EF02DEEA"/>
    <w:lvl w:ilvl="0" w:tplc="EF82DE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6"/>
  </w:num>
  <w:num w:numId="4">
    <w:abstractNumId w:val="11"/>
  </w:num>
  <w:num w:numId="5">
    <w:abstractNumId w:val="16"/>
  </w:num>
  <w:num w:numId="6">
    <w:abstractNumId w:val="18"/>
  </w:num>
  <w:num w:numId="7">
    <w:abstractNumId w:val="7"/>
  </w:num>
  <w:num w:numId="8">
    <w:abstractNumId w:val="33"/>
  </w:num>
  <w:num w:numId="9">
    <w:abstractNumId w:val="19"/>
  </w:num>
  <w:num w:numId="10">
    <w:abstractNumId w:val="25"/>
  </w:num>
  <w:num w:numId="11">
    <w:abstractNumId w:val="22"/>
  </w:num>
  <w:num w:numId="12">
    <w:abstractNumId w:val="13"/>
  </w:num>
  <w:num w:numId="13">
    <w:abstractNumId w:val="8"/>
  </w:num>
  <w:num w:numId="14">
    <w:abstractNumId w:val="10"/>
  </w:num>
  <w:num w:numId="15">
    <w:abstractNumId w:val="20"/>
  </w:num>
  <w:num w:numId="16">
    <w:abstractNumId w:val="31"/>
  </w:num>
  <w:num w:numId="17">
    <w:abstractNumId w:val="26"/>
  </w:num>
  <w:num w:numId="18">
    <w:abstractNumId w:val="4"/>
  </w:num>
  <w:num w:numId="19">
    <w:abstractNumId w:val="12"/>
  </w:num>
  <w:num w:numId="20">
    <w:abstractNumId w:val="32"/>
  </w:num>
  <w:num w:numId="21">
    <w:abstractNumId w:val="3"/>
  </w:num>
  <w:num w:numId="22">
    <w:abstractNumId w:val="23"/>
  </w:num>
  <w:num w:numId="23">
    <w:abstractNumId w:val="1"/>
  </w:num>
  <w:num w:numId="24">
    <w:abstractNumId w:val="15"/>
  </w:num>
  <w:num w:numId="25">
    <w:abstractNumId w:val="5"/>
  </w:num>
  <w:num w:numId="26">
    <w:abstractNumId w:val="21"/>
  </w:num>
  <w:num w:numId="27">
    <w:abstractNumId w:val="2"/>
  </w:num>
  <w:num w:numId="28">
    <w:abstractNumId w:val="30"/>
  </w:num>
  <w:num w:numId="29">
    <w:abstractNumId w:val="29"/>
  </w:num>
  <w:num w:numId="30">
    <w:abstractNumId w:val="9"/>
  </w:num>
  <w:num w:numId="31">
    <w:abstractNumId w:val="0"/>
  </w:num>
  <w:num w:numId="32">
    <w:abstractNumId w:val="14"/>
  </w:num>
  <w:num w:numId="33">
    <w:abstractNumId w:val="17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0550A"/>
    <w:rsid w:val="00005824"/>
    <w:rsid w:val="00012036"/>
    <w:rsid w:val="00012531"/>
    <w:rsid w:val="00013CE0"/>
    <w:rsid w:val="000152FB"/>
    <w:rsid w:val="0002212D"/>
    <w:rsid w:val="00025B19"/>
    <w:rsid w:val="000323DC"/>
    <w:rsid w:val="00035056"/>
    <w:rsid w:val="00035771"/>
    <w:rsid w:val="00036A5E"/>
    <w:rsid w:val="000410B3"/>
    <w:rsid w:val="00043D4D"/>
    <w:rsid w:val="0004786F"/>
    <w:rsid w:val="00051090"/>
    <w:rsid w:val="00051D5D"/>
    <w:rsid w:val="00052372"/>
    <w:rsid w:val="00056CA0"/>
    <w:rsid w:val="00061976"/>
    <w:rsid w:val="000633FB"/>
    <w:rsid w:val="0006397E"/>
    <w:rsid w:val="00065E4A"/>
    <w:rsid w:val="000666D1"/>
    <w:rsid w:val="00067721"/>
    <w:rsid w:val="00072E08"/>
    <w:rsid w:val="00076747"/>
    <w:rsid w:val="00081259"/>
    <w:rsid w:val="000829A0"/>
    <w:rsid w:val="000868BC"/>
    <w:rsid w:val="00086B73"/>
    <w:rsid w:val="000917C0"/>
    <w:rsid w:val="00091DD4"/>
    <w:rsid w:val="000A1D6B"/>
    <w:rsid w:val="000A228F"/>
    <w:rsid w:val="000B5C79"/>
    <w:rsid w:val="000B5F6B"/>
    <w:rsid w:val="000B6440"/>
    <w:rsid w:val="000C239D"/>
    <w:rsid w:val="000C48A9"/>
    <w:rsid w:val="000C58DC"/>
    <w:rsid w:val="000D113C"/>
    <w:rsid w:val="000D5D16"/>
    <w:rsid w:val="000D7E6C"/>
    <w:rsid w:val="000F42C8"/>
    <w:rsid w:val="000F54A9"/>
    <w:rsid w:val="000F690F"/>
    <w:rsid w:val="000F71D8"/>
    <w:rsid w:val="000F7A7F"/>
    <w:rsid w:val="000F7C13"/>
    <w:rsid w:val="001003C3"/>
    <w:rsid w:val="001010C5"/>
    <w:rsid w:val="00106819"/>
    <w:rsid w:val="00107951"/>
    <w:rsid w:val="00116D61"/>
    <w:rsid w:val="0012030E"/>
    <w:rsid w:val="001207B0"/>
    <w:rsid w:val="0012408C"/>
    <w:rsid w:val="001242B6"/>
    <w:rsid w:val="00126711"/>
    <w:rsid w:val="0012729B"/>
    <w:rsid w:val="00131578"/>
    <w:rsid w:val="00132181"/>
    <w:rsid w:val="00133760"/>
    <w:rsid w:val="00134B99"/>
    <w:rsid w:val="00135326"/>
    <w:rsid w:val="00141541"/>
    <w:rsid w:val="00144C3C"/>
    <w:rsid w:val="00153965"/>
    <w:rsid w:val="00155667"/>
    <w:rsid w:val="00156D8F"/>
    <w:rsid w:val="0016607E"/>
    <w:rsid w:val="001704C4"/>
    <w:rsid w:val="00173D1C"/>
    <w:rsid w:val="00177417"/>
    <w:rsid w:val="0018360F"/>
    <w:rsid w:val="00184E54"/>
    <w:rsid w:val="00190478"/>
    <w:rsid w:val="00192053"/>
    <w:rsid w:val="0019690A"/>
    <w:rsid w:val="001A0FAE"/>
    <w:rsid w:val="001A2520"/>
    <w:rsid w:val="001A5324"/>
    <w:rsid w:val="001A741A"/>
    <w:rsid w:val="001B054C"/>
    <w:rsid w:val="001B0854"/>
    <w:rsid w:val="001B25E1"/>
    <w:rsid w:val="001C021A"/>
    <w:rsid w:val="001C30D5"/>
    <w:rsid w:val="001C55AD"/>
    <w:rsid w:val="001C5E17"/>
    <w:rsid w:val="001D0AAA"/>
    <w:rsid w:val="001D52C1"/>
    <w:rsid w:val="001E6473"/>
    <w:rsid w:val="001E726D"/>
    <w:rsid w:val="001F1F89"/>
    <w:rsid w:val="001F591C"/>
    <w:rsid w:val="001F675E"/>
    <w:rsid w:val="00200BE9"/>
    <w:rsid w:val="00203A04"/>
    <w:rsid w:val="00213ABC"/>
    <w:rsid w:val="0021663F"/>
    <w:rsid w:val="0022049B"/>
    <w:rsid w:val="00220558"/>
    <w:rsid w:val="002236A8"/>
    <w:rsid w:val="0022710E"/>
    <w:rsid w:val="00227F72"/>
    <w:rsid w:val="00245270"/>
    <w:rsid w:val="00250B2B"/>
    <w:rsid w:val="00256F98"/>
    <w:rsid w:val="00260087"/>
    <w:rsid w:val="00262BE7"/>
    <w:rsid w:val="00267532"/>
    <w:rsid w:val="0027359D"/>
    <w:rsid w:val="00274D6A"/>
    <w:rsid w:val="00277CA3"/>
    <w:rsid w:val="0028175D"/>
    <w:rsid w:val="00282B3D"/>
    <w:rsid w:val="00283AAA"/>
    <w:rsid w:val="00286193"/>
    <w:rsid w:val="00291360"/>
    <w:rsid w:val="00297773"/>
    <w:rsid w:val="002A6DDC"/>
    <w:rsid w:val="002A7F9E"/>
    <w:rsid w:val="002B0C94"/>
    <w:rsid w:val="002B4928"/>
    <w:rsid w:val="002C72E8"/>
    <w:rsid w:val="002C7DCE"/>
    <w:rsid w:val="002C7E32"/>
    <w:rsid w:val="002D2738"/>
    <w:rsid w:val="002D2E4D"/>
    <w:rsid w:val="002E2C70"/>
    <w:rsid w:val="002E6D70"/>
    <w:rsid w:val="00301D0C"/>
    <w:rsid w:val="003024C2"/>
    <w:rsid w:val="00302A04"/>
    <w:rsid w:val="0030370C"/>
    <w:rsid w:val="00303A51"/>
    <w:rsid w:val="00303F08"/>
    <w:rsid w:val="00303F65"/>
    <w:rsid w:val="00305B80"/>
    <w:rsid w:val="003160E1"/>
    <w:rsid w:val="003270CB"/>
    <w:rsid w:val="00327BB4"/>
    <w:rsid w:val="00331ECE"/>
    <w:rsid w:val="00333F28"/>
    <w:rsid w:val="00341028"/>
    <w:rsid w:val="00341493"/>
    <w:rsid w:val="00342636"/>
    <w:rsid w:val="003435D1"/>
    <w:rsid w:val="00344E15"/>
    <w:rsid w:val="00345334"/>
    <w:rsid w:val="00352347"/>
    <w:rsid w:val="003566D6"/>
    <w:rsid w:val="00357F4D"/>
    <w:rsid w:val="003617D1"/>
    <w:rsid w:val="003617F7"/>
    <w:rsid w:val="00362EF9"/>
    <w:rsid w:val="00364150"/>
    <w:rsid w:val="0036551C"/>
    <w:rsid w:val="003700EE"/>
    <w:rsid w:val="0037123E"/>
    <w:rsid w:val="003755A5"/>
    <w:rsid w:val="0037607E"/>
    <w:rsid w:val="00377199"/>
    <w:rsid w:val="00381E2C"/>
    <w:rsid w:val="00391ED5"/>
    <w:rsid w:val="00393CD1"/>
    <w:rsid w:val="003962C2"/>
    <w:rsid w:val="00397E14"/>
    <w:rsid w:val="003A09AB"/>
    <w:rsid w:val="003A0F98"/>
    <w:rsid w:val="003A1639"/>
    <w:rsid w:val="003A1DDA"/>
    <w:rsid w:val="003A28AC"/>
    <w:rsid w:val="003A54E5"/>
    <w:rsid w:val="003A5F9F"/>
    <w:rsid w:val="003B3AB5"/>
    <w:rsid w:val="003B402A"/>
    <w:rsid w:val="003B699A"/>
    <w:rsid w:val="003B706E"/>
    <w:rsid w:val="003B7DB2"/>
    <w:rsid w:val="003C2FDA"/>
    <w:rsid w:val="003C33ED"/>
    <w:rsid w:val="003C39B8"/>
    <w:rsid w:val="003C4B1B"/>
    <w:rsid w:val="003C6B2E"/>
    <w:rsid w:val="003C6DC9"/>
    <w:rsid w:val="003D1B33"/>
    <w:rsid w:val="003D2699"/>
    <w:rsid w:val="003D67B8"/>
    <w:rsid w:val="003D6867"/>
    <w:rsid w:val="003D73BD"/>
    <w:rsid w:val="003E2769"/>
    <w:rsid w:val="003E59F1"/>
    <w:rsid w:val="003E6A88"/>
    <w:rsid w:val="003F1DC9"/>
    <w:rsid w:val="00400D44"/>
    <w:rsid w:val="00401FE1"/>
    <w:rsid w:val="0040797B"/>
    <w:rsid w:val="00407E2D"/>
    <w:rsid w:val="004119D5"/>
    <w:rsid w:val="00412863"/>
    <w:rsid w:val="00415FD2"/>
    <w:rsid w:val="00422F15"/>
    <w:rsid w:val="00426698"/>
    <w:rsid w:val="00426E79"/>
    <w:rsid w:val="00427673"/>
    <w:rsid w:val="00430187"/>
    <w:rsid w:val="004314B5"/>
    <w:rsid w:val="00431CB5"/>
    <w:rsid w:val="004331B2"/>
    <w:rsid w:val="0043500B"/>
    <w:rsid w:val="00436E58"/>
    <w:rsid w:val="00437498"/>
    <w:rsid w:val="00440D2F"/>
    <w:rsid w:val="00440E4C"/>
    <w:rsid w:val="00443C5B"/>
    <w:rsid w:val="00443C91"/>
    <w:rsid w:val="0044693C"/>
    <w:rsid w:val="00447944"/>
    <w:rsid w:val="00453B20"/>
    <w:rsid w:val="004568A5"/>
    <w:rsid w:val="00460947"/>
    <w:rsid w:val="00460E63"/>
    <w:rsid w:val="00462193"/>
    <w:rsid w:val="00463734"/>
    <w:rsid w:val="0046578F"/>
    <w:rsid w:val="00467324"/>
    <w:rsid w:val="00470F8D"/>
    <w:rsid w:val="004740B4"/>
    <w:rsid w:val="00474834"/>
    <w:rsid w:val="00474B20"/>
    <w:rsid w:val="004752EB"/>
    <w:rsid w:val="00475385"/>
    <w:rsid w:val="00476D15"/>
    <w:rsid w:val="004833CE"/>
    <w:rsid w:val="00484BAB"/>
    <w:rsid w:val="00485946"/>
    <w:rsid w:val="00487012"/>
    <w:rsid w:val="004918F5"/>
    <w:rsid w:val="004927FD"/>
    <w:rsid w:val="00492B42"/>
    <w:rsid w:val="00492F69"/>
    <w:rsid w:val="00494BDF"/>
    <w:rsid w:val="004962FF"/>
    <w:rsid w:val="00497679"/>
    <w:rsid w:val="0049776A"/>
    <w:rsid w:val="00497CE7"/>
    <w:rsid w:val="004A13BF"/>
    <w:rsid w:val="004A3A6E"/>
    <w:rsid w:val="004A7A9D"/>
    <w:rsid w:val="004B03B2"/>
    <w:rsid w:val="004B6016"/>
    <w:rsid w:val="004C055C"/>
    <w:rsid w:val="004C1161"/>
    <w:rsid w:val="004C1B73"/>
    <w:rsid w:val="004C3AE3"/>
    <w:rsid w:val="004C4046"/>
    <w:rsid w:val="004D303F"/>
    <w:rsid w:val="004D6622"/>
    <w:rsid w:val="004D6A85"/>
    <w:rsid w:val="004D6C64"/>
    <w:rsid w:val="005007BE"/>
    <w:rsid w:val="00500D95"/>
    <w:rsid w:val="005049A3"/>
    <w:rsid w:val="00504BFF"/>
    <w:rsid w:val="00504E1E"/>
    <w:rsid w:val="00504E81"/>
    <w:rsid w:val="0050572F"/>
    <w:rsid w:val="00505765"/>
    <w:rsid w:val="0050663D"/>
    <w:rsid w:val="00506803"/>
    <w:rsid w:val="00506859"/>
    <w:rsid w:val="0050726B"/>
    <w:rsid w:val="005074BE"/>
    <w:rsid w:val="005105F3"/>
    <w:rsid w:val="00510CB9"/>
    <w:rsid w:val="00510EAE"/>
    <w:rsid w:val="0051273D"/>
    <w:rsid w:val="00515CC0"/>
    <w:rsid w:val="00515D78"/>
    <w:rsid w:val="00520F93"/>
    <w:rsid w:val="00522009"/>
    <w:rsid w:val="0052337B"/>
    <w:rsid w:val="0052370B"/>
    <w:rsid w:val="00526087"/>
    <w:rsid w:val="00526244"/>
    <w:rsid w:val="005273B8"/>
    <w:rsid w:val="005275CC"/>
    <w:rsid w:val="005303B6"/>
    <w:rsid w:val="00532975"/>
    <w:rsid w:val="00540770"/>
    <w:rsid w:val="00546F90"/>
    <w:rsid w:val="00550D25"/>
    <w:rsid w:val="00553B21"/>
    <w:rsid w:val="00560B56"/>
    <w:rsid w:val="00564D07"/>
    <w:rsid w:val="00565F98"/>
    <w:rsid w:val="00566856"/>
    <w:rsid w:val="005679A3"/>
    <w:rsid w:val="005722E9"/>
    <w:rsid w:val="00586DE7"/>
    <w:rsid w:val="00587224"/>
    <w:rsid w:val="00591E83"/>
    <w:rsid w:val="00592739"/>
    <w:rsid w:val="00592FD8"/>
    <w:rsid w:val="00594E2D"/>
    <w:rsid w:val="005971F4"/>
    <w:rsid w:val="00597A0F"/>
    <w:rsid w:val="005A0C14"/>
    <w:rsid w:val="005A1A7A"/>
    <w:rsid w:val="005A21B0"/>
    <w:rsid w:val="005A4604"/>
    <w:rsid w:val="005A587A"/>
    <w:rsid w:val="005A5C62"/>
    <w:rsid w:val="005A6282"/>
    <w:rsid w:val="005A6D5C"/>
    <w:rsid w:val="005B1356"/>
    <w:rsid w:val="005B2DC1"/>
    <w:rsid w:val="005B30D2"/>
    <w:rsid w:val="005B3B5D"/>
    <w:rsid w:val="005B5161"/>
    <w:rsid w:val="005B7C25"/>
    <w:rsid w:val="005C1F93"/>
    <w:rsid w:val="005C380A"/>
    <w:rsid w:val="005C58BA"/>
    <w:rsid w:val="005C59C8"/>
    <w:rsid w:val="005D006B"/>
    <w:rsid w:val="005D180F"/>
    <w:rsid w:val="005D3B01"/>
    <w:rsid w:val="005D4886"/>
    <w:rsid w:val="005D598D"/>
    <w:rsid w:val="005D699A"/>
    <w:rsid w:val="005D6AD4"/>
    <w:rsid w:val="005D6E38"/>
    <w:rsid w:val="005D7DAF"/>
    <w:rsid w:val="005E293D"/>
    <w:rsid w:val="005E5D68"/>
    <w:rsid w:val="005F02F8"/>
    <w:rsid w:val="005F2222"/>
    <w:rsid w:val="005F3431"/>
    <w:rsid w:val="005F457C"/>
    <w:rsid w:val="006027AB"/>
    <w:rsid w:val="00605829"/>
    <w:rsid w:val="00607D96"/>
    <w:rsid w:val="00610839"/>
    <w:rsid w:val="00611992"/>
    <w:rsid w:val="00615D52"/>
    <w:rsid w:val="00621727"/>
    <w:rsid w:val="00622DDC"/>
    <w:rsid w:val="0062695B"/>
    <w:rsid w:val="00630F92"/>
    <w:rsid w:val="006338C1"/>
    <w:rsid w:val="00636F5E"/>
    <w:rsid w:val="00640CC4"/>
    <w:rsid w:val="006410A6"/>
    <w:rsid w:val="006435A1"/>
    <w:rsid w:val="00645047"/>
    <w:rsid w:val="00655B55"/>
    <w:rsid w:val="006560D0"/>
    <w:rsid w:val="00656EA2"/>
    <w:rsid w:val="00660556"/>
    <w:rsid w:val="00661732"/>
    <w:rsid w:val="0066331A"/>
    <w:rsid w:val="00664CB9"/>
    <w:rsid w:val="00665CCF"/>
    <w:rsid w:val="006666D1"/>
    <w:rsid w:val="006721EC"/>
    <w:rsid w:val="00673192"/>
    <w:rsid w:val="006755DA"/>
    <w:rsid w:val="00676492"/>
    <w:rsid w:val="00677063"/>
    <w:rsid w:val="00682EA7"/>
    <w:rsid w:val="00685110"/>
    <w:rsid w:val="00687126"/>
    <w:rsid w:val="00687507"/>
    <w:rsid w:val="00692E3B"/>
    <w:rsid w:val="006932BA"/>
    <w:rsid w:val="006953C6"/>
    <w:rsid w:val="006957E9"/>
    <w:rsid w:val="0069725C"/>
    <w:rsid w:val="006A0408"/>
    <w:rsid w:val="006A1DDB"/>
    <w:rsid w:val="006A34B8"/>
    <w:rsid w:val="006A79FD"/>
    <w:rsid w:val="006B26DD"/>
    <w:rsid w:val="006B34DD"/>
    <w:rsid w:val="006B4F9A"/>
    <w:rsid w:val="006B65D1"/>
    <w:rsid w:val="006B6CFB"/>
    <w:rsid w:val="006C1366"/>
    <w:rsid w:val="006C2797"/>
    <w:rsid w:val="006C4C43"/>
    <w:rsid w:val="006C5CE4"/>
    <w:rsid w:val="006D1FE3"/>
    <w:rsid w:val="006D4E6C"/>
    <w:rsid w:val="006D6031"/>
    <w:rsid w:val="006E1DB9"/>
    <w:rsid w:val="006E4382"/>
    <w:rsid w:val="006E4573"/>
    <w:rsid w:val="006F1E9E"/>
    <w:rsid w:val="006F5ECA"/>
    <w:rsid w:val="006F63FD"/>
    <w:rsid w:val="00703AE1"/>
    <w:rsid w:val="0070421B"/>
    <w:rsid w:val="007072EA"/>
    <w:rsid w:val="00707C93"/>
    <w:rsid w:val="007103EF"/>
    <w:rsid w:val="00715E2B"/>
    <w:rsid w:val="00716B90"/>
    <w:rsid w:val="00722B0F"/>
    <w:rsid w:val="007265D8"/>
    <w:rsid w:val="00727D5D"/>
    <w:rsid w:val="0073002C"/>
    <w:rsid w:val="00732169"/>
    <w:rsid w:val="007326C8"/>
    <w:rsid w:val="0073371A"/>
    <w:rsid w:val="00735659"/>
    <w:rsid w:val="007361D0"/>
    <w:rsid w:val="00737489"/>
    <w:rsid w:val="00744130"/>
    <w:rsid w:val="007479DC"/>
    <w:rsid w:val="00751E69"/>
    <w:rsid w:val="00752657"/>
    <w:rsid w:val="00752B4C"/>
    <w:rsid w:val="00753914"/>
    <w:rsid w:val="0075606F"/>
    <w:rsid w:val="00757E5B"/>
    <w:rsid w:val="00760241"/>
    <w:rsid w:val="007639B5"/>
    <w:rsid w:val="00764BE5"/>
    <w:rsid w:val="007658D4"/>
    <w:rsid w:val="00767B33"/>
    <w:rsid w:val="00770976"/>
    <w:rsid w:val="0077110E"/>
    <w:rsid w:val="00772FAC"/>
    <w:rsid w:val="007734CD"/>
    <w:rsid w:val="00775B02"/>
    <w:rsid w:val="007844B1"/>
    <w:rsid w:val="00785FA0"/>
    <w:rsid w:val="007870CB"/>
    <w:rsid w:val="00796200"/>
    <w:rsid w:val="007A2140"/>
    <w:rsid w:val="007A24CC"/>
    <w:rsid w:val="007A3D49"/>
    <w:rsid w:val="007A3F0F"/>
    <w:rsid w:val="007B0087"/>
    <w:rsid w:val="007B12B3"/>
    <w:rsid w:val="007B3964"/>
    <w:rsid w:val="007B5BD9"/>
    <w:rsid w:val="007C1DE1"/>
    <w:rsid w:val="007C3967"/>
    <w:rsid w:val="007C4A3E"/>
    <w:rsid w:val="007D4BA1"/>
    <w:rsid w:val="007D5C49"/>
    <w:rsid w:val="007D73FF"/>
    <w:rsid w:val="007E372E"/>
    <w:rsid w:val="007F0A6F"/>
    <w:rsid w:val="007F11E3"/>
    <w:rsid w:val="007F241E"/>
    <w:rsid w:val="007F4B4A"/>
    <w:rsid w:val="008006ED"/>
    <w:rsid w:val="00800D0A"/>
    <w:rsid w:val="008052EA"/>
    <w:rsid w:val="00806B52"/>
    <w:rsid w:val="00810EE7"/>
    <w:rsid w:val="0081185D"/>
    <w:rsid w:val="00814DCF"/>
    <w:rsid w:val="00815B11"/>
    <w:rsid w:val="00821246"/>
    <w:rsid w:val="00821C73"/>
    <w:rsid w:val="00822598"/>
    <w:rsid w:val="00822776"/>
    <w:rsid w:val="00822C54"/>
    <w:rsid w:val="0083469E"/>
    <w:rsid w:val="008360A1"/>
    <w:rsid w:val="00837C19"/>
    <w:rsid w:val="00837FBA"/>
    <w:rsid w:val="008401A7"/>
    <w:rsid w:val="0084227D"/>
    <w:rsid w:val="008438A4"/>
    <w:rsid w:val="008540F9"/>
    <w:rsid w:val="00861563"/>
    <w:rsid w:val="00862C61"/>
    <w:rsid w:val="00871AAA"/>
    <w:rsid w:val="00872A45"/>
    <w:rsid w:val="00874B04"/>
    <w:rsid w:val="0087708A"/>
    <w:rsid w:val="00877C59"/>
    <w:rsid w:val="0089136E"/>
    <w:rsid w:val="00891AAA"/>
    <w:rsid w:val="00892DD9"/>
    <w:rsid w:val="00893BE1"/>
    <w:rsid w:val="00896CBF"/>
    <w:rsid w:val="008A7800"/>
    <w:rsid w:val="008B0B43"/>
    <w:rsid w:val="008B2BBE"/>
    <w:rsid w:val="008B31DD"/>
    <w:rsid w:val="008B38C4"/>
    <w:rsid w:val="008B3DC3"/>
    <w:rsid w:val="008C1FA7"/>
    <w:rsid w:val="008C5179"/>
    <w:rsid w:val="008C5F32"/>
    <w:rsid w:val="008D6D4C"/>
    <w:rsid w:val="008E4874"/>
    <w:rsid w:val="008E6487"/>
    <w:rsid w:val="008F64B4"/>
    <w:rsid w:val="008F67E6"/>
    <w:rsid w:val="00901A7B"/>
    <w:rsid w:val="00902557"/>
    <w:rsid w:val="00910EF5"/>
    <w:rsid w:val="00911386"/>
    <w:rsid w:val="0091176A"/>
    <w:rsid w:val="00911A60"/>
    <w:rsid w:val="00912809"/>
    <w:rsid w:val="00913C59"/>
    <w:rsid w:val="00915093"/>
    <w:rsid w:val="009160E9"/>
    <w:rsid w:val="009176FC"/>
    <w:rsid w:val="00920286"/>
    <w:rsid w:val="00922AB1"/>
    <w:rsid w:val="00922EA3"/>
    <w:rsid w:val="009251C2"/>
    <w:rsid w:val="00933723"/>
    <w:rsid w:val="00933EA1"/>
    <w:rsid w:val="00935537"/>
    <w:rsid w:val="00941D28"/>
    <w:rsid w:val="00942409"/>
    <w:rsid w:val="009448BF"/>
    <w:rsid w:val="00945929"/>
    <w:rsid w:val="00946A12"/>
    <w:rsid w:val="00947DB1"/>
    <w:rsid w:val="00951416"/>
    <w:rsid w:val="00951E60"/>
    <w:rsid w:val="00953859"/>
    <w:rsid w:val="00953D41"/>
    <w:rsid w:val="00954266"/>
    <w:rsid w:val="00957724"/>
    <w:rsid w:val="00960D21"/>
    <w:rsid w:val="00964A69"/>
    <w:rsid w:val="00967F61"/>
    <w:rsid w:val="00970A6F"/>
    <w:rsid w:val="00971F3A"/>
    <w:rsid w:val="00973A44"/>
    <w:rsid w:val="00974566"/>
    <w:rsid w:val="00981D29"/>
    <w:rsid w:val="00981E11"/>
    <w:rsid w:val="00983F54"/>
    <w:rsid w:val="0098478A"/>
    <w:rsid w:val="00986498"/>
    <w:rsid w:val="00986746"/>
    <w:rsid w:val="00987BDA"/>
    <w:rsid w:val="00995F10"/>
    <w:rsid w:val="00996736"/>
    <w:rsid w:val="009A647F"/>
    <w:rsid w:val="009A7F89"/>
    <w:rsid w:val="009B5611"/>
    <w:rsid w:val="009C1CAA"/>
    <w:rsid w:val="009C72B0"/>
    <w:rsid w:val="009D25A4"/>
    <w:rsid w:val="009D2889"/>
    <w:rsid w:val="009D3898"/>
    <w:rsid w:val="009D6C9F"/>
    <w:rsid w:val="009E153B"/>
    <w:rsid w:val="009E3A7B"/>
    <w:rsid w:val="009E5097"/>
    <w:rsid w:val="009F10EB"/>
    <w:rsid w:val="009F2C08"/>
    <w:rsid w:val="009F4B43"/>
    <w:rsid w:val="009F529F"/>
    <w:rsid w:val="009F5725"/>
    <w:rsid w:val="00A0595A"/>
    <w:rsid w:val="00A06741"/>
    <w:rsid w:val="00A07874"/>
    <w:rsid w:val="00A11510"/>
    <w:rsid w:val="00A133C4"/>
    <w:rsid w:val="00A14B4F"/>
    <w:rsid w:val="00A154F0"/>
    <w:rsid w:val="00A155F1"/>
    <w:rsid w:val="00A1564B"/>
    <w:rsid w:val="00A16536"/>
    <w:rsid w:val="00A27EB9"/>
    <w:rsid w:val="00A32231"/>
    <w:rsid w:val="00A33A02"/>
    <w:rsid w:val="00A37211"/>
    <w:rsid w:val="00A413CF"/>
    <w:rsid w:val="00A431F1"/>
    <w:rsid w:val="00A43F27"/>
    <w:rsid w:val="00A4629B"/>
    <w:rsid w:val="00A472C3"/>
    <w:rsid w:val="00A47E38"/>
    <w:rsid w:val="00A50A82"/>
    <w:rsid w:val="00A5194F"/>
    <w:rsid w:val="00A54BA4"/>
    <w:rsid w:val="00A57220"/>
    <w:rsid w:val="00A57C58"/>
    <w:rsid w:val="00A57F78"/>
    <w:rsid w:val="00A60782"/>
    <w:rsid w:val="00A622FD"/>
    <w:rsid w:val="00A62C72"/>
    <w:rsid w:val="00A641B3"/>
    <w:rsid w:val="00A66EBC"/>
    <w:rsid w:val="00A67594"/>
    <w:rsid w:val="00A83CF5"/>
    <w:rsid w:val="00A85B63"/>
    <w:rsid w:val="00A871D6"/>
    <w:rsid w:val="00A871DE"/>
    <w:rsid w:val="00A901FE"/>
    <w:rsid w:val="00A94ECF"/>
    <w:rsid w:val="00A95DF7"/>
    <w:rsid w:val="00AA72E6"/>
    <w:rsid w:val="00AA768E"/>
    <w:rsid w:val="00AB1635"/>
    <w:rsid w:val="00AB401C"/>
    <w:rsid w:val="00AB40C1"/>
    <w:rsid w:val="00AB55F7"/>
    <w:rsid w:val="00AB6C18"/>
    <w:rsid w:val="00AC5069"/>
    <w:rsid w:val="00AC5466"/>
    <w:rsid w:val="00AC7692"/>
    <w:rsid w:val="00AD030E"/>
    <w:rsid w:val="00AD4B21"/>
    <w:rsid w:val="00AD4DE9"/>
    <w:rsid w:val="00AD4E45"/>
    <w:rsid w:val="00AD6948"/>
    <w:rsid w:val="00AE30C2"/>
    <w:rsid w:val="00AE3159"/>
    <w:rsid w:val="00AE75A0"/>
    <w:rsid w:val="00AF005F"/>
    <w:rsid w:val="00AF282C"/>
    <w:rsid w:val="00AF3FF7"/>
    <w:rsid w:val="00AF427D"/>
    <w:rsid w:val="00AF4649"/>
    <w:rsid w:val="00AF4B2C"/>
    <w:rsid w:val="00AF7028"/>
    <w:rsid w:val="00AF7D6D"/>
    <w:rsid w:val="00B0006A"/>
    <w:rsid w:val="00B02AF3"/>
    <w:rsid w:val="00B06820"/>
    <w:rsid w:val="00B0715E"/>
    <w:rsid w:val="00B11617"/>
    <w:rsid w:val="00B12ABE"/>
    <w:rsid w:val="00B12FD4"/>
    <w:rsid w:val="00B137E3"/>
    <w:rsid w:val="00B14571"/>
    <w:rsid w:val="00B1491D"/>
    <w:rsid w:val="00B15E54"/>
    <w:rsid w:val="00B1673F"/>
    <w:rsid w:val="00B16AE0"/>
    <w:rsid w:val="00B1743A"/>
    <w:rsid w:val="00B2350A"/>
    <w:rsid w:val="00B2442B"/>
    <w:rsid w:val="00B2769F"/>
    <w:rsid w:val="00B3627A"/>
    <w:rsid w:val="00B40943"/>
    <w:rsid w:val="00B41613"/>
    <w:rsid w:val="00B41664"/>
    <w:rsid w:val="00B43995"/>
    <w:rsid w:val="00B43B08"/>
    <w:rsid w:val="00B44DA7"/>
    <w:rsid w:val="00B44FEE"/>
    <w:rsid w:val="00B466EB"/>
    <w:rsid w:val="00B47B7D"/>
    <w:rsid w:val="00B5142C"/>
    <w:rsid w:val="00B5499E"/>
    <w:rsid w:val="00B54E71"/>
    <w:rsid w:val="00B55CC9"/>
    <w:rsid w:val="00B6288D"/>
    <w:rsid w:val="00B6515C"/>
    <w:rsid w:val="00B65963"/>
    <w:rsid w:val="00B707F7"/>
    <w:rsid w:val="00B73558"/>
    <w:rsid w:val="00B73566"/>
    <w:rsid w:val="00B73696"/>
    <w:rsid w:val="00B750EC"/>
    <w:rsid w:val="00B76B25"/>
    <w:rsid w:val="00B77B71"/>
    <w:rsid w:val="00B87B69"/>
    <w:rsid w:val="00B92950"/>
    <w:rsid w:val="00B92D7E"/>
    <w:rsid w:val="00B93F39"/>
    <w:rsid w:val="00B94138"/>
    <w:rsid w:val="00B97486"/>
    <w:rsid w:val="00BA0826"/>
    <w:rsid w:val="00BB54FE"/>
    <w:rsid w:val="00BB5AD1"/>
    <w:rsid w:val="00BC0ABB"/>
    <w:rsid w:val="00BD0BBD"/>
    <w:rsid w:val="00BD0EAB"/>
    <w:rsid w:val="00BD69F8"/>
    <w:rsid w:val="00BD7C50"/>
    <w:rsid w:val="00BE07AA"/>
    <w:rsid w:val="00BE26C1"/>
    <w:rsid w:val="00BE313E"/>
    <w:rsid w:val="00BE6E8A"/>
    <w:rsid w:val="00BF0849"/>
    <w:rsid w:val="00BF0E36"/>
    <w:rsid w:val="00BF5C46"/>
    <w:rsid w:val="00BF716D"/>
    <w:rsid w:val="00C03119"/>
    <w:rsid w:val="00C03E0F"/>
    <w:rsid w:val="00C14DFA"/>
    <w:rsid w:val="00C15A25"/>
    <w:rsid w:val="00C16213"/>
    <w:rsid w:val="00C17C29"/>
    <w:rsid w:val="00C20760"/>
    <w:rsid w:val="00C20779"/>
    <w:rsid w:val="00C207C0"/>
    <w:rsid w:val="00C22800"/>
    <w:rsid w:val="00C24814"/>
    <w:rsid w:val="00C26CCC"/>
    <w:rsid w:val="00C305A4"/>
    <w:rsid w:val="00C320BD"/>
    <w:rsid w:val="00C33B68"/>
    <w:rsid w:val="00C34AB4"/>
    <w:rsid w:val="00C35DE3"/>
    <w:rsid w:val="00C37715"/>
    <w:rsid w:val="00C37B67"/>
    <w:rsid w:val="00C4114A"/>
    <w:rsid w:val="00C42589"/>
    <w:rsid w:val="00C42E3B"/>
    <w:rsid w:val="00C46AF0"/>
    <w:rsid w:val="00C5003B"/>
    <w:rsid w:val="00C5010D"/>
    <w:rsid w:val="00C52E56"/>
    <w:rsid w:val="00C534FA"/>
    <w:rsid w:val="00C5407A"/>
    <w:rsid w:val="00C54AB3"/>
    <w:rsid w:val="00C652D6"/>
    <w:rsid w:val="00C662B0"/>
    <w:rsid w:val="00C7019F"/>
    <w:rsid w:val="00C7106E"/>
    <w:rsid w:val="00C77E4E"/>
    <w:rsid w:val="00C8096A"/>
    <w:rsid w:val="00C81A81"/>
    <w:rsid w:val="00C82C8D"/>
    <w:rsid w:val="00C84FD4"/>
    <w:rsid w:val="00C958EE"/>
    <w:rsid w:val="00C97947"/>
    <w:rsid w:val="00C97BD1"/>
    <w:rsid w:val="00CA08C1"/>
    <w:rsid w:val="00CA0C27"/>
    <w:rsid w:val="00CA1515"/>
    <w:rsid w:val="00CA7984"/>
    <w:rsid w:val="00CB538B"/>
    <w:rsid w:val="00CB57E5"/>
    <w:rsid w:val="00CC1B62"/>
    <w:rsid w:val="00CC288A"/>
    <w:rsid w:val="00CC2E2B"/>
    <w:rsid w:val="00CC66A6"/>
    <w:rsid w:val="00CC726D"/>
    <w:rsid w:val="00CD21FB"/>
    <w:rsid w:val="00CD5454"/>
    <w:rsid w:val="00CE6871"/>
    <w:rsid w:val="00CF1ACD"/>
    <w:rsid w:val="00CF4378"/>
    <w:rsid w:val="00CF7E14"/>
    <w:rsid w:val="00D0470C"/>
    <w:rsid w:val="00D05018"/>
    <w:rsid w:val="00D0512B"/>
    <w:rsid w:val="00D0655B"/>
    <w:rsid w:val="00D07D1E"/>
    <w:rsid w:val="00D07DC3"/>
    <w:rsid w:val="00D101AE"/>
    <w:rsid w:val="00D10346"/>
    <w:rsid w:val="00D1409E"/>
    <w:rsid w:val="00D14D82"/>
    <w:rsid w:val="00D1698D"/>
    <w:rsid w:val="00D2753B"/>
    <w:rsid w:val="00D3200F"/>
    <w:rsid w:val="00D328DD"/>
    <w:rsid w:val="00D362AE"/>
    <w:rsid w:val="00D370E9"/>
    <w:rsid w:val="00D376D0"/>
    <w:rsid w:val="00D41134"/>
    <w:rsid w:val="00D423FE"/>
    <w:rsid w:val="00D43A08"/>
    <w:rsid w:val="00D442E4"/>
    <w:rsid w:val="00D449D1"/>
    <w:rsid w:val="00D45473"/>
    <w:rsid w:val="00D4643E"/>
    <w:rsid w:val="00D4799C"/>
    <w:rsid w:val="00D47C3A"/>
    <w:rsid w:val="00D51026"/>
    <w:rsid w:val="00D513DC"/>
    <w:rsid w:val="00D51D03"/>
    <w:rsid w:val="00D576EB"/>
    <w:rsid w:val="00D611BC"/>
    <w:rsid w:val="00D65883"/>
    <w:rsid w:val="00D6666E"/>
    <w:rsid w:val="00D66A2A"/>
    <w:rsid w:val="00D706B1"/>
    <w:rsid w:val="00D70DC1"/>
    <w:rsid w:val="00D72D57"/>
    <w:rsid w:val="00D72E16"/>
    <w:rsid w:val="00D73D60"/>
    <w:rsid w:val="00D75AA4"/>
    <w:rsid w:val="00D76572"/>
    <w:rsid w:val="00D76C9A"/>
    <w:rsid w:val="00D80EDC"/>
    <w:rsid w:val="00D82EB6"/>
    <w:rsid w:val="00D95EA0"/>
    <w:rsid w:val="00D961E3"/>
    <w:rsid w:val="00DA2F45"/>
    <w:rsid w:val="00DA4748"/>
    <w:rsid w:val="00DA762E"/>
    <w:rsid w:val="00DB48F2"/>
    <w:rsid w:val="00DC1516"/>
    <w:rsid w:val="00DC4F14"/>
    <w:rsid w:val="00DC7CED"/>
    <w:rsid w:val="00DD0E34"/>
    <w:rsid w:val="00DD2D20"/>
    <w:rsid w:val="00DD71C0"/>
    <w:rsid w:val="00DE0FF9"/>
    <w:rsid w:val="00DE2D5D"/>
    <w:rsid w:val="00DE4431"/>
    <w:rsid w:val="00DE52B9"/>
    <w:rsid w:val="00DE5398"/>
    <w:rsid w:val="00DE730A"/>
    <w:rsid w:val="00DE7701"/>
    <w:rsid w:val="00DF1131"/>
    <w:rsid w:val="00DF16F1"/>
    <w:rsid w:val="00DF364E"/>
    <w:rsid w:val="00DF4F15"/>
    <w:rsid w:val="00E006BC"/>
    <w:rsid w:val="00E00AF4"/>
    <w:rsid w:val="00E01AFB"/>
    <w:rsid w:val="00E0220D"/>
    <w:rsid w:val="00E047D3"/>
    <w:rsid w:val="00E1344B"/>
    <w:rsid w:val="00E16858"/>
    <w:rsid w:val="00E21F02"/>
    <w:rsid w:val="00E22BA5"/>
    <w:rsid w:val="00E23326"/>
    <w:rsid w:val="00E23D59"/>
    <w:rsid w:val="00E2485C"/>
    <w:rsid w:val="00E266B7"/>
    <w:rsid w:val="00E321C5"/>
    <w:rsid w:val="00E32EA7"/>
    <w:rsid w:val="00E33FC7"/>
    <w:rsid w:val="00E37197"/>
    <w:rsid w:val="00E41D50"/>
    <w:rsid w:val="00E42028"/>
    <w:rsid w:val="00E449CA"/>
    <w:rsid w:val="00E46B19"/>
    <w:rsid w:val="00E46CDB"/>
    <w:rsid w:val="00E54B55"/>
    <w:rsid w:val="00E54CCA"/>
    <w:rsid w:val="00E56744"/>
    <w:rsid w:val="00E56A86"/>
    <w:rsid w:val="00E5772B"/>
    <w:rsid w:val="00E6164D"/>
    <w:rsid w:val="00E66FCC"/>
    <w:rsid w:val="00E672FE"/>
    <w:rsid w:val="00E67511"/>
    <w:rsid w:val="00E71FD7"/>
    <w:rsid w:val="00E72DCF"/>
    <w:rsid w:val="00E734CC"/>
    <w:rsid w:val="00E7565F"/>
    <w:rsid w:val="00E75DDA"/>
    <w:rsid w:val="00E76E8F"/>
    <w:rsid w:val="00E82D0F"/>
    <w:rsid w:val="00E86028"/>
    <w:rsid w:val="00E950B5"/>
    <w:rsid w:val="00E9516E"/>
    <w:rsid w:val="00E95B0E"/>
    <w:rsid w:val="00E967AD"/>
    <w:rsid w:val="00EA06C0"/>
    <w:rsid w:val="00EA1637"/>
    <w:rsid w:val="00EA19CC"/>
    <w:rsid w:val="00EA2B76"/>
    <w:rsid w:val="00EA44EA"/>
    <w:rsid w:val="00EA57BF"/>
    <w:rsid w:val="00EA683A"/>
    <w:rsid w:val="00EA7C52"/>
    <w:rsid w:val="00EB0E41"/>
    <w:rsid w:val="00EB25FA"/>
    <w:rsid w:val="00EB7FE0"/>
    <w:rsid w:val="00EC0BC7"/>
    <w:rsid w:val="00EC2B9C"/>
    <w:rsid w:val="00EC4CEE"/>
    <w:rsid w:val="00EC5093"/>
    <w:rsid w:val="00EC67B6"/>
    <w:rsid w:val="00EC6E78"/>
    <w:rsid w:val="00EC7B81"/>
    <w:rsid w:val="00ED1B9F"/>
    <w:rsid w:val="00ED62C5"/>
    <w:rsid w:val="00EF175F"/>
    <w:rsid w:val="00EF31D8"/>
    <w:rsid w:val="00EF43C7"/>
    <w:rsid w:val="00F0292C"/>
    <w:rsid w:val="00F05879"/>
    <w:rsid w:val="00F06F5B"/>
    <w:rsid w:val="00F0736E"/>
    <w:rsid w:val="00F115F7"/>
    <w:rsid w:val="00F133BE"/>
    <w:rsid w:val="00F16B6C"/>
    <w:rsid w:val="00F22037"/>
    <w:rsid w:val="00F22D3D"/>
    <w:rsid w:val="00F2485D"/>
    <w:rsid w:val="00F31FE9"/>
    <w:rsid w:val="00F33926"/>
    <w:rsid w:val="00F37DB4"/>
    <w:rsid w:val="00F41468"/>
    <w:rsid w:val="00F423D9"/>
    <w:rsid w:val="00F429B6"/>
    <w:rsid w:val="00F449A7"/>
    <w:rsid w:val="00F449EF"/>
    <w:rsid w:val="00F457C5"/>
    <w:rsid w:val="00F468E2"/>
    <w:rsid w:val="00F5207A"/>
    <w:rsid w:val="00F52649"/>
    <w:rsid w:val="00F544A6"/>
    <w:rsid w:val="00F54DF7"/>
    <w:rsid w:val="00F56C5C"/>
    <w:rsid w:val="00F60C61"/>
    <w:rsid w:val="00F615DC"/>
    <w:rsid w:val="00F64B52"/>
    <w:rsid w:val="00F66881"/>
    <w:rsid w:val="00F713F5"/>
    <w:rsid w:val="00F717C6"/>
    <w:rsid w:val="00F75B40"/>
    <w:rsid w:val="00F76A14"/>
    <w:rsid w:val="00F77362"/>
    <w:rsid w:val="00F84323"/>
    <w:rsid w:val="00F86C53"/>
    <w:rsid w:val="00F87B95"/>
    <w:rsid w:val="00F90164"/>
    <w:rsid w:val="00F93246"/>
    <w:rsid w:val="00FA177C"/>
    <w:rsid w:val="00FA2940"/>
    <w:rsid w:val="00FA711A"/>
    <w:rsid w:val="00FB0EF5"/>
    <w:rsid w:val="00FB1485"/>
    <w:rsid w:val="00FB14E8"/>
    <w:rsid w:val="00FB5289"/>
    <w:rsid w:val="00FB5291"/>
    <w:rsid w:val="00FB615D"/>
    <w:rsid w:val="00FC1144"/>
    <w:rsid w:val="00FC2639"/>
    <w:rsid w:val="00FC2DA8"/>
    <w:rsid w:val="00FD0C85"/>
    <w:rsid w:val="00FD2461"/>
    <w:rsid w:val="00FD3D4E"/>
    <w:rsid w:val="00FD50C8"/>
    <w:rsid w:val="00FD583A"/>
    <w:rsid w:val="00FE28DC"/>
    <w:rsid w:val="00FE2A7E"/>
    <w:rsid w:val="00FE68AD"/>
    <w:rsid w:val="00FE7BE7"/>
    <w:rsid w:val="00FE7E8B"/>
    <w:rsid w:val="00FF08C7"/>
    <w:rsid w:val="00FF0F7F"/>
    <w:rsid w:val="00FF5413"/>
    <w:rsid w:val="00FF6230"/>
    <w:rsid w:val="00FF66EC"/>
    <w:rsid w:val="00FF730B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B19661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957E9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CA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izabeth.Ortiz@apaacaz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2" ma:contentTypeDescription="Create a new document." ma:contentTypeScope="" ma:versionID="d067aa5a249aece90641887729f3776b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985952db9e15e83f16b6e456cbbf08ed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033FE-3BCA-45A8-95B9-811372C98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A7DBA4-CB9F-43A0-B6FB-D9DE4EB530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BF9E4B-BBFF-497E-8065-1AF814B1C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8F82EA-AAE3-4F70-A9CC-29B78DA0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2</TotalTime>
  <Pages>6</Pages>
  <Words>1100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6</cp:revision>
  <cp:lastPrinted>2020-04-01T01:01:00Z</cp:lastPrinted>
  <dcterms:created xsi:type="dcterms:W3CDTF">2020-04-01T00:57:00Z</dcterms:created>
  <dcterms:modified xsi:type="dcterms:W3CDTF">2020-04-02T17:36:00Z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  <property fmtid="{D5CDD505-2E9C-101B-9397-08002B2CF9AE}" pid="6" name="ContentTypeId">
    <vt:lpwstr>0x0101009A6D02B0C4E2C1469C5472F9B6E92497</vt:lpwstr>
  </property>
</Properties>
</file>