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5040"/>
        <w:gridCol w:w="3996"/>
      </w:tblGrid>
      <w:tr w:rsidR="00357F4D" w:rsidRPr="000F7A7F" w14:paraId="1F26B169" w14:textId="77777777" w:rsidTr="009E7CA6">
        <w:trPr>
          <w:cantSplit/>
          <w:trHeight w:val="1987"/>
        </w:trPr>
        <w:tc>
          <w:tcPr>
            <w:tcW w:w="5040" w:type="dxa"/>
          </w:tcPr>
          <w:p w14:paraId="2C9C9EE9" w14:textId="77777777" w:rsidR="009E7CA6" w:rsidRDefault="009E7CA6" w:rsidP="009E7CA6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bookmarkStart w:id="0" w:name="_zzmpFIXED_CounselTable"/>
            <w:r>
              <w:rPr>
                <w:sz w:val="28"/>
                <w:szCs w:val="28"/>
              </w:rPr>
              <w:t>Elizabeth Burton Ortiz, Bar No. 012838</w:t>
            </w:r>
          </w:p>
          <w:p w14:paraId="0F8926BE" w14:textId="77777777" w:rsidR="009E7CA6" w:rsidRDefault="009E7CA6" w:rsidP="009E7CA6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Executive Director</w:t>
            </w:r>
          </w:p>
          <w:p w14:paraId="1B9FEF30" w14:textId="77777777" w:rsidR="009E7CA6" w:rsidRPr="006F63FD" w:rsidRDefault="009E7CA6" w:rsidP="009E7CA6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Arizona Prosecuting Attorneys’ Advisory Council</w:t>
            </w:r>
          </w:p>
          <w:p w14:paraId="61A7C5B3" w14:textId="77777777" w:rsidR="009E7CA6" w:rsidRPr="006F63FD" w:rsidRDefault="009E7CA6" w:rsidP="009E7CA6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3838 N. Central Avenue, Suite</w:t>
            </w:r>
            <w:r w:rsidRPr="006F63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850</w:t>
            </w:r>
          </w:p>
          <w:p w14:paraId="7C5845E1" w14:textId="77777777" w:rsidR="009E7CA6" w:rsidRPr="006F63FD" w:rsidRDefault="009E7CA6" w:rsidP="009E7CA6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Phoenix, AZ  8501</w:t>
            </w:r>
            <w:r>
              <w:rPr>
                <w:sz w:val="28"/>
                <w:szCs w:val="28"/>
              </w:rPr>
              <w:t>2</w:t>
            </w:r>
          </w:p>
          <w:p w14:paraId="77E50250" w14:textId="2CABE47C" w:rsidR="00B02AF3" w:rsidRDefault="00352347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(602) </w:t>
            </w:r>
            <w:r w:rsidR="00B02AF3">
              <w:rPr>
                <w:sz w:val="28"/>
                <w:szCs w:val="28"/>
              </w:rPr>
              <w:t>542</w:t>
            </w:r>
            <w:r>
              <w:rPr>
                <w:sz w:val="28"/>
                <w:szCs w:val="28"/>
              </w:rPr>
              <w:t>-</w:t>
            </w:r>
            <w:r w:rsidR="00B02AF3">
              <w:rPr>
                <w:sz w:val="28"/>
                <w:szCs w:val="28"/>
              </w:rPr>
              <w:t>7222 / FAX (602) 274-4215</w:t>
            </w:r>
          </w:p>
          <w:p w14:paraId="241B5109" w14:textId="18DE68EC" w:rsidR="009E7CA6" w:rsidRDefault="00653912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hyperlink r:id="rId11" w:history="1">
              <w:r w:rsidR="009E7CA6" w:rsidRPr="003126EB">
                <w:rPr>
                  <w:rStyle w:val="Hyperlink"/>
                  <w:sz w:val="28"/>
                  <w:szCs w:val="28"/>
                </w:rPr>
                <w:t>Elizabeth.Ortiz@apaacaz.com</w:t>
              </w:r>
            </w:hyperlink>
            <w:r w:rsidR="009E7CA6">
              <w:rPr>
                <w:sz w:val="28"/>
                <w:szCs w:val="28"/>
              </w:rPr>
              <w:t xml:space="preserve"> </w:t>
            </w:r>
          </w:p>
          <w:p w14:paraId="2796A6A2" w14:textId="77777777" w:rsidR="00B02AF3" w:rsidRPr="00735659" w:rsidRDefault="00B02AF3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996" w:type="dxa"/>
          </w:tcPr>
          <w:p w14:paraId="59835A29" w14:textId="77777777" w:rsidR="00357F4D" w:rsidRPr="000F7A7F" w:rsidRDefault="00357F4D" w:rsidP="00000C35">
            <w:pPr>
              <w:ind w:left="113" w:right="113"/>
              <w:rPr>
                <w:sz w:val="26"/>
                <w:szCs w:val="26"/>
              </w:rPr>
            </w:pPr>
          </w:p>
        </w:tc>
      </w:tr>
    </w:tbl>
    <w:bookmarkEnd w:id="0"/>
    <w:p w14:paraId="2A70CCCE" w14:textId="77777777" w:rsidR="000C48A9" w:rsidRPr="006F63FD" w:rsidRDefault="000F7A7F" w:rsidP="00000C35">
      <w:pPr>
        <w:pStyle w:val="Court"/>
        <w:spacing w:line="240" w:lineRule="auto"/>
        <w:rPr>
          <w:b/>
          <w:sz w:val="28"/>
          <w:szCs w:val="28"/>
        </w:rPr>
      </w:pPr>
      <w:r w:rsidRPr="006F63FD">
        <w:rPr>
          <w:b/>
          <w:sz w:val="28"/>
          <w:szCs w:val="28"/>
        </w:rPr>
        <w:t>IN THE SUPREME COURT</w:t>
      </w:r>
      <w:r w:rsidRPr="006F63FD">
        <w:rPr>
          <w:b/>
          <w:sz w:val="28"/>
          <w:szCs w:val="28"/>
        </w:rPr>
        <w:br/>
        <w:t>STATE OF ARIZONA</w:t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24"/>
      </w:tblGrid>
      <w:tr w:rsidR="00357F4D" w:rsidRPr="000F7A7F" w14:paraId="1856143E" w14:textId="77777777" w:rsidTr="004331B2"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DD580" w14:textId="77777777" w:rsidR="00357F4D" w:rsidRPr="006F63FD" w:rsidRDefault="00357F4D" w:rsidP="00E321C5">
            <w:pPr>
              <w:pStyle w:val="Caption"/>
              <w:spacing w:before="240" w:line="260" w:lineRule="exact"/>
              <w:rPr>
                <w:sz w:val="28"/>
                <w:szCs w:val="28"/>
              </w:rPr>
            </w:pPr>
            <w:bookmarkStart w:id="1" w:name="_zzmpFIXED_CaptionTable"/>
            <w:r w:rsidRPr="006F63FD">
              <w:rPr>
                <w:sz w:val="28"/>
                <w:szCs w:val="28"/>
              </w:rPr>
              <w:t>In the Matter of:</w:t>
            </w:r>
          </w:p>
          <w:p w14:paraId="44A46119" w14:textId="72378208" w:rsidR="00357F4D" w:rsidRPr="00732169" w:rsidRDefault="00E67511" w:rsidP="00E321C5">
            <w:pPr>
              <w:pStyle w:val="Caption"/>
              <w:spacing w:before="240" w:line="260" w:lineRule="exact"/>
              <w:rPr>
                <w:b/>
                <w:sz w:val="28"/>
                <w:szCs w:val="28"/>
              </w:rPr>
            </w:pPr>
            <w:r w:rsidRPr="00732169">
              <w:rPr>
                <w:b/>
                <w:sz w:val="28"/>
                <w:szCs w:val="28"/>
              </w:rPr>
              <w:t xml:space="preserve">PETITION TO </w:t>
            </w:r>
            <w:r w:rsidR="00B87B69">
              <w:rPr>
                <w:b/>
                <w:sz w:val="28"/>
                <w:szCs w:val="28"/>
              </w:rPr>
              <w:t xml:space="preserve">AMEND </w:t>
            </w:r>
            <w:r w:rsidR="00536690">
              <w:rPr>
                <w:b/>
                <w:sz w:val="28"/>
                <w:szCs w:val="28"/>
              </w:rPr>
              <w:t>THE ARIZONA RULES OF CRIMINAL PROCEDURE</w:t>
            </w:r>
          </w:p>
          <w:p w14:paraId="712DCE80" w14:textId="77777777" w:rsidR="00357F4D" w:rsidRPr="000F7A7F" w:rsidRDefault="00357F4D" w:rsidP="00E321C5">
            <w:pPr>
              <w:pStyle w:val="Caption"/>
              <w:spacing w:before="240" w:after="240"/>
              <w:rPr>
                <w:szCs w:val="26"/>
              </w:rPr>
            </w:pPr>
          </w:p>
        </w:tc>
        <w:tc>
          <w:tcPr>
            <w:tcW w:w="452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0557FD37" w14:textId="1F6A10D9" w:rsidR="00357F4D" w:rsidRPr="006F63FD" w:rsidRDefault="00357F4D" w:rsidP="00E321C5">
            <w:pPr>
              <w:pStyle w:val="Caption"/>
              <w:tabs>
                <w:tab w:val="left" w:pos="1238"/>
              </w:tabs>
              <w:spacing w:before="240" w:after="240"/>
              <w:ind w:left="259" w:right="115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Supreme Court No. R-</w:t>
            </w:r>
            <w:r w:rsidR="00536690">
              <w:rPr>
                <w:sz w:val="28"/>
                <w:szCs w:val="28"/>
              </w:rPr>
              <w:t>20</w:t>
            </w:r>
            <w:r w:rsidR="003A1639">
              <w:rPr>
                <w:sz w:val="28"/>
                <w:szCs w:val="28"/>
              </w:rPr>
              <w:t>-00</w:t>
            </w:r>
            <w:r w:rsidR="00536690">
              <w:rPr>
                <w:sz w:val="28"/>
                <w:szCs w:val="28"/>
              </w:rPr>
              <w:t>31</w:t>
            </w:r>
          </w:p>
          <w:p w14:paraId="1B99CC13" w14:textId="2725D982" w:rsidR="000F7A7F" w:rsidRPr="006F63FD" w:rsidRDefault="000F7A7F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 w:rsidRPr="006F63FD">
              <w:rPr>
                <w:b/>
                <w:sz w:val="28"/>
                <w:szCs w:val="28"/>
              </w:rPr>
              <w:t>COMMENT OF</w:t>
            </w:r>
          </w:p>
          <w:p w14:paraId="7636A501" w14:textId="77777777" w:rsidR="00357F4D" w:rsidRPr="006F63FD" w:rsidRDefault="000F7A7F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 w:rsidRPr="006F63FD">
              <w:rPr>
                <w:b/>
                <w:sz w:val="28"/>
                <w:szCs w:val="28"/>
              </w:rPr>
              <w:t xml:space="preserve">THE </w:t>
            </w:r>
            <w:r w:rsidR="00B02AF3">
              <w:rPr>
                <w:b/>
                <w:sz w:val="28"/>
                <w:szCs w:val="28"/>
              </w:rPr>
              <w:t>ARIZONA PROSECUTING ATTORNEYS’ ADVISORY COUNCIL</w:t>
            </w:r>
          </w:p>
          <w:p w14:paraId="296508BB" w14:textId="77777777" w:rsidR="00357F4D" w:rsidRPr="000F7A7F" w:rsidRDefault="00357F4D" w:rsidP="00E321C5">
            <w:pPr>
              <w:pStyle w:val="DocumentTitle"/>
              <w:rPr>
                <w:szCs w:val="26"/>
              </w:rPr>
            </w:pPr>
          </w:p>
          <w:p w14:paraId="240CC108" w14:textId="77777777" w:rsidR="00357F4D" w:rsidRPr="000F7A7F" w:rsidRDefault="00357F4D" w:rsidP="00E321C5">
            <w:pPr>
              <w:pStyle w:val="Caption"/>
              <w:ind w:left="1512" w:right="115" w:hanging="1253"/>
              <w:rPr>
                <w:szCs w:val="26"/>
              </w:rPr>
            </w:pPr>
          </w:p>
        </w:tc>
      </w:tr>
      <w:bookmarkEnd w:id="1"/>
    </w:tbl>
    <w:p w14:paraId="39535B2D" w14:textId="77777777" w:rsidR="00B02AF3" w:rsidRDefault="00B02AF3" w:rsidP="00B02AF3">
      <w:pPr>
        <w:pStyle w:val="Body"/>
        <w:widowControl w:val="0"/>
        <w:spacing w:line="240" w:lineRule="auto"/>
        <w:ind w:firstLine="720"/>
        <w:jc w:val="both"/>
        <w:rPr>
          <w:sz w:val="28"/>
          <w:szCs w:val="28"/>
        </w:rPr>
      </w:pPr>
    </w:p>
    <w:p w14:paraId="4DDDA038" w14:textId="77777777" w:rsidR="00526087" w:rsidRDefault="00526087" w:rsidP="00DE52B9">
      <w:pPr>
        <w:pStyle w:val="Body"/>
        <w:widowControl w:val="0"/>
        <w:spacing w:line="240" w:lineRule="auto"/>
        <w:ind w:firstLine="0"/>
        <w:rPr>
          <w:b/>
          <w:sz w:val="28"/>
          <w:szCs w:val="28"/>
        </w:rPr>
      </w:pPr>
      <w:r w:rsidRPr="00B87B69">
        <w:rPr>
          <w:b/>
          <w:sz w:val="28"/>
          <w:szCs w:val="28"/>
        </w:rPr>
        <w:t>I.</w:t>
      </w:r>
      <w:r w:rsidRPr="00B87B69">
        <w:rPr>
          <w:b/>
          <w:sz w:val="28"/>
          <w:szCs w:val="28"/>
        </w:rPr>
        <w:tab/>
        <w:t>BACKGROU</w:t>
      </w:r>
      <w:r>
        <w:rPr>
          <w:b/>
          <w:sz w:val="28"/>
          <w:szCs w:val="28"/>
        </w:rPr>
        <w:t>ND OF PETITION</w:t>
      </w:r>
    </w:p>
    <w:p w14:paraId="4A585A23" w14:textId="77777777" w:rsidR="00526087" w:rsidRDefault="00526087" w:rsidP="00526087">
      <w:pPr>
        <w:pStyle w:val="Body"/>
        <w:widowControl w:val="0"/>
        <w:spacing w:line="240" w:lineRule="auto"/>
        <w:ind w:firstLine="720"/>
        <w:rPr>
          <w:b/>
          <w:sz w:val="28"/>
          <w:szCs w:val="28"/>
        </w:rPr>
      </w:pPr>
    </w:p>
    <w:p w14:paraId="3348B809" w14:textId="2C13C7A5" w:rsidR="00237CFD" w:rsidRDefault="008903FA" w:rsidP="00E00AF4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Arizona Voice for Crime Victims </w:t>
      </w:r>
      <w:r w:rsidR="006560C1">
        <w:rPr>
          <w:sz w:val="28"/>
          <w:szCs w:val="28"/>
        </w:rPr>
        <w:t xml:space="preserve">(“AVCV”) </w:t>
      </w:r>
      <w:r>
        <w:rPr>
          <w:sz w:val="28"/>
          <w:szCs w:val="28"/>
        </w:rPr>
        <w:t>has filed a</w:t>
      </w:r>
      <w:r w:rsidR="00A006FB">
        <w:rPr>
          <w:sz w:val="28"/>
          <w:szCs w:val="28"/>
        </w:rPr>
        <w:t xml:space="preserve"> new</w:t>
      </w:r>
      <w:r>
        <w:rPr>
          <w:sz w:val="28"/>
          <w:szCs w:val="28"/>
        </w:rPr>
        <w:t xml:space="preserve"> petition</w:t>
      </w:r>
      <w:r w:rsidR="0038483F">
        <w:rPr>
          <w:rStyle w:val="FootnoteReference"/>
          <w:sz w:val="28"/>
          <w:szCs w:val="28"/>
        </w:rPr>
        <w:footnoteReference w:id="2"/>
      </w:r>
      <w:r w:rsidR="00E41EE9">
        <w:rPr>
          <w:sz w:val="28"/>
          <w:szCs w:val="28"/>
        </w:rPr>
        <w:t xml:space="preserve"> relating to Rule 39</w:t>
      </w:r>
      <w:r w:rsidR="0038483F">
        <w:rPr>
          <w:sz w:val="28"/>
          <w:szCs w:val="28"/>
        </w:rPr>
        <w:t xml:space="preserve">, Arizona Rules of Criminal Procedure.  </w:t>
      </w:r>
      <w:r w:rsidR="00764F0C">
        <w:rPr>
          <w:sz w:val="28"/>
          <w:szCs w:val="28"/>
        </w:rPr>
        <w:t>As in</w:t>
      </w:r>
      <w:r w:rsidR="006560C1">
        <w:rPr>
          <w:sz w:val="28"/>
          <w:szCs w:val="28"/>
        </w:rPr>
        <w:t xml:space="preserve"> previous petitions</w:t>
      </w:r>
      <w:r w:rsidR="00091A2D">
        <w:rPr>
          <w:sz w:val="28"/>
          <w:szCs w:val="28"/>
        </w:rPr>
        <w:t>, AVCV</w:t>
      </w:r>
      <w:r w:rsidR="0080050E">
        <w:rPr>
          <w:sz w:val="28"/>
          <w:szCs w:val="28"/>
        </w:rPr>
        <w:t xml:space="preserve"> is seeking to </w:t>
      </w:r>
      <w:r w:rsidR="003D3EF6">
        <w:rPr>
          <w:sz w:val="28"/>
          <w:szCs w:val="28"/>
        </w:rPr>
        <w:t>integrate existing victims’ rights</w:t>
      </w:r>
      <w:r w:rsidR="00CD3E14">
        <w:rPr>
          <w:sz w:val="28"/>
          <w:szCs w:val="28"/>
        </w:rPr>
        <w:t xml:space="preserve"> </w:t>
      </w:r>
      <w:r w:rsidR="009E5B6F">
        <w:rPr>
          <w:sz w:val="28"/>
          <w:szCs w:val="28"/>
        </w:rPr>
        <w:t xml:space="preserve">provisions from the Arizona Constitution and </w:t>
      </w:r>
      <w:r w:rsidR="007A1318">
        <w:rPr>
          <w:sz w:val="28"/>
          <w:szCs w:val="28"/>
        </w:rPr>
        <w:t>its implementing</w:t>
      </w:r>
      <w:r w:rsidR="00672D39">
        <w:rPr>
          <w:sz w:val="28"/>
          <w:szCs w:val="28"/>
        </w:rPr>
        <w:t xml:space="preserve"> legislation in</w:t>
      </w:r>
      <w:r w:rsidR="00544DD3">
        <w:rPr>
          <w:sz w:val="28"/>
          <w:szCs w:val="28"/>
        </w:rPr>
        <w:t>to</w:t>
      </w:r>
      <w:r w:rsidR="00672D39">
        <w:rPr>
          <w:sz w:val="28"/>
          <w:szCs w:val="28"/>
        </w:rPr>
        <w:t xml:space="preserve"> each applicable rule throughout the Rule</w:t>
      </w:r>
      <w:r w:rsidR="007709F9">
        <w:rPr>
          <w:sz w:val="28"/>
          <w:szCs w:val="28"/>
        </w:rPr>
        <w:t>s</w:t>
      </w:r>
      <w:r w:rsidR="00672D39">
        <w:rPr>
          <w:sz w:val="28"/>
          <w:szCs w:val="28"/>
        </w:rPr>
        <w:t xml:space="preserve"> of </w:t>
      </w:r>
      <w:r w:rsidR="008107C1">
        <w:rPr>
          <w:sz w:val="28"/>
          <w:szCs w:val="28"/>
        </w:rPr>
        <w:t xml:space="preserve">Criminal Procedure.  However, in sharp </w:t>
      </w:r>
      <w:r w:rsidR="004C7788">
        <w:rPr>
          <w:sz w:val="28"/>
          <w:szCs w:val="28"/>
        </w:rPr>
        <w:t>contrast to its previous petitions, AVCV</w:t>
      </w:r>
      <w:r w:rsidR="006C6756">
        <w:rPr>
          <w:sz w:val="28"/>
          <w:szCs w:val="28"/>
        </w:rPr>
        <w:t xml:space="preserve"> is no longer seeking the </w:t>
      </w:r>
      <w:r w:rsidR="00C22776">
        <w:rPr>
          <w:sz w:val="28"/>
          <w:szCs w:val="28"/>
        </w:rPr>
        <w:t xml:space="preserve">full </w:t>
      </w:r>
      <w:r w:rsidR="006C6756">
        <w:rPr>
          <w:sz w:val="28"/>
          <w:szCs w:val="28"/>
        </w:rPr>
        <w:t>repeal</w:t>
      </w:r>
      <w:r w:rsidR="00023F92">
        <w:rPr>
          <w:sz w:val="28"/>
          <w:szCs w:val="28"/>
        </w:rPr>
        <w:t xml:space="preserve"> of existing Rule 39 (“Victims’ Rights”).</w:t>
      </w:r>
    </w:p>
    <w:p w14:paraId="32A2AD50" w14:textId="36106EDE" w:rsidR="00982C86" w:rsidRDefault="00091EB2" w:rsidP="00982C86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The Arizona Prosecuting Attorneys’ Advisory Council (“APAAC”) has again consider</w:t>
      </w:r>
      <w:r w:rsidR="00305945">
        <w:rPr>
          <w:sz w:val="28"/>
          <w:szCs w:val="28"/>
        </w:rPr>
        <w:t xml:space="preserve">ed the </w:t>
      </w:r>
      <w:r w:rsidR="00F306E6">
        <w:rPr>
          <w:sz w:val="28"/>
          <w:szCs w:val="28"/>
        </w:rPr>
        <w:t xml:space="preserve">AVCV </w:t>
      </w:r>
      <w:r w:rsidR="00305945">
        <w:rPr>
          <w:sz w:val="28"/>
          <w:szCs w:val="28"/>
        </w:rPr>
        <w:t>petition and its proposed changes</w:t>
      </w:r>
      <w:r w:rsidR="00B85DD5">
        <w:rPr>
          <w:sz w:val="28"/>
          <w:szCs w:val="28"/>
        </w:rPr>
        <w:t xml:space="preserve"> and supports them</w:t>
      </w:r>
      <w:r w:rsidR="00847329">
        <w:rPr>
          <w:sz w:val="28"/>
          <w:szCs w:val="28"/>
        </w:rPr>
        <w:t>.</w:t>
      </w:r>
      <w:r w:rsidR="00F04223">
        <w:rPr>
          <w:sz w:val="28"/>
          <w:szCs w:val="28"/>
        </w:rPr>
        <w:t xml:space="preserve">  Integrating victims’ rights</w:t>
      </w:r>
      <w:r w:rsidR="00351A8F">
        <w:rPr>
          <w:sz w:val="28"/>
          <w:szCs w:val="28"/>
        </w:rPr>
        <w:t xml:space="preserve"> into the various criminal rules</w:t>
      </w:r>
      <w:r w:rsidR="009543A8">
        <w:rPr>
          <w:sz w:val="28"/>
          <w:szCs w:val="28"/>
        </w:rPr>
        <w:t xml:space="preserve"> </w:t>
      </w:r>
      <w:r w:rsidR="008C00AC">
        <w:rPr>
          <w:sz w:val="28"/>
          <w:szCs w:val="28"/>
        </w:rPr>
        <w:t xml:space="preserve">will have </w:t>
      </w:r>
      <w:r w:rsidR="00A7164F">
        <w:rPr>
          <w:sz w:val="28"/>
          <w:szCs w:val="28"/>
        </w:rPr>
        <w:t>a significant</w:t>
      </w:r>
      <w:r w:rsidR="00E8323F">
        <w:rPr>
          <w:sz w:val="28"/>
          <w:szCs w:val="28"/>
        </w:rPr>
        <w:t xml:space="preserve"> </w:t>
      </w:r>
      <w:r w:rsidR="001325D3">
        <w:rPr>
          <w:sz w:val="28"/>
          <w:szCs w:val="28"/>
        </w:rPr>
        <w:t xml:space="preserve">impact on how </w:t>
      </w:r>
      <w:r w:rsidR="000F42D7">
        <w:rPr>
          <w:sz w:val="28"/>
          <w:szCs w:val="28"/>
        </w:rPr>
        <w:t xml:space="preserve">the rights of crime </w:t>
      </w:r>
      <w:r w:rsidR="001325D3">
        <w:rPr>
          <w:sz w:val="28"/>
          <w:szCs w:val="28"/>
        </w:rPr>
        <w:t>victims are</w:t>
      </w:r>
      <w:r w:rsidR="00C32D3F">
        <w:rPr>
          <w:sz w:val="28"/>
          <w:szCs w:val="28"/>
        </w:rPr>
        <w:t xml:space="preserve"> </w:t>
      </w:r>
      <w:r w:rsidR="00FA51AC">
        <w:rPr>
          <w:sz w:val="28"/>
          <w:szCs w:val="28"/>
        </w:rPr>
        <w:t>ensured</w:t>
      </w:r>
      <w:r w:rsidR="000839AE">
        <w:rPr>
          <w:sz w:val="28"/>
          <w:szCs w:val="28"/>
        </w:rPr>
        <w:t xml:space="preserve"> and protected</w:t>
      </w:r>
      <w:r w:rsidR="001325D3" w:rsidRPr="002F4F0C">
        <w:rPr>
          <w:b/>
          <w:bCs/>
          <w:sz w:val="28"/>
          <w:szCs w:val="28"/>
        </w:rPr>
        <w:t xml:space="preserve"> </w:t>
      </w:r>
      <w:r w:rsidR="001325D3">
        <w:rPr>
          <w:sz w:val="28"/>
          <w:szCs w:val="28"/>
        </w:rPr>
        <w:t>in our</w:t>
      </w:r>
      <w:r w:rsidR="00E970EB">
        <w:rPr>
          <w:sz w:val="28"/>
          <w:szCs w:val="28"/>
        </w:rPr>
        <w:t xml:space="preserve"> criminal justice system.</w:t>
      </w:r>
      <w:r w:rsidR="00544DD3">
        <w:rPr>
          <w:sz w:val="28"/>
          <w:szCs w:val="28"/>
        </w:rPr>
        <w:t xml:space="preserve">  A</w:t>
      </w:r>
      <w:r w:rsidR="00DD2A0D">
        <w:rPr>
          <w:sz w:val="28"/>
          <w:szCs w:val="28"/>
        </w:rPr>
        <w:t>t the same time,</w:t>
      </w:r>
      <w:r w:rsidR="005711FD">
        <w:rPr>
          <w:sz w:val="28"/>
          <w:szCs w:val="28"/>
        </w:rPr>
        <w:t xml:space="preserve"> not repealing Rule 39 will enhance continued understanding and knowledge of victims’ rights through</w:t>
      </w:r>
      <w:r w:rsidR="00BC6E0F">
        <w:rPr>
          <w:sz w:val="28"/>
          <w:szCs w:val="28"/>
        </w:rPr>
        <w:t>out the criminal justice system.</w:t>
      </w:r>
      <w:r w:rsidR="00E970EB">
        <w:rPr>
          <w:sz w:val="28"/>
          <w:szCs w:val="28"/>
        </w:rPr>
        <w:t xml:space="preserve">  </w:t>
      </w:r>
    </w:p>
    <w:p w14:paraId="7DC70A14" w14:textId="57DAACA2" w:rsidR="007D4F83" w:rsidRDefault="00AB1635" w:rsidP="007D4F83">
      <w:pPr>
        <w:pStyle w:val="Body"/>
        <w:widowControl w:val="0"/>
        <w:spacing w:line="480" w:lineRule="auto"/>
        <w:ind w:firstLine="0"/>
        <w:rPr>
          <w:b/>
          <w:sz w:val="28"/>
          <w:szCs w:val="28"/>
        </w:rPr>
      </w:pPr>
      <w:r w:rsidRPr="009D7A5B">
        <w:rPr>
          <w:b/>
          <w:sz w:val="28"/>
          <w:szCs w:val="28"/>
        </w:rPr>
        <w:t>II.</w:t>
      </w:r>
      <w:r>
        <w:rPr>
          <w:b/>
          <w:sz w:val="28"/>
          <w:szCs w:val="28"/>
        </w:rPr>
        <w:tab/>
      </w:r>
      <w:r w:rsidRPr="009D7A5B">
        <w:rPr>
          <w:b/>
          <w:sz w:val="28"/>
          <w:szCs w:val="28"/>
        </w:rPr>
        <w:t>DISCUSSION/ANALYSIS</w:t>
      </w:r>
    </w:p>
    <w:p w14:paraId="7B1D96FE" w14:textId="72720B2B" w:rsidR="007D4F83" w:rsidRDefault="0000121C" w:rsidP="00CF49BB">
      <w:pPr>
        <w:pStyle w:val="Body"/>
        <w:widowControl w:val="0"/>
        <w:spacing w:line="480" w:lineRule="auto"/>
        <w:ind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Arizona voters in 1990 approved Prop 104</w:t>
      </w:r>
      <w:r w:rsidR="00423545">
        <w:rPr>
          <w:bCs/>
          <w:sz w:val="28"/>
          <w:szCs w:val="28"/>
        </w:rPr>
        <w:t xml:space="preserve"> amend</w:t>
      </w:r>
      <w:r w:rsidR="001A476A">
        <w:rPr>
          <w:bCs/>
          <w:sz w:val="28"/>
          <w:szCs w:val="28"/>
        </w:rPr>
        <w:t>ing</w:t>
      </w:r>
      <w:r w:rsidR="00423545">
        <w:rPr>
          <w:bCs/>
          <w:sz w:val="28"/>
          <w:szCs w:val="28"/>
        </w:rPr>
        <w:t xml:space="preserve"> the Arizona Constitution to add a Victims’ Bill of Rights (“VBR”)</w:t>
      </w:r>
      <w:r w:rsidR="00CF49BB">
        <w:rPr>
          <w:bCs/>
          <w:sz w:val="28"/>
          <w:szCs w:val="28"/>
        </w:rPr>
        <w:t>.  Ariz</w:t>
      </w:r>
      <w:r w:rsidR="00F75A76">
        <w:rPr>
          <w:bCs/>
          <w:sz w:val="28"/>
          <w:szCs w:val="28"/>
        </w:rPr>
        <w:t>. Const. art. 2, § 2.1.</w:t>
      </w:r>
      <w:r w:rsidR="00063D2A">
        <w:rPr>
          <w:bCs/>
          <w:sz w:val="28"/>
          <w:szCs w:val="28"/>
        </w:rPr>
        <w:t xml:space="preserve">  The next year</w:t>
      </w:r>
      <w:r w:rsidR="002C0C05">
        <w:rPr>
          <w:bCs/>
          <w:sz w:val="28"/>
          <w:szCs w:val="28"/>
        </w:rPr>
        <w:t>, the Victims’ Rights Implementation Act</w:t>
      </w:r>
      <w:r w:rsidR="001D7D5A">
        <w:rPr>
          <w:bCs/>
          <w:sz w:val="28"/>
          <w:szCs w:val="28"/>
        </w:rPr>
        <w:t xml:space="preserve"> was passed by the Legislature</w:t>
      </w:r>
      <w:r w:rsidR="00CF0AC5">
        <w:rPr>
          <w:bCs/>
          <w:sz w:val="28"/>
          <w:szCs w:val="28"/>
        </w:rPr>
        <w:t>, codified as A.R.S. §§</w:t>
      </w:r>
      <w:r w:rsidR="00031983">
        <w:rPr>
          <w:bCs/>
          <w:sz w:val="28"/>
          <w:szCs w:val="28"/>
        </w:rPr>
        <w:t xml:space="preserve"> 13-4401 </w:t>
      </w:r>
      <w:r w:rsidR="00031983" w:rsidRPr="00031983">
        <w:rPr>
          <w:bCs/>
          <w:i/>
          <w:iCs/>
          <w:sz w:val="28"/>
          <w:szCs w:val="28"/>
        </w:rPr>
        <w:t>et seq</w:t>
      </w:r>
      <w:r w:rsidR="00031983">
        <w:rPr>
          <w:bCs/>
          <w:sz w:val="28"/>
          <w:szCs w:val="28"/>
        </w:rPr>
        <w:t>.</w:t>
      </w:r>
      <w:r w:rsidR="008A4C5A">
        <w:rPr>
          <w:bCs/>
          <w:sz w:val="28"/>
          <w:szCs w:val="28"/>
        </w:rPr>
        <w:t xml:space="preserve">  Ch. 229, 1991 Ariz. Sess. Laws 1137.</w:t>
      </w:r>
      <w:r w:rsidR="002A6AAD">
        <w:rPr>
          <w:bCs/>
          <w:sz w:val="28"/>
          <w:szCs w:val="28"/>
        </w:rPr>
        <w:t xml:space="preserve">  For the past 30 years</w:t>
      </w:r>
      <w:r w:rsidR="00A048C9">
        <w:rPr>
          <w:bCs/>
          <w:sz w:val="28"/>
          <w:szCs w:val="28"/>
        </w:rPr>
        <w:t>, Arizona courts have continued to stress the importan</w:t>
      </w:r>
      <w:r w:rsidR="00385361">
        <w:rPr>
          <w:bCs/>
          <w:sz w:val="28"/>
          <w:szCs w:val="28"/>
        </w:rPr>
        <w:t>ce of the VBR i</w:t>
      </w:r>
      <w:r w:rsidR="00C46C4A">
        <w:rPr>
          <w:bCs/>
          <w:sz w:val="28"/>
          <w:szCs w:val="28"/>
        </w:rPr>
        <w:t>n securing crime victims’ rights to justice and due process</w:t>
      </w:r>
      <w:r w:rsidR="00956128">
        <w:rPr>
          <w:bCs/>
          <w:sz w:val="28"/>
          <w:szCs w:val="28"/>
        </w:rPr>
        <w:t xml:space="preserve"> in the criminal justice system</w:t>
      </w:r>
      <w:r w:rsidR="00C46C4A">
        <w:rPr>
          <w:bCs/>
          <w:sz w:val="28"/>
          <w:szCs w:val="28"/>
        </w:rPr>
        <w:t xml:space="preserve">.  </w:t>
      </w:r>
      <w:r w:rsidR="00F02FA7" w:rsidRPr="00B432A0">
        <w:rPr>
          <w:bCs/>
          <w:i/>
          <w:iCs/>
          <w:sz w:val="28"/>
          <w:szCs w:val="28"/>
        </w:rPr>
        <w:t>Z.W. v. Foster</w:t>
      </w:r>
      <w:r w:rsidR="00F02FA7">
        <w:rPr>
          <w:bCs/>
          <w:sz w:val="28"/>
          <w:szCs w:val="28"/>
        </w:rPr>
        <w:t xml:space="preserve">, 244 Ariz. 478, </w:t>
      </w:r>
      <w:r w:rsidR="00306887">
        <w:rPr>
          <w:bCs/>
          <w:sz w:val="28"/>
          <w:szCs w:val="28"/>
        </w:rPr>
        <w:t>¶ 3 (App. 2018)</w:t>
      </w:r>
      <w:r w:rsidR="0016209A">
        <w:rPr>
          <w:bCs/>
          <w:sz w:val="28"/>
          <w:szCs w:val="28"/>
        </w:rPr>
        <w:t xml:space="preserve"> (</w:t>
      </w:r>
      <w:r w:rsidR="00F34FB4">
        <w:rPr>
          <w:bCs/>
          <w:sz w:val="28"/>
          <w:szCs w:val="28"/>
        </w:rPr>
        <w:t>the</w:t>
      </w:r>
      <w:r w:rsidR="006500A7">
        <w:rPr>
          <w:bCs/>
          <w:sz w:val="28"/>
          <w:szCs w:val="28"/>
        </w:rPr>
        <w:t xml:space="preserve"> VBR secures crime victims</w:t>
      </w:r>
      <w:r w:rsidR="009C1FE0">
        <w:rPr>
          <w:bCs/>
          <w:sz w:val="28"/>
          <w:szCs w:val="28"/>
        </w:rPr>
        <w:t>’</w:t>
      </w:r>
      <w:r w:rsidR="00B131AB">
        <w:rPr>
          <w:bCs/>
          <w:sz w:val="28"/>
          <w:szCs w:val="28"/>
        </w:rPr>
        <w:t xml:space="preserve"> “important rights”</w:t>
      </w:r>
      <w:r w:rsidR="006500A7">
        <w:rPr>
          <w:bCs/>
          <w:sz w:val="28"/>
          <w:szCs w:val="28"/>
        </w:rPr>
        <w:t xml:space="preserve"> to justice</w:t>
      </w:r>
      <w:r w:rsidR="006846DD">
        <w:rPr>
          <w:bCs/>
          <w:sz w:val="28"/>
          <w:szCs w:val="28"/>
        </w:rPr>
        <w:t xml:space="preserve"> and due process)</w:t>
      </w:r>
      <w:r w:rsidR="00306887">
        <w:rPr>
          <w:bCs/>
          <w:sz w:val="28"/>
          <w:szCs w:val="28"/>
        </w:rPr>
        <w:t xml:space="preserve">; </w:t>
      </w:r>
      <w:r w:rsidR="0071769A" w:rsidRPr="0071769A">
        <w:rPr>
          <w:bCs/>
          <w:i/>
          <w:iCs/>
          <w:sz w:val="28"/>
          <w:szCs w:val="28"/>
        </w:rPr>
        <w:t>See also</w:t>
      </w:r>
      <w:r w:rsidR="0071769A">
        <w:rPr>
          <w:bCs/>
          <w:sz w:val="28"/>
          <w:szCs w:val="28"/>
        </w:rPr>
        <w:t xml:space="preserve"> </w:t>
      </w:r>
      <w:r w:rsidR="00543EA9" w:rsidRPr="00B432A0">
        <w:rPr>
          <w:bCs/>
          <w:i/>
          <w:iCs/>
          <w:sz w:val="28"/>
          <w:szCs w:val="28"/>
        </w:rPr>
        <w:t>State v. Patel</w:t>
      </w:r>
      <w:r w:rsidR="00543EA9">
        <w:rPr>
          <w:bCs/>
          <w:sz w:val="28"/>
          <w:szCs w:val="28"/>
        </w:rPr>
        <w:t>, 247 Ariz. 482</w:t>
      </w:r>
      <w:r w:rsidR="00C37ADC">
        <w:rPr>
          <w:bCs/>
          <w:sz w:val="28"/>
          <w:szCs w:val="28"/>
        </w:rPr>
        <w:t>,</w:t>
      </w:r>
      <w:r w:rsidR="00C37ADC" w:rsidRPr="00C37ADC">
        <w:rPr>
          <w:bCs/>
          <w:sz w:val="28"/>
          <w:szCs w:val="28"/>
        </w:rPr>
        <w:t xml:space="preserve"> </w:t>
      </w:r>
      <w:r w:rsidR="00C37ADC">
        <w:rPr>
          <w:bCs/>
          <w:sz w:val="28"/>
          <w:szCs w:val="28"/>
        </w:rPr>
        <w:t xml:space="preserve">¶ 5 </w:t>
      </w:r>
      <w:r w:rsidR="00B432A0">
        <w:rPr>
          <w:bCs/>
          <w:sz w:val="28"/>
          <w:szCs w:val="28"/>
        </w:rPr>
        <w:t xml:space="preserve"> (App. 2019)</w:t>
      </w:r>
      <w:r w:rsidR="004420A4">
        <w:rPr>
          <w:bCs/>
          <w:sz w:val="28"/>
          <w:szCs w:val="28"/>
        </w:rPr>
        <w:t xml:space="preserve"> (addressing a victim’s right to restitution</w:t>
      </w:r>
      <w:r w:rsidR="00910B6B">
        <w:rPr>
          <w:bCs/>
          <w:sz w:val="28"/>
          <w:szCs w:val="28"/>
        </w:rPr>
        <w:t xml:space="preserve"> under the VBR</w:t>
      </w:r>
      <w:r w:rsidR="00C37ADC">
        <w:rPr>
          <w:bCs/>
          <w:sz w:val="28"/>
          <w:szCs w:val="28"/>
        </w:rPr>
        <w:t>)</w:t>
      </w:r>
      <w:r w:rsidR="00B432A0">
        <w:rPr>
          <w:bCs/>
          <w:sz w:val="28"/>
          <w:szCs w:val="28"/>
        </w:rPr>
        <w:t>.</w:t>
      </w:r>
      <w:r w:rsidR="00BF6B1C">
        <w:rPr>
          <w:bCs/>
          <w:sz w:val="28"/>
          <w:szCs w:val="28"/>
        </w:rPr>
        <w:t xml:space="preserve">  </w:t>
      </w:r>
      <w:r w:rsidR="00240815">
        <w:rPr>
          <w:bCs/>
          <w:sz w:val="28"/>
          <w:szCs w:val="28"/>
        </w:rPr>
        <w:t>I</w:t>
      </w:r>
      <w:r w:rsidR="00297F81">
        <w:rPr>
          <w:bCs/>
          <w:sz w:val="28"/>
          <w:szCs w:val="28"/>
        </w:rPr>
        <w:t>ntegrating victims’ rights throughout the Rules of Criminal Procedure</w:t>
      </w:r>
      <w:r w:rsidR="00A47CAC">
        <w:rPr>
          <w:bCs/>
          <w:sz w:val="28"/>
          <w:szCs w:val="28"/>
        </w:rPr>
        <w:t xml:space="preserve"> further secures and protects a victim’s right to justice and due process in our</w:t>
      </w:r>
      <w:r w:rsidR="00232E2B">
        <w:rPr>
          <w:bCs/>
          <w:sz w:val="28"/>
          <w:szCs w:val="28"/>
        </w:rPr>
        <w:t xml:space="preserve"> system.</w:t>
      </w:r>
    </w:p>
    <w:p w14:paraId="1C236F67" w14:textId="77777777" w:rsidR="007946E1" w:rsidRDefault="007946E1" w:rsidP="00CF49BB">
      <w:pPr>
        <w:pStyle w:val="Body"/>
        <w:widowControl w:val="0"/>
        <w:spacing w:line="480" w:lineRule="auto"/>
        <w:ind w:firstLine="0"/>
        <w:jc w:val="both"/>
        <w:rPr>
          <w:bCs/>
          <w:sz w:val="28"/>
          <w:szCs w:val="28"/>
        </w:rPr>
      </w:pPr>
    </w:p>
    <w:p w14:paraId="2D93ECB0" w14:textId="6C34BBD3" w:rsidR="00DA7205" w:rsidRDefault="00DA7205" w:rsidP="00CF49BB">
      <w:pPr>
        <w:pStyle w:val="Body"/>
        <w:widowControl w:val="0"/>
        <w:spacing w:line="480" w:lineRule="auto"/>
        <w:ind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ab/>
      </w:r>
      <w:r w:rsidR="007D5003">
        <w:rPr>
          <w:b/>
          <w:sz w:val="28"/>
          <w:szCs w:val="28"/>
        </w:rPr>
        <w:t>A.</w:t>
      </w:r>
      <w:r w:rsidR="007D5003">
        <w:rPr>
          <w:b/>
          <w:sz w:val="28"/>
          <w:szCs w:val="28"/>
        </w:rPr>
        <w:tab/>
      </w:r>
      <w:r w:rsidR="005044DE" w:rsidRPr="0048034E">
        <w:rPr>
          <w:b/>
          <w:sz w:val="28"/>
          <w:szCs w:val="28"/>
          <w:u w:val="single"/>
        </w:rPr>
        <w:t>Non-R</w:t>
      </w:r>
      <w:r w:rsidR="0048034E" w:rsidRPr="0048034E">
        <w:rPr>
          <w:b/>
          <w:sz w:val="28"/>
          <w:szCs w:val="28"/>
          <w:u w:val="single"/>
        </w:rPr>
        <w:t>ep</w:t>
      </w:r>
      <w:r w:rsidR="005044DE" w:rsidRPr="0048034E">
        <w:rPr>
          <w:b/>
          <w:sz w:val="28"/>
          <w:szCs w:val="28"/>
          <w:u w:val="single"/>
        </w:rPr>
        <w:t>eal of Rule 39</w:t>
      </w:r>
    </w:p>
    <w:p w14:paraId="64E1C79B" w14:textId="5A306888" w:rsidR="005044DE" w:rsidRPr="00B845BB" w:rsidRDefault="005044DE" w:rsidP="00CF49BB">
      <w:pPr>
        <w:pStyle w:val="Body"/>
        <w:widowControl w:val="0"/>
        <w:spacing w:line="480" w:lineRule="auto"/>
        <w:ind w:firstLine="0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ab/>
        <w:t>In its previous petitions, AVCV</w:t>
      </w:r>
      <w:r w:rsidR="00BF1972">
        <w:rPr>
          <w:bCs/>
          <w:sz w:val="28"/>
          <w:szCs w:val="28"/>
        </w:rPr>
        <w:t xml:space="preserve"> recommended the full repeal of Rule 39.</w:t>
      </w:r>
      <w:r w:rsidR="00011B40">
        <w:rPr>
          <w:bCs/>
          <w:sz w:val="28"/>
          <w:szCs w:val="28"/>
        </w:rPr>
        <w:t xml:space="preserve">  </w:t>
      </w:r>
      <w:r w:rsidR="00E47C0A">
        <w:rPr>
          <w:bCs/>
          <w:sz w:val="28"/>
          <w:szCs w:val="28"/>
        </w:rPr>
        <w:t>However, a</w:t>
      </w:r>
      <w:r w:rsidR="00011B40">
        <w:rPr>
          <w:bCs/>
          <w:sz w:val="28"/>
          <w:szCs w:val="28"/>
        </w:rPr>
        <w:t>s it notes</w:t>
      </w:r>
      <w:r w:rsidR="00595FF3">
        <w:rPr>
          <w:bCs/>
          <w:sz w:val="28"/>
          <w:szCs w:val="28"/>
        </w:rPr>
        <w:t xml:space="preserve"> (Petition, p. 3)</w:t>
      </w:r>
      <w:r w:rsidR="009D04E5">
        <w:rPr>
          <w:bCs/>
          <w:sz w:val="28"/>
          <w:szCs w:val="28"/>
        </w:rPr>
        <w:t>, consideration of stakeholder concerns over full repeal has caused it to reconsider</w:t>
      </w:r>
      <w:r w:rsidR="0099242F">
        <w:rPr>
          <w:bCs/>
          <w:sz w:val="28"/>
          <w:szCs w:val="28"/>
        </w:rPr>
        <w:t xml:space="preserve"> that recommendation</w:t>
      </w:r>
      <w:r w:rsidR="008424A8">
        <w:rPr>
          <w:bCs/>
          <w:sz w:val="28"/>
          <w:szCs w:val="28"/>
        </w:rPr>
        <w:t>.  APAAC applauds AVCV</w:t>
      </w:r>
      <w:r w:rsidR="00FD4436">
        <w:rPr>
          <w:bCs/>
          <w:sz w:val="28"/>
          <w:szCs w:val="28"/>
        </w:rPr>
        <w:t>’s new</w:t>
      </w:r>
      <w:r w:rsidR="008424A8">
        <w:rPr>
          <w:bCs/>
          <w:sz w:val="28"/>
          <w:szCs w:val="28"/>
        </w:rPr>
        <w:t xml:space="preserve"> </w:t>
      </w:r>
      <w:r w:rsidR="00235F35">
        <w:rPr>
          <w:bCs/>
          <w:sz w:val="28"/>
          <w:szCs w:val="28"/>
        </w:rPr>
        <w:t>recommendation to keep Rule 39 intact</w:t>
      </w:r>
      <w:r w:rsidR="00511DA5">
        <w:rPr>
          <w:bCs/>
          <w:sz w:val="28"/>
          <w:szCs w:val="28"/>
        </w:rPr>
        <w:t>.</w:t>
      </w:r>
      <w:r w:rsidR="00055F18">
        <w:rPr>
          <w:bCs/>
          <w:sz w:val="28"/>
          <w:szCs w:val="28"/>
        </w:rPr>
        <w:t xml:space="preserve">  Rule 39 has long been the recognized</w:t>
      </w:r>
      <w:r w:rsidR="003E4315">
        <w:rPr>
          <w:bCs/>
          <w:sz w:val="28"/>
          <w:szCs w:val="28"/>
        </w:rPr>
        <w:t xml:space="preserve"> and cited source for victims’ right</w:t>
      </w:r>
      <w:r w:rsidR="00300F8A">
        <w:rPr>
          <w:bCs/>
          <w:sz w:val="28"/>
          <w:szCs w:val="28"/>
        </w:rPr>
        <w:t>s in Arizona.</w:t>
      </w:r>
      <w:r w:rsidR="0077570A">
        <w:rPr>
          <w:bCs/>
          <w:sz w:val="28"/>
          <w:szCs w:val="28"/>
        </w:rPr>
        <w:t xml:space="preserve">  </w:t>
      </w:r>
      <w:r w:rsidR="000D2952">
        <w:rPr>
          <w:bCs/>
          <w:sz w:val="28"/>
          <w:szCs w:val="28"/>
        </w:rPr>
        <w:t>It was the foundation upon</w:t>
      </w:r>
      <w:r w:rsidR="007847F7">
        <w:rPr>
          <w:bCs/>
          <w:sz w:val="28"/>
          <w:szCs w:val="28"/>
        </w:rPr>
        <w:t xml:space="preserve"> which both the VBR and</w:t>
      </w:r>
      <w:r w:rsidR="008320AE">
        <w:rPr>
          <w:bCs/>
          <w:sz w:val="28"/>
          <w:szCs w:val="28"/>
        </w:rPr>
        <w:t xml:space="preserve"> its</w:t>
      </w:r>
      <w:r w:rsidR="007847F7">
        <w:rPr>
          <w:bCs/>
          <w:sz w:val="28"/>
          <w:szCs w:val="28"/>
        </w:rPr>
        <w:t xml:space="preserve"> </w:t>
      </w:r>
      <w:r w:rsidR="000E0CED">
        <w:rPr>
          <w:bCs/>
          <w:sz w:val="28"/>
          <w:szCs w:val="28"/>
        </w:rPr>
        <w:t>impl</w:t>
      </w:r>
      <w:r w:rsidR="007E000A">
        <w:rPr>
          <w:bCs/>
          <w:sz w:val="28"/>
          <w:szCs w:val="28"/>
        </w:rPr>
        <w:t>ement</w:t>
      </w:r>
      <w:r w:rsidR="000E0CED">
        <w:rPr>
          <w:bCs/>
          <w:sz w:val="28"/>
          <w:szCs w:val="28"/>
        </w:rPr>
        <w:t>ing statutes was based.</w:t>
      </w:r>
      <w:r w:rsidR="00E86090">
        <w:rPr>
          <w:rStyle w:val="FootnoteReference"/>
          <w:bCs/>
          <w:sz w:val="28"/>
          <w:szCs w:val="28"/>
        </w:rPr>
        <w:footnoteReference w:id="3"/>
      </w:r>
      <w:r w:rsidR="000E0CED">
        <w:rPr>
          <w:bCs/>
          <w:sz w:val="28"/>
          <w:szCs w:val="28"/>
        </w:rPr>
        <w:t xml:space="preserve">  </w:t>
      </w:r>
      <w:r w:rsidR="0077570A">
        <w:rPr>
          <w:bCs/>
          <w:sz w:val="28"/>
          <w:szCs w:val="28"/>
        </w:rPr>
        <w:t xml:space="preserve">Practitioners, </w:t>
      </w:r>
      <w:r w:rsidR="009C392D">
        <w:rPr>
          <w:bCs/>
          <w:sz w:val="28"/>
          <w:szCs w:val="28"/>
        </w:rPr>
        <w:t xml:space="preserve">advocates, </w:t>
      </w:r>
      <w:r w:rsidR="0077570A">
        <w:rPr>
          <w:bCs/>
          <w:sz w:val="28"/>
          <w:szCs w:val="28"/>
        </w:rPr>
        <w:t xml:space="preserve">students, and courts have </w:t>
      </w:r>
      <w:r w:rsidR="005E324B">
        <w:rPr>
          <w:bCs/>
          <w:sz w:val="28"/>
          <w:szCs w:val="28"/>
        </w:rPr>
        <w:t>been trained on Rule 39 and</w:t>
      </w:r>
      <w:r w:rsidR="008402D9">
        <w:rPr>
          <w:bCs/>
          <w:sz w:val="28"/>
          <w:szCs w:val="28"/>
        </w:rPr>
        <w:t xml:space="preserve"> have </w:t>
      </w:r>
      <w:r w:rsidR="0077570A">
        <w:rPr>
          <w:bCs/>
          <w:sz w:val="28"/>
          <w:szCs w:val="28"/>
        </w:rPr>
        <w:t>learned to rely upon</w:t>
      </w:r>
      <w:r w:rsidR="008402D9">
        <w:rPr>
          <w:bCs/>
          <w:sz w:val="28"/>
          <w:szCs w:val="28"/>
        </w:rPr>
        <w:t xml:space="preserve"> it.  </w:t>
      </w:r>
      <w:r w:rsidR="00AB33DE">
        <w:rPr>
          <w:bCs/>
          <w:sz w:val="28"/>
          <w:szCs w:val="28"/>
        </w:rPr>
        <w:t>Innumerable</w:t>
      </w:r>
      <w:r w:rsidR="006E05AE">
        <w:rPr>
          <w:bCs/>
          <w:sz w:val="28"/>
          <w:szCs w:val="28"/>
        </w:rPr>
        <w:t xml:space="preserve"> appellate decisions</w:t>
      </w:r>
      <w:r w:rsidR="00F848A5">
        <w:rPr>
          <w:bCs/>
          <w:sz w:val="28"/>
          <w:szCs w:val="28"/>
        </w:rPr>
        <w:t xml:space="preserve"> </w:t>
      </w:r>
      <w:r w:rsidR="00AB33DE">
        <w:rPr>
          <w:bCs/>
          <w:sz w:val="28"/>
          <w:szCs w:val="28"/>
        </w:rPr>
        <w:t xml:space="preserve">have </w:t>
      </w:r>
      <w:r w:rsidR="00F848A5">
        <w:rPr>
          <w:bCs/>
          <w:sz w:val="28"/>
          <w:szCs w:val="28"/>
        </w:rPr>
        <w:t>address</w:t>
      </w:r>
      <w:r w:rsidR="00AB33DE">
        <w:rPr>
          <w:bCs/>
          <w:sz w:val="28"/>
          <w:szCs w:val="28"/>
        </w:rPr>
        <w:t>ed</w:t>
      </w:r>
      <w:r w:rsidR="00F848A5">
        <w:rPr>
          <w:bCs/>
          <w:sz w:val="28"/>
          <w:szCs w:val="28"/>
        </w:rPr>
        <w:t xml:space="preserve"> </w:t>
      </w:r>
      <w:r w:rsidR="00B61069">
        <w:rPr>
          <w:bCs/>
          <w:sz w:val="28"/>
          <w:szCs w:val="28"/>
        </w:rPr>
        <w:t>the rule’s</w:t>
      </w:r>
      <w:r w:rsidR="00F848A5">
        <w:rPr>
          <w:bCs/>
          <w:sz w:val="28"/>
          <w:szCs w:val="28"/>
        </w:rPr>
        <w:t xml:space="preserve"> specific provisions.</w:t>
      </w:r>
      <w:r w:rsidR="0086114F">
        <w:rPr>
          <w:bCs/>
          <w:sz w:val="28"/>
          <w:szCs w:val="28"/>
        </w:rPr>
        <w:t xml:space="preserve">  </w:t>
      </w:r>
      <w:r w:rsidR="00AB65A0">
        <w:rPr>
          <w:bCs/>
          <w:sz w:val="28"/>
          <w:szCs w:val="28"/>
        </w:rPr>
        <w:t>At this point, a full repeal of Rule 39 would be counterproductive to ensuring and protecting victims’ rights.</w:t>
      </w:r>
      <w:r w:rsidR="00710132">
        <w:rPr>
          <w:bCs/>
          <w:sz w:val="28"/>
          <w:szCs w:val="28"/>
        </w:rPr>
        <w:t xml:space="preserve">  </w:t>
      </w:r>
      <w:r w:rsidR="00845915">
        <w:rPr>
          <w:bCs/>
          <w:sz w:val="28"/>
          <w:szCs w:val="28"/>
        </w:rPr>
        <w:t xml:space="preserve">Notably, </w:t>
      </w:r>
      <w:r w:rsidR="00710132">
        <w:rPr>
          <w:bCs/>
          <w:sz w:val="28"/>
          <w:szCs w:val="28"/>
        </w:rPr>
        <w:t>AVCV has proposed a new rule (39(a)(3)(C)</w:t>
      </w:r>
      <w:r w:rsidR="00A54757">
        <w:rPr>
          <w:bCs/>
          <w:sz w:val="28"/>
          <w:szCs w:val="28"/>
        </w:rPr>
        <w:t>) to address</w:t>
      </w:r>
      <w:r w:rsidR="00F0730D">
        <w:rPr>
          <w:bCs/>
          <w:sz w:val="28"/>
          <w:szCs w:val="28"/>
        </w:rPr>
        <w:t xml:space="preserve"> any conflict between a specific criminal rule and Rule 39.</w:t>
      </w:r>
    </w:p>
    <w:p w14:paraId="1F680DE9" w14:textId="5D56C62A" w:rsidR="000723A4" w:rsidRDefault="000723A4" w:rsidP="00CF49BB">
      <w:pPr>
        <w:pStyle w:val="Body"/>
        <w:widowControl w:val="0"/>
        <w:spacing w:line="480" w:lineRule="auto"/>
        <w:ind w:firstLine="0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ab/>
      </w:r>
      <w:r w:rsidR="00FF0B50" w:rsidRPr="00FF0B50">
        <w:rPr>
          <w:b/>
          <w:sz w:val="28"/>
          <w:szCs w:val="28"/>
        </w:rPr>
        <w:t>B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 w:rsidR="00BC69E1" w:rsidRPr="0048034E">
        <w:rPr>
          <w:b/>
          <w:sz w:val="28"/>
          <w:szCs w:val="28"/>
          <w:u w:val="single"/>
        </w:rPr>
        <w:t>Suggested Integration Clarifications</w:t>
      </w:r>
    </w:p>
    <w:p w14:paraId="64FD24C7" w14:textId="37B40235" w:rsidR="00FF0B50" w:rsidRDefault="00783898" w:rsidP="00CF49BB">
      <w:pPr>
        <w:pStyle w:val="Body"/>
        <w:widowControl w:val="0"/>
        <w:spacing w:line="480" w:lineRule="auto"/>
        <w:ind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As it has in years past, APAAC</w:t>
      </w:r>
      <w:r w:rsidR="00840C79">
        <w:rPr>
          <w:bCs/>
          <w:sz w:val="28"/>
          <w:szCs w:val="28"/>
        </w:rPr>
        <w:t xml:space="preserve"> has identified</w:t>
      </w:r>
      <w:r w:rsidR="00016B78">
        <w:rPr>
          <w:bCs/>
          <w:sz w:val="28"/>
          <w:szCs w:val="28"/>
        </w:rPr>
        <w:t xml:space="preserve"> certain areas</w:t>
      </w:r>
      <w:r w:rsidR="00D50465">
        <w:rPr>
          <w:bCs/>
          <w:sz w:val="28"/>
          <w:szCs w:val="28"/>
        </w:rPr>
        <w:t xml:space="preserve"> of the petition’s proposed rule changes</w:t>
      </w:r>
      <w:r w:rsidR="00DE6F93">
        <w:rPr>
          <w:bCs/>
          <w:sz w:val="28"/>
          <w:szCs w:val="28"/>
        </w:rPr>
        <w:t xml:space="preserve"> for</w:t>
      </w:r>
      <w:r w:rsidR="003E701B">
        <w:rPr>
          <w:bCs/>
          <w:sz w:val="28"/>
          <w:szCs w:val="28"/>
        </w:rPr>
        <w:t xml:space="preserve"> which clarifications are suggested</w:t>
      </w:r>
      <w:r w:rsidR="00DE6F93">
        <w:rPr>
          <w:bCs/>
          <w:sz w:val="28"/>
          <w:szCs w:val="28"/>
        </w:rPr>
        <w:t>:</w:t>
      </w:r>
    </w:p>
    <w:p w14:paraId="55CC3418" w14:textId="73BBF3C5" w:rsidR="008F16CB" w:rsidRDefault="00765B40" w:rsidP="00CF49BB">
      <w:pPr>
        <w:pStyle w:val="Body"/>
        <w:widowControl w:val="0"/>
        <w:spacing w:line="480" w:lineRule="auto"/>
        <w:ind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495BA0">
        <w:rPr>
          <w:bCs/>
          <w:sz w:val="28"/>
          <w:szCs w:val="28"/>
        </w:rPr>
        <w:tab/>
        <w:t>1.</w:t>
      </w:r>
      <w:r w:rsidR="00495BA0">
        <w:rPr>
          <w:bCs/>
          <w:sz w:val="28"/>
          <w:szCs w:val="28"/>
        </w:rPr>
        <w:tab/>
      </w:r>
      <w:r w:rsidR="00495BA0" w:rsidRPr="008F16CB">
        <w:rPr>
          <w:bCs/>
          <w:sz w:val="28"/>
          <w:szCs w:val="28"/>
          <w:u w:val="single"/>
        </w:rPr>
        <w:t>New Rule 1.2</w:t>
      </w:r>
      <w:r w:rsidR="008F16CB" w:rsidRPr="008F16CB">
        <w:rPr>
          <w:bCs/>
          <w:sz w:val="28"/>
          <w:szCs w:val="28"/>
          <w:u w:val="single"/>
        </w:rPr>
        <w:t xml:space="preserve"> </w:t>
      </w:r>
      <w:r w:rsidR="00201CA0">
        <w:rPr>
          <w:bCs/>
          <w:sz w:val="28"/>
          <w:szCs w:val="28"/>
          <w:u w:val="single"/>
        </w:rPr>
        <w:t>(a)</w:t>
      </w:r>
      <w:r w:rsidR="008F16CB" w:rsidRPr="008F16CB">
        <w:rPr>
          <w:bCs/>
          <w:sz w:val="28"/>
          <w:szCs w:val="28"/>
          <w:u w:val="single"/>
        </w:rPr>
        <w:t>(3)</w:t>
      </w:r>
      <w:r w:rsidR="00420C72">
        <w:rPr>
          <w:bCs/>
          <w:sz w:val="28"/>
          <w:szCs w:val="28"/>
          <w:u w:val="single"/>
        </w:rPr>
        <w:t xml:space="preserve"> (“Victims are not </w:t>
      </w:r>
      <w:r w:rsidR="003A1A33">
        <w:rPr>
          <w:bCs/>
          <w:sz w:val="28"/>
          <w:szCs w:val="28"/>
          <w:u w:val="single"/>
        </w:rPr>
        <w:t>P</w:t>
      </w:r>
      <w:r w:rsidR="00420C72">
        <w:rPr>
          <w:bCs/>
          <w:sz w:val="28"/>
          <w:szCs w:val="28"/>
          <w:u w:val="single"/>
        </w:rPr>
        <w:t>arties”)</w:t>
      </w:r>
    </w:p>
    <w:p w14:paraId="43C11FF4" w14:textId="61F6C7D6" w:rsidR="008F16CB" w:rsidRPr="008F16CB" w:rsidRDefault="008F16CB" w:rsidP="00CF49BB">
      <w:pPr>
        <w:pStyle w:val="Body"/>
        <w:widowControl w:val="0"/>
        <w:spacing w:line="480" w:lineRule="auto"/>
        <w:ind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B636D2">
        <w:rPr>
          <w:bCs/>
          <w:sz w:val="28"/>
          <w:szCs w:val="28"/>
        </w:rPr>
        <w:t xml:space="preserve">In its previous petitions and again </w:t>
      </w:r>
      <w:r w:rsidR="001B427A">
        <w:rPr>
          <w:bCs/>
          <w:sz w:val="28"/>
          <w:szCs w:val="28"/>
        </w:rPr>
        <w:t>here</w:t>
      </w:r>
      <w:r w:rsidR="00B636D2">
        <w:rPr>
          <w:bCs/>
          <w:sz w:val="28"/>
          <w:szCs w:val="28"/>
        </w:rPr>
        <w:t xml:space="preserve">, AVCV has added </w:t>
      </w:r>
      <w:r w:rsidR="00B854A9">
        <w:rPr>
          <w:bCs/>
          <w:sz w:val="28"/>
          <w:szCs w:val="28"/>
        </w:rPr>
        <w:t>“</w:t>
      </w:r>
      <w:r w:rsidR="00B854A9" w:rsidRPr="00B854A9">
        <w:rPr>
          <w:bCs/>
          <w:i/>
          <w:iCs/>
          <w:sz w:val="28"/>
          <w:szCs w:val="28"/>
        </w:rPr>
        <w:t>crime victim</w:t>
      </w:r>
      <w:r w:rsidR="00B854A9">
        <w:rPr>
          <w:bCs/>
          <w:sz w:val="28"/>
          <w:szCs w:val="28"/>
        </w:rPr>
        <w:t xml:space="preserve">” or </w:t>
      </w:r>
      <w:r w:rsidR="00B854A9">
        <w:rPr>
          <w:bCs/>
          <w:sz w:val="28"/>
          <w:szCs w:val="28"/>
        </w:rPr>
        <w:lastRenderedPageBreak/>
        <w:t>“</w:t>
      </w:r>
      <w:r w:rsidR="00B854A9" w:rsidRPr="00B854A9">
        <w:rPr>
          <w:bCs/>
          <w:i/>
          <w:iCs/>
          <w:sz w:val="28"/>
          <w:szCs w:val="28"/>
        </w:rPr>
        <w:t>victim’s attorney</w:t>
      </w:r>
      <w:r w:rsidR="00B854A9">
        <w:rPr>
          <w:bCs/>
          <w:sz w:val="28"/>
          <w:szCs w:val="28"/>
        </w:rPr>
        <w:t>”</w:t>
      </w:r>
      <w:r w:rsidR="00FD6405">
        <w:rPr>
          <w:bCs/>
          <w:sz w:val="28"/>
          <w:szCs w:val="28"/>
        </w:rPr>
        <w:t xml:space="preserve"> to</w:t>
      </w:r>
      <w:r w:rsidR="00A27E5D">
        <w:rPr>
          <w:bCs/>
          <w:sz w:val="28"/>
          <w:szCs w:val="28"/>
        </w:rPr>
        <w:t xml:space="preserve"> the language of</w:t>
      </w:r>
      <w:r w:rsidR="00FD6405">
        <w:rPr>
          <w:bCs/>
          <w:sz w:val="28"/>
          <w:szCs w:val="28"/>
        </w:rPr>
        <w:t xml:space="preserve"> Rule 1.3 (“Computation of Time”)</w:t>
      </w:r>
      <w:r w:rsidR="00A311E7">
        <w:rPr>
          <w:bCs/>
          <w:sz w:val="28"/>
          <w:szCs w:val="28"/>
        </w:rPr>
        <w:t xml:space="preserve">, </w:t>
      </w:r>
      <w:r w:rsidR="00A96960">
        <w:rPr>
          <w:bCs/>
          <w:sz w:val="28"/>
          <w:szCs w:val="28"/>
        </w:rPr>
        <w:t xml:space="preserve">Rule </w:t>
      </w:r>
      <w:r w:rsidR="00A311E7">
        <w:rPr>
          <w:bCs/>
          <w:sz w:val="28"/>
          <w:szCs w:val="28"/>
        </w:rPr>
        <w:t>1.7</w:t>
      </w:r>
      <w:r w:rsidR="00AB006E">
        <w:rPr>
          <w:bCs/>
          <w:sz w:val="28"/>
          <w:szCs w:val="28"/>
        </w:rPr>
        <w:t xml:space="preserve"> (“Filing and Service of Documents”), </w:t>
      </w:r>
      <w:r w:rsidR="00A96960">
        <w:rPr>
          <w:bCs/>
          <w:sz w:val="28"/>
          <w:szCs w:val="28"/>
        </w:rPr>
        <w:t xml:space="preserve">Rule </w:t>
      </w:r>
      <w:r w:rsidR="007E29DD">
        <w:rPr>
          <w:bCs/>
          <w:sz w:val="28"/>
          <w:szCs w:val="28"/>
        </w:rPr>
        <w:t>1.8 (“</w:t>
      </w:r>
      <w:r w:rsidR="00DA04BC">
        <w:rPr>
          <w:bCs/>
          <w:sz w:val="28"/>
          <w:szCs w:val="28"/>
        </w:rPr>
        <w:t>Clerk’s Distribution of Minute Entries and Other Documents”)</w:t>
      </w:r>
      <w:r w:rsidR="00D30E3E">
        <w:rPr>
          <w:bCs/>
          <w:sz w:val="28"/>
          <w:szCs w:val="28"/>
        </w:rPr>
        <w:t xml:space="preserve"> and Rule 1.9 (“Motions, Oral Argument, and Proposed Orders”)</w:t>
      </w:r>
      <w:r w:rsidR="00A27E5D">
        <w:rPr>
          <w:bCs/>
          <w:sz w:val="28"/>
          <w:szCs w:val="28"/>
        </w:rPr>
        <w:t>.</w:t>
      </w:r>
      <w:r w:rsidR="007E5171">
        <w:rPr>
          <w:bCs/>
          <w:sz w:val="28"/>
          <w:szCs w:val="28"/>
        </w:rPr>
        <w:t xml:space="preserve">  To address previous concerns</w:t>
      </w:r>
      <w:r w:rsidR="00E655EC">
        <w:rPr>
          <w:bCs/>
          <w:sz w:val="28"/>
          <w:szCs w:val="28"/>
        </w:rPr>
        <w:t xml:space="preserve"> that these modifications elevate victims</w:t>
      </w:r>
      <w:r w:rsidR="004D59B0">
        <w:rPr>
          <w:bCs/>
          <w:sz w:val="28"/>
          <w:szCs w:val="28"/>
        </w:rPr>
        <w:t xml:space="preserve"> to “party</w:t>
      </w:r>
      <w:r w:rsidR="00B83FC2">
        <w:rPr>
          <w:bCs/>
          <w:sz w:val="28"/>
          <w:szCs w:val="28"/>
        </w:rPr>
        <w:t>”</w:t>
      </w:r>
      <w:r w:rsidR="004D59B0">
        <w:rPr>
          <w:bCs/>
          <w:sz w:val="28"/>
          <w:szCs w:val="28"/>
        </w:rPr>
        <w:t xml:space="preserve"> status, AVCV</w:t>
      </w:r>
      <w:r w:rsidR="004321BF">
        <w:rPr>
          <w:bCs/>
          <w:sz w:val="28"/>
          <w:szCs w:val="28"/>
        </w:rPr>
        <w:t xml:space="preserve"> has proposed a new Rule 1.2(a)(3) </w:t>
      </w:r>
      <w:r w:rsidR="00510CBE">
        <w:rPr>
          <w:bCs/>
          <w:sz w:val="28"/>
          <w:szCs w:val="28"/>
        </w:rPr>
        <w:t>to clarify that</w:t>
      </w:r>
      <w:r w:rsidR="00C97407">
        <w:rPr>
          <w:bCs/>
          <w:sz w:val="28"/>
          <w:szCs w:val="28"/>
        </w:rPr>
        <w:t xml:space="preserve"> </w:t>
      </w:r>
      <w:r w:rsidR="00F47843">
        <w:rPr>
          <w:bCs/>
          <w:sz w:val="28"/>
          <w:szCs w:val="28"/>
        </w:rPr>
        <w:t xml:space="preserve">the </w:t>
      </w:r>
      <w:r w:rsidR="003D7237">
        <w:rPr>
          <w:bCs/>
          <w:sz w:val="28"/>
          <w:szCs w:val="28"/>
        </w:rPr>
        <w:t>suggested</w:t>
      </w:r>
      <w:r w:rsidR="00F47843">
        <w:rPr>
          <w:bCs/>
          <w:sz w:val="28"/>
          <w:szCs w:val="28"/>
        </w:rPr>
        <w:t xml:space="preserve"> modification</w:t>
      </w:r>
      <w:r w:rsidR="003D7237">
        <w:rPr>
          <w:bCs/>
          <w:sz w:val="28"/>
          <w:szCs w:val="28"/>
        </w:rPr>
        <w:t>s</w:t>
      </w:r>
      <w:r w:rsidR="00D17DF5">
        <w:rPr>
          <w:bCs/>
          <w:sz w:val="28"/>
          <w:szCs w:val="28"/>
        </w:rPr>
        <w:t xml:space="preserve"> should not be construed to make victims parties to a criminal case.  </w:t>
      </w:r>
      <w:r w:rsidR="00A20908">
        <w:rPr>
          <w:bCs/>
          <w:sz w:val="28"/>
          <w:szCs w:val="28"/>
        </w:rPr>
        <w:t>(</w:t>
      </w:r>
      <w:r w:rsidR="00D6607F" w:rsidRPr="00D6607F">
        <w:rPr>
          <w:bCs/>
          <w:i/>
          <w:iCs/>
          <w:sz w:val="28"/>
          <w:szCs w:val="28"/>
        </w:rPr>
        <w:t>See also</w:t>
      </w:r>
      <w:r w:rsidR="00D6607F">
        <w:rPr>
          <w:bCs/>
          <w:sz w:val="28"/>
          <w:szCs w:val="28"/>
        </w:rPr>
        <w:t xml:space="preserve"> </w:t>
      </w:r>
      <w:r w:rsidR="00A20908">
        <w:rPr>
          <w:bCs/>
          <w:sz w:val="28"/>
          <w:szCs w:val="28"/>
        </w:rPr>
        <w:t>Petition, p. 6).</w:t>
      </w:r>
      <w:r w:rsidR="006A28FF">
        <w:rPr>
          <w:bCs/>
          <w:sz w:val="28"/>
          <w:szCs w:val="28"/>
        </w:rPr>
        <w:t xml:space="preserve">  While this clarification is</w:t>
      </w:r>
      <w:r w:rsidR="00EF3DD6">
        <w:rPr>
          <w:bCs/>
          <w:sz w:val="28"/>
          <w:szCs w:val="28"/>
        </w:rPr>
        <w:t xml:space="preserve"> useful</w:t>
      </w:r>
      <w:r w:rsidR="00470251">
        <w:rPr>
          <w:bCs/>
          <w:sz w:val="28"/>
          <w:szCs w:val="28"/>
        </w:rPr>
        <w:t xml:space="preserve">, it should be stressed that a victim’s </w:t>
      </w:r>
      <w:r w:rsidR="006A260A">
        <w:rPr>
          <w:bCs/>
          <w:sz w:val="28"/>
          <w:szCs w:val="28"/>
        </w:rPr>
        <w:t xml:space="preserve">active </w:t>
      </w:r>
      <w:r w:rsidR="00470251">
        <w:rPr>
          <w:bCs/>
          <w:sz w:val="28"/>
          <w:szCs w:val="28"/>
        </w:rPr>
        <w:t>participation</w:t>
      </w:r>
      <w:r w:rsidR="009B3C3C">
        <w:rPr>
          <w:bCs/>
          <w:sz w:val="28"/>
          <w:szCs w:val="28"/>
        </w:rPr>
        <w:t xml:space="preserve"> </w:t>
      </w:r>
      <w:r w:rsidR="007B09D4">
        <w:rPr>
          <w:bCs/>
          <w:sz w:val="28"/>
          <w:szCs w:val="28"/>
        </w:rPr>
        <w:t xml:space="preserve">in </w:t>
      </w:r>
      <w:r w:rsidR="004F7B00">
        <w:rPr>
          <w:bCs/>
          <w:sz w:val="28"/>
          <w:szCs w:val="28"/>
        </w:rPr>
        <w:t xml:space="preserve">making motions and </w:t>
      </w:r>
      <w:r w:rsidR="007B09D4">
        <w:rPr>
          <w:bCs/>
          <w:sz w:val="28"/>
          <w:szCs w:val="28"/>
        </w:rPr>
        <w:t xml:space="preserve">requesting orders </w:t>
      </w:r>
      <w:r w:rsidR="009B3C3C">
        <w:rPr>
          <w:bCs/>
          <w:sz w:val="28"/>
          <w:szCs w:val="28"/>
        </w:rPr>
        <w:t>in the criminal process</w:t>
      </w:r>
      <w:r w:rsidR="00047075">
        <w:rPr>
          <w:bCs/>
          <w:sz w:val="28"/>
          <w:szCs w:val="28"/>
        </w:rPr>
        <w:t xml:space="preserve"> is limited to matters</w:t>
      </w:r>
      <w:r w:rsidR="00923E56">
        <w:rPr>
          <w:bCs/>
          <w:sz w:val="28"/>
          <w:szCs w:val="28"/>
        </w:rPr>
        <w:t xml:space="preserve"> that directly involve the victim enforcing a right</w:t>
      </w:r>
      <w:r w:rsidR="00782B20">
        <w:rPr>
          <w:bCs/>
          <w:sz w:val="28"/>
          <w:szCs w:val="28"/>
        </w:rPr>
        <w:t xml:space="preserve"> or challenging the denial of a right</w:t>
      </w:r>
      <w:r w:rsidR="0075634F">
        <w:rPr>
          <w:bCs/>
          <w:sz w:val="28"/>
          <w:szCs w:val="28"/>
        </w:rPr>
        <w:t>.  A.R.S. §</w:t>
      </w:r>
      <w:r w:rsidR="00137F7C">
        <w:rPr>
          <w:bCs/>
          <w:sz w:val="28"/>
          <w:szCs w:val="28"/>
        </w:rPr>
        <w:t xml:space="preserve"> 13-4437(A); </w:t>
      </w:r>
      <w:r w:rsidR="00137F7C" w:rsidRPr="006761A9">
        <w:rPr>
          <w:bCs/>
          <w:i/>
          <w:iCs/>
          <w:sz w:val="28"/>
          <w:szCs w:val="28"/>
        </w:rPr>
        <w:t>State ex rel. Montgomery v. Padilla</w:t>
      </w:r>
      <w:r w:rsidR="00137F7C">
        <w:rPr>
          <w:bCs/>
          <w:sz w:val="28"/>
          <w:szCs w:val="28"/>
        </w:rPr>
        <w:t>, 238 Ariz. 560</w:t>
      </w:r>
      <w:r w:rsidR="0003132C">
        <w:rPr>
          <w:bCs/>
          <w:sz w:val="28"/>
          <w:szCs w:val="28"/>
        </w:rPr>
        <w:t>, ¶ 22</w:t>
      </w:r>
      <w:r w:rsidR="00441E77">
        <w:rPr>
          <w:bCs/>
          <w:sz w:val="28"/>
          <w:szCs w:val="28"/>
        </w:rPr>
        <w:t xml:space="preserve"> (App. 2015).</w:t>
      </w:r>
    </w:p>
    <w:p w14:paraId="22005BCB" w14:textId="3532FA76" w:rsidR="004B7302" w:rsidRDefault="004374FB" w:rsidP="004B7302">
      <w:pPr>
        <w:pStyle w:val="Body"/>
        <w:widowControl w:val="0"/>
        <w:spacing w:line="480" w:lineRule="auto"/>
        <w:ind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2</w:t>
      </w:r>
      <w:r w:rsidR="004B7302">
        <w:rPr>
          <w:bCs/>
          <w:sz w:val="28"/>
          <w:szCs w:val="28"/>
        </w:rPr>
        <w:t>.</w:t>
      </w:r>
      <w:r w:rsidR="004B7302">
        <w:rPr>
          <w:bCs/>
          <w:sz w:val="28"/>
          <w:szCs w:val="28"/>
        </w:rPr>
        <w:tab/>
      </w:r>
      <w:r w:rsidR="004B7302" w:rsidRPr="008F16CB">
        <w:rPr>
          <w:bCs/>
          <w:sz w:val="28"/>
          <w:szCs w:val="28"/>
          <w:u w:val="single"/>
        </w:rPr>
        <w:t>Rule 1</w:t>
      </w:r>
      <w:r w:rsidR="00781233">
        <w:rPr>
          <w:bCs/>
          <w:sz w:val="28"/>
          <w:szCs w:val="28"/>
          <w:u w:val="single"/>
        </w:rPr>
        <w:t>5</w:t>
      </w:r>
      <w:r w:rsidR="004B7302" w:rsidRPr="008F16CB">
        <w:rPr>
          <w:bCs/>
          <w:sz w:val="28"/>
          <w:szCs w:val="28"/>
          <w:u w:val="single"/>
        </w:rPr>
        <w:t>.</w:t>
      </w:r>
      <w:r w:rsidR="00781233">
        <w:rPr>
          <w:bCs/>
          <w:sz w:val="28"/>
          <w:szCs w:val="28"/>
          <w:u w:val="single"/>
        </w:rPr>
        <w:t>1</w:t>
      </w:r>
      <w:r w:rsidR="002238BF">
        <w:rPr>
          <w:bCs/>
          <w:sz w:val="28"/>
          <w:szCs w:val="28"/>
          <w:u w:val="single"/>
        </w:rPr>
        <w:t xml:space="preserve"> (“The State’s Disclosures”)</w:t>
      </w:r>
    </w:p>
    <w:p w14:paraId="6F2A3AE7" w14:textId="2D220D2A" w:rsidR="00DE6F93" w:rsidRDefault="00C64C2C" w:rsidP="00CF49BB">
      <w:pPr>
        <w:pStyle w:val="Body"/>
        <w:widowControl w:val="0"/>
        <w:spacing w:line="480" w:lineRule="auto"/>
        <w:ind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EA24A8">
        <w:rPr>
          <w:bCs/>
          <w:sz w:val="28"/>
          <w:szCs w:val="28"/>
        </w:rPr>
        <w:t>AVCV again proposes limitations on a</w:t>
      </w:r>
      <w:r w:rsidR="00660A98">
        <w:rPr>
          <w:bCs/>
          <w:sz w:val="28"/>
          <w:szCs w:val="28"/>
        </w:rPr>
        <w:t xml:space="preserve"> court’s ability to order disclosure</w:t>
      </w:r>
      <w:r w:rsidR="007A7ACA">
        <w:rPr>
          <w:bCs/>
          <w:sz w:val="28"/>
          <w:szCs w:val="28"/>
        </w:rPr>
        <w:t xml:space="preserve"> </w:t>
      </w:r>
      <w:r w:rsidR="00E268E0">
        <w:rPr>
          <w:bCs/>
          <w:sz w:val="28"/>
          <w:szCs w:val="28"/>
        </w:rPr>
        <w:t xml:space="preserve">by the State </w:t>
      </w:r>
      <w:r w:rsidR="007A7ACA">
        <w:rPr>
          <w:bCs/>
          <w:sz w:val="28"/>
          <w:szCs w:val="28"/>
        </w:rPr>
        <w:t>on motion of a defendant.</w:t>
      </w:r>
      <w:r w:rsidR="00647753">
        <w:rPr>
          <w:bCs/>
          <w:sz w:val="28"/>
          <w:szCs w:val="28"/>
        </w:rPr>
        <w:t xml:space="preserve">  Proposed Rule 15.1(</w:t>
      </w:r>
      <w:r w:rsidR="002B567E">
        <w:rPr>
          <w:bCs/>
          <w:sz w:val="28"/>
          <w:szCs w:val="28"/>
        </w:rPr>
        <w:t xml:space="preserve">g)(1) </w:t>
      </w:r>
      <w:r w:rsidR="00507F1D">
        <w:rPr>
          <w:bCs/>
          <w:sz w:val="28"/>
          <w:szCs w:val="28"/>
        </w:rPr>
        <w:t xml:space="preserve">would allow a court to </w:t>
      </w:r>
      <w:r w:rsidR="00D30C62">
        <w:rPr>
          <w:bCs/>
          <w:sz w:val="28"/>
          <w:szCs w:val="28"/>
        </w:rPr>
        <w:t>order disclosure</w:t>
      </w:r>
      <w:r w:rsidR="00085129">
        <w:rPr>
          <w:bCs/>
          <w:sz w:val="28"/>
          <w:szCs w:val="28"/>
        </w:rPr>
        <w:t xml:space="preserve"> by the State</w:t>
      </w:r>
      <w:r w:rsidR="005E3EF7">
        <w:rPr>
          <w:bCs/>
          <w:sz w:val="28"/>
          <w:szCs w:val="28"/>
        </w:rPr>
        <w:t>, on a defendant’s motion,</w:t>
      </w:r>
      <w:r w:rsidR="00186479">
        <w:rPr>
          <w:bCs/>
          <w:sz w:val="28"/>
          <w:szCs w:val="28"/>
        </w:rPr>
        <w:t xml:space="preserve"> </w:t>
      </w:r>
      <w:r w:rsidR="00085129">
        <w:rPr>
          <w:bCs/>
          <w:sz w:val="28"/>
          <w:szCs w:val="28"/>
        </w:rPr>
        <w:t>from</w:t>
      </w:r>
      <w:r w:rsidR="00186479">
        <w:rPr>
          <w:bCs/>
          <w:sz w:val="28"/>
          <w:szCs w:val="28"/>
        </w:rPr>
        <w:t xml:space="preserve"> any person</w:t>
      </w:r>
      <w:r w:rsidR="00F44718">
        <w:rPr>
          <w:bCs/>
          <w:sz w:val="28"/>
          <w:szCs w:val="28"/>
        </w:rPr>
        <w:t xml:space="preserve"> </w:t>
      </w:r>
      <w:r w:rsidR="006E52C8">
        <w:rPr>
          <w:bCs/>
          <w:sz w:val="28"/>
          <w:szCs w:val="28"/>
        </w:rPr>
        <w:t>“</w:t>
      </w:r>
      <w:r w:rsidR="00F44718" w:rsidRPr="006E52C8">
        <w:rPr>
          <w:bCs/>
          <w:i/>
          <w:iCs/>
          <w:sz w:val="28"/>
          <w:szCs w:val="28"/>
        </w:rPr>
        <w:t>other than the victim</w:t>
      </w:r>
      <w:r w:rsidR="006E52C8">
        <w:rPr>
          <w:bCs/>
          <w:sz w:val="28"/>
          <w:szCs w:val="28"/>
        </w:rPr>
        <w:t>”</w:t>
      </w:r>
      <w:r w:rsidR="00F44718">
        <w:rPr>
          <w:bCs/>
          <w:sz w:val="28"/>
          <w:szCs w:val="28"/>
        </w:rPr>
        <w:t>.</w:t>
      </w:r>
      <w:r w:rsidR="00B2163C">
        <w:rPr>
          <w:bCs/>
          <w:sz w:val="28"/>
          <w:szCs w:val="28"/>
        </w:rPr>
        <w:t xml:space="preserve">  As APAAC </w:t>
      </w:r>
      <w:r w:rsidR="00C07B8E">
        <w:rPr>
          <w:bCs/>
          <w:sz w:val="28"/>
          <w:szCs w:val="28"/>
        </w:rPr>
        <w:t>noted in previous comments</w:t>
      </w:r>
      <w:r w:rsidR="000172D7">
        <w:rPr>
          <w:bCs/>
          <w:sz w:val="28"/>
          <w:szCs w:val="28"/>
        </w:rPr>
        <w:t>, a victim’s right to refuse a discovery request by a defendant under</w:t>
      </w:r>
      <w:r w:rsidR="003F6E42">
        <w:rPr>
          <w:bCs/>
          <w:sz w:val="28"/>
          <w:szCs w:val="28"/>
        </w:rPr>
        <w:t xml:space="preserve"> the VBR may </w:t>
      </w:r>
      <w:r w:rsidR="00D779EF">
        <w:rPr>
          <w:bCs/>
          <w:sz w:val="28"/>
          <w:szCs w:val="28"/>
        </w:rPr>
        <w:t>sometime yield</w:t>
      </w:r>
      <w:r w:rsidR="00EE59C7">
        <w:rPr>
          <w:bCs/>
          <w:sz w:val="28"/>
          <w:szCs w:val="28"/>
        </w:rPr>
        <w:t xml:space="preserve"> </w:t>
      </w:r>
      <w:r w:rsidR="00334C2F">
        <w:rPr>
          <w:bCs/>
          <w:sz w:val="28"/>
          <w:szCs w:val="28"/>
        </w:rPr>
        <w:t>to federal and state constitution</w:t>
      </w:r>
      <w:r w:rsidR="001F6CA9">
        <w:rPr>
          <w:bCs/>
          <w:sz w:val="28"/>
          <w:szCs w:val="28"/>
        </w:rPr>
        <w:t>al mandates</w:t>
      </w:r>
      <w:r w:rsidR="00EB3F1C">
        <w:rPr>
          <w:bCs/>
          <w:sz w:val="28"/>
          <w:szCs w:val="28"/>
        </w:rPr>
        <w:t xml:space="preserve"> of due process entitling a defendant</w:t>
      </w:r>
      <w:r w:rsidR="005376A0">
        <w:rPr>
          <w:bCs/>
          <w:sz w:val="28"/>
          <w:szCs w:val="28"/>
        </w:rPr>
        <w:t xml:space="preserve"> to a fair trial.  </w:t>
      </w:r>
      <w:r w:rsidR="005376A0" w:rsidRPr="00A605BE">
        <w:rPr>
          <w:bCs/>
          <w:i/>
          <w:iCs/>
          <w:sz w:val="28"/>
          <w:szCs w:val="28"/>
        </w:rPr>
        <w:t>State e rel. Romley v. Superior Court (Roper)</w:t>
      </w:r>
      <w:r w:rsidR="005376A0">
        <w:rPr>
          <w:bCs/>
          <w:sz w:val="28"/>
          <w:szCs w:val="28"/>
        </w:rPr>
        <w:t>, 172 Ariz. 232</w:t>
      </w:r>
      <w:r w:rsidR="00A605BE">
        <w:rPr>
          <w:bCs/>
          <w:sz w:val="28"/>
          <w:szCs w:val="28"/>
        </w:rPr>
        <w:t>, 240</w:t>
      </w:r>
      <w:r w:rsidR="005376A0">
        <w:rPr>
          <w:bCs/>
          <w:sz w:val="28"/>
          <w:szCs w:val="28"/>
        </w:rPr>
        <w:t xml:space="preserve"> (App. 1992)</w:t>
      </w:r>
      <w:r w:rsidR="00A605BE">
        <w:rPr>
          <w:bCs/>
          <w:sz w:val="28"/>
          <w:szCs w:val="28"/>
        </w:rPr>
        <w:t>.</w:t>
      </w:r>
    </w:p>
    <w:p w14:paraId="0E5FC05B" w14:textId="0DC897CB" w:rsidR="004D115C" w:rsidRDefault="004D115C" w:rsidP="00CF49BB">
      <w:pPr>
        <w:pStyle w:val="Body"/>
        <w:widowControl w:val="0"/>
        <w:spacing w:line="480" w:lineRule="auto"/>
        <w:ind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The </w:t>
      </w:r>
      <w:r w:rsidRPr="004C4865">
        <w:rPr>
          <w:bCs/>
          <w:i/>
          <w:iCs/>
          <w:sz w:val="28"/>
          <w:szCs w:val="28"/>
        </w:rPr>
        <w:t>Roper</w:t>
      </w:r>
      <w:r>
        <w:rPr>
          <w:bCs/>
          <w:sz w:val="28"/>
          <w:szCs w:val="28"/>
        </w:rPr>
        <w:t xml:space="preserve"> decision was recently </w:t>
      </w:r>
      <w:r w:rsidR="005A5938">
        <w:rPr>
          <w:bCs/>
          <w:sz w:val="28"/>
          <w:szCs w:val="28"/>
        </w:rPr>
        <w:t xml:space="preserve">analyzed and softened by </w:t>
      </w:r>
      <w:r w:rsidR="00454DA9">
        <w:rPr>
          <w:bCs/>
          <w:sz w:val="28"/>
          <w:szCs w:val="28"/>
        </w:rPr>
        <w:t>Division One</w:t>
      </w:r>
      <w:r w:rsidR="007C15A3">
        <w:rPr>
          <w:bCs/>
          <w:sz w:val="28"/>
          <w:szCs w:val="28"/>
        </w:rPr>
        <w:t xml:space="preserve"> in </w:t>
      </w:r>
      <w:r w:rsidR="007C15A3" w:rsidRPr="00C238AA">
        <w:rPr>
          <w:bCs/>
          <w:i/>
          <w:iCs/>
          <w:sz w:val="28"/>
          <w:szCs w:val="28"/>
        </w:rPr>
        <w:lastRenderedPageBreak/>
        <w:t>R</w:t>
      </w:r>
      <w:r w:rsidR="004804DD" w:rsidRPr="00C238AA">
        <w:rPr>
          <w:bCs/>
          <w:i/>
          <w:iCs/>
          <w:sz w:val="28"/>
          <w:szCs w:val="28"/>
        </w:rPr>
        <w:t>.</w:t>
      </w:r>
      <w:r w:rsidR="007C15A3" w:rsidRPr="00C238AA">
        <w:rPr>
          <w:bCs/>
          <w:i/>
          <w:iCs/>
          <w:sz w:val="28"/>
          <w:szCs w:val="28"/>
        </w:rPr>
        <w:t>S</w:t>
      </w:r>
      <w:r w:rsidR="004804DD" w:rsidRPr="00C238AA">
        <w:rPr>
          <w:bCs/>
          <w:i/>
          <w:iCs/>
          <w:sz w:val="28"/>
          <w:szCs w:val="28"/>
        </w:rPr>
        <w:t>.</w:t>
      </w:r>
      <w:r w:rsidR="007C15A3" w:rsidRPr="00C238AA">
        <w:rPr>
          <w:bCs/>
          <w:i/>
          <w:iCs/>
          <w:sz w:val="28"/>
          <w:szCs w:val="28"/>
        </w:rPr>
        <w:t>/S</w:t>
      </w:r>
      <w:r w:rsidR="003F562C" w:rsidRPr="00C238AA">
        <w:rPr>
          <w:bCs/>
          <w:i/>
          <w:iCs/>
          <w:sz w:val="28"/>
          <w:szCs w:val="28"/>
        </w:rPr>
        <w:t>.</w:t>
      </w:r>
      <w:r w:rsidR="007C15A3" w:rsidRPr="00C238AA">
        <w:rPr>
          <w:bCs/>
          <w:i/>
          <w:iCs/>
          <w:sz w:val="28"/>
          <w:szCs w:val="28"/>
        </w:rPr>
        <w:t>E</w:t>
      </w:r>
      <w:r w:rsidR="003F562C" w:rsidRPr="00C238AA">
        <w:rPr>
          <w:bCs/>
          <w:i/>
          <w:iCs/>
          <w:sz w:val="28"/>
          <w:szCs w:val="28"/>
        </w:rPr>
        <w:t>.</w:t>
      </w:r>
      <w:r w:rsidR="007C15A3" w:rsidRPr="00C238AA">
        <w:rPr>
          <w:bCs/>
          <w:i/>
          <w:iCs/>
          <w:sz w:val="28"/>
          <w:szCs w:val="28"/>
        </w:rPr>
        <w:t xml:space="preserve"> v. </w:t>
      </w:r>
      <w:r w:rsidR="00C72637" w:rsidRPr="00C238AA">
        <w:rPr>
          <w:bCs/>
          <w:i/>
          <w:iCs/>
          <w:sz w:val="28"/>
          <w:szCs w:val="28"/>
        </w:rPr>
        <w:t>Thompson in and for County of Maricopa</w:t>
      </w:r>
      <w:r w:rsidR="00F505C7">
        <w:rPr>
          <w:bCs/>
          <w:sz w:val="28"/>
          <w:szCs w:val="28"/>
        </w:rPr>
        <w:t>, 247 Ariz. 575 (App. 2019)</w:t>
      </w:r>
      <w:r w:rsidR="00C238AA">
        <w:rPr>
          <w:bCs/>
          <w:sz w:val="28"/>
          <w:szCs w:val="28"/>
        </w:rPr>
        <w:t xml:space="preserve">, in which </w:t>
      </w:r>
      <w:r w:rsidR="00786065">
        <w:rPr>
          <w:bCs/>
          <w:sz w:val="28"/>
          <w:szCs w:val="28"/>
        </w:rPr>
        <w:t>the Court</w:t>
      </w:r>
      <w:r w:rsidR="006978D4">
        <w:rPr>
          <w:bCs/>
          <w:sz w:val="28"/>
          <w:szCs w:val="28"/>
        </w:rPr>
        <w:t xml:space="preserve"> </w:t>
      </w:r>
      <w:r w:rsidR="006D1AD1">
        <w:rPr>
          <w:bCs/>
          <w:sz w:val="28"/>
          <w:szCs w:val="28"/>
        </w:rPr>
        <w:t>granted relief from</w:t>
      </w:r>
      <w:r w:rsidR="00796C71">
        <w:rPr>
          <w:bCs/>
          <w:sz w:val="28"/>
          <w:szCs w:val="28"/>
        </w:rPr>
        <w:t xml:space="preserve"> </w:t>
      </w:r>
      <w:r w:rsidR="00187DDE">
        <w:rPr>
          <w:bCs/>
          <w:sz w:val="28"/>
          <w:szCs w:val="28"/>
        </w:rPr>
        <w:t>a</w:t>
      </w:r>
      <w:r w:rsidR="00E36C92">
        <w:rPr>
          <w:bCs/>
          <w:sz w:val="28"/>
          <w:szCs w:val="28"/>
        </w:rPr>
        <w:t xml:space="preserve"> superior court ruling requiring the State to produce the victim’s</w:t>
      </w:r>
      <w:r w:rsidR="00FC31F1">
        <w:rPr>
          <w:bCs/>
          <w:sz w:val="28"/>
          <w:szCs w:val="28"/>
        </w:rPr>
        <w:t xml:space="preserve"> privileged</w:t>
      </w:r>
      <w:r w:rsidR="00D1484A">
        <w:rPr>
          <w:bCs/>
          <w:sz w:val="28"/>
          <w:szCs w:val="28"/>
        </w:rPr>
        <w:t xml:space="preserve"> mental health</w:t>
      </w:r>
      <w:r w:rsidR="00FC31F1">
        <w:rPr>
          <w:bCs/>
          <w:sz w:val="28"/>
          <w:szCs w:val="28"/>
        </w:rPr>
        <w:t xml:space="preserve"> records for an in camera review.</w:t>
      </w:r>
      <w:r w:rsidR="00CC4B4F">
        <w:rPr>
          <w:bCs/>
          <w:sz w:val="28"/>
          <w:szCs w:val="28"/>
        </w:rPr>
        <w:t xml:space="preserve">  But the Court resolved the issue</w:t>
      </w:r>
      <w:r w:rsidR="00AA5DAD">
        <w:rPr>
          <w:bCs/>
          <w:sz w:val="28"/>
          <w:szCs w:val="28"/>
        </w:rPr>
        <w:t xml:space="preserve"> based on the statutory</w:t>
      </w:r>
      <w:r w:rsidR="004F2D26">
        <w:rPr>
          <w:bCs/>
          <w:sz w:val="28"/>
          <w:szCs w:val="28"/>
        </w:rPr>
        <w:t xml:space="preserve"> physician-patient</w:t>
      </w:r>
      <w:r w:rsidR="00AA5DAD">
        <w:rPr>
          <w:bCs/>
          <w:sz w:val="28"/>
          <w:szCs w:val="28"/>
        </w:rPr>
        <w:t xml:space="preserve"> privilege</w:t>
      </w:r>
      <w:r w:rsidR="00B421F6">
        <w:rPr>
          <w:bCs/>
          <w:sz w:val="28"/>
          <w:szCs w:val="28"/>
        </w:rPr>
        <w:t xml:space="preserve"> and did not reach the superior court’s ruling </w:t>
      </w:r>
      <w:r w:rsidR="00FF4EE2">
        <w:rPr>
          <w:bCs/>
          <w:sz w:val="28"/>
          <w:szCs w:val="28"/>
        </w:rPr>
        <w:t>regarding</w:t>
      </w:r>
      <w:r w:rsidR="00B421F6">
        <w:rPr>
          <w:bCs/>
          <w:sz w:val="28"/>
          <w:szCs w:val="28"/>
        </w:rPr>
        <w:t xml:space="preserve"> the VBR.</w:t>
      </w:r>
      <w:r w:rsidR="00BF49FF">
        <w:rPr>
          <w:bCs/>
          <w:sz w:val="28"/>
          <w:szCs w:val="28"/>
        </w:rPr>
        <w:t xml:space="preserve">  </w:t>
      </w:r>
      <w:r w:rsidR="00BF49FF" w:rsidRPr="00BF49FF">
        <w:rPr>
          <w:bCs/>
          <w:i/>
          <w:iCs/>
          <w:sz w:val="28"/>
          <w:szCs w:val="28"/>
        </w:rPr>
        <w:t>Thompson</w:t>
      </w:r>
      <w:r w:rsidR="00BF49FF">
        <w:rPr>
          <w:bCs/>
          <w:sz w:val="28"/>
          <w:szCs w:val="28"/>
        </w:rPr>
        <w:t>,</w:t>
      </w:r>
      <w:r w:rsidR="00B421F6">
        <w:rPr>
          <w:bCs/>
          <w:sz w:val="28"/>
          <w:szCs w:val="28"/>
        </w:rPr>
        <w:t xml:space="preserve"> </w:t>
      </w:r>
      <w:r w:rsidR="008B0B35">
        <w:rPr>
          <w:bCs/>
          <w:sz w:val="28"/>
          <w:szCs w:val="28"/>
        </w:rPr>
        <w:t>¶ 9.</w:t>
      </w:r>
      <w:r w:rsidR="00530D75">
        <w:rPr>
          <w:bCs/>
          <w:sz w:val="28"/>
          <w:szCs w:val="28"/>
        </w:rPr>
        <w:t xml:space="preserve">  And the Court </w:t>
      </w:r>
      <w:r w:rsidR="008575CA">
        <w:rPr>
          <w:bCs/>
          <w:sz w:val="28"/>
          <w:szCs w:val="28"/>
        </w:rPr>
        <w:t xml:space="preserve">agreed with </w:t>
      </w:r>
      <w:r w:rsidR="008575CA" w:rsidRPr="002F2113">
        <w:rPr>
          <w:bCs/>
          <w:i/>
          <w:iCs/>
          <w:sz w:val="28"/>
          <w:szCs w:val="28"/>
        </w:rPr>
        <w:t>Roper</w:t>
      </w:r>
      <w:r w:rsidR="008575CA">
        <w:rPr>
          <w:bCs/>
          <w:sz w:val="28"/>
          <w:szCs w:val="28"/>
        </w:rPr>
        <w:t xml:space="preserve"> that</w:t>
      </w:r>
      <w:r w:rsidR="00320274">
        <w:rPr>
          <w:bCs/>
          <w:sz w:val="28"/>
          <w:szCs w:val="28"/>
        </w:rPr>
        <w:t xml:space="preserve"> “when a defendant’s established due process right directly conflicts with a non-federal constitutional right</w:t>
      </w:r>
      <w:r w:rsidR="005D3DBD">
        <w:rPr>
          <w:bCs/>
          <w:sz w:val="28"/>
          <w:szCs w:val="28"/>
        </w:rPr>
        <w:t xml:space="preserve">, the due process right must prevail.”  </w:t>
      </w:r>
      <w:r w:rsidR="005D3DBD" w:rsidRPr="00BF49FF">
        <w:rPr>
          <w:bCs/>
          <w:i/>
          <w:iCs/>
          <w:sz w:val="28"/>
          <w:szCs w:val="28"/>
        </w:rPr>
        <w:t>Thompson</w:t>
      </w:r>
      <w:r w:rsidR="005D3DBD">
        <w:rPr>
          <w:bCs/>
          <w:sz w:val="28"/>
          <w:szCs w:val="28"/>
        </w:rPr>
        <w:t xml:space="preserve">, ¶ 21.  </w:t>
      </w:r>
      <w:r w:rsidR="005C7C7D">
        <w:rPr>
          <w:bCs/>
          <w:sz w:val="28"/>
          <w:szCs w:val="28"/>
        </w:rPr>
        <w:t xml:space="preserve">APAAC </w:t>
      </w:r>
      <w:r w:rsidR="002C3F7A">
        <w:rPr>
          <w:bCs/>
          <w:sz w:val="28"/>
          <w:szCs w:val="28"/>
        </w:rPr>
        <w:t xml:space="preserve">again </w:t>
      </w:r>
      <w:r w:rsidR="00E40000">
        <w:rPr>
          <w:bCs/>
          <w:sz w:val="28"/>
          <w:szCs w:val="28"/>
        </w:rPr>
        <w:t xml:space="preserve">suggests </w:t>
      </w:r>
      <w:r w:rsidR="00E7784C">
        <w:rPr>
          <w:bCs/>
          <w:sz w:val="28"/>
          <w:szCs w:val="28"/>
        </w:rPr>
        <w:t xml:space="preserve">that the AVCV proposed language be </w:t>
      </w:r>
      <w:r w:rsidR="00E40000">
        <w:rPr>
          <w:bCs/>
          <w:sz w:val="28"/>
          <w:szCs w:val="28"/>
        </w:rPr>
        <w:t>modif</w:t>
      </w:r>
      <w:r w:rsidR="00E7784C">
        <w:rPr>
          <w:bCs/>
          <w:sz w:val="28"/>
          <w:szCs w:val="28"/>
        </w:rPr>
        <w:t>ied</w:t>
      </w:r>
      <w:r w:rsidR="00E40000">
        <w:rPr>
          <w:bCs/>
          <w:sz w:val="28"/>
          <w:szCs w:val="28"/>
        </w:rPr>
        <w:t xml:space="preserve"> </w:t>
      </w:r>
      <w:r w:rsidR="00C421CA">
        <w:rPr>
          <w:bCs/>
          <w:sz w:val="28"/>
          <w:szCs w:val="28"/>
        </w:rPr>
        <w:t>to</w:t>
      </w:r>
      <w:r w:rsidR="00E7784C">
        <w:rPr>
          <w:bCs/>
          <w:sz w:val="28"/>
          <w:szCs w:val="28"/>
        </w:rPr>
        <w:t xml:space="preserve"> </w:t>
      </w:r>
      <w:proofErr w:type="gramStart"/>
      <w:r w:rsidR="00E7784C">
        <w:rPr>
          <w:bCs/>
          <w:sz w:val="28"/>
          <w:szCs w:val="28"/>
        </w:rPr>
        <w:t>state</w:t>
      </w:r>
      <w:proofErr w:type="gramEnd"/>
      <w:r w:rsidR="00C421CA">
        <w:rPr>
          <w:bCs/>
          <w:sz w:val="28"/>
          <w:szCs w:val="28"/>
        </w:rPr>
        <w:t xml:space="preserve"> “</w:t>
      </w:r>
      <w:r w:rsidR="00C421CA" w:rsidRPr="00196472">
        <w:rPr>
          <w:bCs/>
          <w:i/>
          <w:iCs/>
          <w:sz w:val="28"/>
          <w:szCs w:val="28"/>
        </w:rPr>
        <w:t>other than the victim</w:t>
      </w:r>
      <w:r w:rsidR="00585EB3" w:rsidRPr="00196472">
        <w:rPr>
          <w:bCs/>
          <w:i/>
          <w:iCs/>
          <w:sz w:val="28"/>
          <w:szCs w:val="28"/>
        </w:rPr>
        <w:t>,</w:t>
      </w:r>
      <w:r w:rsidR="00BA6783" w:rsidRPr="00196472">
        <w:rPr>
          <w:bCs/>
          <w:i/>
          <w:iCs/>
          <w:sz w:val="28"/>
          <w:szCs w:val="28"/>
        </w:rPr>
        <w:t xml:space="preserve"> absent a determination</w:t>
      </w:r>
      <w:r w:rsidR="000A1965" w:rsidRPr="00196472">
        <w:rPr>
          <w:bCs/>
          <w:i/>
          <w:iCs/>
          <w:sz w:val="28"/>
          <w:szCs w:val="28"/>
        </w:rPr>
        <w:t xml:space="preserve"> by the court</w:t>
      </w:r>
      <w:r w:rsidR="00585EB3" w:rsidRPr="00196472">
        <w:rPr>
          <w:bCs/>
          <w:i/>
          <w:iCs/>
          <w:sz w:val="28"/>
          <w:szCs w:val="28"/>
        </w:rPr>
        <w:t xml:space="preserve"> </w:t>
      </w:r>
      <w:r w:rsidR="00D9407E" w:rsidRPr="00196472">
        <w:rPr>
          <w:bCs/>
          <w:i/>
          <w:iCs/>
          <w:sz w:val="28"/>
          <w:szCs w:val="28"/>
        </w:rPr>
        <w:t>that the evidence</w:t>
      </w:r>
      <w:r w:rsidR="00196472" w:rsidRPr="00196472">
        <w:rPr>
          <w:bCs/>
          <w:i/>
          <w:iCs/>
          <w:sz w:val="28"/>
          <w:szCs w:val="28"/>
        </w:rPr>
        <w:t xml:space="preserve"> would be exculpatory</w:t>
      </w:r>
      <w:r w:rsidR="00196472">
        <w:rPr>
          <w:bCs/>
          <w:sz w:val="28"/>
          <w:szCs w:val="28"/>
        </w:rPr>
        <w:t>.”</w:t>
      </w:r>
    </w:p>
    <w:p w14:paraId="2B4A44F6" w14:textId="12DD13D0" w:rsidR="004B7302" w:rsidRDefault="004374FB" w:rsidP="004B7302">
      <w:pPr>
        <w:pStyle w:val="Body"/>
        <w:widowControl w:val="0"/>
        <w:spacing w:line="480" w:lineRule="auto"/>
        <w:ind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3</w:t>
      </w:r>
      <w:r w:rsidR="004B7302">
        <w:rPr>
          <w:bCs/>
          <w:sz w:val="28"/>
          <w:szCs w:val="28"/>
        </w:rPr>
        <w:t>.</w:t>
      </w:r>
      <w:r w:rsidR="004B7302">
        <w:rPr>
          <w:bCs/>
          <w:sz w:val="28"/>
          <w:szCs w:val="28"/>
        </w:rPr>
        <w:tab/>
      </w:r>
      <w:r w:rsidR="004B7302" w:rsidRPr="008F16CB">
        <w:rPr>
          <w:bCs/>
          <w:sz w:val="28"/>
          <w:szCs w:val="28"/>
          <w:u w:val="single"/>
        </w:rPr>
        <w:t>Rule 1</w:t>
      </w:r>
      <w:r w:rsidR="00FB2E7A">
        <w:rPr>
          <w:bCs/>
          <w:sz w:val="28"/>
          <w:szCs w:val="28"/>
          <w:u w:val="single"/>
        </w:rPr>
        <w:t>6</w:t>
      </w:r>
      <w:r w:rsidR="004B7302" w:rsidRPr="008F16CB">
        <w:rPr>
          <w:bCs/>
          <w:sz w:val="28"/>
          <w:szCs w:val="28"/>
          <w:u w:val="single"/>
        </w:rPr>
        <w:t>.</w:t>
      </w:r>
      <w:r w:rsidR="00FB2E7A">
        <w:rPr>
          <w:bCs/>
          <w:sz w:val="28"/>
          <w:szCs w:val="28"/>
          <w:u w:val="single"/>
        </w:rPr>
        <w:t>3</w:t>
      </w:r>
      <w:r w:rsidR="0092747F">
        <w:rPr>
          <w:bCs/>
          <w:sz w:val="28"/>
          <w:szCs w:val="28"/>
          <w:u w:val="single"/>
        </w:rPr>
        <w:t xml:space="preserve"> (“Pretrial Conference”)</w:t>
      </w:r>
    </w:p>
    <w:p w14:paraId="3FB559FE" w14:textId="14E35D80" w:rsidR="004B7302" w:rsidRDefault="006777A3" w:rsidP="00CF49BB">
      <w:pPr>
        <w:pStyle w:val="Body"/>
        <w:widowControl w:val="0"/>
        <w:spacing w:line="480" w:lineRule="auto"/>
        <w:ind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A17389">
        <w:rPr>
          <w:bCs/>
          <w:sz w:val="28"/>
          <w:szCs w:val="28"/>
        </w:rPr>
        <w:t xml:space="preserve">Rule 16.3 allows the court to set evidentiary hearings and pretrial conferences.  </w:t>
      </w:r>
      <w:r>
        <w:rPr>
          <w:bCs/>
          <w:sz w:val="28"/>
          <w:szCs w:val="28"/>
        </w:rPr>
        <w:t>AVCV also proposes</w:t>
      </w:r>
      <w:r w:rsidR="00E30C84">
        <w:rPr>
          <w:bCs/>
          <w:sz w:val="28"/>
          <w:szCs w:val="28"/>
        </w:rPr>
        <w:t>, as it did in previous petitions</w:t>
      </w:r>
      <w:r w:rsidR="00CB0BD3">
        <w:rPr>
          <w:bCs/>
          <w:sz w:val="28"/>
          <w:szCs w:val="28"/>
        </w:rPr>
        <w:t>, to limit a court’s ability to set evidentiary hearings and pretrial conference</w:t>
      </w:r>
      <w:r w:rsidR="005F7C7E">
        <w:rPr>
          <w:bCs/>
          <w:sz w:val="28"/>
          <w:szCs w:val="28"/>
        </w:rPr>
        <w:t>s</w:t>
      </w:r>
      <w:r w:rsidR="00CD246C">
        <w:rPr>
          <w:bCs/>
          <w:sz w:val="28"/>
          <w:szCs w:val="28"/>
        </w:rPr>
        <w:t xml:space="preserve"> unless</w:t>
      </w:r>
      <w:r w:rsidR="00475A1B">
        <w:rPr>
          <w:bCs/>
          <w:sz w:val="28"/>
          <w:szCs w:val="28"/>
        </w:rPr>
        <w:t xml:space="preserve"> “</w:t>
      </w:r>
      <w:r w:rsidR="00475A1B" w:rsidRPr="000B2F4E">
        <w:rPr>
          <w:bCs/>
          <w:i/>
          <w:iCs/>
          <w:sz w:val="28"/>
          <w:szCs w:val="28"/>
        </w:rPr>
        <w:t xml:space="preserve">the rights and views of the victim, the victim’s right to a speedy trial, and </w:t>
      </w:r>
      <w:r w:rsidR="005614D0" w:rsidRPr="000B2F4E">
        <w:rPr>
          <w:bCs/>
          <w:i/>
          <w:iCs/>
          <w:sz w:val="28"/>
          <w:szCs w:val="28"/>
        </w:rPr>
        <w:t>the victim’s right to be present at all proceedings</w:t>
      </w:r>
      <w:r w:rsidR="005614D0">
        <w:rPr>
          <w:bCs/>
          <w:sz w:val="28"/>
          <w:szCs w:val="28"/>
        </w:rPr>
        <w:t>” ha</w:t>
      </w:r>
      <w:r w:rsidR="00420E9E">
        <w:rPr>
          <w:bCs/>
          <w:sz w:val="28"/>
          <w:szCs w:val="28"/>
        </w:rPr>
        <w:t>ve</w:t>
      </w:r>
      <w:r w:rsidR="005614D0">
        <w:rPr>
          <w:bCs/>
          <w:sz w:val="28"/>
          <w:szCs w:val="28"/>
        </w:rPr>
        <w:t xml:space="preserve"> been consider</w:t>
      </w:r>
      <w:r w:rsidR="000B2F4E">
        <w:rPr>
          <w:bCs/>
          <w:sz w:val="28"/>
          <w:szCs w:val="28"/>
        </w:rPr>
        <w:t>ed</w:t>
      </w:r>
      <w:r w:rsidR="00CB0BD3">
        <w:rPr>
          <w:bCs/>
          <w:sz w:val="28"/>
          <w:szCs w:val="28"/>
        </w:rPr>
        <w:t>.</w:t>
      </w:r>
      <w:r w:rsidR="00C56467">
        <w:rPr>
          <w:bCs/>
          <w:sz w:val="28"/>
          <w:szCs w:val="28"/>
        </w:rPr>
        <w:t xml:space="preserve">  Proposed Rule 16.3(d</w:t>
      </w:r>
      <w:r w:rsidR="000614F3">
        <w:rPr>
          <w:bCs/>
          <w:sz w:val="28"/>
          <w:szCs w:val="28"/>
        </w:rPr>
        <w:t>)</w:t>
      </w:r>
      <w:r w:rsidR="002A7EC6">
        <w:rPr>
          <w:bCs/>
          <w:sz w:val="28"/>
          <w:szCs w:val="28"/>
        </w:rPr>
        <w:t>(2).</w:t>
      </w:r>
      <w:r w:rsidR="0097646D">
        <w:rPr>
          <w:bCs/>
          <w:sz w:val="28"/>
          <w:szCs w:val="28"/>
        </w:rPr>
        <w:t xml:space="preserve">  The court’s ability to set</w:t>
      </w:r>
      <w:r w:rsidR="00681234">
        <w:rPr>
          <w:bCs/>
          <w:sz w:val="28"/>
          <w:szCs w:val="28"/>
        </w:rPr>
        <w:t xml:space="preserve"> evidentiary hearings and pretrial conferences</w:t>
      </w:r>
      <w:r w:rsidR="004D62F2">
        <w:rPr>
          <w:bCs/>
          <w:sz w:val="28"/>
          <w:szCs w:val="28"/>
        </w:rPr>
        <w:t>, which are generally ministerial</w:t>
      </w:r>
      <w:r w:rsidR="005B0A35">
        <w:rPr>
          <w:bCs/>
          <w:sz w:val="28"/>
          <w:szCs w:val="28"/>
        </w:rPr>
        <w:t xml:space="preserve"> and </w:t>
      </w:r>
      <w:r w:rsidR="0028528D">
        <w:rPr>
          <w:bCs/>
          <w:sz w:val="28"/>
          <w:szCs w:val="28"/>
        </w:rPr>
        <w:t>determined</w:t>
      </w:r>
      <w:r w:rsidR="005B0A35">
        <w:rPr>
          <w:bCs/>
          <w:sz w:val="28"/>
          <w:szCs w:val="28"/>
        </w:rPr>
        <w:t xml:space="preserve"> by a court’s docket,</w:t>
      </w:r>
      <w:r w:rsidR="00681234">
        <w:rPr>
          <w:bCs/>
          <w:sz w:val="28"/>
          <w:szCs w:val="28"/>
        </w:rPr>
        <w:t xml:space="preserve"> should not be hampered</w:t>
      </w:r>
      <w:r w:rsidR="005B0A35">
        <w:rPr>
          <w:bCs/>
          <w:sz w:val="28"/>
          <w:szCs w:val="28"/>
        </w:rPr>
        <w:t xml:space="preserve"> by the addition of the proposed language.  Instead</w:t>
      </w:r>
      <w:r w:rsidR="00CC416A">
        <w:rPr>
          <w:bCs/>
          <w:sz w:val="28"/>
          <w:szCs w:val="28"/>
        </w:rPr>
        <w:t xml:space="preserve">, </w:t>
      </w:r>
      <w:r w:rsidR="00541582">
        <w:rPr>
          <w:bCs/>
          <w:sz w:val="28"/>
          <w:szCs w:val="28"/>
        </w:rPr>
        <w:t xml:space="preserve">APAAC suggests </w:t>
      </w:r>
      <w:r w:rsidR="009B2EFF">
        <w:rPr>
          <w:bCs/>
          <w:sz w:val="28"/>
          <w:szCs w:val="28"/>
        </w:rPr>
        <w:t>that if a change to Rule 16.3(d) is necessary to protect victims’ rights</w:t>
      </w:r>
      <w:r w:rsidR="00D76AE3">
        <w:rPr>
          <w:bCs/>
          <w:sz w:val="28"/>
          <w:szCs w:val="28"/>
        </w:rPr>
        <w:t xml:space="preserve">, </w:t>
      </w:r>
      <w:r w:rsidR="00ED4BDC">
        <w:rPr>
          <w:bCs/>
          <w:sz w:val="28"/>
          <w:szCs w:val="28"/>
        </w:rPr>
        <w:t>the proposed modification</w:t>
      </w:r>
      <w:r w:rsidR="00207DC8">
        <w:rPr>
          <w:bCs/>
          <w:sz w:val="28"/>
          <w:szCs w:val="28"/>
        </w:rPr>
        <w:t xml:space="preserve"> should be clarified</w:t>
      </w:r>
      <w:r w:rsidR="0093090B">
        <w:rPr>
          <w:bCs/>
          <w:sz w:val="28"/>
          <w:szCs w:val="28"/>
        </w:rPr>
        <w:t xml:space="preserve"> to </w:t>
      </w:r>
      <w:r w:rsidR="0093090B">
        <w:rPr>
          <w:bCs/>
          <w:sz w:val="28"/>
          <w:szCs w:val="28"/>
        </w:rPr>
        <w:lastRenderedPageBreak/>
        <w:t xml:space="preserve">apply only to </w:t>
      </w:r>
      <w:r w:rsidR="00033CA1">
        <w:rPr>
          <w:bCs/>
          <w:sz w:val="28"/>
          <w:szCs w:val="28"/>
        </w:rPr>
        <w:t xml:space="preserve">motions to </w:t>
      </w:r>
      <w:r w:rsidR="0093090B">
        <w:rPr>
          <w:bCs/>
          <w:sz w:val="28"/>
          <w:szCs w:val="28"/>
        </w:rPr>
        <w:t>continue</w:t>
      </w:r>
      <w:r w:rsidR="00033CA1">
        <w:rPr>
          <w:bCs/>
          <w:sz w:val="28"/>
          <w:szCs w:val="28"/>
        </w:rPr>
        <w:t xml:space="preserve"> these hearings</w:t>
      </w:r>
      <w:r w:rsidR="00017B8F">
        <w:rPr>
          <w:bCs/>
          <w:sz w:val="28"/>
          <w:szCs w:val="28"/>
        </w:rPr>
        <w:t>, as provided in A.R.S. §</w:t>
      </w:r>
      <w:r w:rsidR="007E4F39">
        <w:rPr>
          <w:bCs/>
          <w:sz w:val="28"/>
          <w:szCs w:val="28"/>
        </w:rPr>
        <w:t xml:space="preserve"> 13-4435</w:t>
      </w:r>
      <w:r w:rsidR="007C3F9A">
        <w:rPr>
          <w:bCs/>
          <w:sz w:val="28"/>
          <w:szCs w:val="28"/>
        </w:rPr>
        <w:t>(</w:t>
      </w:r>
      <w:r w:rsidR="007E4F39">
        <w:rPr>
          <w:bCs/>
          <w:sz w:val="28"/>
          <w:szCs w:val="28"/>
        </w:rPr>
        <w:t>F</w:t>
      </w:r>
      <w:r w:rsidR="007C3F9A">
        <w:rPr>
          <w:bCs/>
          <w:sz w:val="28"/>
          <w:szCs w:val="28"/>
        </w:rPr>
        <w:t>)</w:t>
      </w:r>
      <w:r w:rsidR="007E4F39">
        <w:rPr>
          <w:bCs/>
          <w:sz w:val="28"/>
          <w:szCs w:val="28"/>
        </w:rPr>
        <w:t>.</w:t>
      </w:r>
    </w:p>
    <w:p w14:paraId="50878B6A" w14:textId="41A74C80" w:rsidR="004B7302" w:rsidRDefault="004374FB" w:rsidP="004B7302">
      <w:pPr>
        <w:pStyle w:val="Body"/>
        <w:widowControl w:val="0"/>
        <w:spacing w:line="480" w:lineRule="auto"/>
        <w:ind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4</w:t>
      </w:r>
      <w:r w:rsidR="004B7302">
        <w:rPr>
          <w:bCs/>
          <w:sz w:val="28"/>
          <w:szCs w:val="28"/>
        </w:rPr>
        <w:t>.</w:t>
      </w:r>
      <w:r w:rsidR="004B7302">
        <w:rPr>
          <w:bCs/>
          <w:sz w:val="28"/>
          <w:szCs w:val="28"/>
        </w:rPr>
        <w:tab/>
      </w:r>
      <w:r w:rsidR="004B7302" w:rsidRPr="008F16CB">
        <w:rPr>
          <w:bCs/>
          <w:sz w:val="28"/>
          <w:szCs w:val="28"/>
          <w:u w:val="single"/>
        </w:rPr>
        <w:t>Rule 1</w:t>
      </w:r>
      <w:r w:rsidR="0061368B">
        <w:rPr>
          <w:bCs/>
          <w:sz w:val="28"/>
          <w:szCs w:val="28"/>
          <w:u w:val="single"/>
        </w:rPr>
        <w:t>6</w:t>
      </w:r>
      <w:r w:rsidR="004B7302" w:rsidRPr="008F16CB">
        <w:rPr>
          <w:bCs/>
          <w:sz w:val="28"/>
          <w:szCs w:val="28"/>
          <w:u w:val="single"/>
        </w:rPr>
        <w:t>.</w:t>
      </w:r>
      <w:r w:rsidR="0061368B">
        <w:rPr>
          <w:bCs/>
          <w:sz w:val="28"/>
          <w:szCs w:val="28"/>
          <w:u w:val="single"/>
        </w:rPr>
        <w:t>4</w:t>
      </w:r>
      <w:r w:rsidR="004B7302" w:rsidRPr="008F16CB">
        <w:rPr>
          <w:bCs/>
          <w:sz w:val="28"/>
          <w:szCs w:val="28"/>
          <w:u w:val="single"/>
        </w:rPr>
        <w:t xml:space="preserve"> </w:t>
      </w:r>
      <w:r w:rsidR="004B7302">
        <w:rPr>
          <w:bCs/>
          <w:sz w:val="28"/>
          <w:szCs w:val="28"/>
          <w:u w:val="single"/>
        </w:rPr>
        <w:t>(</w:t>
      </w:r>
      <w:r w:rsidR="00C25A55">
        <w:rPr>
          <w:bCs/>
          <w:sz w:val="28"/>
          <w:szCs w:val="28"/>
          <w:u w:val="single"/>
        </w:rPr>
        <w:t>“Dismissal of Prosecution”)</w:t>
      </w:r>
    </w:p>
    <w:p w14:paraId="2E5838F8" w14:textId="77777777" w:rsidR="00E30498" w:rsidRDefault="008E6493" w:rsidP="008F5552">
      <w:pPr>
        <w:pStyle w:val="Body"/>
        <w:widowControl w:val="0"/>
        <w:spacing w:line="480" w:lineRule="auto"/>
        <w:ind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Rule 16.4</w:t>
      </w:r>
      <w:r w:rsidR="00CC0CDC">
        <w:rPr>
          <w:bCs/>
          <w:sz w:val="28"/>
          <w:szCs w:val="28"/>
        </w:rPr>
        <w:t xml:space="preserve">(a) allows </w:t>
      </w:r>
      <w:r w:rsidR="00FA71D7">
        <w:rPr>
          <w:bCs/>
          <w:sz w:val="28"/>
          <w:szCs w:val="28"/>
        </w:rPr>
        <w:t>the court to</w:t>
      </w:r>
      <w:r w:rsidR="00FA0F55">
        <w:rPr>
          <w:bCs/>
          <w:sz w:val="28"/>
          <w:szCs w:val="28"/>
        </w:rPr>
        <w:t xml:space="preserve"> dismis</w:t>
      </w:r>
      <w:r w:rsidR="00FA71D7">
        <w:rPr>
          <w:bCs/>
          <w:sz w:val="28"/>
          <w:szCs w:val="28"/>
        </w:rPr>
        <w:t>s</w:t>
      </w:r>
      <w:r w:rsidR="00FA0F55">
        <w:rPr>
          <w:bCs/>
          <w:sz w:val="28"/>
          <w:szCs w:val="28"/>
        </w:rPr>
        <w:t xml:space="preserve"> a prosecution</w:t>
      </w:r>
      <w:r w:rsidR="00C76816">
        <w:rPr>
          <w:bCs/>
          <w:sz w:val="28"/>
          <w:szCs w:val="28"/>
        </w:rPr>
        <w:t xml:space="preserve"> without prejudice on the State’s motion and for good cause.</w:t>
      </w:r>
      <w:r w:rsidR="0035601C">
        <w:rPr>
          <w:bCs/>
          <w:sz w:val="28"/>
          <w:szCs w:val="28"/>
        </w:rPr>
        <w:t xml:space="preserve">  AVCV again proposes</w:t>
      </w:r>
      <w:r w:rsidR="00791AFD">
        <w:rPr>
          <w:bCs/>
          <w:sz w:val="28"/>
          <w:szCs w:val="28"/>
        </w:rPr>
        <w:t xml:space="preserve"> adding a requirement</w:t>
      </w:r>
      <w:r w:rsidR="002E2782">
        <w:rPr>
          <w:bCs/>
          <w:sz w:val="28"/>
          <w:szCs w:val="28"/>
        </w:rPr>
        <w:t xml:space="preserve"> to this section that </w:t>
      </w:r>
      <w:r w:rsidR="006B567E">
        <w:rPr>
          <w:bCs/>
          <w:sz w:val="28"/>
          <w:szCs w:val="28"/>
        </w:rPr>
        <w:t>the court could only dismiss</w:t>
      </w:r>
      <w:r w:rsidR="007B3E82">
        <w:rPr>
          <w:bCs/>
          <w:sz w:val="28"/>
          <w:szCs w:val="28"/>
        </w:rPr>
        <w:t xml:space="preserve"> for good cause on motion of the State “</w:t>
      </w:r>
      <w:r w:rsidR="007B3E82" w:rsidRPr="007B3E82">
        <w:rPr>
          <w:bCs/>
          <w:i/>
          <w:iCs/>
          <w:sz w:val="28"/>
          <w:szCs w:val="28"/>
        </w:rPr>
        <w:t>after considering the views of the victim</w:t>
      </w:r>
      <w:r w:rsidR="007B3E82">
        <w:rPr>
          <w:bCs/>
          <w:sz w:val="28"/>
          <w:szCs w:val="28"/>
        </w:rPr>
        <w:t>.”</w:t>
      </w:r>
      <w:r w:rsidR="00024E13">
        <w:rPr>
          <w:bCs/>
          <w:sz w:val="28"/>
          <w:szCs w:val="28"/>
        </w:rPr>
        <w:t xml:space="preserve">  </w:t>
      </w:r>
      <w:r w:rsidR="001E7422">
        <w:rPr>
          <w:bCs/>
          <w:sz w:val="28"/>
          <w:szCs w:val="28"/>
        </w:rPr>
        <w:t>T</w:t>
      </w:r>
      <w:r w:rsidR="00024E13">
        <w:rPr>
          <w:bCs/>
          <w:sz w:val="28"/>
          <w:szCs w:val="28"/>
        </w:rPr>
        <w:t>his proposed language inserts</w:t>
      </w:r>
      <w:r w:rsidR="00D70BCD">
        <w:rPr>
          <w:bCs/>
          <w:sz w:val="28"/>
          <w:szCs w:val="28"/>
        </w:rPr>
        <w:t xml:space="preserve"> the </w:t>
      </w:r>
      <w:r w:rsidR="001E7422">
        <w:rPr>
          <w:bCs/>
          <w:sz w:val="28"/>
          <w:szCs w:val="28"/>
        </w:rPr>
        <w:t>victim into the State’s decision to dismiss a prosecution</w:t>
      </w:r>
      <w:r w:rsidR="001262FC">
        <w:rPr>
          <w:bCs/>
          <w:sz w:val="28"/>
          <w:szCs w:val="28"/>
        </w:rPr>
        <w:t xml:space="preserve"> and the court’s ability to grant it</w:t>
      </w:r>
      <w:r w:rsidR="001E7422">
        <w:rPr>
          <w:bCs/>
          <w:sz w:val="28"/>
          <w:szCs w:val="28"/>
        </w:rPr>
        <w:t>.</w:t>
      </w:r>
      <w:r w:rsidR="006747C0">
        <w:rPr>
          <w:bCs/>
          <w:sz w:val="28"/>
          <w:szCs w:val="28"/>
        </w:rPr>
        <w:t xml:space="preserve">  Fairly read, </w:t>
      </w:r>
      <w:r w:rsidR="009C3897">
        <w:rPr>
          <w:bCs/>
          <w:sz w:val="28"/>
          <w:szCs w:val="28"/>
        </w:rPr>
        <w:t>this proposal</w:t>
      </w:r>
      <w:r w:rsidR="00CA578B">
        <w:rPr>
          <w:bCs/>
          <w:sz w:val="28"/>
          <w:szCs w:val="28"/>
        </w:rPr>
        <w:t xml:space="preserve"> could give a victim the right to object to a dismissal by the State.</w:t>
      </w:r>
      <w:r w:rsidR="00183457">
        <w:rPr>
          <w:bCs/>
          <w:sz w:val="28"/>
          <w:szCs w:val="28"/>
        </w:rPr>
        <w:t xml:space="preserve">  This is not something that currently exists in the VBR or</w:t>
      </w:r>
      <w:r w:rsidR="00095034">
        <w:rPr>
          <w:bCs/>
          <w:sz w:val="28"/>
          <w:szCs w:val="28"/>
        </w:rPr>
        <w:t xml:space="preserve"> its</w:t>
      </w:r>
      <w:r w:rsidR="00881856">
        <w:rPr>
          <w:bCs/>
          <w:sz w:val="28"/>
          <w:szCs w:val="28"/>
        </w:rPr>
        <w:t xml:space="preserve"> implementing statutes.</w:t>
      </w:r>
    </w:p>
    <w:p w14:paraId="3CD9A241" w14:textId="7DB41B5C" w:rsidR="008F5552" w:rsidRPr="00C64B6E" w:rsidRDefault="00E30498" w:rsidP="008F5552">
      <w:pPr>
        <w:pStyle w:val="Body"/>
        <w:widowControl w:val="0"/>
        <w:spacing w:line="480" w:lineRule="auto"/>
        <w:ind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470F74">
        <w:rPr>
          <w:bCs/>
          <w:sz w:val="28"/>
          <w:szCs w:val="28"/>
        </w:rPr>
        <w:t>APAAC ha</w:t>
      </w:r>
      <w:r w:rsidR="008F5552">
        <w:rPr>
          <w:bCs/>
          <w:sz w:val="28"/>
          <w:szCs w:val="28"/>
        </w:rPr>
        <w:t>s previously pointed out that a victim has the right</w:t>
      </w:r>
      <w:r w:rsidR="00E52435">
        <w:rPr>
          <w:bCs/>
          <w:sz w:val="28"/>
          <w:szCs w:val="28"/>
        </w:rPr>
        <w:t>, upon request,</w:t>
      </w:r>
      <w:r w:rsidR="008F5552">
        <w:rPr>
          <w:bCs/>
          <w:sz w:val="28"/>
          <w:szCs w:val="28"/>
        </w:rPr>
        <w:t xml:space="preserve"> to confer with the prosecution about a dismissal (A.R.S. § 13-44</w:t>
      </w:r>
      <w:r w:rsidR="004132DD">
        <w:rPr>
          <w:bCs/>
          <w:sz w:val="28"/>
          <w:szCs w:val="28"/>
        </w:rPr>
        <w:t>19</w:t>
      </w:r>
      <w:r w:rsidR="008F5552">
        <w:rPr>
          <w:bCs/>
          <w:sz w:val="28"/>
          <w:szCs w:val="28"/>
        </w:rPr>
        <w:t>(</w:t>
      </w:r>
      <w:r w:rsidR="004132DD">
        <w:rPr>
          <w:bCs/>
          <w:sz w:val="28"/>
          <w:szCs w:val="28"/>
        </w:rPr>
        <w:t>A)</w:t>
      </w:r>
      <w:r w:rsidR="00CF7728">
        <w:rPr>
          <w:bCs/>
          <w:sz w:val="28"/>
          <w:szCs w:val="28"/>
        </w:rPr>
        <w:t>)</w:t>
      </w:r>
      <w:r w:rsidR="005747F7">
        <w:rPr>
          <w:bCs/>
          <w:sz w:val="28"/>
          <w:szCs w:val="28"/>
        </w:rPr>
        <w:t xml:space="preserve">, but </w:t>
      </w:r>
      <w:r w:rsidR="003A5A69">
        <w:rPr>
          <w:bCs/>
          <w:sz w:val="28"/>
          <w:szCs w:val="28"/>
        </w:rPr>
        <w:t xml:space="preserve">that right does not extend to </w:t>
      </w:r>
      <w:r w:rsidR="009C1B36">
        <w:rPr>
          <w:bCs/>
          <w:sz w:val="28"/>
          <w:szCs w:val="28"/>
        </w:rPr>
        <w:t xml:space="preserve">having </w:t>
      </w:r>
      <w:r w:rsidR="00F87677">
        <w:rPr>
          <w:bCs/>
          <w:sz w:val="28"/>
          <w:szCs w:val="28"/>
        </w:rPr>
        <w:t>the court deny a dismissal if the victim objects.</w:t>
      </w:r>
      <w:r w:rsidR="002C7CC3">
        <w:rPr>
          <w:bCs/>
          <w:sz w:val="28"/>
          <w:szCs w:val="28"/>
        </w:rPr>
        <w:t xml:space="preserve">  A prosecuting attorney must be free to decide which cases to pursue or not, and the case law is clear that a prosecutor has broad discretion to prosecute cases “regardless of the wishes of the victim.”  </w:t>
      </w:r>
      <w:r w:rsidR="002C7CC3" w:rsidRPr="00477F4D">
        <w:rPr>
          <w:bCs/>
          <w:i/>
          <w:iCs/>
          <w:sz w:val="28"/>
          <w:szCs w:val="28"/>
        </w:rPr>
        <w:t>State v. Granados</w:t>
      </w:r>
      <w:r w:rsidR="002C7CC3">
        <w:rPr>
          <w:bCs/>
          <w:sz w:val="28"/>
          <w:szCs w:val="28"/>
        </w:rPr>
        <w:t>, 172 Ariz. 405</w:t>
      </w:r>
      <w:r w:rsidR="00C64B6E">
        <w:rPr>
          <w:bCs/>
          <w:sz w:val="28"/>
          <w:szCs w:val="28"/>
        </w:rPr>
        <w:t>, 408 (App. 1991)</w:t>
      </w:r>
      <w:r w:rsidR="00C94C1A">
        <w:rPr>
          <w:bCs/>
          <w:sz w:val="28"/>
          <w:szCs w:val="28"/>
        </w:rPr>
        <w:t xml:space="preserve">; </w:t>
      </w:r>
      <w:r w:rsidR="00C94C1A" w:rsidRPr="00A208A4">
        <w:rPr>
          <w:bCs/>
          <w:i/>
          <w:iCs/>
          <w:sz w:val="28"/>
          <w:szCs w:val="28"/>
        </w:rPr>
        <w:t>State v. Pel</w:t>
      </w:r>
      <w:r w:rsidR="00847984" w:rsidRPr="00A208A4">
        <w:rPr>
          <w:bCs/>
          <w:i/>
          <w:iCs/>
          <w:sz w:val="28"/>
          <w:szCs w:val="28"/>
        </w:rPr>
        <w:t>tz</w:t>
      </w:r>
      <w:r w:rsidR="00847984">
        <w:rPr>
          <w:bCs/>
          <w:sz w:val="28"/>
          <w:szCs w:val="28"/>
        </w:rPr>
        <w:t>, 242 Ariz. 23, ¶</w:t>
      </w:r>
      <w:r w:rsidR="00A208A4">
        <w:rPr>
          <w:bCs/>
          <w:sz w:val="28"/>
          <w:szCs w:val="28"/>
        </w:rPr>
        <w:t xml:space="preserve"> 8 (App. 2017)</w:t>
      </w:r>
      <w:r w:rsidR="00A54F98">
        <w:rPr>
          <w:bCs/>
          <w:sz w:val="28"/>
          <w:szCs w:val="28"/>
        </w:rPr>
        <w:t xml:space="preserve"> (</w:t>
      </w:r>
      <w:r w:rsidR="00265EE1">
        <w:rPr>
          <w:bCs/>
          <w:sz w:val="28"/>
          <w:szCs w:val="28"/>
        </w:rPr>
        <w:t>“[t]he prosecutor has broad discretion in deciding both whether to charge and which charges to file</w:t>
      </w:r>
      <w:r w:rsidR="007603E3">
        <w:rPr>
          <w:bCs/>
          <w:sz w:val="28"/>
          <w:szCs w:val="28"/>
        </w:rPr>
        <w:t xml:space="preserve"> against a defendant.”)</w:t>
      </w:r>
      <w:r w:rsidR="00C64B6E">
        <w:rPr>
          <w:bCs/>
          <w:sz w:val="28"/>
          <w:szCs w:val="28"/>
        </w:rPr>
        <w:t xml:space="preserve">. </w:t>
      </w:r>
      <w:r w:rsidR="00A208A4">
        <w:rPr>
          <w:bCs/>
          <w:sz w:val="28"/>
          <w:szCs w:val="28"/>
        </w:rPr>
        <w:t xml:space="preserve"> </w:t>
      </w:r>
      <w:r w:rsidR="00A54F98">
        <w:rPr>
          <w:bCs/>
          <w:sz w:val="28"/>
          <w:szCs w:val="28"/>
        </w:rPr>
        <w:t>A</w:t>
      </w:r>
      <w:r w:rsidR="00C64B6E">
        <w:rPr>
          <w:bCs/>
          <w:sz w:val="28"/>
          <w:szCs w:val="28"/>
        </w:rPr>
        <w:t xml:space="preserve"> victim has no authority to direct the prosecution of a case.  A.R.S. § 13-44</w:t>
      </w:r>
      <w:r w:rsidR="00535519">
        <w:rPr>
          <w:bCs/>
          <w:sz w:val="28"/>
          <w:szCs w:val="28"/>
        </w:rPr>
        <w:t>19</w:t>
      </w:r>
      <w:r w:rsidR="00C64B6E">
        <w:rPr>
          <w:bCs/>
          <w:sz w:val="28"/>
          <w:szCs w:val="28"/>
        </w:rPr>
        <w:t>(</w:t>
      </w:r>
      <w:r w:rsidR="00535519">
        <w:rPr>
          <w:bCs/>
          <w:sz w:val="28"/>
          <w:szCs w:val="28"/>
        </w:rPr>
        <w:t>C</w:t>
      </w:r>
      <w:r w:rsidR="00C64B6E">
        <w:rPr>
          <w:bCs/>
          <w:sz w:val="28"/>
          <w:szCs w:val="28"/>
        </w:rPr>
        <w:t>).</w:t>
      </w:r>
      <w:r w:rsidR="003174C2">
        <w:rPr>
          <w:bCs/>
          <w:sz w:val="28"/>
          <w:szCs w:val="28"/>
        </w:rPr>
        <w:t xml:space="preserve">  </w:t>
      </w:r>
      <w:r w:rsidR="003174C2">
        <w:rPr>
          <w:bCs/>
          <w:sz w:val="28"/>
          <w:szCs w:val="28"/>
        </w:rPr>
        <w:lastRenderedPageBreak/>
        <w:t>APAAC recommends that if the proposed modification is to be adopted, it should be amend</w:t>
      </w:r>
      <w:r w:rsidR="004A0602">
        <w:rPr>
          <w:bCs/>
          <w:sz w:val="28"/>
          <w:szCs w:val="28"/>
        </w:rPr>
        <w:t>ed to read “</w:t>
      </w:r>
      <w:r w:rsidR="004A0602" w:rsidRPr="004A0602">
        <w:rPr>
          <w:bCs/>
          <w:i/>
          <w:iCs/>
          <w:sz w:val="28"/>
          <w:szCs w:val="28"/>
        </w:rPr>
        <w:t>after determining that the victim has conferred with the prosecutor</w:t>
      </w:r>
      <w:r w:rsidR="004A0602">
        <w:rPr>
          <w:bCs/>
          <w:sz w:val="28"/>
          <w:szCs w:val="28"/>
        </w:rPr>
        <w:t>.”</w:t>
      </w:r>
    </w:p>
    <w:p w14:paraId="0A6B3B8B" w14:textId="2898822F" w:rsidR="00526087" w:rsidRPr="00104F4E" w:rsidRDefault="00526087" w:rsidP="007D4F83">
      <w:pPr>
        <w:pStyle w:val="Body"/>
        <w:widowControl w:val="0"/>
        <w:spacing w:line="480" w:lineRule="auto"/>
        <w:ind w:firstLine="0"/>
        <w:rPr>
          <w:b/>
          <w:sz w:val="28"/>
          <w:szCs w:val="28"/>
        </w:rPr>
      </w:pPr>
      <w:r w:rsidRPr="00104F4E">
        <w:rPr>
          <w:b/>
          <w:sz w:val="28"/>
          <w:szCs w:val="28"/>
        </w:rPr>
        <w:t>III.</w:t>
      </w:r>
      <w:r w:rsidRPr="00104F4E">
        <w:rPr>
          <w:b/>
          <w:sz w:val="28"/>
          <w:szCs w:val="28"/>
        </w:rPr>
        <w:tab/>
        <w:t>CONCLUSION</w:t>
      </w:r>
    </w:p>
    <w:p w14:paraId="4ED7F5FF" w14:textId="5BE439F2" w:rsidR="00526087" w:rsidRPr="00CF58A1" w:rsidRDefault="00E00AF4" w:rsidP="00770976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FD0C85">
        <w:rPr>
          <w:sz w:val="28"/>
          <w:szCs w:val="28"/>
        </w:rPr>
        <w:t>Arizona Prosecuting Attorneys’ Advisory Council</w:t>
      </w:r>
      <w:r>
        <w:rPr>
          <w:sz w:val="28"/>
          <w:szCs w:val="28"/>
        </w:rPr>
        <w:t xml:space="preserve"> </w:t>
      </w:r>
      <w:r w:rsidR="00660556">
        <w:rPr>
          <w:sz w:val="28"/>
          <w:szCs w:val="28"/>
        </w:rPr>
        <w:t xml:space="preserve">recognizes and commends the </w:t>
      </w:r>
      <w:r w:rsidR="00770976">
        <w:rPr>
          <w:sz w:val="28"/>
          <w:szCs w:val="28"/>
        </w:rPr>
        <w:t xml:space="preserve">work of the </w:t>
      </w:r>
      <w:r w:rsidR="00A8322F">
        <w:rPr>
          <w:sz w:val="28"/>
          <w:szCs w:val="28"/>
        </w:rPr>
        <w:t>AVCV in it</w:t>
      </w:r>
      <w:r w:rsidR="007014DA">
        <w:rPr>
          <w:sz w:val="28"/>
          <w:szCs w:val="28"/>
        </w:rPr>
        <w:t xml:space="preserve">s </w:t>
      </w:r>
      <w:r w:rsidR="009741A0">
        <w:rPr>
          <w:sz w:val="28"/>
          <w:szCs w:val="28"/>
        </w:rPr>
        <w:t xml:space="preserve">continuing </w:t>
      </w:r>
      <w:r w:rsidR="007014DA">
        <w:rPr>
          <w:sz w:val="28"/>
          <w:szCs w:val="28"/>
        </w:rPr>
        <w:t>efforts to enhance and protect victims’ rights in Arizona.</w:t>
      </w:r>
      <w:r w:rsidR="008F28D0">
        <w:rPr>
          <w:sz w:val="28"/>
          <w:szCs w:val="28"/>
        </w:rPr>
        <w:t xml:space="preserve">  APAAC offers the suggestions in this comment with the intent</w:t>
      </w:r>
      <w:r w:rsidR="009A7DEF">
        <w:rPr>
          <w:sz w:val="28"/>
          <w:szCs w:val="28"/>
        </w:rPr>
        <w:t xml:space="preserve"> of </w:t>
      </w:r>
      <w:r w:rsidR="00AD6948">
        <w:rPr>
          <w:sz w:val="28"/>
          <w:szCs w:val="28"/>
        </w:rPr>
        <w:t>strengthen</w:t>
      </w:r>
      <w:r w:rsidR="00770976">
        <w:rPr>
          <w:sz w:val="28"/>
          <w:szCs w:val="28"/>
        </w:rPr>
        <w:t>ing</w:t>
      </w:r>
      <w:r w:rsidR="00AD6948">
        <w:rPr>
          <w:sz w:val="28"/>
          <w:szCs w:val="28"/>
        </w:rPr>
        <w:t xml:space="preserve"> the proposed changes as set forth in </w:t>
      </w:r>
      <w:r w:rsidR="005B23B7">
        <w:rPr>
          <w:sz w:val="28"/>
          <w:szCs w:val="28"/>
        </w:rPr>
        <w:t>AVCV’s</w:t>
      </w:r>
      <w:r w:rsidR="00770976">
        <w:rPr>
          <w:sz w:val="28"/>
          <w:szCs w:val="28"/>
        </w:rPr>
        <w:t xml:space="preserve"> </w:t>
      </w:r>
      <w:r w:rsidR="00AD6948">
        <w:rPr>
          <w:sz w:val="28"/>
          <w:szCs w:val="28"/>
        </w:rPr>
        <w:t>petition.</w:t>
      </w:r>
    </w:p>
    <w:p w14:paraId="535B98A1" w14:textId="77777777" w:rsidR="00653912" w:rsidRDefault="00653912" w:rsidP="00653912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>
        <w:rPr>
          <w:szCs w:val="26"/>
        </w:rPr>
        <w:t xml:space="preserve">       </w:t>
      </w:r>
      <w:r>
        <w:rPr>
          <w:sz w:val="28"/>
          <w:szCs w:val="28"/>
        </w:rPr>
        <w:t xml:space="preserve">RESPECTFULLY SUBMITTED this </w:t>
      </w:r>
      <w:r>
        <w:rPr>
          <w:sz w:val="28"/>
          <w:szCs w:val="28"/>
          <w:u w:val="single"/>
        </w:rPr>
        <w:t xml:space="preserve">  1st  </w:t>
      </w:r>
      <w:r>
        <w:rPr>
          <w:sz w:val="28"/>
          <w:szCs w:val="28"/>
        </w:rPr>
        <w:t xml:space="preserve"> day of </w:t>
      </w:r>
      <w:proofErr w:type="gramStart"/>
      <w:r>
        <w:rPr>
          <w:sz w:val="28"/>
          <w:szCs w:val="28"/>
        </w:rPr>
        <w:t>April,</w:t>
      </w:r>
      <w:proofErr w:type="gramEnd"/>
      <w:r>
        <w:rPr>
          <w:sz w:val="28"/>
          <w:szCs w:val="28"/>
        </w:rPr>
        <w:t xml:space="preserve"> 2020.</w:t>
      </w:r>
    </w:p>
    <w:p w14:paraId="7BFB4A3A" w14:textId="77777777" w:rsidR="00653912" w:rsidRDefault="00653912" w:rsidP="00653912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</w:p>
    <w:p w14:paraId="725B88EE" w14:textId="77777777" w:rsidR="00653912" w:rsidRDefault="00653912" w:rsidP="00653912">
      <w:pPr>
        <w:pStyle w:val="Body"/>
        <w:widowControl w:val="0"/>
        <w:tabs>
          <w:tab w:val="left" w:pos="720"/>
        </w:tabs>
        <w:spacing w:line="240" w:lineRule="auto"/>
        <w:ind w:firstLine="0"/>
        <w:rPr>
          <w:rFonts w:ascii="Lucida Handwriting" w:hAnsi="Lucida Handwriting"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 /s/    </w:t>
      </w:r>
      <w:r>
        <w:rPr>
          <w:rFonts w:ascii="Lucida Handwriting" w:hAnsi="Lucida Handwriting"/>
          <w:sz w:val="28"/>
          <w:szCs w:val="28"/>
          <w:u w:val="single"/>
        </w:rPr>
        <w:t>Elizabeth Burton Ortiz</w:t>
      </w:r>
      <w:r>
        <w:rPr>
          <w:rFonts w:ascii="Lucida Handwriting" w:hAnsi="Lucida Handwriting"/>
          <w:sz w:val="28"/>
          <w:szCs w:val="28"/>
          <w:u w:val="single"/>
        </w:rPr>
        <w:tab/>
      </w:r>
      <w:r>
        <w:rPr>
          <w:rFonts w:ascii="Lucida Handwriting" w:hAnsi="Lucida Handwriting"/>
          <w:sz w:val="28"/>
          <w:szCs w:val="28"/>
          <w:u w:val="single"/>
        </w:rPr>
        <w:tab/>
      </w:r>
    </w:p>
    <w:p w14:paraId="3CA10806" w14:textId="77777777" w:rsidR="00653912" w:rsidRDefault="00653912" w:rsidP="00653912">
      <w:pPr>
        <w:pStyle w:val="Body"/>
        <w:widowControl w:val="0"/>
        <w:tabs>
          <w:tab w:val="left" w:pos="720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Elizabeth Burton Ortiz, #012838</w:t>
      </w:r>
    </w:p>
    <w:p w14:paraId="08BDA7DF" w14:textId="77777777" w:rsidR="00653912" w:rsidRDefault="00653912" w:rsidP="00653912">
      <w:pPr>
        <w:pStyle w:val="PleadingSignature"/>
        <w:keepNext w:val="0"/>
        <w:keepLines w:val="0"/>
        <w:spacing w:line="240" w:lineRule="auto"/>
        <w:ind w:left="3600" w:firstLine="720"/>
        <w:rPr>
          <w:sz w:val="28"/>
          <w:szCs w:val="28"/>
        </w:rPr>
      </w:pPr>
      <w:r>
        <w:rPr>
          <w:sz w:val="28"/>
          <w:szCs w:val="28"/>
        </w:rPr>
        <w:t>Executive Director</w:t>
      </w:r>
    </w:p>
    <w:p w14:paraId="6EDDD9BF" w14:textId="77777777" w:rsidR="00653912" w:rsidRDefault="00653912" w:rsidP="00653912">
      <w:pPr>
        <w:pStyle w:val="PleadingSignature"/>
        <w:keepNext w:val="0"/>
        <w:keepLines w:val="0"/>
        <w:spacing w:line="240" w:lineRule="auto"/>
        <w:ind w:left="3600" w:firstLine="720"/>
        <w:rPr>
          <w:sz w:val="28"/>
          <w:szCs w:val="28"/>
        </w:rPr>
      </w:pPr>
      <w:r>
        <w:rPr>
          <w:sz w:val="28"/>
          <w:szCs w:val="28"/>
        </w:rPr>
        <w:t>Arizona Prosecuting Attorneys’</w:t>
      </w:r>
    </w:p>
    <w:p w14:paraId="4FF75605" w14:textId="77777777" w:rsidR="00653912" w:rsidRDefault="00653912" w:rsidP="00653912">
      <w:pPr>
        <w:pStyle w:val="PleadingSignature"/>
        <w:keepNext w:val="0"/>
        <w:keepLines w:val="0"/>
        <w:spacing w:line="240" w:lineRule="auto"/>
        <w:ind w:left="3600" w:firstLine="720"/>
        <w:rPr>
          <w:sz w:val="28"/>
          <w:szCs w:val="28"/>
        </w:rPr>
      </w:pPr>
      <w:r>
        <w:rPr>
          <w:sz w:val="28"/>
          <w:szCs w:val="28"/>
        </w:rPr>
        <w:t xml:space="preserve">    Advisory Council</w:t>
      </w:r>
    </w:p>
    <w:p w14:paraId="5EABCB5E" w14:textId="77777777" w:rsidR="00653912" w:rsidRDefault="00653912" w:rsidP="00653912">
      <w:pPr>
        <w:pStyle w:val="PleadingSignature"/>
        <w:keepNext w:val="0"/>
        <w:keepLines w:val="0"/>
        <w:spacing w:line="240" w:lineRule="auto"/>
        <w:ind w:left="5070"/>
        <w:rPr>
          <w:szCs w:val="26"/>
        </w:rPr>
      </w:pPr>
    </w:p>
    <w:p w14:paraId="7FA5AEE9" w14:textId="77777777" w:rsidR="00653912" w:rsidRDefault="00653912" w:rsidP="00653912">
      <w:pPr>
        <w:widowControl w:val="0"/>
        <w:spacing w:line="240" w:lineRule="auto"/>
        <w:ind w:right="4140"/>
        <w:rPr>
          <w:sz w:val="28"/>
          <w:szCs w:val="28"/>
        </w:rPr>
      </w:pPr>
      <w:r>
        <w:rPr>
          <w:sz w:val="28"/>
          <w:szCs w:val="28"/>
        </w:rPr>
        <w:t>Electronic copy filed with the</w:t>
      </w:r>
    </w:p>
    <w:p w14:paraId="123411B7" w14:textId="77777777" w:rsidR="00653912" w:rsidRDefault="00653912" w:rsidP="00653912">
      <w:pPr>
        <w:spacing w:line="240" w:lineRule="auto"/>
        <w:ind w:right="4140"/>
        <w:rPr>
          <w:sz w:val="28"/>
          <w:szCs w:val="28"/>
        </w:rPr>
      </w:pPr>
      <w:r>
        <w:rPr>
          <w:sz w:val="28"/>
          <w:szCs w:val="28"/>
        </w:rPr>
        <w:t>Clerk of the Arizona Supreme Court</w:t>
      </w:r>
    </w:p>
    <w:p w14:paraId="729850B3" w14:textId="77777777" w:rsidR="00653912" w:rsidRDefault="00653912" w:rsidP="00653912">
      <w:pPr>
        <w:tabs>
          <w:tab w:val="left" w:pos="4836"/>
        </w:tabs>
        <w:spacing w:line="240" w:lineRule="auto"/>
        <w:ind w:right="3870"/>
        <w:rPr>
          <w:sz w:val="28"/>
          <w:szCs w:val="28"/>
        </w:rPr>
      </w:pPr>
      <w:r>
        <w:rPr>
          <w:sz w:val="28"/>
          <w:szCs w:val="28"/>
        </w:rPr>
        <w:t xml:space="preserve">this </w:t>
      </w:r>
      <w:r>
        <w:rPr>
          <w:sz w:val="28"/>
          <w:szCs w:val="28"/>
          <w:u w:val="single"/>
        </w:rPr>
        <w:t xml:space="preserve">  2nd  </w:t>
      </w:r>
      <w:r>
        <w:rPr>
          <w:sz w:val="28"/>
          <w:szCs w:val="28"/>
        </w:rPr>
        <w:t xml:space="preserve"> day of </w:t>
      </w:r>
      <w:proofErr w:type="gramStart"/>
      <w:r>
        <w:rPr>
          <w:sz w:val="28"/>
          <w:szCs w:val="28"/>
        </w:rPr>
        <w:t>April,</w:t>
      </w:r>
      <w:proofErr w:type="gramEnd"/>
      <w:r>
        <w:rPr>
          <w:sz w:val="28"/>
          <w:szCs w:val="28"/>
        </w:rPr>
        <w:t xml:space="preserve"> 2020.</w:t>
      </w:r>
    </w:p>
    <w:p w14:paraId="585CDE35" w14:textId="77777777" w:rsidR="00653912" w:rsidRDefault="00653912" w:rsidP="00653912">
      <w:pPr>
        <w:spacing w:line="240" w:lineRule="auto"/>
        <w:ind w:right="4572"/>
        <w:rPr>
          <w:sz w:val="28"/>
          <w:szCs w:val="28"/>
        </w:rPr>
      </w:pPr>
    </w:p>
    <w:p w14:paraId="7DC588C4" w14:textId="77777777" w:rsidR="00653912" w:rsidRDefault="00653912" w:rsidP="00653912">
      <w:pPr>
        <w:spacing w:line="240" w:lineRule="auto"/>
        <w:ind w:right="4572"/>
        <w:rPr>
          <w:sz w:val="28"/>
          <w:szCs w:val="28"/>
        </w:rPr>
      </w:pPr>
    </w:p>
    <w:p w14:paraId="1E1CCE87" w14:textId="77777777" w:rsidR="00653912" w:rsidRDefault="00653912" w:rsidP="00653912">
      <w:pPr>
        <w:spacing w:line="240" w:lineRule="auto"/>
        <w:ind w:right="4572"/>
        <w:rPr>
          <w:rFonts w:ascii="Bradley Hand ITC" w:hAnsi="Bradley Hand ITC"/>
          <w:sz w:val="32"/>
          <w:szCs w:val="32"/>
          <w:u w:val="single"/>
        </w:rPr>
      </w:pPr>
      <w:r>
        <w:rPr>
          <w:sz w:val="28"/>
          <w:szCs w:val="28"/>
        </w:rPr>
        <w:t xml:space="preserve">By:  </w:t>
      </w:r>
      <w:r>
        <w:rPr>
          <w:rFonts w:ascii="Bradley Hand ITC" w:hAnsi="Bradley Hand ITC"/>
          <w:sz w:val="32"/>
          <w:szCs w:val="32"/>
          <w:u w:val="single"/>
        </w:rPr>
        <w:tab/>
      </w:r>
      <w:r>
        <w:rPr>
          <w:sz w:val="28"/>
          <w:szCs w:val="28"/>
          <w:u w:val="single"/>
        </w:rPr>
        <w:t>/s</w:t>
      </w:r>
      <w:proofErr w:type="gramStart"/>
      <w:r>
        <w:rPr>
          <w:sz w:val="28"/>
          <w:szCs w:val="28"/>
          <w:u w:val="single"/>
        </w:rPr>
        <w:t xml:space="preserve">/  </w:t>
      </w:r>
      <w:r>
        <w:rPr>
          <w:rFonts w:ascii="Bradley Hand ITC" w:hAnsi="Bradley Hand ITC"/>
          <w:sz w:val="32"/>
          <w:szCs w:val="32"/>
          <w:u w:val="single"/>
        </w:rPr>
        <w:t>Diana</w:t>
      </w:r>
      <w:proofErr w:type="gramEnd"/>
      <w:r>
        <w:rPr>
          <w:rFonts w:ascii="Bradley Hand ITC" w:hAnsi="Bradley Hand ITC"/>
          <w:sz w:val="32"/>
          <w:szCs w:val="32"/>
          <w:u w:val="single"/>
        </w:rPr>
        <w:t xml:space="preserve"> Cooney</w:t>
      </w:r>
      <w:r>
        <w:rPr>
          <w:rFonts w:ascii="Bradley Hand ITC" w:hAnsi="Bradley Hand ITC"/>
          <w:sz w:val="32"/>
          <w:szCs w:val="32"/>
          <w:u w:val="single"/>
        </w:rPr>
        <w:tab/>
      </w:r>
      <w:r>
        <w:rPr>
          <w:rFonts w:ascii="Bradley Hand ITC" w:hAnsi="Bradley Hand ITC"/>
          <w:sz w:val="32"/>
          <w:szCs w:val="32"/>
          <w:u w:val="single"/>
        </w:rPr>
        <w:tab/>
      </w:r>
    </w:p>
    <w:p w14:paraId="7A652556" w14:textId="77777777" w:rsidR="00052372" w:rsidRPr="000F7A7F" w:rsidRDefault="00052372" w:rsidP="00653912">
      <w:pPr>
        <w:pStyle w:val="Body"/>
        <w:widowControl w:val="0"/>
        <w:tabs>
          <w:tab w:val="left" w:pos="720"/>
        </w:tabs>
        <w:ind w:firstLine="0"/>
        <w:rPr>
          <w:szCs w:val="26"/>
        </w:rPr>
      </w:pPr>
      <w:bookmarkStart w:id="2" w:name="_GoBack"/>
      <w:bookmarkEnd w:id="2"/>
    </w:p>
    <w:sectPr w:rsidR="00052372" w:rsidRPr="000F7A7F" w:rsidSect="006F63FD">
      <w:headerReference w:type="default" r:id="rId12"/>
      <w:footerReference w:type="even" r:id="rId13"/>
      <w:footerReference w:type="default" r:id="rId14"/>
      <w:pgSz w:w="12240" w:h="15840" w:code="1"/>
      <w:pgMar w:top="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1D8F5" w14:textId="77777777" w:rsidR="00226AB6" w:rsidRDefault="00226AB6">
      <w:r>
        <w:separator/>
      </w:r>
    </w:p>
  </w:endnote>
  <w:endnote w:type="continuationSeparator" w:id="0">
    <w:p w14:paraId="12DBA725" w14:textId="77777777" w:rsidR="00226AB6" w:rsidRDefault="00226AB6">
      <w:r>
        <w:continuationSeparator/>
      </w:r>
    </w:p>
  </w:endnote>
  <w:endnote w:type="continuationNotice" w:id="1">
    <w:p w14:paraId="3A5AD04C" w14:textId="77777777" w:rsidR="00226AB6" w:rsidRDefault="00226A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E4592" w14:textId="77777777" w:rsidR="00526244" w:rsidRDefault="00526244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EFD937" w14:textId="77777777" w:rsidR="00526244" w:rsidRDefault="00526244" w:rsidP="00861563">
    <w:pPr>
      <w:pStyle w:val="Footer"/>
      <w:ind w:right="360"/>
    </w:pPr>
  </w:p>
  <w:p w14:paraId="1E6CF164" w14:textId="77777777" w:rsidR="00526244" w:rsidRDefault="0052624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35A6C317" w14:textId="256FA35E" w:rsidR="00526244" w:rsidRPr="006B4F9A" w:rsidRDefault="00526244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>
          <w:rPr>
            <w:noProof/>
            <w:sz w:val="26"/>
            <w:szCs w:val="26"/>
          </w:rPr>
          <w:t>15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  <w:p w14:paraId="59970812" w14:textId="77777777" w:rsidR="00526244" w:rsidRDefault="005262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91287" w14:textId="77777777" w:rsidR="00226AB6" w:rsidRDefault="00226AB6">
      <w:r>
        <w:separator/>
      </w:r>
    </w:p>
  </w:footnote>
  <w:footnote w:type="continuationSeparator" w:id="0">
    <w:p w14:paraId="02C918D3" w14:textId="77777777" w:rsidR="00226AB6" w:rsidRDefault="00226AB6">
      <w:r>
        <w:continuationSeparator/>
      </w:r>
    </w:p>
  </w:footnote>
  <w:footnote w:type="continuationNotice" w:id="1">
    <w:p w14:paraId="1D88DEF1" w14:textId="77777777" w:rsidR="00226AB6" w:rsidRDefault="00226AB6">
      <w:pPr>
        <w:spacing w:line="240" w:lineRule="auto"/>
      </w:pPr>
    </w:p>
  </w:footnote>
  <w:footnote w:id="2">
    <w:p w14:paraId="110E2F51" w14:textId="251BF551" w:rsidR="0038483F" w:rsidRDefault="0038483F">
      <w:pPr>
        <w:pStyle w:val="FootnoteText"/>
      </w:pPr>
      <w:r w:rsidRPr="007D4F83">
        <w:rPr>
          <w:rStyle w:val="FootnoteReference"/>
          <w:sz w:val="28"/>
          <w:szCs w:val="28"/>
        </w:rPr>
        <w:footnoteRef/>
      </w:r>
      <w:r w:rsidRPr="007D4F83">
        <w:rPr>
          <w:sz w:val="28"/>
          <w:szCs w:val="28"/>
        </w:rPr>
        <w:t xml:space="preserve"> Similar petitions were filed in R-18-</w:t>
      </w:r>
      <w:r w:rsidR="00466380" w:rsidRPr="007D4F83">
        <w:rPr>
          <w:sz w:val="28"/>
          <w:szCs w:val="28"/>
        </w:rPr>
        <w:t>0001 a</w:t>
      </w:r>
      <w:r w:rsidR="007D4F83">
        <w:rPr>
          <w:sz w:val="28"/>
          <w:szCs w:val="28"/>
        </w:rPr>
        <w:t>n</w:t>
      </w:r>
      <w:r w:rsidR="00466380" w:rsidRPr="007D4F83">
        <w:rPr>
          <w:sz w:val="28"/>
          <w:szCs w:val="28"/>
        </w:rPr>
        <w:t>d R-19-</w:t>
      </w:r>
      <w:r w:rsidR="007D4F83" w:rsidRPr="007D4F83">
        <w:rPr>
          <w:sz w:val="28"/>
          <w:szCs w:val="28"/>
        </w:rPr>
        <w:t>0016.</w:t>
      </w:r>
    </w:p>
  </w:footnote>
  <w:footnote w:id="3">
    <w:p w14:paraId="019DF3D2" w14:textId="0085B9E3" w:rsidR="00E86090" w:rsidRPr="00F91F51" w:rsidRDefault="00E86090">
      <w:pPr>
        <w:pStyle w:val="FootnoteText"/>
        <w:rPr>
          <w:sz w:val="28"/>
          <w:szCs w:val="28"/>
        </w:rPr>
      </w:pPr>
      <w:r w:rsidRPr="00F91F51">
        <w:rPr>
          <w:rStyle w:val="FootnoteReference"/>
          <w:sz w:val="28"/>
          <w:szCs w:val="28"/>
        </w:rPr>
        <w:footnoteRef/>
      </w:r>
      <w:r w:rsidRPr="00F91F51">
        <w:rPr>
          <w:sz w:val="28"/>
          <w:szCs w:val="28"/>
        </w:rPr>
        <w:t xml:space="preserve"> </w:t>
      </w:r>
      <w:r w:rsidR="00A72E22" w:rsidRPr="00F91F51">
        <w:rPr>
          <w:sz w:val="28"/>
          <w:szCs w:val="28"/>
        </w:rPr>
        <w:t>Rule 39 was promulgated by the Arizona Supreme Court on July 24, 1989 and became effective on August 1, 1989.</w:t>
      </w:r>
      <w:r w:rsidR="006A0F4B" w:rsidRPr="00F91F51">
        <w:rPr>
          <w:sz w:val="28"/>
          <w:szCs w:val="28"/>
        </w:rPr>
        <w:t xml:space="preserve">  It was the basis upon which Arizona voters approved</w:t>
      </w:r>
      <w:r w:rsidR="00F91F51" w:rsidRPr="00F91F51">
        <w:rPr>
          <w:sz w:val="28"/>
          <w:szCs w:val="28"/>
        </w:rPr>
        <w:t xml:space="preserve"> Prop 104 in 1990.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4CE94" w14:textId="77777777" w:rsidR="00526244" w:rsidRDefault="0052624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85CBDF3" wp14:editId="18F00D30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F0E59A" id="RightBorder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2.5pt,0" to="472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C36B24B" wp14:editId="6962C880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09F94" id="LeftBorder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B2CDDD" wp14:editId="1F905853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84E59C" id="LeftBorder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">
              <w10:wrap anchorx="margin" anchory="page"/>
            </v:line>
          </w:pict>
        </mc:Fallback>
      </mc:AlternateContent>
    </w:r>
  </w:p>
  <w:p w14:paraId="6C95D955" w14:textId="77777777" w:rsidR="00526244" w:rsidRDefault="00526244"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24703F5" wp14:editId="596FA60B">
              <wp:simplePos x="0" y="0"/>
              <wp:positionH relativeFrom="margin">
                <wp:posOffset>-640080</wp:posOffset>
              </wp:positionH>
              <wp:positionV relativeFrom="margin">
                <wp:posOffset>-104775</wp:posOffset>
              </wp:positionV>
              <wp:extent cx="457200" cy="824865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4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E0D1A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14:paraId="51B95C09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4F0CAAF2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3406F269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14:paraId="098E8096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3AE7B72F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666B64DB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41091D25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15AFEA63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14:paraId="18BF988E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14:paraId="094C4918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14:paraId="4E9CD876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14:paraId="7229104A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14:paraId="2C62D687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14:paraId="66CCC565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14:paraId="58BD910D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14:paraId="7B7285FF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14:paraId="738B8583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14:paraId="4A8DF8C9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14:paraId="438E1D26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14:paraId="3E010462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  <w:p w14:paraId="48120BAD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22</w:t>
                          </w:r>
                        </w:p>
                        <w:p w14:paraId="7756D126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23</w:t>
                          </w:r>
                        </w:p>
                        <w:p w14:paraId="58A28ED2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24</w:t>
                          </w:r>
                        </w:p>
                        <w:p w14:paraId="6F4DFD68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25</w:t>
                          </w:r>
                        </w:p>
                        <w:p w14:paraId="1DFF66EF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703F5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-8.25pt;width:36pt;height:649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" stroked="f">
              <v:textbox inset="0,0,0,0">
                <w:txbxContent>
                  <w:p w14:paraId="102E0D1A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</w:t>
                    </w:r>
                  </w:p>
                  <w:p w14:paraId="51B95C09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</w:t>
                    </w:r>
                  </w:p>
                  <w:p w14:paraId="4F0CAAF2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3</w:t>
                    </w:r>
                  </w:p>
                  <w:p w14:paraId="3406F269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4</w:t>
                    </w:r>
                  </w:p>
                  <w:p w14:paraId="098E8096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5</w:t>
                    </w:r>
                  </w:p>
                  <w:p w14:paraId="3AE7B72F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6</w:t>
                    </w:r>
                  </w:p>
                  <w:p w14:paraId="666B64DB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7</w:t>
                    </w:r>
                  </w:p>
                  <w:p w14:paraId="41091D25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8</w:t>
                    </w:r>
                  </w:p>
                  <w:p w14:paraId="15AFEA63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9</w:t>
                    </w:r>
                  </w:p>
                  <w:p w14:paraId="18BF988E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10</w:t>
                    </w:r>
                  </w:p>
                  <w:p w14:paraId="094C4918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11</w:t>
                    </w:r>
                  </w:p>
                  <w:p w14:paraId="4E9CD876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12</w:t>
                    </w:r>
                  </w:p>
                  <w:p w14:paraId="7229104A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13</w:t>
                    </w:r>
                  </w:p>
                  <w:p w14:paraId="2C62D687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14</w:t>
                    </w:r>
                  </w:p>
                  <w:p w14:paraId="66CCC565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15</w:t>
                    </w:r>
                  </w:p>
                  <w:p w14:paraId="58BD910D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16</w:t>
                    </w:r>
                  </w:p>
                  <w:p w14:paraId="7B7285FF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17</w:t>
                    </w:r>
                  </w:p>
                  <w:p w14:paraId="738B8583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18</w:t>
                    </w:r>
                  </w:p>
                  <w:p w14:paraId="4A8DF8C9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19</w:t>
                    </w:r>
                  </w:p>
                  <w:p w14:paraId="438E1D26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20</w:t>
                    </w:r>
                  </w:p>
                  <w:p w14:paraId="3E010462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21</w:t>
                    </w:r>
                  </w:p>
                  <w:p w14:paraId="48120BAD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22</w:t>
                    </w:r>
                  </w:p>
                  <w:p w14:paraId="7756D126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23</w:t>
                    </w:r>
                  </w:p>
                  <w:p w14:paraId="58A28ED2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24</w:t>
                    </w:r>
                  </w:p>
                  <w:p w14:paraId="6F4DFD68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25</w:t>
                    </w:r>
                  </w:p>
                  <w:p w14:paraId="1DFF66EF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93E8D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A814D4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A73C0B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9B4FD8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8E2D02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C602DA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D2776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1B0275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86E85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900428E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E4188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84C47"/>
    <w:multiLevelType w:val="hybridMultilevel"/>
    <w:tmpl w:val="88605894"/>
    <w:lvl w:ilvl="0" w:tplc="2A2661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224C33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C3724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3503385"/>
    <w:multiLevelType w:val="hybridMultilevel"/>
    <w:tmpl w:val="647E9EB2"/>
    <w:lvl w:ilvl="0" w:tplc="B200319A">
      <w:start w:val="1"/>
      <w:numFmt w:val="decimal"/>
      <w:lvlText w:val="(%1)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5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1D38BA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B0B5C52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34F6FFA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94351E1"/>
    <w:multiLevelType w:val="hybridMultilevel"/>
    <w:tmpl w:val="59184A4C"/>
    <w:lvl w:ilvl="0" w:tplc="E8BC27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A85CAD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8"/>
  </w:num>
  <w:num w:numId="3">
    <w:abstractNumId w:val="6"/>
  </w:num>
  <w:num w:numId="4">
    <w:abstractNumId w:val="11"/>
  </w:num>
  <w:num w:numId="5">
    <w:abstractNumId w:val="16"/>
  </w:num>
  <w:num w:numId="6">
    <w:abstractNumId w:val="18"/>
  </w:num>
  <w:num w:numId="7">
    <w:abstractNumId w:val="7"/>
  </w:num>
  <w:num w:numId="8">
    <w:abstractNumId w:val="33"/>
  </w:num>
  <w:num w:numId="9">
    <w:abstractNumId w:val="19"/>
  </w:num>
  <w:num w:numId="10">
    <w:abstractNumId w:val="25"/>
  </w:num>
  <w:num w:numId="11">
    <w:abstractNumId w:val="22"/>
  </w:num>
  <w:num w:numId="12">
    <w:abstractNumId w:val="13"/>
  </w:num>
  <w:num w:numId="13">
    <w:abstractNumId w:val="8"/>
  </w:num>
  <w:num w:numId="14">
    <w:abstractNumId w:val="10"/>
  </w:num>
  <w:num w:numId="15">
    <w:abstractNumId w:val="20"/>
  </w:num>
  <w:num w:numId="16">
    <w:abstractNumId w:val="31"/>
  </w:num>
  <w:num w:numId="17">
    <w:abstractNumId w:val="26"/>
  </w:num>
  <w:num w:numId="18">
    <w:abstractNumId w:val="4"/>
  </w:num>
  <w:num w:numId="19">
    <w:abstractNumId w:val="12"/>
  </w:num>
  <w:num w:numId="20">
    <w:abstractNumId w:val="32"/>
  </w:num>
  <w:num w:numId="21">
    <w:abstractNumId w:val="3"/>
  </w:num>
  <w:num w:numId="22">
    <w:abstractNumId w:val="23"/>
  </w:num>
  <w:num w:numId="23">
    <w:abstractNumId w:val="1"/>
  </w:num>
  <w:num w:numId="24">
    <w:abstractNumId w:val="15"/>
  </w:num>
  <w:num w:numId="25">
    <w:abstractNumId w:val="5"/>
  </w:num>
  <w:num w:numId="26">
    <w:abstractNumId w:val="21"/>
  </w:num>
  <w:num w:numId="27">
    <w:abstractNumId w:val="2"/>
  </w:num>
  <w:num w:numId="28">
    <w:abstractNumId w:val="30"/>
  </w:num>
  <w:num w:numId="29">
    <w:abstractNumId w:val="29"/>
  </w:num>
  <w:num w:numId="30">
    <w:abstractNumId w:val="9"/>
  </w:num>
  <w:num w:numId="31">
    <w:abstractNumId w:val="0"/>
  </w:num>
  <w:num w:numId="32">
    <w:abstractNumId w:val="14"/>
  </w:num>
  <w:num w:numId="33">
    <w:abstractNumId w:val="17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orneyName" w:val="-1"/>
    <w:docVar w:name="CaptionBoxStyle" w:val="2"/>
    <w:docVar w:name="CourtAlignment" w:val="1"/>
    <w:docVar w:name="CourtName" w:val="IN THE SUPERIOR COURT OF THE STATE OF ARIZONA_x000d__x000a_IN AND FOR THE COUNTY OF MARICOPA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0"/>
    <w:docVar w:name="RightBorderStyle" w:val="1"/>
    <w:docVar w:name="SigBlkYes" w:val="-1"/>
    <w:docVar w:name="SignWith" w:val=" "/>
    <w:docVar w:name="SummaryInFtr" w:val="0"/>
  </w:docVars>
  <w:rsids>
    <w:rsidRoot w:val="00981E11"/>
    <w:rsid w:val="00000C35"/>
    <w:rsid w:val="0000121C"/>
    <w:rsid w:val="00004501"/>
    <w:rsid w:val="00005824"/>
    <w:rsid w:val="00011B40"/>
    <w:rsid w:val="00012531"/>
    <w:rsid w:val="00013CE0"/>
    <w:rsid w:val="00016B78"/>
    <w:rsid w:val="000172D7"/>
    <w:rsid w:val="00017B8F"/>
    <w:rsid w:val="00023F92"/>
    <w:rsid w:val="00024E13"/>
    <w:rsid w:val="00025B19"/>
    <w:rsid w:val="0003132C"/>
    <w:rsid w:val="00031983"/>
    <w:rsid w:val="000323DC"/>
    <w:rsid w:val="00033CA1"/>
    <w:rsid w:val="00035056"/>
    <w:rsid w:val="00036A5E"/>
    <w:rsid w:val="000370E8"/>
    <w:rsid w:val="000410B3"/>
    <w:rsid w:val="00043D4D"/>
    <w:rsid w:val="00047075"/>
    <w:rsid w:val="0004786F"/>
    <w:rsid w:val="00051090"/>
    <w:rsid w:val="00052372"/>
    <w:rsid w:val="00055F18"/>
    <w:rsid w:val="00056CA0"/>
    <w:rsid w:val="000614F3"/>
    <w:rsid w:val="00061976"/>
    <w:rsid w:val="0006397E"/>
    <w:rsid w:val="00063D2A"/>
    <w:rsid w:val="00065E4A"/>
    <w:rsid w:val="000666D1"/>
    <w:rsid w:val="000723A4"/>
    <w:rsid w:val="00072E08"/>
    <w:rsid w:val="00076747"/>
    <w:rsid w:val="000829A0"/>
    <w:rsid w:val="000839AE"/>
    <w:rsid w:val="00085129"/>
    <w:rsid w:val="000868BC"/>
    <w:rsid w:val="000917C0"/>
    <w:rsid w:val="00091A2D"/>
    <w:rsid w:val="00091DD4"/>
    <w:rsid w:val="00091EB2"/>
    <w:rsid w:val="00095034"/>
    <w:rsid w:val="000A1965"/>
    <w:rsid w:val="000A1D6B"/>
    <w:rsid w:val="000B2F4E"/>
    <w:rsid w:val="000B5C79"/>
    <w:rsid w:val="000C48A9"/>
    <w:rsid w:val="000C58DC"/>
    <w:rsid w:val="000D2952"/>
    <w:rsid w:val="000D5D16"/>
    <w:rsid w:val="000D7E6C"/>
    <w:rsid w:val="000E0CED"/>
    <w:rsid w:val="000F42D7"/>
    <w:rsid w:val="000F54A9"/>
    <w:rsid w:val="000F690F"/>
    <w:rsid w:val="000F71D8"/>
    <w:rsid w:val="000F7A7F"/>
    <w:rsid w:val="000F7C13"/>
    <w:rsid w:val="001003C3"/>
    <w:rsid w:val="00106819"/>
    <w:rsid w:val="00107951"/>
    <w:rsid w:val="00116D61"/>
    <w:rsid w:val="001207B0"/>
    <w:rsid w:val="0012408C"/>
    <w:rsid w:val="001242B6"/>
    <w:rsid w:val="001262FC"/>
    <w:rsid w:val="0012729B"/>
    <w:rsid w:val="00131578"/>
    <w:rsid w:val="00132181"/>
    <w:rsid w:val="001325D3"/>
    <w:rsid w:val="00133760"/>
    <w:rsid w:val="00134B99"/>
    <w:rsid w:val="00135326"/>
    <w:rsid w:val="00137F7C"/>
    <w:rsid w:val="00156D8F"/>
    <w:rsid w:val="0016209A"/>
    <w:rsid w:val="001704C4"/>
    <w:rsid w:val="00173D1C"/>
    <w:rsid w:val="00177417"/>
    <w:rsid w:val="00183457"/>
    <w:rsid w:val="0018360F"/>
    <w:rsid w:val="00184E54"/>
    <w:rsid w:val="00186479"/>
    <w:rsid w:val="00187DDE"/>
    <w:rsid w:val="00190478"/>
    <w:rsid w:val="00192053"/>
    <w:rsid w:val="00196472"/>
    <w:rsid w:val="0019690A"/>
    <w:rsid w:val="001A2520"/>
    <w:rsid w:val="001A476A"/>
    <w:rsid w:val="001A741A"/>
    <w:rsid w:val="001B054C"/>
    <w:rsid w:val="001B0854"/>
    <w:rsid w:val="001B25E1"/>
    <w:rsid w:val="001B427A"/>
    <w:rsid w:val="001C021A"/>
    <w:rsid w:val="001C30D5"/>
    <w:rsid w:val="001C55AD"/>
    <w:rsid w:val="001C5E17"/>
    <w:rsid w:val="001D0AAA"/>
    <w:rsid w:val="001D7D5A"/>
    <w:rsid w:val="001E6473"/>
    <w:rsid w:val="001E726D"/>
    <w:rsid w:val="001E7422"/>
    <w:rsid w:val="001F591C"/>
    <w:rsid w:val="001F6CA9"/>
    <w:rsid w:val="00200BE9"/>
    <w:rsid w:val="00201CA0"/>
    <w:rsid w:val="00203A04"/>
    <w:rsid w:val="00207DC8"/>
    <w:rsid w:val="00213ABC"/>
    <w:rsid w:val="0021663F"/>
    <w:rsid w:val="0022049B"/>
    <w:rsid w:val="00220558"/>
    <w:rsid w:val="002227CE"/>
    <w:rsid w:val="002238BF"/>
    <w:rsid w:val="00223F90"/>
    <w:rsid w:val="00226AB6"/>
    <w:rsid w:val="00227F72"/>
    <w:rsid w:val="00232E2B"/>
    <w:rsid w:val="00235F35"/>
    <w:rsid w:val="00237CFD"/>
    <w:rsid w:val="00240815"/>
    <w:rsid w:val="00245270"/>
    <w:rsid w:val="00247322"/>
    <w:rsid w:val="00256F98"/>
    <w:rsid w:val="00257594"/>
    <w:rsid w:val="00262BE7"/>
    <w:rsid w:val="00265EE1"/>
    <w:rsid w:val="00267532"/>
    <w:rsid w:val="0027359D"/>
    <w:rsid w:val="00274D6A"/>
    <w:rsid w:val="0028528D"/>
    <w:rsid w:val="00286193"/>
    <w:rsid w:val="00291360"/>
    <w:rsid w:val="00297773"/>
    <w:rsid w:val="00297F81"/>
    <w:rsid w:val="002A6AAD"/>
    <w:rsid w:val="002A7EC6"/>
    <w:rsid w:val="002B0C94"/>
    <w:rsid w:val="002B4928"/>
    <w:rsid w:val="002B567E"/>
    <w:rsid w:val="002C0C05"/>
    <w:rsid w:val="002C3F7A"/>
    <w:rsid w:val="002C72E8"/>
    <w:rsid w:val="002C7CC3"/>
    <w:rsid w:val="002D0DED"/>
    <w:rsid w:val="002D2738"/>
    <w:rsid w:val="002D2E4D"/>
    <w:rsid w:val="002E2782"/>
    <w:rsid w:val="002E6D70"/>
    <w:rsid w:val="002F2113"/>
    <w:rsid w:val="002F4F0C"/>
    <w:rsid w:val="00300F8A"/>
    <w:rsid w:val="00301D0C"/>
    <w:rsid w:val="003024C2"/>
    <w:rsid w:val="0030370C"/>
    <w:rsid w:val="00303A51"/>
    <w:rsid w:val="00303F08"/>
    <w:rsid w:val="00303F65"/>
    <w:rsid w:val="00305945"/>
    <w:rsid w:val="00305B80"/>
    <w:rsid w:val="00306887"/>
    <w:rsid w:val="003160E1"/>
    <w:rsid w:val="003174C2"/>
    <w:rsid w:val="00320274"/>
    <w:rsid w:val="003270CB"/>
    <w:rsid w:val="00327BB4"/>
    <w:rsid w:val="00331ECE"/>
    <w:rsid w:val="00334C2F"/>
    <w:rsid w:val="00341028"/>
    <w:rsid w:val="00342636"/>
    <w:rsid w:val="003435D1"/>
    <w:rsid w:val="00351A8F"/>
    <w:rsid w:val="00352347"/>
    <w:rsid w:val="0035601C"/>
    <w:rsid w:val="003566D6"/>
    <w:rsid w:val="00357F4D"/>
    <w:rsid w:val="003617D1"/>
    <w:rsid w:val="003617F7"/>
    <w:rsid w:val="00362EF9"/>
    <w:rsid w:val="00364150"/>
    <w:rsid w:val="0036551C"/>
    <w:rsid w:val="003700EE"/>
    <w:rsid w:val="0037123E"/>
    <w:rsid w:val="003755A5"/>
    <w:rsid w:val="0037607E"/>
    <w:rsid w:val="00377199"/>
    <w:rsid w:val="003816FA"/>
    <w:rsid w:val="00381E2C"/>
    <w:rsid w:val="0038483F"/>
    <w:rsid w:val="00385361"/>
    <w:rsid w:val="00391ED5"/>
    <w:rsid w:val="00393CD1"/>
    <w:rsid w:val="003957D4"/>
    <w:rsid w:val="00397E14"/>
    <w:rsid w:val="003A0F98"/>
    <w:rsid w:val="003A1639"/>
    <w:rsid w:val="003A1A33"/>
    <w:rsid w:val="003A28AC"/>
    <w:rsid w:val="003A5A69"/>
    <w:rsid w:val="003B402A"/>
    <w:rsid w:val="003B699A"/>
    <w:rsid w:val="003B706E"/>
    <w:rsid w:val="003C2FDA"/>
    <w:rsid w:val="003C33ED"/>
    <w:rsid w:val="003C39B8"/>
    <w:rsid w:val="003C4B1B"/>
    <w:rsid w:val="003D1B33"/>
    <w:rsid w:val="003D2699"/>
    <w:rsid w:val="003D3EF6"/>
    <w:rsid w:val="003D4DA9"/>
    <w:rsid w:val="003D67B8"/>
    <w:rsid w:val="003D7237"/>
    <w:rsid w:val="003D7699"/>
    <w:rsid w:val="003E4315"/>
    <w:rsid w:val="003E59F1"/>
    <w:rsid w:val="003E6A88"/>
    <w:rsid w:val="003E701B"/>
    <w:rsid w:val="003F10CC"/>
    <w:rsid w:val="003F1DC9"/>
    <w:rsid w:val="003F562C"/>
    <w:rsid w:val="003F6E42"/>
    <w:rsid w:val="00400D44"/>
    <w:rsid w:val="00401FE1"/>
    <w:rsid w:val="00407E2D"/>
    <w:rsid w:val="004119D5"/>
    <w:rsid w:val="004132DD"/>
    <w:rsid w:val="004159FB"/>
    <w:rsid w:val="00415FD2"/>
    <w:rsid w:val="00420C72"/>
    <w:rsid w:val="00420E9E"/>
    <w:rsid w:val="00422F15"/>
    <w:rsid w:val="00423545"/>
    <w:rsid w:val="00426698"/>
    <w:rsid w:val="00426E79"/>
    <w:rsid w:val="00427673"/>
    <w:rsid w:val="004314B5"/>
    <w:rsid w:val="00431CB5"/>
    <w:rsid w:val="004321BF"/>
    <w:rsid w:val="004331B2"/>
    <w:rsid w:val="0043500B"/>
    <w:rsid w:val="00436E58"/>
    <w:rsid w:val="00437498"/>
    <w:rsid w:val="004374FB"/>
    <w:rsid w:val="00440D2F"/>
    <w:rsid w:val="00440E4C"/>
    <w:rsid w:val="00441E77"/>
    <w:rsid w:val="004420A4"/>
    <w:rsid w:val="00443C5B"/>
    <w:rsid w:val="00443C91"/>
    <w:rsid w:val="0044693C"/>
    <w:rsid w:val="00447944"/>
    <w:rsid w:val="00453B20"/>
    <w:rsid w:val="00454A96"/>
    <w:rsid w:val="00454DA9"/>
    <w:rsid w:val="00460947"/>
    <w:rsid w:val="00460E63"/>
    <w:rsid w:val="00462193"/>
    <w:rsid w:val="00463734"/>
    <w:rsid w:val="0046578F"/>
    <w:rsid w:val="00466380"/>
    <w:rsid w:val="00470251"/>
    <w:rsid w:val="00470F74"/>
    <w:rsid w:val="00474B20"/>
    <w:rsid w:val="00475385"/>
    <w:rsid w:val="00475A1B"/>
    <w:rsid w:val="00477F4D"/>
    <w:rsid w:val="0048034E"/>
    <w:rsid w:val="004804DD"/>
    <w:rsid w:val="004833CE"/>
    <w:rsid w:val="00484BAB"/>
    <w:rsid w:val="00487012"/>
    <w:rsid w:val="004918F5"/>
    <w:rsid w:val="004927FD"/>
    <w:rsid w:val="00492B42"/>
    <w:rsid w:val="00492F69"/>
    <w:rsid w:val="00494BDF"/>
    <w:rsid w:val="00495BA0"/>
    <w:rsid w:val="0049776A"/>
    <w:rsid w:val="00497CE7"/>
    <w:rsid w:val="004A0602"/>
    <w:rsid w:val="004A13BF"/>
    <w:rsid w:val="004A7A9D"/>
    <w:rsid w:val="004B03B2"/>
    <w:rsid w:val="004B6016"/>
    <w:rsid w:val="004B7302"/>
    <w:rsid w:val="004C055C"/>
    <w:rsid w:val="004C1B73"/>
    <w:rsid w:val="004C3AE3"/>
    <w:rsid w:val="004C4865"/>
    <w:rsid w:val="004C7788"/>
    <w:rsid w:val="004D115C"/>
    <w:rsid w:val="004D2D69"/>
    <w:rsid w:val="004D303F"/>
    <w:rsid w:val="004D59B0"/>
    <w:rsid w:val="004D62F2"/>
    <w:rsid w:val="004D6622"/>
    <w:rsid w:val="004D6C64"/>
    <w:rsid w:val="004F2D26"/>
    <w:rsid w:val="004F7B00"/>
    <w:rsid w:val="005007BE"/>
    <w:rsid w:val="005044DE"/>
    <w:rsid w:val="005049A3"/>
    <w:rsid w:val="00504BFF"/>
    <w:rsid w:val="00504E1E"/>
    <w:rsid w:val="00504E81"/>
    <w:rsid w:val="00506803"/>
    <w:rsid w:val="00506859"/>
    <w:rsid w:val="0050726B"/>
    <w:rsid w:val="005074BE"/>
    <w:rsid w:val="00507F1D"/>
    <w:rsid w:val="00510CBE"/>
    <w:rsid w:val="00510EAE"/>
    <w:rsid w:val="00511DA5"/>
    <w:rsid w:val="0051273D"/>
    <w:rsid w:val="00515D78"/>
    <w:rsid w:val="00520F93"/>
    <w:rsid w:val="00522009"/>
    <w:rsid w:val="0052337B"/>
    <w:rsid w:val="0052370B"/>
    <w:rsid w:val="00526087"/>
    <w:rsid w:val="00526244"/>
    <w:rsid w:val="005273B8"/>
    <w:rsid w:val="005275CC"/>
    <w:rsid w:val="005276D0"/>
    <w:rsid w:val="005303B6"/>
    <w:rsid w:val="00530D75"/>
    <w:rsid w:val="00532975"/>
    <w:rsid w:val="00534CBF"/>
    <w:rsid w:val="00535519"/>
    <w:rsid w:val="00536690"/>
    <w:rsid w:val="005376A0"/>
    <w:rsid w:val="00540770"/>
    <w:rsid w:val="00541582"/>
    <w:rsid w:val="00543EA9"/>
    <w:rsid w:val="00544DD3"/>
    <w:rsid w:val="00550D25"/>
    <w:rsid w:val="005614D0"/>
    <w:rsid w:val="00564D07"/>
    <w:rsid w:val="00565F98"/>
    <w:rsid w:val="00566856"/>
    <w:rsid w:val="005679A3"/>
    <w:rsid w:val="005711FD"/>
    <w:rsid w:val="005747F7"/>
    <w:rsid w:val="00585EB3"/>
    <w:rsid w:val="00587224"/>
    <w:rsid w:val="00591E83"/>
    <w:rsid w:val="00592FD8"/>
    <w:rsid w:val="00594E2D"/>
    <w:rsid w:val="00595FF3"/>
    <w:rsid w:val="005971F4"/>
    <w:rsid w:val="00597A0F"/>
    <w:rsid w:val="005A0C14"/>
    <w:rsid w:val="005A1A7A"/>
    <w:rsid w:val="005A21B0"/>
    <w:rsid w:val="005A5938"/>
    <w:rsid w:val="005A5C62"/>
    <w:rsid w:val="005A6282"/>
    <w:rsid w:val="005B0A35"/>
    <w:rsid w:val="005B1356"/>
    <w:rsid w:val="005B23B7"/>
    <w:rsid w:val="005B2DC1"/>
    <w:rsid w:val="005B3B5D"/>
    <w:rsid w:val="005B5161"/>
    <w:rsid w:val="005C58BA"/>
    <w:rsid w:val="005C59C8"/>
    <w:rsid w:val="005C7C7D"/>
    <w:rsid w:val="005D180F"/>
    <w:rsid w:val="005D3DBD"/>
    <w:rsid w:val="005D4886"/>
    <w:rsid w:val="005D598D"/>
    <w:rsid w:val="005D699A"/>
    <w:rsid w:val="005D6AD4"/>
    <w:rsid w:val="005D6E38"/>
    <w:rsid w:val="005D7DAF"/>
    <w:rsid w:val="005E324B"/>
    <w:rsid w:val="005E3EF7"/>
    <w:rsid w:val="005E5D68"/>
    <w:rsid w:val="005F02F8"/>
    <w:rsid w:val="005F2222"/>
    <w:rsid w:val="005F457C"/>
    <w:rsid w:val="005F7C7E"/>
    <w:rsid w:val="006027AB"/>
    <w:rsid w:val="00607D96"/>
    <w:rsid w:val="0061368B"/>
    <w:rsid w:val="00615D52"/>
    <w:rsid w:val="00621727"/>
    <w:rsid w:val="0062695B"/>
    <w:rsid w:val="00630F92"/>
    <w:rsid w:val="006338C1"/>
    <w:rsid w:val="00636F5E"/>
    <w:rsid w:val="00640CC4"/>
    <w:rsid w:val="006410A6"/>
    <w:rsid w:val="006435A1"/>
    <w:rsid w:val="00645047"/>
    <w:rsid w:val="00647753"/>
    <w:rsid w:val="006500A7"/>
    <w:rsid w:val="00653912"/>
    <w:rsid w:val="00655B55"/>
    <w:rsid w:val="006560C1"/>
    <w:rsid w:val="00656EA2"/>
    <w:rsid w:val="00660556"/>
    <w:rsid w:val="00660A98"/>
    <w:rsid w:val="00661732"/>
    <w:rsid w:val="0066331A"/>
    <w:rsid w:val="00664CB9"/>
    <w:rsid w:val="00665CCF"/>
    <w:rsid w:val="006666D1"/>
    <w:rsid w:val="006721EC"/>
    <w:rsid w:val="00672D39"/>
    <w:rsid w:val="00673192"/>
    <w:rsid w:val="006747C0"/>
    <w:rsid w:val="006761A9"/>
    <w:rsid w:val="00677063"/>
    <w:rsid w:val="006777A3"/>
    <w:rsid w:val="00681234"/>
    <w:rsid w:val="006814A1"/>
    <w:rsid w:val="00682EA7"/>
    <w:rsid w:val="00684160"/>
    <w:rsid w:val="006846DD"/>
    <w:rsid w:val="00687126"/>
    <w:rsid w:val="00692E3B"/>
    <w:rsid w:val="006932BA"/>
    <w:rsid w:val="006953C6"/>
    <w:rsid w:val="006957E9"/>
    <w:rsid w:val="006978D4"/>
    <w:rsid w:val="006A0F4B"/>
    <w:rsid w:val="006A1DDB"/>
    <w:rsid w:val="006A260A"/>
    <w:rsid w:val="006A28FF"/>
    <w:rsid w:val="006A34B8"/>
    <w:rsid w:val="006B4F9A"/>
    <w:rsid w:val="006B567E"/>
    <w:rsid w:val="006B65D1"/>
    <w:rsid w:val="006C1366"/>
    <w:rsid w:val="006C4C43"/>
    <w:rsid w:val="006C5077"/>
    <w:rsid w:val="006C5CE4"/>
    <w:rsid w:val="006C6756"/>
    <w:rsid w:val="006D1AD1"/>
    <w:rsid w:val="006D1FE3"/>
    <w:rsid w:val="006D6031"/>
    <w:rsid w:val="006E05AE"/>
    <w:rsid w:val="006E4382"/>
    <w:rsid w:val="006E4573"/>
    <w:rsid w:val="006E52C8"/>
    <w:rsid w:val="006F0328"/>
    <w:rsid w:val="006F5ECA"/>
    <w:rsid w:val="006F63FD"/>
    <w:rsid w:val="007014DA"/>
    <w:rsid w:val="00703AE1"/>
    <w:rsid w:val="0070421B"/>
    <w:rsid w:val="00710132"/>
    <w:rsid w:val="00716B90"/>
    <w:rsid w:val="0071769A"/>
    <w:rsid w:val="00722B0F"/>
    <w:rsid w:val="007265D8"/>
    <w:rsid w:val="00727D5D"/>
    <w:rsid w:val="00732169"/>
    <w:rsid w:val="007326C8"/>
    <w:rsid w:val="00735659"/>
    <w:rsid w:val="007361D0"/>
    <w:rsid w:val="00744130"/>
    <w:rsid w:val="007479DC"/>
    <w:rsid w:val="00751E69"/>
    <w:rsid w:val="00752657"/>
    <w:rsid w:val="00752B4C"/>
    <w:rsid w:val="00753914"/>
    <w:rsid w:val="0075606F"/>
    <w:rsid w:val="0075634F"/>
    <w:rsid w:val="00757E5B"/>
    <w:rsid w:val="007603E3"/>
    <w:rsid w:val="007639B5"/>
    <w:rsid w:val="00764BE5"/>
    <w:rsid w:val="00764F0C"/>
    <w:rsid w:val="007658D4"/>
    <w:rsid w:val="00765B40"/>
    <w:rsid w:val="00770976"/>
    <w:rsid w:val="007709F9"/>
    <w:rsid w:val="0077110E"/>
    <w:rsid w:val="00772FAC"/>
    <w:rsid w:val="007734CD"/>
    <w:rsid w:val="0077570A"/>
    <w:rsid w:val="00775B02"/>
    <w:rsid w:val="00781233"/>
    <w:rsid w:val="00782B20"/>
    <w:rsid w:val="00783898"/>
    <w:rsid w:val="007847F7"/>
    <w:rsid w:val="00785FA0"/>
    <w:rsid w:val="00786065"/>
    <w:rsid w:val="007870CB"/>
    <w:rsid w:val="00791AFD"/>
    <w:rsid w:val="007946E1"/>
    <w:rsid w:val="00796C71"/>
    <w:rsid w:val="007A1318"/>
    <w:rsid w:val="007A2140"/>
    <w:rsid w:val="007A24CC"/>
    <w:rsid w:val="007A3D49"/>
    <w:rsid w:val="007A3F0F"/>
    <w:rsid w:val="007A7ACA"/>
    <w:rsid w:val="007B0087"/>
    <w:rsid w:val="007B09D4"/>
    <w:rsid w:val="007B12B3"/>
    <w:rsid w:val="007B3964"/>
    <w:rsid w:val="007B3E82"/>
    <w:rsid w:val="007B5BD9"/>
    <w:rsid w:val="007C15A3"/>
    <w:rsid w:val="007C1DE1"/>
    <w:rsid w:val="007C3967"/>
    <w:rsid w:val="007C3F9A"/>
    <w:rsid w:val="007C4A3E"/>
    <w:rsid w:val="007D4F83"/>
    <w:rsid w:val="007D5003"/>
    <w:rsid w:val="007D5C49"/>
    <w:rsid w:val="007D73FF"/>
    <w:rsid w:val="007E000A"/>
    <w:rsid w:val="007E29DD"/>
    <w:rsid w:val="007E4F39"/>
    <w:rsid w:val="007E5171"/>
    <w:rsid w:val="007F0A6F"/>
    <w:rsid w:val="007F241E"/>
    <w:rsid w:val="0080050E"/>
    <w:rsid w:val="008006ED"/>
    <w:rsid w:val="00800D0A"/>
    <w:rsid w:val="00806B52"/>
    <w:rsid w:val="008107C1"/>
    <w:rsid w:val="0081185D"/>
    <w:rsid w:val="00814DCF"/>
    <w:rsid w:val="00821246"/>
    <w:rsid w:val="00821C73"/>
    <w:rsid w:val="00822598"/>
    <w:rsid w:val="00822C54"/>
    <w:rsid w:val="008320AE"/>
    <w:rsid w:val="0083469E"/>
    <w:rsid w:val="008360A1"/>
    <w:rsid w:val="008401A7"/>
    <w:rsid w:val="008402D9"/>
    <w:rsid w:val="00840C79"/>
    <w:rsid w:val="0084227D"/>
    <w:rsid w:val="008424A8"/>
    <w:rsid w:val="00845915"/>
    <w:rsid w:val="00847329"/>
    <w:rsid w:val="00847984"/>
    <w:rsid w:val="008540F9"/>
    <w:rsid w:val="008575CA"/>
    <w:rsid w:val="0086114F"/>
    <w:rsid w:val="00861563"/>
    <w:rsid w:val="00862C61"/>
    <w:rsid w:val="00871AAA"/>
    <w:rsid w:val="00872A45"/>
    <w:rsid w:val="00877C59"/>
    <w:rsid w:val="00881856"/>
    <w:rsid w:val="008858F1"/>
    <w:rsid w:val="008903FA"/>
    <w:rsid w:val="0089136E"/>
    <w:rsid w:val="00891AAA"/>
    <w:rsid w:val="00892DD9"/>
    <w:rsid w:val="00893BE1"/>
    <w:rsid w:val="00896CBF"/>
    <w:rsid w:val="008A4C5A"/>
    <w:rsid w:val="008A67C0"/>
    <w:rsid w:val="008A7800"/>
    <w:rsid w:val="008B0B35"/>
    <w:rsid w:val="008B0B43"/>
    <w:rsid w:val="008B2BBE"/>
    <w:rsid w:val="008B31DD"/>
    <w:rsid w:val="008B3DC3"/>
    <w:rsid w:val="008C00AC"/>
    <w:rsid w:val="008C1FA7"/>
    <w:rsid w:val="008C5179"/>
    <w:rsid w:val="008D6D4C"/>
    <w:rsid w:val="008E4874"/>
    <w:rsid w:val="008E6493"/>
    <w:rsid w:val="008F16CB"/>
    <w:rsid w:val="008F28D0"/>
    <w:rsid w:val="008F5552"/>
    <w:rsid w:val="008F64B4"/>
    <w:rsid w:val="008F67E6"/>
    <w:rsid w:val="00901A7B"/>
    <w:rsid w:val="00902557"/>
    <w:rsid w:val="00910B6B"/>
    <w:rsid w:val="00910EF5"/>
    <w:rsid w:val="00911A60"/>
    <w:rsid w:val="00913C59"/>
    <w:rsid w:val="00915093"/>
    <w:rsid w:val="009160E9"/>
    <w:rsid w:val="00920286"/>
    <w:rsid w:val="00922AB1"/>
    <w:rsid w:val="00923E56"/>
    <w:rsid w:val="0092747F"/>
    <w:rsid w:val="0093090B"/>
    <w:rsid w:val="00933723"/>
    <w:rsid w:val="00933EA1"/>
    <w:rsid w:val="00935537"/>
    <w:rsid w:val="00945929"/>
    <w:rsid w:val="00946A12"/>
    <w:rsid w:val="00947DB1"/>
    <w:rsid w:val="00951416"/>
    <w:rsid w:val="00951E60"/>
    <w:rsid w:val="00953859"/>
    <w:rsid w:val="00953D41"/>
    <w:rsid w:val="009543A8"/>
    <w:rsid w:val="00956128"/>
    <w:rsid w:val="00960D21"/>
    <w:rsid w:val="00964A69"/>
    <w:rsid w:val="00967F61"/>
    <w:rsid w:val="00970A6F"/>
    <w:rsid w:val="00971F3A"/>
    <w:rsid w:val="009741A0"/>
    <w:rsid w:val="00974566"/>
    <w:rsid w:val="0097646D"/>
    <w:rsid w:val="0097771C"/>
    <w:rsid w:val="00981D29"/>
    <w:rsid w:val="00981E11"/>
    <w:rsid w:val="00982C86"/>
    <w:rsid w:val="00983F54"/>
    <w:rsid w:val="0098478A"/>
    <w:rsid w:val="00986498"/>
    <w:rsid w:val="0099242F"/>
    <w:rsid w:val="009A647F"/>
    <w:rsid w:val="009A7DEF"/>
    <w:rsid w:val="009A7F89"/>
    <w:rsid w:val="009B2EFF"/>
    <w:rsid w:val="009B3C3C"/>
    <w:rsid w:val="009C1B36"/>
    <w:rsid w:val="009C1CAA"/>
    <w:rsid w:val="009C1FE0"/>
    <w:rsid w:val="009C3897"/>
    <w:rsid w:val="009C392D"/>
    <w:rsid w:val="009D04E5"/>
    <w:rsid w:val="009D25A4"/>
    <w:rsid w:val="009D2889"/>
    <w:rsid w:val="009E153B"/>
    <w:rsid w:val="009E5B6F"/>
    <w:rsid w:val="009E7CA6"/>
    <w:rsid w:val="009F10EB"/>
    <w:rsid w:val="009F4B43"/>
    <w:rsid w:val="00A006FB"/>
    <w:rsid w:val="00A048C9"/>
    <w:rsid w:val="00A0595A"/>
    <w:rsid w:val="00A07874"/>
    <w:rsid w:val="00A11510"/>
    <w:rsid w:val="00A133C4"/>
    <w:rsid w:val="00A14B4F"/>
    <w:rsid w:val="00A154F0"/>
    <w:rsid w:val="00A155F1"/>
    <w:rsid w:val="00A1564B"/>
    <w:rsid w:val="00A16536"/>
    <w:rsid w:val="00A17389"/>
    <w:rsid w:val="00A208A4"/>
    <w:rsid w:val="00A20908"/>
    <w:rsid w:val="00A27E5D"/>
    <w:rsid w:val="00A27EB9"/>
    <w:rsid w:val="00A311E7"/>
    <w:rsid w:val="00A33A02"/>
    <w:rsid w:val="00A36F24"/>
    <w:rsid w:val="00A37211"/>
    <w:rsid w:val="00A4629B"/>
    <w:rsid w:val="00A47CAC"/>
    <w:rsid w:val="00A47E38"/>
    <w:rsid w:val="00A50A82"/>
    <w:rsid w:val="00A5194F"/>
    <w:rsid w:val="00A54757"/>
    <w:rsid w:val="00A54F98"/>
    <w:rsid w:val="00A550D1"/>
    <w:rsid w:val="00A57220"/>
    <w:rsid w:val="00A57F78"/>
    <w:rsid w:val="00A605BE"/>
    <w:rsid w:val="00A60782"/>
    <w:rsid w:val="00A622FD"/>
    <w:rsid w:val="00A62C72"/>
    <w:rsid w:val="00A641B3"/>
    <w:rsid w:val="00A67594"/>
    <w:rsid w:val="00A7164F"/>
    <w:rsid w:val="00A72E22"/>
    <w:rsid w:val="00A8322F"/>
    <w:rsid w:val="00A83CF5"/>
    <w:rsid w:val="00A871D6"/>
    <w:rsid w:val="00A871DE"/>
    <w:rsid w:val="00A959B4"/>
    <w:rsid w:val="00A95DF7"/>
    <w:rsid w:val="00A96960"/>
    <w:rsid w:val="00AA5DAD"/>
    <w:rsid w:val="00AA72E6"/>
    <w:rsid w:val="00AA768E"/>
    <w:rsid w:val="00AB006E"/>
    <w:rsid w:val="00AB1635"/>
    <w:rsid w:val="00AB33DE"/>
    <w:rsid w:val="00AB401C"/>
    <w:rsid w:val="00AB40C1"/>
    <w:rsid w:val="00AB65A0"/>
    <w:rsid w:val="00AB6C18"/>
    <w:rsid w:val="00AC5069"/>
    <w:rsid w:val="00AC7692"/>
    <w:rsid w:val="00AD030E"/>
    <w:rsid w:val="00AD4B21"/>
    <w:rsid w:val="00AD4DE9"/>
    <w:rsid w:val="00AD6948"/>
    <w:rsid w:val="00AE30C2"/>
    <w:rsid w:val="00AE3159"/>
    <w:rsid w:val="00AE75A0"/>
    <w:rsid w:val="00AF005F"/>
    <w:rsid w:val="00AF282C"/>
    <w:rsid w:val="00AF3FF7"/>
    <w:rsid w:val="00AF427D"/>
    <w:rsid w:val="00AF4649"/>
    <w:rsid w:val="00AF4B2C"/>
    <w:rsid w:val="00AF7028"/>
    <w:rsid w:val="00AF7D6D"/>
    <w:rsid w:val="00B0006A"/>
    <w:rsid w:val="00B02AF3"/>
    <w:rsid w:val="00B061AE"/>
    <w:rsid w:val="00B0715E"/>
    <w:rsid w:val="00B11617"/>
    <w:rsid w:val="00B12FD4"/>
    <w:rsid w:val="00B131AB"/>
    <w:rsid w:val="00B137E3"/>
    <w:rsid w:val="00B14571"/>
    <w:rsid w:val="00B1491D"/>
    <w:rsid w:val="00B1673F"/>
    <w:rsid w:val="00B16AE0"/>
    <w:rsid w:val="00B2163C"/>
    <w:rsid w:val="00B2769F"/>
    <w:rsid w:val="00B3627A"/>
    <w:rsid w:val="00B40943"/>
    <w:rsid w:val="00B41664"/>
    <w:rsid w:val="00B421F6"/>
    <w:rsid w:val="00B432A0"/>
    <w:rsid w:val="00B43995"/>
    <w:rsid w:val="00B466EB"/>
    <w:rsid w:val="00B47B7D"/>
    <w:rsid w:val="00B5142C"/>
    <w:rsid w:val="00B5499E"/>
    <w:rsid w:val="00B55CC9"/>
    <w:rsid w:val="00B61069"/>
    <w:rsid w:val="00B636D2"/>
    <w:rsid w:val="00B65963"/>
    <w:rsid w:val="00B73558"/>
    <w:rsid w:val="00B73696"/>
    <w:rsid w:val="00B750EC"/>
    <w:rsid w:val="00B77B71"/>
    <w:rsid w:val="00B83FC2"/>
    <w:rsid w:val="00B845BB"/>
    <w:rsid w:val="00B854A9"/>
    <w:rsid w:val="00B85DD5"/>
    <w:rsid w:val="00B87B69"/>
    <w:rsid w:val="00B92950"/>
    <w:rsid w:val="00B92D7E"/>
    <w:rsid w:val="00B94138"/>
    <w:rsid w:val="00BA0826"/>
    <w:rsid w:val="00BA6783"/>
    <w:rsid w:val="00BB54FE"/>
    <w:rsid w:val="00BB5AD1"/>
    <w:rsid w:val="00BC0ABB"/>
    <w:rsid w:val="00BC69E1"/>
    <w:rsid w:val="00BC6E0F"/>
    <w:rsid w:val="00BE07AA"/>
    <w:rsid w:val="00BF0849"/>
    <w:rsid w:val="00BF0E36"/>
    <w:rsid w:val="00BF1972"/>
    <w:rsid w:val="00BF49FF"/>
    <w:rsid w:val="00BF6B1C"/>
    <w:rsid w:val="00BF716D"/>
    <w:rsid w:val="00C03E0F"/>
    <w:rsid w:val="00C0509A"/>
    <w:rsid w:val="00C07B8E"/>
    <w:rsid w:val="00C15A25"/>
    <w:rsid w:val="00C17C29"/>
    <w:rsid w:val="00C20779"/>
    <w:rsid w:val="00C22776"/>
    <w:rsid w:val="00C238AA"/>
    <w:rsid w:val="00C25A55"/>
    <w:rsid w:val="00C26CCC"/>
    <w:rsid w:val="00C305A4"/>
    <w:rsid w:val="00C320BD"/>
    <w:rsid w:val="00C32D3F"/>
    <w:rsid w:val="00C33B68"/>
    <w:rsid w:val="00C34AB4"/>
    <w:rsid w:val="00C35DE3"/>
    <w:rsid w:val="00C37715"/>
    <w:rsid w:val="00C37ADC"/>
    <w:rsid w:val="00C4114A"/>
    <w:rsid w:val="00C421CA"/>
    <w:rsid w:val="00C42589"/>
    <w:rsid w:val="00C42E3B"/>
    <w:rsid w:val="00C46C4A"/>
    <w:rsid w:val="00C52E56"/>
    <w:rsid w:val="00C5407A"/>
    <w:rsid w:val="00C56467"/>
    <w:rsid w:val="00C64B6E"/>
    <w:rsid w:val="00C64C2C"/>
    <w:rsid w:val="00C662B0"/>
    <w:rsid w:val="00C7106E"/>
    <w:rsid w:val="00C72637"/>
    <w:rsid w:val="00C76816"/>
    <w:rsid w:val="00C84FD4"/>
    <w:rsid w:val="00C94C1A"/>
    <w:rsid w:val="00C958EE"/>
    <w:rsid w:val="00C97407"/>
    <w:rsid w:val="00C97BD1"/>
    <w:rsid w:val="00CA0C27"/>
    <w:rsid w:val="00CA1515"/>
    <w:rsid w:val="00CA578B"/>
    <w:rsid w:val="00CB0BD3"/>
    <w:rsid w:val="00CC0CDC"/>
    <w:rsid w:val="00CC1B62"/>
    <w:rsid w:val="00CC2E2B"/>
    <w:rsid w:val="00CC416A"/>
    <w:rsid w:val="00CC4B4F"/>
    <w:rsid w:val="00CC726D"/>
    <w:rsid w:val="00CD21FB"/>
    <w:rsid w:val="00CD246C"/>
    <w:rsid w:val="00CD3E14"/>
    <w:rsid w:val="00CD5454"/>
    <w:rsid w:val="00CE6871"/>
    <w:rsid w:val="00CF0AC5"/>
    <w:rsid w:val="00CF49BB"/>
    <w:rsid w:val="00CF7728"/>
    <w:rsid w:val="00CF7E14"/>
    <w:rsid w:val="00D0470C"/>
    <w:rsid w:val="00D05018"/>
    <w:rsid w:val="00D0655B"/>
    <w:rsid w:val="00D1409E"/>
    <w:rsid w:val="00D1484A"/>
    <w:rsid w:val="00D17DF5"/>
    <w:rsid w:val="00D2753B"/>
    <w:rsid w:val="00D30C62"/>
    <w:rsid w:val="00D30E3E"/>
    <w:rsid w:val="00D376D0"/>
    <w:rsid w:val="00D41134"/>
    <w:rsid w:val="00D423FE"/>
    <w:rsid w:val="00D442E4"/>
    <w:rsid w:val="00D45473"/>
    <w:rsid w:val="00D4799C"/>
    <w:rsid w:val="00D47C3A"/>
    <w:rsid w:val="00D50465"/>
    <w:rsid w:val="00D513DC"/>
    <w:rsid w:val="00D51D03"/>
    <w:rsid w:val="00D6607F"/>
    <w:rsid w:val="00D6666E"/>
    <w:rsid w:val="00D706B1"/>
    <w:rsid w:val="00D70BCD"/>
    <w:rsid w:val="00D70DC1"/>
    <w:rsid w:val="00D72D57"/>
    <w:rsid w:val="00D73D60"/>
    <w:rsid w:val="00D75AA4"/>
    <w:rsid w:val="00D76572"/>
    <w:rsid w:val="00D76AE3"/>
    <w:rsid w:val="00D76C9A"/>
    <w:rsid w:val="00D779EF"/>
    <w:rsid w:val="00D80EDC"/>
    <w:rsid w:val="00D82212"/>
    <w:rsid w:val="00D82EB6"/>
    <w:rsid w:val="00D9407E"/>
    <w:rsid w:val="00D95EA0"/>
    <w:rsid w:val="00D961E3"/>
    <w:rsid w:val="00DA04BC"/>
    <w:rsid w:val="00DA2F45"/>
    <w:rsid w:val="00DA4748"/>
    <w:rsid w:val="00DA7205"/>
    <w:rsid w:val="00DA762E"/>
    <w:rsid w:val="00DB48F2"/>
    <w:rsid w:val="00DC4F14"/>
    <w:rsid w:val="00DD0E34"/>
    <w:rsid w:val="00DD2A0D"/>
    <w:rsid w:val="00DE0FF9"/>
    <w:rsid w:val="00DE2D5D"/>
    <w:rsid w:val="00DE52B9"/>
    <w:rsid w:val="00DE6F93"/>
    <w:rsid w:val="00DE7701"/>
    <w:rsid w:val="00DF1131"/>
    <w:rsid w:val="00DF4F15"/>
    <w:rsid w:val="00E00AF4"/>
    <w:rsid w:val="00E0220D"/>
    <w:rsid w:val="00E047D3"/>
    <w:rsid w:val="00E21F02"/>
    <w:rsid w:val="00E22BA5"/>
    <w:rsid w:val="00E23326"/>
    <w:rsid w:val="00E2485C"/>
    <w:rsid w:val="00E266B7"/>
    <w:rsid w:val="00E268E0"/>
    <w:rsid w:val="00E30498"/>
    <w:rsid w:val="00E30C84"/>
    <w:rsid w:val="00E321C5"/>
    <w:rsid w:val="00E32EA7"/>
    <w:rsid w:val="00E36C92"/>
    <w:rsid w:val="00E37197"/>
    <w:rsid w:val="00E40000"/>
    <w:rsid w:val="00E41EE9"/>
    <w:rsid w:val="00E42028"/>
    <w:rsid w:val="00E47C0A"/>
    <w:rsid w:val="00E52435"/>
    <w:rsid w:val="00E54B55"/>
    <w:rsid w:val="00E54CCA"/>
    <w:rsid w:val="00E55444"/>
    <w:rsid w:val="00E5772B"/>
    <w:rsid w:val="00E655EC"/>
    <w:rsid w:val="00E66FCC"/>
    <w:rsid w:val="00E67511"/>
    <w:rsid w:val="00E734CC"/>
    <w:rsid w:val="00E7565F"/>
    <w:rsid w:val="00E7784C"/>
    <w:rsid w:val="00E82D0F"/>
    <w:rsid w:val="00E8323F"/>
    <w:rsid w:val="00E86028"/>
    <w:rsid w:val="00E86090"/>
    <w:rsid w:val="00E907D1"/>
    <w:rsid w:val="00E91975"/>
    <w:rsid w:val="00E950B5"/>
    <w:rsid w:val="00E967AD"/>
    <w:rsid w:val="00E970EB"/>
    <w:rsid w:val="00E97630"/>
    <w:rsid w:val="00EA1637"/>
    <w:rsid w:val="00EA19CC"/>
    <w:rsid w:val="00EA24A8"/>
    <w:rsid w:val="00EA2B76"/>
    <w:rsid w:val="00EA44EA"/>
    <w:rsid w:val="00EA57BF"/>
    <w:rsid w:val="00EA683A"/>
    <w:rsid w:val="00EB3F1C"/>
    <w:rsid w:val="00EB610F"/>
    <w:rsid w:val="00EB7FE0"/>
    <w:rsid w:val="00EC0BC7"/>
    <w:rsid w:val="00EC4CEE"/>
    <w:rsid w:val="00EC6E78"/>
    <w:rsid w:val="00ED4BDC"/>
    <w:rsid w:val="00ED62C5"/>
    <w:rsid w:val="00EE59C7"/>
    <w:rsid w:val="00EF175F"/>
    <w:rsid w:val="00EF31D8"/>
    <w:rsid w:val="00EF3DD6"/>
    <w:rsid w:val="00F02FA7"/>
    <w:rsid w:val="00F04223"/>
    <w:rsid w:val="00F05879"/>
    <w:rsid w:val="00F06F5B"/>
    <w:rsid w:val="00F0730D"/>
    <w:rsid w:val="00F0736E"/>
    <w:rsid w:val="00F115F7"/>
    <w:rsid w:val="00F133BE"/>
    <w:rsid w:val="00F22037"/>
    <w:rsid w:val="00F22D3D"/>
    <w:rsid w:val="00F2485D"/>
    <w:rsid w:val="00F271B7"/>
    <w:rsid w:val="00F306E6"/>
    <w:rsid w:val="00F33926"/>
    <w:rsid w:val="00F34FB4"/>
    <w:rsid w:val="00F37DB4"/>
    <w:rsid w:val="00F41468"/>
    <w:rsid w:val="00F423D9"/>
    <w:rsid w:val="00F44718"/>
    <w:rsid w:val="00F449A7"/>
    <w:rsid w:val="00F449EF"/>
    <w:rsid w:val="00F457C5"/>
    <w:rsid w:val="00F47843"/>
    <w:rsid w:val="00F505C7"/>
    <w:rsid w:val="00F544A6"/>
    <w:rsid w:val="00F54DF7"/>
    <w:rsid w:val="00F56C5C"/>
    <w:rsid w:val="00F60C61"/>
    <w:rsid w:val="00F615DC"/>
    <w:rsid w:val="00F64B52"/>
    <w:rsid w:val="00F66881"/>
    <w:rsid w:val="00F717C6"/>
    <w:rsid w:val="00F7538D"/>
    <w:rsid w:val="00F75A76"/>
    <w:rsid w:val="00F75B40"/>
    <w:rsid w:val="00F848A5"/>
    <w:rsid w:val="00F86C53"/>
    <w:rsid w:val="00F87677"/>
    <w:rsid w:val="00F87B95"/>
    <w:rsid w:val="00F91F51"/>
    <w:rsid w:val="00F93246"/>
    <w:rsid w:val="00FA0F55"/>
    <w:rsid w:val="00FA177C"/>
    <w:rsid w:val="00FA2940"/>
    <w:rsid w:val="00FA51AC"/>
    <w:rsid w:val="00FA6F29"/>
    <w:rsid w:val="00FA711A"/>
    <w:rsid w:val="00FA71D7"/>
    <w:rsid w:val="00FB0EF5"/>
    <w:rsid w:val="00FB14E8"/>
    <w:rsid w:val="00FB2E7A"/>
    <w:rsid w:val="00FB5289"/>
    <w:rsid w:val="00FB5291"/>
    <w:rsid w:val="00FB615D"/>
    <w:rsid w:val="00FC1144"/>
    <w:rsid w:val="00FC2639"/>
    <w:rsid w:val="00FC31F1"/>
    <w:rsid w:val="00FD0C85"/>
    <w:rsid w:val="00FD2461"/>
    <w:rsid w:val="00FD3D4E"/>
    <w:rsid w:val="00FD4436"/>
    <w:rsid w:val="00FD50C8"/>
    <w:rsid w:val="00FD583A"/>
    <w:rsid w:val="00FD6405"/>
    <w:rsid w:val="00FE28DC"/>
    <w:rsid w:val="00FE2A7E"/>
    <w:rsid w:val="00FE68AD"/>
    <w:rsid w:val="00FE7BE7"/>
    <w:rsid w:val="00FE7E8B"/>
    <w:rsid w:val="00FF0B50"/>
    <w:rsid w:val="00FF4EE2"/>
    <w:rsid w:val="00FF66EC"/>
    <w:rsid w:val="00FF730B"/>
    <w:rsid w:val="00FF7399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8B19661"/>
  <w15:docId w15:val="{0504039D-31F0-4AFE-8A9F-13A05302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957E9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E7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3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lizabeth.Ortiz@apaacaz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nksm\application%20data\microsoft\templates\Legal%20Pleadings\ORDER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D02B0C4E2C1469C5472F9B6E92497" ma:contentTypeVersion="12" ma:contentTypeDescription="Create a new document." ma:contentTypeScope="" ma:versionID="d067aa5a249aece90641887729f3776b">
  <xsd:schema xmlns:xsd="http://www.w3.org/2001/XMLSchema" xmlns:xs="http://www.w3.org/2001/XMLSchema" xmlns:p="http://schemas.microsoft.com/office/2006/metadata/properties" xmlns:ns2="bf70374b-5ede-4d07-a6d4-3a8a64b98b0b" xmlns:ns3="5dedd23f-364b-4ca1-be4a-e2c9edd82fa2" targetNamespace="http://schemas.microsoft.com/office/2006/metadata/properties" ma:root="true" ma:fieldsID="985952db9e15e83f16b6e456cbbf08ed" ns2:_="" ns3:_="">
    <xsd:import namespace="bf70374b-5ede-4d07-a6d4-3a8a64b98b0b"/>
    <xsd:import namespace="5dedd23f-364b-4ca1-be4a-e2c9edd82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0374b-5ede-4d07-a6d4-3a8a64b98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dd23f-364b-4ca1-be4a-e2c9edd82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7DBA4-CB9F-43A0-B6FB-D9DE4EB530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B94D2E-DEEA-4C82-BCF9-EB2107CE4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0374b-5ede-4d07-a6d4-3a8a64b98b0b"/>
    <ds:schemaRef ds:uri="5dedd23f-364b-4ca1-be4a-e2c9edd82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A033FE-3BCA-45A8-95B9-811372C980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2391BC-C904-46ED-AC31-FD0250231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FORM</Template>
  <TotalTime>2</TotalTime>
  <Pages>7</Pages>
  <Words>1425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State Bar of Arizona</Company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creator>Superior Court</dc:creator>
  <cp:lastModifiedBy>Diana Cooney</cp:lastModifiedBy>
  <cp:revision>3</cp:revision>
  <cp:lastPrinted>2020-04-01T01:00:00Z</cp:lastPrinted>
  <dcterms:created xsi:type="dcterms:W3CDTF">2020-04-01T01:01:00Z</dcterms:created>
  <dcterms:modified xsi:type="dcterms:W3CDTF">2020-04-02T17:38:00Z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  <property fmtid="{D5CDD505-2E9C-101B-9397-08002B2CF9AE}" pid="6" name="ContentTypeId">
    <vt:lpwstr>0x0101009A6D02B0C4E2C1469C5472F9B6E92497</vt:lpwstr>
  </property>
</Properties>
</file>