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950"/>
        <w:gridCol w:w="4086"/>
      </w:tblGrid>
      <w:tr w:rsidR="00357F4D" w:rsidRPr="000F7A7F" w14:paraId="1F26B169" w14:textId="77777777" w:rsidTr="00A102AE">
        <w:trPr>
          <w:cantSplit/>
          <w:trHeight w:val="1987"/>
        </w:trPr>
        <w:tc>
          <w:tcPr>
            <w:tcW w:w="4950" w:type="dxa"/>
          </w:tcPr>
          <w:p w14:paraId="33E53016" w14:textId="15E29A22" w:rsidR="00B02AF3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 xml:space="preserve">Elizabeth </w:t>
            </w:r>
            <w:r w:rsidR="00A102AE">
              <w:rPr>
                <w:sz w:val="28"/>
                <w:szCs w:val="28"/>
              </w:rPr>
              <w:t xml:space="preserve">Burton </w:t>
            </w:r>
            <w:r>
              <w:rPr>
                <w:sz w:val="28"/>
                <w:szCs w:val="28"/>
              </w:rPr>
              <w:t>Ortiz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012838</w:t>
            </w:r>
          </w:p>
          <w:p w14:paraId="7A728113" w14:textId="77777777" w:rsidR="00000C35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14:paraId="15CEA1E0" w14:textId="77777777" w:rsidR="00494BDF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 Advisory Council</w:t>
            </w:r>
          </w:p>
          <w:p w14:paraId="3324DE79" w14:textId="7386AE05" w:rsidR="00357F4D" w:rsidRPr="006F63FD" w:rsidRDefault="00A102A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3838 N. Central Avenue, </w:t>
            </w:r>
            <w:r w:rsidR="00B02AF3">
              <w:rPr>
                <w:sz w:val="28"/>
                <w:szCs w:val="28"/>
              </w:rPr>
              <w:t>Suite</w:t>
            </w:r>
            <w:r w:rsidR="00357F4D"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850</w:t>
            </w:r>
          </w:p>
          <w:p w14:paraId="2877A877" w14:textId="3EFD2136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 w:rsidR="00A102AE">
              <w:rPr>
                <w:sz w:val="28"/>
                <w:szCs w:val="28"/>
              </w:rPr>
              <w:t>2</w:t>
            </w:r>
          </w:p>
          <w:p w14:paraId="1186B546" w14:textId="77777777" w:rsidR="00357F4D" w:rsidRPr="006F63FD" w:rsidRDefault="00352347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14:paraId="76C8C2A3" w14:textId="77777777" w:rsidR="00121B9C" w:rsidRDefault="00831E4F" w:rsidP="00121B9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11" w:history="1">
              <w:r w:rsidR="00121B9C" w:rsidRPr="003126EB">
                <w:rPr>
                  <w:rStyle w:val="Hyperlink"/>
                  <w:sz w:val="28"/>
                  <w:szCs w:val="28"/>
                </w:rPr>
                <w:t>Elizabeth.Ortiz@apaacaz.com</w:t>
              </w:r>
            </w:hyperlink>
            <w:r w:rsidR="00121B9C">
              <w:rPr>
                <w:sz w:val="28"/>
                <w:szCs w:val="28"/>
              </w:rPr>
              <w:t xml:space="preserve"> </w:t>
            </w:r>
          </w:p>
          <w:p w14:paraId="2796A6A2" w14:textId="77777777"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14:paraId="59835A29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A70CCCE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1856143E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D580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44A46119" w14:textId="7BD23334"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87B69">
              <w:rPr>
                <w:b/>
                <w:sz w:val="28"/>
                <w:szCs w:val="28"/>
              </w:rPr>
              <w:t xml:space="preserve">AMEND </w:t>
            </w:r>
            <w:r w:rsidR="00282E21">
              <w:rPr>
                <w:b/>
                <w:sz w:val="28"/>
                <w:szCs w:val="28"/>
              </w:rPr>
              <w:t>THE RULES OF THE SUPREME COURT OF ARIZONA: RULE 24 – JURY SELECTION</w:t>
            </w:r>
          </w:p>
          <w:p w14:paraId="712DCE80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557FD37" w14:textId="712F99D1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282E21">
              <w:rPr>
                <w:sz w:val="28"/>
                <w:szCs w:val="28"/>
              </w:rPr>
              <w:t>20</w:t>
            </w:r>
            <w:r w:rsidR="003A1639">
              <w:rPr>
                <w:sz w:val="28"/>
                <w:szCs w:val="28"/>
              </w:rPr>
              <w:t>-00</w:t>
            </w:r>
            <w:r w:rsidR="000A0F79">
              <w:rPr>
                <w:sz w:val="28"/>
                <w:szCs w:val="28"/>
              </w:rPr>
              <w:t>09</w:t>
            </w:r>
          </w:p>
          <w:p w14:paraId="1B99CC13" w14:textId="256683FC"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14:paraId="7636A501" w14:textId="77777777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14:paraId="296508BB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40CC108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39535B2D" w14:textId="77777777"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14:paraId="4DDDA038" w14:textId="77777777" w:rsidR="00526087" w:rsidRDefault="00526087" w:rsidP="00DE52B9">
      <w:pPr>
        <w:pStyle w:val="Body"/>
        <w:widowControl w:val="0"/>
        <w:spacing w:line="240" w:lineRule="auto"/>
        <w:ind w:firstLine="0"/>
        <w:rPr>
          <w:b/>
          <w:sz w:val="28"/>
          <w:szCs w:val="28"/>
        </w:rPr>
      </w:pPr>
      <w:r w:rsidRPr="00B87B69">
        <w:rPr>
          <w:b/>
          <w:sz w:val="28"/>
          <w:szCs w:val="28"/>
        </w:rPr>
        <w:t>I.</w:t>
      </w:r>
      <w:r w:rsidRPr="00B87B69">
        <w:rPr>
          <w:b/>
          <w:sz w:val="28"/>
          <w:szCs w:val="28"/>
        </w:rPr>
        <w:tab/>
        <w:t>BACKGROU</w:t>
      </w:r>
      <w:r>
        <w:rPr>
          <w:b/>
          <w:sz w:val="28"/>
          <w:szCs w:val="28"/>
        </w:rPr>
        <w:t>ND OF PETITION</w:t>
      </w:r>
    </w:p>
    <w:p w14:paraId="4A585A23" w14:textId="77777777" w:rsidR="00526087" w:rsidRDefault="00526087" w:rsidP="00526087">
      <w:pPr>
        <w:pStyle w:val="Body"/>
        <w:widowControl w:val="0"/>
        <w:spacing w:line="240" w:lineRule="auto"/>
        <w:ind w:firstLine="720"/>
        <w:rPr>
          <w:b/>
          <w:sz w:val="28"/>
          <w:szCs w:val="28"/>
        </w:rPr>
      </w:pPr>
    </w:p>
    <w:p w14:paraId="32A2AD50" w14:textId="3D50F815" w:rsidR="00821246" w:rsidRDefault="00A9118F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 Arizona chapter of the Nat</w:t>
      </w:r>
      <w:r w:rsidR="00F85EBD">
        <w:rPr>
          <w:sz w:val="28"/>
          <w:szCs w:val="28"/>
        </w:rPr>
        <w:t xml:space="preserve">ional </w:t>
      </w:r>
      <w:proofErr w:type="spellStart"/>
      <w:r w:rsidR="00F85EBD">
        <w:rPr>
          <w:sz w:val="28"/>
          <w:szCs w:val="28"/>
        </w:rPr>
        <w:t>Lawy</w:t>
      </w:r>
      <w:r w:rsidR="00CF64DE">
        <w:rPr>
          <w:sz w:val="28"/>
          <w:szCs w:val="28"/>
        </w:rPr>
        <w:t>er’s</w:t>
      </w:r>
      <w:proofErr w:type="spellEnd"/>
      <w:r w:rsidR="00CF64DE">
        <w:rPr>
          <w:sz w:val="28"/>
          <w:szCs w:val="28"/>
        </w:rPr>
        <w:t xml:space="preserve"> Guild</w:t>
      </w:r>
      <w:r w:rsidR="0070578E">
        <w:rPr>
          <w:sz w:val="28"/>
          <w:szCs w:val="28"/>
        </w:rPr>
        <w:t xml:space="preserve"> (“Guild”)</w:t>
      </w:r>
      <w:r w:rsidR="00F0070C">
        <w:rPr>
          <w:sz w:val="28"/>
          <w:szCs w:val="28"/>
        </w:rPr>
        <w:t xml:space="preserve"> has filed a petition to create a new rule of </w:t>
      </w:r>
      <w:r w:rsidR="00CF022C">
        <w:rPr>
          <w:sz w:val="28"/>
          <w:szCs w:val="28"/>
        </w:rPr>
        <w:t>The Supreme Court of</w:t>
      </w:r>
      <w:r w:rsidR="00AF4D31">
        <w:rPr>
          <w:sz w:val="28"/>
          <w:szCs w:val="28"/>
        </w:rPr>
        <w:t xml:space="preserve"> Arizona </w:t>
      </w:r>
      <w:r w:rsidR="00FC7447">
        <w:rPr>
          <w:sz w:val="28"/>
          <w:szCs w:val="28"/>
        </w:rPr>
        <w:t>to address what it claims</w:t>
      </w:r>
      <w:r w:rsidR="00F07A66">
        <w:rPr>
          <w:sz w:val="28"/>
          <w:szCs w:val="28"/>
        </w:rPr>
        <w:t xml:space="preserve"> is “subtle </w:t>
      </w:r>
      <w:r w:rsidR="000B7A2C">
        <w:rPr>
          <w:sz w:val="28"/>
          <w:szCs w:val="28"/>
        </w:rPr>
        <w:t>and persistent forms of racial and ethnic discrimination</w:t>
      </w:r>
      <w:r w:rsidR="008C6E84">
        <w:rPr>
          <w:sz w:val="28"/>
          <w:szCs w:val="28"/>
        </w:rPr>
        <w:t>” in the use of peremptory challenges in jury selection.</w:t>
      </w:r>
      <w:r w:rsidR="009A25E6">
        <w:rPr>
          <w:sz w:val="28"/>
          <w:szCs w:val="28"/>
        </w:rPr>
        <w:t xml:space="preserve">  </w:t>
      </w:r>
      <w:r w:rsidR="00683AC1">
        <w:rPr>
          <w:sz w:val="28"/>
          <w:szCs w:val="28"/>
        </w:rPr>
        <w:t>In support of its petition, the Guild claims</w:t>
      </w:r>
      <w:r w:rsidR="00997D2F">
        <w:rPr>
          <w:sz w:val="28"/>
          <w:szCs w:val="28"/>
        </w:rPr>
        <w:t xml:space="preserve"> that discrimination </w:t>
      </w:r>
      <w:r w:rsidR="00E822BA">
        <w:rPr>
          <w:sz w:val="28"/>
          <w:szCs w:val="28"/>
        </w:rPr>
        <w:t>has been permitted to “continue unchecked”</w:t>
      </w:r>
      <w:r w:rsidR="00C84FE7">
        <w:rPr>
          <w:sz w:val="28"/>
          <w:szCs w:val="28"/>
        </w:rPr>
        <w:t xml:space="preserve"> by current procedures</w:t>
      </w:r>
      <w:r w:rsidR="00C5551F">
        <w:rPr>
          <w:sz w:val="28"/>
          <w:szCs w:val="28"/>
        </w:rPr>
        <w:t xml:space="preserve"> in the criminal justice system at large</w:t>
      </w:r>
      <w:r w:rsidR="00C84FE7">
        <w:rPr>
          <w:sz w:val="28"/>
          <w:szCs w:val="28"/>
        </w:rPr>
        <w:t>.</w:t>
      </w:r>
      <w:r w:rsidR="00C419BC">
        <w:rPr>
          <w:sz w:val="28"/>
          <w:szCs w:val="28"/>
        </w:rPr>
        <w:t xml:space="preserve">  The petition proposes t</w:t>
      </w:r>
      <w:r w:rsidR="001C36D4">
        <w:rPr>
          <w:sz w:val="28"/>
          <w:szCs w:val="28"/>
        </w:rPr>
        <w:t>he</w:t>
      </w:r>
      <w:r w:rsidR="00C419BC">
        <w:rPr>
          <w:sz w:val="28"/>
          <w:szCs w:val="28"/>
        </w:rPr>
        <w:t xml:space="preserve"> elimination </w:t>
      </w:r>
      <w:r w:rsidR="001C36D4">
        <w:rPr>
          <w:sz w:val="28"/>
          <w:szCs w:val="28"/>
        </w:rPr>
        <w:t xml:space="preserve">of </w:t>
      </w:r>
      <w:r w:rsidR="00C419BC">
        <w:rPr>
          <w:sz w:val="28"/>
          <w:szCs w:val="28"/>
        </w:rPr>
        <w:t xml:space="preserve">the </w:t>
      </w:r>
      <w:r w:rsidR="00C419BC" w:rsidRPr="001C36D4">
        <w:rPr>
          <w:i/>
          <w:iCs/>
          <w:sz w:val="28"/>
          <w:szCs w:val="28"/>
        </w:rPr>
        <w:t>Batson</w:t>
      </w:r>
      <w:r w:rsidR="00C419BC">
        <w:rPr>
          <w:sz w:val="28"/>
          <w:szCs w:val="28"/>
        </w:rPr>
        <w:t xml:space="preserve"> </w:t>
      </w:r>
      <w:r w:rsidR="00885CDD">
        <w:rPr>
          <w:sz w:val="28"/>
          <w:szCs w:val="28"/>
        </w:rPr>
        <w:t>test</w:t>
      </w:r>
      <w:r w:rsidR="00C419BC">
        <w:rPr>
          <w:sz w:val="28"/>
          <w:szCs w:val="28"/>
        </w:rPr>
        <w:t xml:space="preserve"> and</w:t>
      </w:r>
      <w:r w:rsidR="000B7A2C">
        <w:rPr>
          <w:sz w:val="28"/>
          <w:szCs w:val="28"/>
        </w:rPr>
        <w:t xml:space="preserve"> </w:t>
      </w:r>
      <w:r w:rsidR="001C36D4">
        <w:rPr>
          <w:sz w:val="28"/>
          <w:szCs w:val="28"/>
        </w:rPr>
        <w:t>the creation of new procedures</w:t>
      </w:r>
      <w:r w:rsidR="001A5793">
        <w:rPr>
          <w:sz w:val="28"/>
          <w:szCs w:val="28"/>
        </w:rPr>
        <w:t xml:space="preserve"> on peremptory challenges.</w:t>
      </w:r>
    </w:p>
    <w:p w14:paraId="4C24A940" w14:textId="186476EF" w:rsidR="005F39FA" w:rsidRDefault="00E00AF4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23316F">
        <w:rPr>
          <w:sz w:val="28"/>
          <w:szCs w:val="28"/>
        </w:rPr>
        <w:lastRenderedPageBreak/>
        <w:t xml:space="preserve">The </w:t>
      </w:r>
      <w:r>
        <w:rPr>
          <w:sz w:val="28"/>
          <w:szCs w:val="28"/>
        </w:rPr>
        <w:t xml:space="preserve">Arizona </w:t>
      </w:r>
      <w:r w:rsidR="00FD0C85">
        <w:rPr>
          <w:sz w:val="28"/>
          <w:szCs w:val="28"/>
        </w:rPr>
        <w:t>Prosecuting Attorneys’ Advisory Council (“APAAC”)</w:t>
      </w:r>
      <w:r w:rsidRPr="0023316F">
        <w:rPr>
          <w:sz w:val="28"/>
          <w:szCs w:val="28"/>
        </w:rPr>
        <w:t xml:space="preserve"> has </w:t>
      </w:r>
      <w:r w:rsidR="001D6306">
        <w:rPr>
          <w:sz w:val="28"/>
          <w:szCs w:val="28"/>
        </w:rPr>
        <w:t xml:space="preserve">carefully reviewed and considered </w:t>
      </w:r>
      <w:r w:rsidR="00644A2A">
        <w:rPr>
          <w:sz w:val="28"/>
          <w:szCs w:val="28"/>
        </w:rPr>
        <w:t>the Guild’s petition</w:t>
      </w:r>
      <w:r w:rsidR="00192053">
        <w:rPr>
          <w:sz w:val="28"/>
          <w:szCs w:val="28"/>
        </w:rPr>
        <w:t>.</w:t>
      </w:r>
      <w:r w:rsidR="001C1531">
        <w:rPr>
          <w:sz w:val="28"/>
          <w:szCs w:val="28"/>
        </w:rPr>
        <w:t xml:space="preserve">  W</w:t>
      </w:r>
      <w:r w:rsidR="000A3687">
        <w:rPr>
          <w:sz w:val="28"/>
          <w:szCs w:val="28"/>
        </w:rPr>
        <w:t>ithout question</w:t>
      </w:r>
      <w:r w:rsidR="00BA1BB2">
        <w:rPr>
          <w:sz w:val="28"/>
          <w:szCs w:val="28"/>
        </w:rPr>
        <w:t>,</w:t>
      </w:r>
      <w:r w:rsidR="00F6407A">
        <w:rPr>
          <w:sz w:val="28"/>
          <w:szCs w:val="28"/>
        </w:rPr>
        <w:t xml:space="preserve"> racial and ethnic discrimination in jury selection cannot be tolerated</w:t>
      </w:r>
      <w:r w:rsidR="00652B52">
        <w:rPr>
          <w:sz w:val="28"/>
          <w:szCs w:val="28"/>
        </w:rPr>
        <w:t xml:space="preserve"> in our criminal justice system</w:t>
      </w:r>
      <w:r w:rsidR="00BA1BB2">
        <w:rPr>
          <w:sz w:val="28"/>
          <w:szCs w:val="28"/>
        </w:rPr>
        <w:t>.  However</w:t>
      </w:r>
      <w:r w:rsidR="00F6407A">
        <w:rPr>
          <w:sz w:val="28"/>
          <w:szCs w:val="28"/>
        </w:rPr>
        <w:t>,</w:t>
      </w:r>
      <w:r w:rsidR="005C4CC2">
        <w:rPr>
          <w:sz w:val="28"/>
          <w:szCs w:val="28"/>
        </w:rPr>
        <w:t xml:space="preserve"> </w:t>
      </w:r>
      <w:r w:rsidR="000A3687">
        <w:rPr>
          <w:sz w:val="28"/>
          <w:szCs w:val="28"/>
        </w:rPr>
        <w:t>APAAC opposes</w:t>
      </w:r>
      <w:r w:rsidR="00607087">
        <w:rPr>
          <w:sz w:val="28"/>
          <w:szCs w:val="28"/>
        </w:rPr>
        <w:t xml:space="preserve"> th</w:t>
      </w:r>
      <w:r w:rsidR="00BA1BB2">
        <w:rPr>
          <w:sz w:val="28"/>
          <w:szCs w:val="28"/>
        </w:rPr>
        <w:t>is</w:t>
      </w:r>
      <w:r w:rsidR="00607087">
        <w:rPr>
          <w:sz w:val="28"/>
          <w:szCs w:val="28"/>
        </w:rPr>
        <w:t xml:space="preserve"> petition.  </w:t>
      </w:r>
      <w:r w:rsidR="006F55A8">
        <w:rPr>
          <w:sz w:val="28"/>
          <w:szCs w:val="28"/>
        </w:rPr>
        <w:t>While the underlying</w:t>
      </w:r>
      <w:r w:rsidR="009024E5">
        <w:rPr>
          <w:sz w:val="28"/>
          <w:szCs w:val="28"/>
        </w:rPr>
        <w:t xml:space="preserve"> basis for the proposal comes from </w:t>
      </w:r>
      <w:r w:rsidR="0020168B">
        <w:rPr>
          <w:sz w:val="28"/>
          <w:szCs w:val="28"/>
        </w:rPr>
        <w:t>the work of a jury selection</w:t>
      </w:r>
      <w:r w:rsidR="004D69AC">
        <w:rPr>
          <w:sz w:val="28"/>
          <w:szCs w:val="28"/>
        </w:rPr>
        <w:t xml:space="preserve"> </w:t>
      </w:r>
      <w:r w:rsidR="0033248F">
        <w:rPr>
          <w:sz w:val="28"/>
          <w:szCs w:val="28"/>
        </w:rPr>
        <w:t>workgroup</w:t>
      </w:r>
      <w:r w:rsidR="00DA08AD">
        <w:rPr>
          <w:sz w:val="28"/>
          <w:szCs w:val="28"/>
        </w:rPr>
        <w:t xml:space="preserve"> out of the </w:t>
      </w:r>
      <w:r w:rsidR="006B6C8E">
        <w:rPr>
          <w:sz w:val="28"/>
          <w:szCs w:val="28"/>
        </w:rPr>
        <w:t xml:space="preserve">State of </w:t>
      </w:r>
      <w:r w:rsidR="00DA08AD">
        <w:rPr>
          <w:sz w:val="28"/>
          <w:szCs w:val="28"/>
        </w:rPr>
        <w:t>Washington</w:t>
      </w:r>
      <w:r w:rsidR="008B7744">
        <w:rPr>
          <w:sz w:val="28"/>
          <w:szCs w:val="28"/>
        </w:rPr>
        <w:t xml:space="preserve"> (Petition, p. 11)</w:t>
      </w:r>
      <w:r w:rsidR="00DA08AD">
        <w:rPr>
          <w:sz w:val="28"/>
          <w:szCs w:val="28"/>
        </w:rPr>
        <w:t>,</w:t>
      </w:r>
      <w:r w:rsidR="00DA08AD">
        <w:rPr>
          <w:rStyle w:val="FootnoteReference"/>
          <w:sz w:val="28"/>
          <w:szCs w:val="28"/>
        </w:rPr>
        <w:footnoteReference w:id="2"/>
      </w:r>
      <w:r w:rsidR="00DA08AD">
        <w:rPr>
          <w:sz w:val="28"/>
          <w:szCs w:val="28"/>
        </w:rPr>
        <w:t xml:space="preserve"> </w:t>
      </w:r>
      <w:r w:rsidR="00C33AD8">
        <w:rPr>
          <w:sz w:val="28"/>
          <w:szCs w:val="28"/>
        </w:rPr>
        <w:t xml:space="preserve">Arizona </w:t>
      </w:r>
      <w:r w:rsidR="000E1747">
        <w:rPr>
          <w:sz w:val="28"/>
          <w:szCs w:val="28"/>
        </w:rPr>
        <w:t>courts have</w:t>
      </w:r>
      <w:r w:rsidR="009260F8">
        <w:rPr>
          <w:sz w:val="28"/>
          <w:szCs w:val="28"/>
        </w:rPr>
        <w:t xml:space="preserve"> </w:t>
      </w:r>
      <w:r w:rsidR="00C33AD8">
        <w:rPr>
          <w:sz w:val="28"/>
          <w:szCs w:val="28"/>
        </w:rPr>
        <w:t>recently declined</w:t>
      </w:r>
      <w:r w:rsidR="00AC2B63">
        <w:rPr>
          <w:sz w:val="28"/>
          <w:szCs w:val="28"/>
        </w:rPr>
        <w:t xml:space="preserve"> </w:t>
      </w:r>
      <w:r w:rsidR="008E5026">
        <w:rPr>
          <w:sz w:val="28"/>
          <w:szCs w:val="28"/>
        </w:rPr>
        <w:t>an opportunity to follo</w:t>
      </w:r>
      <w:r w:rsidR="00AC2B63">
        <w:rPr>
          <w:sz w:val="28"/>
          <w:szCs w:val="28"/>
        </w:rPr>
        <w:t>w</w:t>
      </w:r>
      <w:r w:rsidR="00FC141C">
        <w:rPr>
          <w:sz w:val="28"/>
          <w:szCs w:val="28"/>
        </w:rPr>
        <w:t xml:space="preserve"> Washington law in establishing</w:t>
      </w:r>
      <w:r w:rsidR="007D629C">
        <w:rPr>
          <w:sz w:val="28"/>
          <w:szCs w:val="28"/>
        </w:rPr>
        <w:t xml:space="preserve"> a similar rule.  Further, the</w:t>
      </w:r>
      <w:r w:rsidR="00FC141C">
        <w:rPr>
          <w:sz w:val="28"/>
          <w:szCs w:val="28"/>
        </w:rPr>
        <w:t xml:space="preserve"> </w:t>
      </w:r>
      <w:r w:rsidR="005C4CC2">
        <w:rPr>
          <w:sz w:val="28"/>
          <w:szCs w:val="28"/>
        </w:rPr>
        <w:t>Guild does not cite</w:t>
      </w:r>
      <w:r w:rsidR="007E2C05">
        <w:rPr>
          <w:sz w:val="28"/>
          <w:szCs w:val="28"/>
        </w:rPr>
        <w:t xml:space="preserve"> to </w:t>
      </w:r>
      <w:r w:rsidR="009260F8">
        <w:rPr>
          <w:sz w:val="28"/>
          <w:szCs w:val="28"/>
        </w:rPr>
        <w:t>any</w:t>
      </w:r>
      <w:r w:rsidR="007E2C05">
        <w:rPr>
          <w:sz w:val="28"/>
          <w:szCs w:val="28"/>
        </w:rPr>
        <w:t xml:space="preserve"> Arizona case </w:t>
      </w:r>
      <w:r w:rsidR="007376C3">
        <w:rPr>
          <w:sz w:val="28"/>
          <w:szCs w:val="28"/>
        </w:rPr>
        <w:t xml:space="preserve">as an example </w:t>
      </w:r>
      <w:r w:rsidR="00F426CB">
        <w:rPr>
          <w:sz w:val="28"/>
          <w:szCs w:val="28"/>
        </w:rPr>
        <w:t>for</w:t>
      </w:r>
      <w:r w:rsidR="007E2C05">
        <w:rPr>
          <w:sz w:val="28"/>
          <w:szCs w:val="28"/>
        </w:rPr>
        <w:t xml:space="preserve"> which</w:t>
      </w:r>
      <w:r w:rsidR="005B4AAC">
        <w:rPr>
          <w:sz w:val="28"/>
          <w:szCs w:val="28"/>
        </w:rPr>
        <w:t xml:space="preserve"> </w:t>
      </w:r>
      <w:r w:rsidR="00AF41E4">
        <w:rPr>
          <w:sz w:val="28"/>
          <w:szCs w:val="28"/>
        </w:rPr>
        <w:t xml:space="preserve">discrimination </w:t>
      </w:r>
      <w:r w:rsidR="00DB0C9B">
        <w:rPr>
          <w:sz w:val="28"/>
          <w:szCs w:val="28"/>
        </w:rPr>
        <w:t xml:space="preserve">in jury selection </w:t>
      </w:r>
      <w:r w:rsidR="00AF41E4">
        <w:rPr>
          <w:sz w:val="28"/>
          <w:szCs w:val="28"/>
        </w:rPr>
        <w:t>was found to exist</w:t>
      </w:r>
      <w:r w:rsidR="00E12B25">
        <w:rPr>
          <w:sz w:val="28"/>
          <w:szCs w:val="28"/>
        </w:rPr>
        <w:t xml:space="preserve"> but was not </w:t>
      </w:r>
      <w:r w:rsidR="00027B60">
        <w:rPr>
          <w:sz w:val="28"/>
          <w:szCs w:val="28"/>
        </w:rPr>
        <w:t xml:space="preserve">properly </w:t>
      </w:r>
      <w:r w:rsidR="00E12B25">
        <w:rPr>
          <w:sz w:val="28"/>
          <w:szCs w:val="28"/>
        </w:rPr>
        <w:t xml:space="preserve">addressed by the </w:t>
      </w:r>
      <w:r w:rsidR="00E12B25" w:rsidRPr="00E12B25">
        <w:rPr>
          <w:i/>
          <w:iCs/>
          <w:sz w:val="28"/>
          <w:szCs w:val="28"/>
        </w:rPr>
        <w:t>Batson</w:t>
      </w:r>
      <w:r w:rsidR="00E12B25">
        <w:rPr>
          <w:sz w:val="28"/>
          <w:szCs w:val="28"/>
        </w:rPr>
        <w:t xml:space="preserve"> procedure.</w:t>
      </w:r>
      <w:r w:rsidR="00F115F7">
        <w:rPr>
          <w:sz w:val="28"/>
          <w:szCs w:val="28"/>
        </w:rPr>
        <w:t xml:space="preserve"> </w:t>
      </w:r>
      <w:r w:rsidR="00027B60">
        <w:rPr>
          <w:sz w:val="28"/>
          <w:szCs w:val="28"/>
        </w:rPr>
        <w:t xml:space="preserve"> </w:t>
      </w:r>
      <w:r w:rsidR="00C94A80">
        <w:rPr>
          <w:sz w:val="28"/>
          <w:szCs w:val="28"/>
        </w:rPr>
        <w:t>Finally</w:t>
      </w:r>
      <w:r w:rsidR="00027B60">
        <w:rPr>
          <w:sz w:val="28"/>
          <w:szCs w:val="28"/>
        </w:rPr>
        <w:t xml:space="preserve">, the </w:t>
      </w:r>
      <w:r w:rsidR="00684E23">
        <w:rPr>
          <w:sz w:val="28"/>
          <w:szCs w:val="28"/>
        </w:rPr>
        <w:t>“objective observer” standard</w:t>
      </w:r>
      <w:r w:rsidR="00DE1929">
        <w:rPr>
          <w:sz w:val="28"/>
          <w:szCs w:val="28"/>
        </w:rPr>
        <w:t xml:space="preserve"> pro</w:t>
      </w:r>
      <w:r w:rsidR="00FE232E">
        <w:rPr>
          <w:sz w:val="28"/>
          <w:szCs w:val="28"/>
        </w:rPr>
        <w:t>posed in</w:t>
      </w:r>
      <w:r w:rsidR="00DD04A3">
        <w:rPr>
          <w:sz w:val="28"/>
          <w:szCs w:val="28"/>
        </w:rPr>
        <w:t xml:space="preserve"> the</w:t>
      </w:r>
      <w:r w:rsidR="00DE1929">
        <w:rPr>
          <w:sz w:val="28"/>
          <w:szCs w:val="28"/>
        </w:rPr>
        <w:t xml:space="preserve"> petition</w:t>
      </w:r>
      <w:r w:rsidR="00210114">
        <w:rPr>
          <w:sz w:val="28"/>
          <w:szCs w:val="28"/>
        </w:rPr>
        <w:t xml:space="preserve">, the </w:t>
      </w:r>
      <w:r w:rsidR="00AE4B2F">
        <w:rPr>
          <w:sz w:val="28"/>
          <w:szCs w:val="28"/>
        </w:rPr>
        <w:t>“</w:t>
      </w:r>
      <w:r w:rsidR="00210114">
        <w:rPr>
          <w:sz w:val="28"/>
          <w:szCs w:val="28"/>
        </w:rPr>
        <w:t>circumstances</w:t>
      </w:r>
      <w:r w:rsidR="00AE4B2F">
        <w:rPr>
          <w:sz w:val="28"/>
          <w:szCs w:val="28"/>
        </w:rPr>
        <w:t>”</w:t>
      </w:r>
      <w:r w:rsidR="00210114">
        <w:rPr>
          <w:sz w:val="28"/>
          <w:szCs w:val="28"/>
        </w:rPr>
        <w:t xml:space="preserve"> </w:t>
      </w:r>
      <w:r w:rsidR="0063539D">
        <w:rPr>
          <w:sz w:val="28"/>
          <w:szCs w:val="28"/>
        </w:rPr>
        <w:t xml:space="preserve">for </w:t>
      </w:r>
      <w:r w:rsidR="00210114">
        <w:rPr>
          <w:sz w:val="28"/>
          <w:szCs w:val="28"/>
        </w:rPr>
        <w:t>consider</w:t>
      </w:r>
      <w:r w:rsidR="0063539D">
        <w:rPr>
          <w:sz w:val="28"/>
          <w:szCs w:val="28"/>
        </w:rPr>
        <w:t>ation</w:t>
      </w:r>
      <w:r w:rsidR="00210114">
        <w:rPr>
          <w:sz w:val="28"/>
          <w:szCs w:val="28"/>
        </w:rPr>
        <w:t xml:space="preserve">, </w:t>
      </w:r>
      <w:r w:rsidR="00F7311B">
        <w:rPr>
          <w:sz w:val="28"/>
          <w:szCs w:val="28"/>
        </w:rPr>
        <w:t>and the “presumptively invalid” reasons for peremptory challenges are</w:t>
      </w:r>
      <w:r w:rsidR="00E958AC">
        <w:rPr>
          <w:sz w:val="28"/>
          <w:szCs w:val="28"/>
        </w:rPr>
        <w:t xml:space="preserve"> speculative and </w:t>
      </w:r>
      <w:r w:rsidR="008541C9">
        <w:rPr>
          <w:sz w:val="28"/>
          <w:szCs w:val="28"/>
        </w:rPr>
        <w:t xml:space="preserve">provide </w:t>
      </w:r>
      <w:r w:rsidR="00D40916">
        <w:rPr>
          <w:sz w:val="28"/>
          <w:szCs w:val="28"/>
        </w:rPr>
        <w:t>ins</w:t>
      </w:r>
      <w:r w:rsidR="00101418">
        <w:rPr>
          <w:sz w:val="28"/>
          <w:szCs w:val="28"/>
        </w:rPr>
        <w:t>ufficient</w:t>
      </w:r>
      <w:r w:rsidR="008541C9">
        <w:rPr>
          <w:sz w:val="28"/>
          <w:szCs w:val="28"/>
        </w:rPr>
        <w:t xml:space="preserve"> objective</w:t>
      </w:r>
      <w:r w:rsidR="005F39FA">
        <w:rPr>
          <w:sz w:val="28"/>
          <w:szCs w:val="28"/>
        </w:rPr>
        <w:t xml:space="preserve"> criteria </w:t>
      </w:r>
      <w:r w:rsidR="00603807">
        <w:rPr>
          <w:sz w:val="28"/>
          <w:szCs w:val="28"/>
        </w:rPr>
        <w:t xml:space="preserve">on which </w:t>
      </w:r>
      <w:r w:rsidR="005F39FA">
        <w:rPr>
          <w:sz w:val="28"/>
          <w:szCs w:val="28"/>
        </w:rPr>
        <w:t xml:space="preserve">to evaluate the ‘implicit </w:t>
      </w:r>
      <w:proofErr w:type="spellStart"/>
      <w:r w:rsidR="005F39FA">
        <w:rPr>
          <w:sz w:val="28"/>
          <w:szCs w:val="28"/>
        </w:rPr>
        <w:t>bias’</w:t>
      </w:r>
      <w:proofErr w:type="spellEnd"/>
      <w:r w:rsidR="005F39FA">
        <w:rPr>
          <w:sz w:val="28"/>
          <w:szCs w:val="28"/>
        </w:rPr>
        <w:t xml:space="preserve"> that the petition is meant to </w:t>
      </w:r>
      <w:r w:rsidR="003018A9">
        <w:rPr>
          <w:sz w:val="28"/>
          <w:szCs w:val="28"/>
        </w:rPr>
        <w:t>address</w:t>
      </w:r>
      <w:r w:rsidR="005F39FA">
        <w:rPr>
          <w:sz w:val="28"/>
          <w:szCs w:val="28"/>
        </w:rPr>
        <w:t>.</w:t>
      </w:r>
    </w:p>
    <w:p w14:paraId="6CB1F277" w14:textId="09FEB699" w:rsidR="005F39FA" w:rsidRDefault="005F39FA" w:rsidP="005F39FA">
      <w:pPr>
        <w:pStyle w:val="Body"/>
        <w:widowControl w:val="0"/>
        <w:spacing w:line="480" w:lineRule="auto"/>
        <w:ind w:firstLine="0"/>
        <w:rPr>
          <w:b/>
          <w:sz w:val="28"/>
          <w:szCs w:val="28"/>
        </w:rPr>
      </w:pPr>
      <w:r w:rsidRPr="009D7A5B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</w:r>
      <w:r w:rsidRPr="009D7A5B">
        <w:rPr>
          <w:b/>
          <w:sz w:val="28"/>
          <w:szCs w:val="28"/>
        </w:rPr>
        <w:t>DISCUSSION/ANALYSIS</w:t>
      </w:r>
    </w:p>
    <w:p w14:paraId="0BAFC176" w14:textId="751059A7" w:rsidR="00CB6FC4" w:rsidRDefault="00CB6FC4" w:rsidP="00C1406D">
      <w:pPr>
        <w:pStyle w:val="Body"/>
        <w:widowControl w:val="0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A.</w:t>
      </w:r>
      <w:r>
        <w:rPr>
          <w:b/>
          <w:sz w:val="28"/>
          <w:szCs w:val="28"/>
        </w:rPr>
        <w:tab/>
      </w:r>
      <w:r w:rsidR="0020183E">
        <w:rPr>
          <w:b/>
          <w:sz w:val="28"/>
          <w:szCs w:val="28"/>
        </w:rPr>
        <w:t xml:space="preserve">The </w:t>
      </w:r>
      <w:r w:rsidR="00DA3885">
        <w:rPr>
          <w:b/>
          <w:sz w:val="28"/>
          <w:szCs w:val="28"/>
        </w:rPr>
        <w:t>P</w:t>
      </w:r>
      <w:r w:rsidR="008C4C91">
        <w:rPr>
          <w:b/>
          <w:sz w:val="28"/>
          <w:szCs w:val="28"/>
        </w:rPr>
        <w:t>roposed Rule is Based</w:t>
      </w:r>
      <w:r w:rsidR="0020183E">
        <w:rPr>
          <w:b/>
          <w:sz w:val="28"/>
          <w:szCs w:val="28"/>
        </w:rPr>
        <w:t xml:space="preserve"> on</w:t>
      </w:r>
      <w:r w:rsidR="006F6385">
        <w:rPr>
          <w:b/>
          <w:sz w:val="28"/>
          <w:szCs w:val="28"/>
        </w:rPr>
        <w:t xml:space="preserve"> a</w:t>
      </w:r>
      <w:r w:rsidR="0020183E">
        <w:rPr>
          <w:b/>
          <w:sz w:val="28"/>
          <w:szCs w:val="28"/>
        </w:rPr>
        <w:t xml:space="preserve"> </w:t>
      </w:r>
      <w:r w:rsidR="00546909">
        <w:rPr>
          <w:b/>
          <w:sz w:val="28"/>
          <w:szCs w:val="28"/>
        </w:rPr>
        <w:t>Washington</w:t>
      </w:r>
      <w:r w:rsidR="002A7694">
        <w:rPr>
          <w:b/>
          <w:sz w:val="28"/>
          <w:szCs w:val="28"/>
        </w:rPr>
        <w:t xml:space="preserve"> </w:t>
      </w:r>
      <w:r w:rsidR="008C4C91">
        <w:rPr>
          <w:b/>
          <w:sz w:val="28"/>
          <w:szCs w:val="28"/>
        </w:rPr>
        <w:t>Law</w:t>
      </w:r>
      <w:r w:rsidR="0093697F">
        <w:rPr>
          <w:b/>
          <w:sz w:val="28"/>
          <w:szCs w:val="28"/>
        </w:rPr>
        <w:t xml:space="preserve"> Founded on </w:t>
      </w:r>
      <w:r w:rsidR="0093697F">
        <w:rPr>
          <w:b/>
          <w:sz w:val="28"/>
          <w:szCs w:val="28"/>
        </w:rPr>
        <w:tab/>
      </w:r>
      <w:r w:rsidR="0093697F">
        <w:rPr>
          <w:b/>
          <w:sz w:val="28"/>
          <w:szCs w:val="28"/>
        </w:rPr>
        <w:tab/>
      </w:r>
      <w:r w:rsidR="0093697F">
        <w:rPr>
          <w:b/>
          <w:sz w:val="28"/>
          <w:szCs w:val="28"/>
        </w:rPr>
        <w:tab/>
        <w:t>Washington-Specific Case Law</w:t>
      </w:r>
      <w:r w:rsidR="00287784">
        <w:rPr>
          <w:b/>
          <w:sz w:val="28"/>
          <w:szCs w:val="28"/>
        </w:rPr>
        <w:t>.</w:t>
      </w:r>
    </w:p>
    <w:p w14:paraId="219C64CB" w14:textId="77777777" w:rsidR="00C1406D" w:rsidRDefault="00C1406D" w:rsidP="00C1406D">
      <w:pPr>
        <w:pStyle w:val="Body"/>
        <w:widowControl w:val="0"/>
        <w:spacing w:line="240" w:lineRule="auto"/>
        <w:ind w:firstLine="0"/>
        <w:rPr>
          <w:b/>
          <w:sz w:val="28"/>
          <w:szCs w:val="28"/>
        </w:rPr>
      </w:pPr>
    </w:p>
    <w:p w14:paraId="4A38F009" w14:textId="75D6C6A8" w:rsidR="00DA7107" w:rsidRDefault="00B94A80" w:rsidP="003813C4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The </w:t>
      </w:r>
      <w:r w:rsidR="00A01B69">
        <w:rPr>
          <w:bCs/>
          <w:sz w:val="28"/>
          <w:szCs w:val="28"/>
        </w:rPr>
        <w:t>Guild</w:t>
      </w:r>
      <w:r w:rsidR="00315CFD">
        <w:rPr>
          <w:bCs/>
          <w:sz w:val="28"/>
          <w:szCs w:val="28"/>
        </w:rPr>
        <w:t>’s petition</w:t>
      </w:r>
      <w:r w:rsidR="00085F03">
        <w:rPr>
          <w:bCs/>
          <w:sz w:val="28"/>
          <w:szCs w:val="28"/>
        </w:rPr>
        <w:t xml:space="preserve"> </w:t>
      </w:r>
      <w:r w:rsidR="004D5644">
        <w:rPr>
          <w:bCs/>
          <w:sz w:val="28"/>
          <w:szCs w:val="28"/>
        </w:rPr>
        <w:t>“</w:t>
      </w:r>
      <w:r w:rsidR="000E55F8">
        <w:rPr>
          <w:bCs/>
          <w:sz w:val="28"/>
          <w:szCs w:val="28"/>
        </w:rPr>
        <w:t xml:space="preserve">invites this Court to adopt the same rule that Washington </w:t>
      </w:r>
      <w:r w:rsidR="000E55F8">
        <w:rPr>
          <w:bCs/>
          <w:sz w:val="28"/>
          <w:szCs w:val="28"/>
        </w:rPr>
        <w:lastRenderedPageBreak/>
        <w:t>promulgated as Washington General Rule 37.”  Petition, p. 10.</w:t>
      </w:r>
      <w:r w:rsidR="00375956">
        <w:rPr>
          <w:bCs/>
          <w:sz w:val="28"/>
          <w:szCs w:val="28"/>
        </w:rPr>
        <w:t xml:space="preserve">  </w:t>
      </w:r>
      <w:r w:rsidR="00415F3D">
        <w:rPr>
          <w:bCs/>
          <w:sz w:val="28"/>
          <w:szCs w:val="28"/>
        </w:rPr>
        <w:t xml:space="preserve">The State of </w:t>
      </w:r>
      <w:r w:rsidR="00375956">
        <w:rPr>
          <w:bCs/>
          <w:sz w:val="28"/>
          <w:szCs w:val="28"/>
        </w:rPr>
        <w:t>Washington</w:t>
      </w:r>
      <w:r w:rsidR="003B05CC">
        <w:rPr>
          <w:bCs/>
          <w:sz w:val="28"/>
          <w:szCs w:val="28"/>
        </w:rPr>
        <w:t xml:space="preserve"> adopted </w:t>
      </w:r>
      <w:r w:rsidR="00E2059D">
        <w:rPr>
          <w:bCs/>
          <w:sz w:val="28"/>
          <w:szCs w:val="28"/>
        </w:rPr>
        <w:t>its</w:t>
      </w:r>
      <w:r w:rsidR="00375956">
        <w:rPr>
          <w:bCs/>
          <w:sz w:val="28"/>
          <w:szCs w:val="28"/>
        </w:rPr>
        <w:t xml:space="preserve"> </w:t>
      </w:r>
      <w:r w:rsidR="00720954">
        <w:rPr>
          <w:bCs/>
          <w:sz w:val="28"/>
          <w:szCs w:val="28"/>
        </w:rPr>
        <w:t>new general</w:t>
      </w:r>
      <w:r w:rsidR="00193F7D">
        <w:rPr>
          <w:bCs/>
          <w:sz w:val="28"/>
          <w:szCs w:val="28"/>
        </w:rPr>
        <w:t xml:space="preserve"> rule</w:t>
      </w:r>
      <w:r w:rsidR="00246C3D">
        <w:rPr>
          <w:bCs/>
          <w:sz w:val="28"/>
          <w:szCs w:val="28"/>
        </w:rPr>
        <w:t xml:space="preserve"> (“Rule 37. Jury Selection”)</w:t>
      </w:r>
      <w:r w:rsidR="00720954">
        <w:rPr>
          <w:bCs/>
          <w:sz w:val="28"/>
          <w:szCs w:val="28"/>
        </w:rPr>
        <w:t xml:space="preserve"> based on work done by</w:t>
      </w:r>
      <w:r w:rsidR="00375956">
        <w:rPr>
          <w:bCs/>
          <w:sz w:val="28"/>
          <w:szCs w:val="28"/>
        </w:rPr>
        <w:t xml:space="preserve"> </w:t>
      </w:r>
      <w:r w:rsidR="00F75A8B">
        <w:rPr>
          <w:bCs/>
          <w:sz w:val="28"/>
          <w:szCs w:val="28"/>
        </w:rPr>
        <w:t>a Jury Selection Workgroup</w:t>
      </w:r>
      <w:r w:rsidR="00E05B3D">
        <w:rPr>
          <w:bCs/>
          <w:sz w:val="28"/>
          <w:szCs w:val="28"/>
        </w:rPr>
        <w:t xml:space="preserve"> in 2018</w:t>
      </w:r>
      <w:r w:rsidR="00A84255">
        <w:rPr>
          <w:bCs/>
          <w:sz w:val="28"/>
          <w:szCs w:val="28"/>
        </w:rPr>
        <w:t xml:space="preserve"> (Petition, p. 11)</w:t>
      </w:r>
      <w:r w:rsidR="00E05B3D">
        <w:rPr>
          <w:bCs/>
          <w:sz w:val="28"/>
          <w:szCs w:val="28"/>
        </w:rPr>
        <w:t>.</w:t>
      </w:r>
      <w:r w:rsidR="00252D11">
        <w:rPr>
          <w:bCs/>
          <w:sz w:val="28"/>
          <w:szCs w:val="28"/>
        </w:rPr>
        <w:t xml:space="preserve">  That</w:t>
      </w:r>
      <w:r w:rsidR="00646F40">
        <w:rPr>
          <w:bCs/>
          <w:sz w:val="28"/>
          <w:szCs w:val="28"/>
        </w:rPr>
        <w:t xml:space="preserve"> workgroup</w:t>
      </w:r>
      <w:r w:rsidR="00DB23A9">
        <w:rPr>
          <w:bCs/>
          <w:sz w:val="28"/>
          <w:szCs w:val="28"/>
        </w:rPr>
        <w:t xml:space="preserve"> </w:t>
      </w:r>
      <w:r w:rsidR="00172F58">
        <w:rPr>
          <w:bCs/>
          <w:sz w:val="28"/>
          <w:szCs w:val="28"/>
        </w:rPr>
        <w:t>narrowed its</w:t>
      </w:r>
      <w:r w:rsidR="00E36267">
        <w:rPr>
          <w:bCs/>
          <w:sz w:val="28"/>
          <w:szCs w:val="28"/>
        </w:rPr>
        <w:t xml:space="preserve"> discussion</w:t>
      </w:r>
      <w:r w:rsidR="00975DAB">
        <w:rPr>
          <w:bCs/>
          <w:sz w:val="28"/>
          <w:szCs w:val="28"/>
        </w:rPr>
        <w:t xml:space="preserve"> to juror selection jurisprudence</w:t>
      </w:r>
      <w:r w:rsidR="00671752">
        <w:rPr>
          <w:bCs/>
          <w:sz w:val="28"/>
          <w:szCs w:val="28"/>
        </w:rPr>
        <w:t xml:space="preserve"> </w:t>
      </w:r>
      <w:r w:rsidR="00F91A34">
        <w:rPr>
          <w:bCs/>
          <w:sz w:val="28"/>
          <w:szCs w:val="28"/>
        </w:rPr>
        <w:t xml:space="preserve">in </w:t>
      </w:r>
      <w:r w:rsidR="00C03E84">
        <w:rPr>
          <w:bCs/>
          <w:sz w:val="28"/>
          <w:szCs w:val="28"/>
        </w:rPr>
        <w:t xml:space="preserve">specific </w:t>
      </w:r>
      <w:r w:rsidR="00EE5FC7">
        <w:rPr>
          <w:bCs/>
          <w:sz w:val="28"/>
          <w:szCs w:val="28"/>
        </w:rPr>
        <w:t>Washington caselaw, notabl</w:t>
      </w:r>
      <w:r w:rsidR="0064377B">
        <w:rPr>
          <w:bCs/>
          <w:sz w:val="28"/>
          <w:szCs w:val="28"/>
        </w:rPr>
        <w:t>y</w:t>
      </w:r>
      <w:r w:rsidR="00EB5851">
        <w:rPr>
          <w:bCs/>
          <w:sz w:val="28"/>
          <w:szCs w:val="28"/>
        </w:rPr>
        <w:t xml:space="preserve"> </w:t>
      </w:r>
      <w:r w:rsidR="00EB5851" w:rsidRPr="0064377B">
        <w:rPr>
          <w:bCs/>
          <w:i/>
          <w:iCs/>
          <w:sz w:val="28"/>
          <w:szCs w:val="28"/>
        </w:rPr>
        <w:t xml:space="preserve">State v. </w:t>
      </w:r>
      <w:proofErr w:type="spellStart"/>
      <w:r w:rsidR="00EB5851" w:rsidRPr="0064377B">
        <w:rPr>
          <w:bCs/>
          <w:i/>
          <w:iCs/>
          <w:sz w:val="28"/>
          <w:szCs w:val="28"/>
        </w:rPr>
        <w:t>Saintcalle</w:t>
      </w:r>
      <w:proofErr w:type="spellEnd"/>
      <w:r w:rsidR="00EB5851">
        <w:rPr>
          <w:bCs/>
          <w:sz w:val="28"/>
          <w:szCs w:val="28"/>
        </w:rPr>
        <w:t>, 178 Wn.2d</w:t>
      </w:r>
      <w:r w:rsidR="003903BD">
        <w:rPr>
          <w:bCs/>
          <w:sz w:val="28"/>
          <w:szCs w:val="28"/>
        </w:rPr>
        <w:t xml:space="preserve"> 34, 309 P.3d 326</w:t>
      </w:r>
      <w:r w:rsidR="00FB3924">
        <w:rPr>
          <w:bCs/>
          <w:sz w:val="28"/>
          <w:szCs w:val="28"/>
        </w:rPr>
        <w:t xml:space="preserve"> (2013), </w:t>
      </w:r>
      <w:r w:rsidR="00224057">
        <w:rPr>
          <w:bCs/>
          <w:sz w:val="28"/>
          <w:szCs w:val="28"/>
        </w:rPr>
        <w:t>and</w:t>
      </w:r>
      <w:r w:rsidR="00FB3924">
        <w:rPr>
          <w:bCs/>
          <w:sz w:val="28"/>
          <w:szCs w:val="28"/>
        </w:rPr>
        <w:t xml:space="preserve"> </w:t>
      </w:r>
      <w:r w:rsidR="00D31140" w:rsidRPr="003E05E1">
        <w:rPr>
          <w:bCs/>
          <w:i/>
          <w:iCs/>
          <w:sz w:val="28"/>
          <w:szCs w:val="28"/>
        </w:rPr>
        <w:t>City of Seattle v. Erickson</w:t>
      </w:r>
      <w:r w:rsidR="00D31140">
        <w:rPr>
          <w:bCs/>
          <w:sz w:val="28"/>
          <w:szCs w:val="28"/>
        </w:rPr>
        <w:t>, 188 Wash.2d 721</w:t>
      </w:r>
      <w:r w:rsidR="00642FCB">
        <w:rPr>
          <w:bCs/>
          <w:sz w:val="28"/>
          <w:szCs w:val="28"/>
        </w:rPr>
        <w:t>, 398 P.3d 1124 (2017)</w:t>
      </w:r>
      <w:r w:rsidR="00224057">
        <w:rPr>
          <w:bCs/>
          <w:sz w:val="28"/>
          <w:szCs w:val="28"/>
        </w:rPr>
        <w:t xml:space="preserve">, which abrogated the </w:t>
      </w:r>
      <w:proofErr w:type="spellStart"/>
      <w:r w:rsidR="00224057" w:rsidRPr="00224057">
        <w:rPr>
          <w:bCs/>
          <w:i/>
          <w:iCs/>
          <w:sz w:val="28"/>
          <w:szCs w:val="28"/>
        </w:rPr>
        <w:t>Saintcalle</w:t>
      </w:r>
      <w:proofErr w:type="spellEnd"/>
      <w:r w:rsidR="00224057">
        <w:rPr>
          <w:bCs/>
          <w:sz w:val="28"/>
          <w:szCs w:val="28"/>
        </w:rPr>
        <w:t xml:space="preserve"> decision</w:t>
      </w:r>
      <w:r w:rsidR="00642FCB">
        <w:rPr>
          <w:bCs/>
          <w:sz w:val="28"/>
          <w:szCs w:val="28"/>
        </w:rPr>
        <w:t xml:space="preserve">. </w:t>
      </w:r>
      <w:r w:rsidR="00AB5EDB">
        <w:rPr>
          <w:bCs/>
          <w:sz w:val="28"/>
          <w:szCs w:val="28"/>
        </w:rPr>
        <w:t xml:space="preserve"> (</w:t>
      </w:r>
      <w:r w:rsidR="00171BBD">
        <w:rPr>
          <w:bCs/>
          <w:sz w:val="28"/>
          <w:szCs w:val="28"/>
        </w:rPr>
        <w:t>“Final</w:t>
      </w:r>
      <w:r w:rsidR="00513FD1">
        <w:rPr>
          <w:bCs/>
          <w:sz w:val="28"/>
          <w:szCs w:val="28"/>
        </w:rPr>
        <w:t xml:space="preserve"> </w:t>
      </w:r>
      <w:r w:rsidR="00AB5EDB">
        <w:rPr>
          <w:bCs/>
          <w:sz w:val="28"/>
          <w:szCs w:val="28"/>
        </w:rPr>
        <w:t>Report,</w:t>
      </w:r>
      <w:r w:rsidR="0073336B">
        <w:rPr>
          <w:bCs/>
          <w:sz w:val="28"/>
          <w:szCs w:val="28"/>
        </w:rPr>
        <w:t>”</w:t>
      </w:r>
      <w:r w:rsidR="00AB5EDB">
        <w:rPr>
          <w:bCs/>
          <w:sz w:val="28"/>
          <w:szCs w:val="28"/>
        </w:rPr>
        <w:t xml:space="preserve"> p. 2).</w:t>
      </w:r>
      <w:r w:rsidR="00172F58">
        <w:rPr>
          <w:bCs/>
          <w:sz w:val="28"/>
          <w:szCs w:val="28"/>
        </w:rPr>
        <w:t xml:space="preserve"> </w:t>
      </w:r>
      <w:r w:rsidR="00EB3F73">
        <w:rPr>
          <w:bCs/>
          <w:sz w:val="28"/>
          <w:szCs w:val="28"/>
        </w:rPr>
        <w:t xml:space="preserve"> </w:t>
      </w:r>
      <w:r w:rsidR="00170D89">
        <w:rPr>
          <w:bCs/>
          <w:sz w:val="28"/>
          <w:szCs w:val="28"/>
        </w:rPr>
        <w:t xml:space="preserve">In </w:t>
      </w:r>
      <w:r w:rsidR="00170D89" w:rsidRPr="00EB3F73">
        <w:rPr>
          <w:bCs/>
          <w:i/>
          <w:iCs/>
          <w:sz w:val="28"/>
          <w:szCs w:val="28"/>
        </w:rPr>
        <w:t>Erickson</w:t>
      </w:r>
      <w:r w:rsidR="00170D89">
        <w:rPr>
          <w:bCs/>
          <w:sz w:val="28"/>
          <w:szCs w:val="28"/>
        </w:rPr>
        <w:t xml:space="preserve">, the Washington Supreme Court </w:t>
      </w:r>
      <w:r w:rsidR="00D16D84">
        <w:rPr>
          <w:bCs/>
          <w:sz w:val="28"/>
          <w:szCs w:val="28"/>
        </w:rPr>
        <w:t xml:space="preserve">expressly </w:t>
      </w:r>
      <w:r w:rsidR="001D56ED">
        <w:rPr>
          <w:bCs/>
          <w:sz w:val="28"/>
          <w:szCs w:val="28"/>
        </w:rPr>
        <w:t xml:space="preserve">stated that it was </w:t>
      </w:r>
      <w:r w:rsidR="00170D89">
        <w:rPr>
          <w:bCs/>
          <w:sz w:val="28"/>
          <w:szCs w:val="28"/>
        </w:rPr>
        <w:t>seiz</w:t>
      </w:r>
      <w:r w:rsidR="00CC15CB">
        <w:rPr>
          <w:bCs/>
          <w:sz w:val="28"/>
          <w:szCs w:val="28"/>
        </w:rPr>
        <w:t>ing</w:t>
      </w:r>
      <w:r w:rsidR="00170D89">
        <w:rPr>
          <w:bCs/>
          <w:sz w:val="28"/>
          <w:szCs w:val="28"/>
        </w:rPr>
        <w:t xml:space="preserve"> on an opportunity </w:t>
      </w:r>
      <w:r w:rsidR="00042BB5">
        <w:rPr>
          <w:bCs/>
          <w:sz w:val="28"/>
          <w:szCs w:val="28"/>
        </w:rPr>
        <w:t>to</w:t>
      </w:r>
      <w:r w:rsidR="00B92A68">
        <w:rPr>
          <w:bCs/>
          <w:sz w:val="28"/>
          <w:szCs w:val="28"/>
        </w:rPr>
        <w:t xml:space="preserve"> </w:t>
      </w:r>
      <w:r w:rsidR="00FA04CF">
        <w:rPr>
          <w:bCs/>
          <w:sz w:val="28"/>
          <w:szCs w:val="28"/>
        </w:rPr>
        <w:t xml:space="preserve">“better effectuate the equal protection guaranties </w:t>
      </w:r>
      <w:r w:rsidR="0068791C">
        <w:rPr>
          <w:bCs/>
          <w:sz w:val="28"/>
          <w:szCs w:val="28"/>
        </w:rPr>
        <w:t xml:space="preserve">espoused in </w:t>
      </w:r>
      <w:r w:rsidR="0068791C" w:rsidRPr="00967672">
        <w:rPr>
          <w:bCs/>
          <w:i/>
          <w:iCs/>
          <w:sz w:val="28"/>
          <w:szCs w:val="28"/>
        </w:rPr>
        <w:t>Batson</w:t>
      </w:r>
      <w:r w:rsidR="003C5B3F">
        <w:rPr>
          <w:bCs/>
          <w:i/>
          <w:iCs/>
          <w:sz w:val="28"/>
          <w:szCs w:val="28"/>
        </w:rPr>
        <w:t>.</w:t>
      </w:r>
      <w:r w:rsidR="0068791C">
        <w:rPr>
          <w:bCs/>
          <w:sz w:val="28"/>
          <w:szCs w:val="28"/>
        </w:rPr>
        <w:t>”</w:t>
      </w:r>
      <w:r w:rsidR="003C5B3F">
        <w:rPr>
          <w:bCs/>
          <w:sz w:val="28"/>
          <w:szCs w:val="28"/>
        </w:rPr>
        <w:t xml:space="preserve">  </w:t>
      </w:r>
      <w:r w:rsidR="003C5B3F" w:rsidRPr="00B94640">
        <w:rPr>
          <w:bCs/>
          <w:i/>
          <w:iCs/>
          <w:sz w:val="28"/>
          <w:szCs w:val="28"/>
        </w:rPr>
        <w:t>Erickson</w:t>
      </w:r>
      <w:r w:rsidR="003C5B3F">
        <w:rPr>
          <w:bCs/>
          <w:sz w:val="28"/>
          <w:szCs w:val="28"/>
        </w:rPr>
        <w:t>, ¶ 2.  It</w:t>
      </w:r>
      <w:r w:rsidR="00F0195F">
        <w:rPr>
          <w:bCs/>
          <w:sz w:val="28"/>
          <w:szCs w:val="28"/>
        </w:rPr>
        <w:t xml:space="preserve"> </w:t>
      </w:r>
      <w:r w:rsidR="00555AF3">
        <w:rPr>
          <w:bCs/>
          <w:sz w:val="28"/>
          <w:szCs w:val="28"/>
        </w:rPr>
        <w:t>established a bright-line rule</w:t>
      </w:r>
      <w:r w:rsidR="00F0195F">
        <w:rPr>
          <w:bCs/>
          <w:sz w:val="28"/>
          <w:szCs w:val="28"/>
        </w:rPr>
        <w:t xml:space="preserve"> that</w:t>
      </w:r>
      <w:r w:rsidR="00C27F0A">
        <w:rPr>
          <w:bCs/>
          <w:sz w:val="28"/>
          <w:szCs w:val="28"/>
        </w:rPr>
        <w:t xml:space="preserve"> the peremptory strike </w:t>
      </w:r>
      <w:r w:rsidR="008444E3">
        <w:rPr>
          <w:bCs/>
          <w:sz w:val="28"/>
          <w:szCs w:val="28"/>
        </w:rPr>
        <w:t xml:space="preserve">by the City of Seattle </w:t>
      </w:r>
      <w:r w:rsidR="00C27F0A">
        <w:rPr>
          <w:bCs/>
          <w:sz w:val="28"/>
          <w:szCs w:val="28"/>
        </w:rPr>
        <w:t xml:space="preserve">of </w:t>
      </w:r>
      <w:r w:rsidR="00AE1767">
        <w:rPr>
          <w:bCs/>
          <w:sz w:val="28"/>
          <w:szCs w:val="28"/>
        </w:rPr>
        <w:t xml:space="preserve">the only </w:t>
      </w:r>
      <w:r w:rsidR="00B76C10">
        <w:rPr>
          <w:bCs/>
          <w:sz w:val="28"/>
          <w:szCs w:val="28"/>
        </w:rPr>
        <w:t>black juror on a jury panel</w:t>
      </w:r>
      <w:r w:rsidR="00830912">
        <w:rPr>
          <w:bCs/>
          <w:sz w:val="28"/>
          <w:szCs w:val="28"/>
        </w:rPr>
        <w:t xml:space="preserve"> constituted </w:t>
      </w:r>
      <w:proofErr w:type="gramStart"/>
      <w:r w:rsidR="00830912">
        <w:rPr>
          <w:bCs/>
          <w:sz w:val="28"/>
          <w:szCs w:val="28"/>
        </w:rPr>
        <w:t>a prima facie</w:t>
      </w:r>
      <w:proofErr w:type="gramEnd"/>
      <w:r w:rsidR="00830912">
        <w:rPr>
          <w:bCs/>
          <w:sz w:val="28"/>
          <w:szCs w:val="28"/>
        </w:rPr>
        <w:t xml:space="preserve"> showing of racial discrimination</w:t>
      </w:r>
      <w:r w:rsidR="00607A22">
        <w:rPr>
          <w:bCs/>
          <w:sz w:val="28"/>
          <w:szCs w:val="28"/>
        </w:rPr>
        <w:t xml:space="preserve"> requiring a </w:t>
      </w:r>
      <w:r w:rsidR="002C7E23" w:rsidRPr="00967672">
        <w:rPr>
          <w:bCs/>
          <w:i/>
          <w:iCs/>
          <w:sz w:val="28"/>
          <w:szCs w:val="28"/>
        </w:rPr>
        <w:t>Batson</w:t>
      </w:r>
      <w:r w:rsidR="002C7E23">
        <w:rPr>
          <w:bCs/>
          <w:sz w:val="28"/>
          <w:szCs w:val="28"/>
        </w:rPr>
        <w:t xml:space="preserve"> analysis by the trial court.  </w:t>
      </w:r>
      <w:r w:rsidR="002C7E23" w:rsidRPr="00B94640">
        <w:rPr>
          <w:bCs/>
          <w:i/>
          <w:iCs/>
          <w:sz w:val="28"/>
          <w:szCs w:val="28"/>
        </w:rPr>
        <w:t>Erickson</w:t>
      </w:r>
      <w:r w:rsidR="002C7E23">
        <w:rPr>
          <w:bCs/>
          <w:sz w:val="28"/>
          <w:szCs w:val="28"/>
        </w:rPr>
        <w:t xml:space="preserve">, </w:t>
      </w:r>
      <w:r w:rsidR="00907D1C">
        <w:rPr>
          <w:bCs/>
          <w:sz w:val="28"/>
          <w:szCs w:val="28"/>
        </w:rPr>
        <w:t>¶</w:t>
      </w:r>
      <w:r w:rsidR="00C973B8">
        <w:rPr>
          <w:bCs/>
          <w:sz w:val="28"/>
          <w:szCs w:val="28"/>
        </w:rPr>
        <w:t xml:space="preserve"> 28</w:t>
      </w:r>
      <w:r w:rsidR="00907D1C">
        <w:rPr>
          <w:bCs/>
          <w:sz w:val="28"/>
          <w:szCs w:val="28"/>
        </w:rPr>
        <w:t>.</w:t>
      </w:r>
    </w:p>
    <w:p w14:paraId="4820DA13" w14:textId="30DD4C3A" w:rsidR="00720954" w:rsidRDefault="00DA7107" w:rsidP="003813C4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54472">
        <w:rPr>
          <w:bCs/>
          <w:sz w:val="28"/>
          <w:szCs w:val="28"/>
        </w:rPr>
        <w:t>Washington</w:t>
      </w:r>
      <w:r w:rsidR="00154ECC">
        <w:rPr>
          <w:bCs/>
          <w:sz w:val="28"/>
          <w:szCs w:val="28"/>
        </w:rPr>
        <w:t xml:space="preserve"> </w:t>
      </w:r>
      <w:r w:rsidR="00A67498">
        <w:rPr>
          <w:bCs/>
          <w:sz w:val="28"/>
          <w:szCs w:val="28"/>
        </w:rPr>
        <w:t xml:space="preserve">altered the </w:t>
      </w:r>
      <w:r w:rsidR="00A67498" w:rsidRPr="00255B54">
        <w:rPr>
          <w:bCs/>
          <w:i/>
          <w:iCs/>
          <w:sz w:val="28"/>
          <w:szCs w:val="28"/>
        </w:rPr>
        <w:t>Batson</w:t>
      </w:r>
      <w:r w:rsidR="00A67498">
        <w:rPr>
          <w:bCs/>
          <w:sz w:val="28"/>
          <w:szCs w:val="28"/>
        </w:rPr>
        <w:t xml:space="preserve"> framework</w:t>
      </w:r>
      <w:r w:rsidR="00255B54">
        <w:rPr>
          <w:bCs/>
          <w:sz w:val="28"/>
          <w:szCs w:val="28"/>
        </w:rPr>
        <w:t xml:space="preserve"> </w:t>
      </w:r>
      <w:r w:rsidR="00983BD7">
        <w:rPr>
          <w:bCs/>
          <w:sz w:val="28"/>
          <w:szCs w:val="28"/>
        </w:rPr>
        <w:t xml:space="preserve">in </w:t>
      </w:r>
      <w:r w:rsidR="00983BD7" w:rsidRPr="00255B54">
        <w:rPr>
          <w:bCs/>
          <w:i/>
          <w:iCs/>
          <w:sz w:val="28"/>
          <w:szCs w:val="28"/>
        </w:rPr>
        <w:t>State v. Jefferson</w:t>
      </w:r>
      <w:r w:rsidR="00983BD7">
        <w:rPr>
          <w:bCs/>
          <w:sz w:val="28"/>
          <w:szCs w:val="28"/>
        </w:rPr>
        <w:t>, 192 Wash.2d 225</w:t>
      </w:r>
      <w:r w:rsidR="00570CF2">
        <w:rPr>
          <w:bCs/>
          <w:sz w:val="28"/>
          <w:szCs w:val="28"/>
        </w:rPr>
        <w:t>, 429 P.3d 467 (2018)</w:t>
      </w:r>
      <w:r w:rsidR="00585B10">
        <w:rPr>
          <w:bCs/>
          <w:sz w:val="28"/>
          <w:szCs w:val="28"/>
        </w:rPr>
        <w:t xml:space="preserve">, </w:t>
      </w:r>
      <w:r w:rsidR="00EA602A">
        <w:rPr>
          <w:bCs/>
          <w:sz w:val="28"/>
          <w:szCs w:val="28"/>
        </w:rPr>
        <w:t xml:space="preserve">decided after the Court adopted Rule 37, </w:t>
      </w:r>
      <w:r w:rsidR="00F208EF">
        <w:rPr>
          <w:bCs/>
          <w:sz w:val="28"/>
          <w:szCs w:val="28"/>
        </w:rPr>
        <w:t xml:space="preserve">in which </w:t>
      </w:r>
      <w:r w:rsidR="008A6C55">
        <w:rPr>
          <w:bCs/>
          <w:sz w:val="28"/>
          <w:szCs w:val="28"/>
        </w:rPr>
        <w:t xml:space="preserve">the </w:t>
      </w:r>
      <w:r w:rsidR="00424A5A">
        <w:rPr>
          <w:bCs/>
          <w:sz w:val="28"/>
          <w:szCs w:val="28"/>
        </w:rPr>
        <w:t>C</w:t>
      </w:r>
      <w:r w:rsidR="008A6C55">
        <w:rPr>
          <w:bCs/>
          <w:sz w:val="28"/>
          <w:szCs w:val="28"/>
        </w:rPr>
        <w:t>ourt</w:t>
      </w:r>
      <w:r w:rsidR="00F208EF">
        <w:rPr>
          <w:bCs/>
          <w:sz w:val="28"/>
          <w:szCs w:val="28"/>
        </w:rPr>
        <w:t xml:space="preserve"> opined</w:t>
      </w:r>
      <w:r w:rsidR="00585B10">
        <w:rPr>
          <w:bCs/>
          <w:sz w:val="28"/>
          <w:szCs w:val="28"/>
        </w:rPr>
        <w:t xml:space="preserve"> that the current </w:t>
      </w:r>
      <w:r w:rsidR="00585B10" w:rsidRPr="00F208EF">
        <w:rPr>
          <w:bCs/>
          <w:i/>
          <w:iCs/>
          <w:sz w:val="28"/>
          <w:szCs w:val="28"/>
        </w:rPr>
        <w:t>Batson</w:t>
      </w:r>
      <w:r w:rsidR="00585B10">
        <w:rPr>
          <w:bCs/>
          <w:sz w:val="28"/>
          <w:szCs w:val="28"/>
        </w:rPr>
        <w:t xml:space="preserve"> test does not sufficiently address racial discrimination in jury selection</w:t>
      </w:r>
      <w:r w:rsidR="00570CF2">
        <w:rPr>
          <w:bCs/>
          <w:sz w:val="28"/>
          <w:szCs w:val="28"/>
        </w:rPr>
        <w:t>.</w:t>
      </w:r>
      <w:r w:rsidR="00302CDE">
        <w:rPr>
          <w:bCs/>
          <w:sz w:val="28"/>
          <w:szCs w:val="28"/>
        </w:rPr>
        <w:t xml:space="preserve">  The Court </w:t>
      </w:r>
      <w:r w:rsidR="00E60739">
        <w:rPr>
          <w:bCs/>
          <w:sz w:val="28"/>
          <w:szCs w:val="28"/>
        </w:rPr>
        <w:t>replaced the</w:t>
      </w:r>
      <w:r w:rsidR="007B2197">
        <w:rPr>
          <w:bCs/>
          <w:sz w:val="28"/>
          <w:szCs w:val="28"/>
        </w:rPr>
        <w:t xml:space="preserve"> “purposeful discrimination” test</w:t>
      </w:r>
      <w:r w:rsidR="00450492">
        <w:rPr>
          <w:bCs/>
          <w:sz w:val="28"/>
          <w:szCs w:val="28"/>
        </w:rPr>
        <w:t xml:space="preserve"> of </w:t>
      </w:r>
      <w:r w:rsidR="00450492" w:rsidRPr="00C36D86">
        <w:rPr>
          <w:bCs/>
          <w:i/>
          <w:iCs/>
          <w:sz w:val="28"/>
          <w:szCs w:val="28"/>
        </w:rPr>
        <w:t>Batson</w:t>
      </w:r>
      <w:r w:rsidR="00450492">
        <w:rPr>
          <w:bCs/>
          <w:sz w:val="28"/>
          <w:szCs w:val="28"/>
        </w:rPr>
        <w:t xml:space="preserve"> with an “objective observer” test</w:t>
      </w:r>
      <w:r w:rsidR="00223000">
        <w:rPr>
          <w:bCs/>
          <w:sz w:val="28"/>
          <w:szCs w:val="28"/>
        </w:rPr>
        <w:t xml:space="preserve"> </w:t>
      </w:r>
      <w:r w:rsidR="00D515DD">
        <w:rPr>
          <w:bCs/>
          <w:sz w:val="28"/>
          <w:szCs w:val="28"/>
        </w:rPr>
        <w:t xml:space="preserve">that </w:t>
      </w:r>
      <w:r w:rsidR="00302664">
        <w:rPr>
          <w:bCs/>
          <w:sz w:val="28"/>
          <w:szCs w:val="28"/>
        </w:rPr>
        <w:t>if</w:t>
      </w:r>
      <w:r w:rsidR="00850105">
        <w:rPr>
          <w:bCs/>
          <w:sz w:val="28"/>
          <w:szCs w:val="28"/>
        </w:rPr>
        <w:t xml:space="preserve"> an objective observer “</w:t>
      </w:r>
      <w:r w:rsidR="00BE1837">
        <w:rPr>
          <w:bCs/>
          <w:sz w:val="28"/>
          <w:szCs w:val="28"/>
        </w:rPr>
        <w:t>could view race or ethnicity as a factor in the use of the perempto</w:t>
      </w:r>
      <w:r w:rsidR="00302664">
        <w:rPr>
          <w:bCs/>
          <w:sz w:val="28"/>
          <w:szCs w:val="28"/>
        </w:rPr>
        <w:t>r</w:t>
      </w:r>
      <w:r w:rsidR="00BE1837">
        <w:rPr>
          <w:bCs/>
          <w:sz w:val="28"/>
          <w:szCs w:val="28"/>
        </w:rPr>
        <w:t>y challenge</w:t>
      </w:r>
      <w:r w:rsidR="002E602B">
        <w:rPr>
          <w:bCs/>
          <w:sz w:val="28"/>
          <w:szCs w:val="28"/>
        </w:rPr>
        <w:t>,</w:t>
      </w:r>
      <w:r w:rsidR="00FB71AE">
        <w:rPr>
          <w:bCs/>
          <w:sz w:val="28"/>
          <w:szCs w:val="28"/>
        </w:rPr>
        <w:t>”</w:t>
      </w:r>
      <w:r w:rsidR="002E602B">
        <w:rPr>
          <w:bCs/>
          <w:sz w:val="28"/>
          <w:szCs w:val="28"/>
        </w:rPr>
        <w:t xml:space="preserve"> then the peremptory strike should be denied.  </w:t>
      </w:r>
      <w:r w:rsidR="00416319" w:rsidRPr="00F25E6C">
        <w:rPr>
          <w:bCs/>
          <w:i/>
          <w:iCs/>
          <w:sz w:val="28"/>
          <w:szCs w:val="28"/>
        </w:rPr>
        <w:t>Jefferson</w:t>
      </w:r>
      <w:r w:rsidR="00416319">
        <w:rPr>
          <w:bCs/>
          <w:sz w:val="28"/>
          <w:szCs w:val="28"/>
        </w:rPr>
        <w:t>,</w:t>
      </w:r>
      <w:r w:rsidR="008E64C6">
        <w:rPr>
          <w:bCs/>
          <w:sz w:val="28"/>
          <w:szCs w:val="28"/>
        </w:rPr>
        <w:t xml:space="preserve"> ¶ 60.</w:t>
      </w:r>
    </w:p>
    <w:p w14:paraId="40A8DD3A" w14:textId="2CA3F675" w:rsidR="00755B0B" w:rsidRDefault="00755B0B" w:rsidP="003813C4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6563C">
        <w:rPr>
          <w:bCs/>
          <w:sz w:val="28"/>
          <w:szCs w:val="28"/>
        </w:rPr>
        <w:t>In contrast to</w:t>
      </w:r>
      <w:r w:rsidR="000763AA">
        <w:rPr>
          <w:bCs/>
          <w:sz w:val="28"/>
          <w:szCs w:val="28"/>
        </w:rPr>
        <w:t xml:space="preserve"> the</w:t>
      </w:r>
      <w:r w:rsidR="0056563C">
        <w:rPr>
          <w:bCs/>
          <w:sz w:val="28"/>
          <w:szCs w:val="28"/>
        </w:rPr>
        <w:t xml:space="preserve"> Washington Supreme Court</w:t>
      </w:r>
      <w:r w:rsidR="001054FE">
        <w:rPr>
          <w:bCs/>
          <w:sz w:val="28"/>
          <w:szCs w:val="28"/>
        </w:rPr>
        <w:t xml:space="preserve">’s adoption of General Rule 37, </w:t>
      </w:r>
      <w:r w:rsidR="001054FE">
        <w:rPr>
          <w:bCs/>
          <w:sz w:val="28"/>
          <w:szCs w:val="28"/>
        </w:rPr>
        <w:lastRenderedPageBreak/>
        <w:t>t</w:t>
      </w:r>
      <w:r>
        <w:rPr>
          <w:bCs/>
          <w:sz w:val="28"/>
          <w:szCs w:val="28"/>
        </w:rPr>
        <w:t>he Guild</w:t>
      </w:r>
      <w:r w:rsidR="002E021F">
        <w:rPr>
          <w:bCs/>
          <w:sz w:val="28"/>
          <w:szCs w:val="28"/>
        </w:rPr>
        <w:t>’s petition</w:t>
      </w:r>
      <w:r>
        <w:rPr>
          <w:bCs/>
          <w:sz w:val="28"/>
          <w:szCs w:val="28"/>
        </w:rPr>
        <w:t xml:space="preserve"> </w:t>
      </w:r>
      <w:r w:rsidR="00191494">
        <w:rPr>
          <w:bCs/>
          <w:sz w:val="28"/>
          <w:szCs w:val="28"/>
        </w:rPr>
        <w:t>cites</w:t>
      </w:r>
      <w:r w:rsidR="00597EFA">
        <w:rPr>
          <w:bCs/>
          <w:sz w:val="28"/>
          <w:szCs w:val="28"/>
        </w:rPr>
        <w:t xml:space="preserve"> </w:t>
      </w:r>
      <w:r w:rsidRPr="00597EFA">
        <w:rPr>
          <w:bCs/>
          <w:i/>
          <w:iCs/>
          <w:sz w:val="28"/>
          <w:szCs w:val="28"/>
        </w:rPr>
        <w:t>no</w:t>
      </w:r>
      <w:r>
        <w:rPr>
          <w:bCs/>
          <w:sz w:val="28"/>
          <w:szCs w:val="28"/>
        </w:rPr>
        <w:t xml:space="preserve"> Arizona case</w:t>
      </w:r>
      <w:r w:rsidR="00CE6857">
        <w:rPr>
          <w:bCs/>
          <w:sz w:val="28"/>
          <w:szCs w:val="28"/>
        </w:rPr>
        <w:t xml:space="preserve"> </w:t>
      </w:r>
      <w:r w:rsidR="00E06E4D">
        <w:rPr>
          <w:bCs/>
          <w:sz w:val="28"/>
          <w:szCs w:val="28"/>
        </w:rPr>
        <w:t>in</w:t>
      </w:r>
      <w:r w:rsidR="00364005">
        <w:rPr>
          <w:bCs/>
          <w:sz w:val="28"/>
          <w:szCs w:val="28"/>
        </w:rPr>
        <w:t xml:space="preserve"> support</w:t>
      </w:r>
      <w:r w:rsidR="00EB2333">
        <w:rPr>
          <w:bCs/>
          <w:sz w:val="28"/>
          <w:szCs w:val="28"/>
        </w:rPr>
        <w:t xml:space="preserve"> </w:t>
      </w:r>
      <w:r w:rsidR="008012C1">
        <w:rPr>
          <w:bCs/>
          <w:sz w:val="28"/>
          <w:szCs w:val="28"/>
        </w:rPr>
        <w:t xml:space="preserve">of </w:t>
      </w:r>
      <w:r w:rsidR="00EB2333">
        <w:rPr>
          <w:bCs/>
          <w:sz w:val="28"/>
          <w:szCs w:val="28"/>
        </w:rPr>
        <w:t>the adoption of the proposed rule change</w:t>
      </w:r>
      <w:r w:rsidR="00A767C9">
        <w:rPr>
          <w:bCs/>
          <w:sz w:val="28"/>
          <w:szCs w:val="28"/>
        </w:rPr>
        <w:t xml:space="preserve">.  Not one </w:t>
      </w:r>
      <w:r w:rsidR="00391AC0">
        <w:rPr>
          <w:bCs/>
          <w:sz w:val="28"/>
          <w:szCs w:val="28"/>
        </w:rPr>
        <w:t xml:space="preserve">Arizona </w:t>
      </w:r>
      <w:r w:rsidR="00E26B04">
        <w:rPr>
          <w:bCs/>
          <w:sz w:val="28"/>
          <w:szCs w:val="28"/>
        </w:rPr>
        <w:t>published decision</w:t>
      </w:r>
      <w:r w:rsidR="00A767C9">
        <w:rPr>
          <w:bCs/>
          <w:sz w:val="28"/>
          <w:szCs w:val="28"/>
        </w:rPr>
        <w:t>, memorandum decision</w:t>
      </w:r>
      <w:r w:rsidR="00D312DD">
        <w:rPr>
          <w:bCs/>
          <w:sz w:val="28"/>
          <w:szCs w:val="28"/>
        </w:rPr>
        <w:t>, or state study</w:t>
      </w:r>
      <w:r w:rsidR="00B44699">
        <w:rPr>
          <w:bCs/>
          <w:sz w:val="28"/>
          <w:szCs w:val="28"/>
        </w:rPr>
        <w:t xml:space="preserve"> is presented</w:t>
      </w:r>
      <w:r w:rsidR="001528E3">
        <w:rPr>
          <w:bCs/>
          <w:sz w:val="28"/>
          <w:szCs w:val="28"/>
        </w:rPr>
        <w:t xml:space="preserve"> expressing</w:t>
      </w:r>
      <w:r w:rsidR="00FC26FE">
        <w:rPr>
          <w:bCs/>
          <w:sz w:val="28"/>
          <w:szCs w:val="28"/>
        </w:rPr>
        <w:t xml:space="preserve"> the Washington court’s</w:t>
      </w:r>
      <w:r w:rsidR="00A712EA">
        <w:rPr>
          <w:bCs/>
          <w:sz w:val="28"/>
          <w:szCs w:val="28"/>
        </w:rPr>
        <w:t xml:space="preserve"> </w:t>
      </w:r>
      <w:r w:rsidR="009273E0">
        <w:rPr>
          <w:bCs/>
          <w:sz w:val="28"/>
          <w:szCs w:val="28"/>
        </w:rPr>
        <w:t>belief that</w:t>
      </w:r>
      <w:r w:rsidR="00E96378">
        <w:rPr>
          <w:bCs/>
          <w:sz w:val="28"/>
          <w:szCs w:val="28"/>
        </w:rPr>
        <w:t xml:space="preserve"> </w:t>
      </w:r>
      <w:r w:rsidR="00E96378" w:rsidRPr="00E96378">
        <w:rPr>
          <w:bCs/>
          <w:i/>
          <w:iCs/>
          <w:sz w:val="28"/>
          <w:szCs w:val="28"/>
        </w:rPr>
        <w:t>Batson</w:t>
      </w:r>
      <w:r w:rsidR="00E96378">
        <w:rPr>
          <w:bCs/>
          <w:sz w:val="28"/>
          <w:szCs w:val="28"/>
        </w:rPr>
        <w:t xml:space="preserve"> protections are insufficient</w:t>
      </w:r>
      <w:r w:rsidR="00034CA8">
        <w:rPr>
          <w:bCs/>
          <w:sz w:val="28"/>
          <w:szCs w:val="28"/>
        </w:rPr>
        <w:t xml:space="preserve"> in Arizona</w:t>
      </w:r>
      <w:r w:rsidR="00E96378">
        <w:rPr>
          <w:bCs/>
          <w:sz w:val="28"/>
          <w:szCs w:val="28"/>
        </w:rPr>
        <w:t>.</w:t>
      </w:r>
      <w:r w:rsidR="00B31731">
        <w:rPr>
          <w:bCs/>
          <w:sz w:val="28"/>
          <w:szCs w:val="28"/>
        </w:rPr>
        <w:t xml:space="preserve">  On the contrary, in </w:t>
      </w:r>
      <w:r w:rsidR="00B31731" w:rsidRPr="00E66E1B">
        <w:rPr>
          <w:bCs/>
          <w:i/>
          <w:iCs/>
          <w:sz w:val="28"/>
          <w:szCs w:val="28"/>
        </w:rPr>
        <w:t>State v. Escalante-Orozco</w:t>
      </w:r>
      <w:r w:rsidR="00733559">
        <w:rPr>
          <w:bCs/>
          <w:sz w:val="28"/>
          <w:szCs w:val="28"/>
        </w:rPr>
        <w:t xml:space="preserve">, 241 Ariz. 254 (2017), </w:t>
      </w:r>
      <w:r w:rsidR="00D84281" w:rsidRPr="00E66E1B">
        <w:rPr>
          <w:bCs/>
          <w:i/>
          <w:iCs/>
          <w:sz w:val="28"/>
          <w:szCs w:val="28"/>
        </w:rPr>
        <w:t xml:space="preserve">abrogated on other grounds </w:t>
      </w:r>
      <w:r w:rsidR="00CC0653">
        <w:rPr>
          <w:bCs/>
          <w:i/>
          <w:iCs/>
          <w:sz w:val="28"/>
          <w:szCs w:val="28"/>
        </w:rPr>
        <w:t>by</w:t>
      </w:r>
      <w:r w:rsidR="00D84281" w:rsidRPr="00E66E1B">
        <w:rPr>
          <w:bCs/>
          <w:i/>
          <w:iCs/>
          <w:sz w:val="28"/>
          <w:szCs w:val="28"/>
        </w:rPr>
        <w:t xml:space="preserve"> State v. Escalante</w:t>
      </w:r>
      <w:r w:rsidR="003A465D">
        <w:rPr>
          <w:bCs/>
          <w:sz w:val="28"/>
          <w:szCs w:val="28"/>
        </w:rPr>
        <w:t>, 245</w:t>
      </w:r>
      <w:r w:rsidR="00A32A08">
        <w:rPr>
          <w:bCs/>
          <w:sz w:val="28"/>
          <w:szCs w:val="28"/>
        </w:rPr>
        <w:t xml:space="preserve"> Ariz. 135 </w:t>
      </w:r>
      <w:r w:rsidR="002F3986">
        <w:rPr>
          <w:bCs/>
          <w:sz w:val="28"/>
          <w:szCs w:val="28"/>
        </w:rPr>
        <w:t>(2018)</w:t>
      </w:r>
      <w:r w:rsidR="00E66E1B">
        <w:rPr>
          <w:bCs/>
          <w:sz w:val="28"/>
          <w:szCs w:val="28"/>
        </w:rPr>
        <w:t xml:space="preserve">, </w:t>
      </w:r>
      <w:r w:rsidR="00733559">
        <w:rPr>
          <w:bCs/>
          <w:sz w:val="28"/>
          <w:szCs w:val="28"/>
        </w:rPr>
        <w:t>the Arizona Supreme Court</w:t>
      </w:r>
      <w:r w:rsidR="00902133">
        <w:rPr>
          <w:bCs/>
          <w:sz w:val="28"/>
          <w:szCs w:val="28"/>
        </w:rPr>
        <w:t xml:space="preserve"> affirmed the </w:t>
      </w:r>
      <w:r w:rsidR="00902133" w:rsidRPr="00DD6BDE">
        <w:rPr>
          <w:bCs/>
          <w:i/>
          <w:iCs/>
          <w:sz w:val="28"/>
          <w:szCs w:val="28"/>
        </w:rPr>
        <w:t>Batson</w:t>
      </w:r>
      <w:r w:rsidR="00902133">
        <w:rPr>
          <w:bCs/>
          <w:sz w:val="28"/>
          <w:szCs w:val="28"/>
        </w:rPr>
        <w:t xml:space="preserve"> analysis</w:t>
      </w:r>
      <w:r w:rsidR="00E41829">
        <w:rPr>
          <w:bCs/>
          <w:sz w:val="28"/>
          <w:szCs w:val="28"/>
        </w:rPr>
        <w:t xml:space="preserve"> </w:t>
      </w:r>
      <w:r w:rsidR="006E4C07">
        <w:rPr>
          <w:bCs/>
          <w:sz w:val="28"/>
          <w:szCs w:val="28"/>
        </w:rPr>
        <w:t>when</w:t>
      </w:r>
      <w:r w:rsidR="00E41829">
        <w:rPr>
          <w:bCs/>
          <w:sz w:val="28"/>
          <w:szCs w:val="28"/>
        </w:rPr>
        <w:t xml:space="preserve"> finding that the trial court</w:t>
      </w:r>
      <w:r w:rsidR="002B0CD7">
        <w:rPr>
          <w:bCs/>
          <w:sz w:val="28"/>
          <w:szCs w:val="28"/>
        </w:rPr>
        <w:t xml:space="preserve"> did not err</w:t>
      </w:r>
      <w:r w:rsidR="00D86593">
        <w:rPr>
          <w:bCs/>
          <w:sz w:val="28"/>
          <w:szCs w:val="28"/>
        </w:rPr>
        <w:t xml:space="preserve"> in refusing to deny</w:t>
      </w:r>
      <w:r w:rsidR="004E38CD">
        <w:rPr>
          <w:bCs/>
          <w:sz w:val="28"/>
          <w:szCs w:val="28"/>
        </w:rPr>
        <w:t xml:space="preserve"> the use of peremptory strikes.</w:t>
      </w:r>
      <w:r w:rsidR="00F5323F">
        <w:rPr>
          <w:bCs/>
          <w:sz w:val="28"/>
          <w:szCs w:val="28"/>
        </w:rPr>
        <w:t xml:space="preserve">  </w:t>
      </w:r>
      <w:r w:rsidR="00F5323F" w:rsidRPr="00B94640">
        <w:rPr>
          <w:bCs/>
          <w:i/>
          <w:iCs/>
          <w:sz w:val="28"/>
          <w:szCs w:val="28"/>
        </w:rPr>
        <w:t>E</w:t>
      </w:r>
      <w:r w:rsidR="00347AAB">
        <w:rPr>
          <w:bCs/>
          <w:i/>
          <w:iCs/>
          <w:sz w:val="28"/>
          <w:szCs w:val="28"/>
        </w:rPr>
        <w:t>scalante-Orozco</w:t>
      </w:r>
      <w:r w:rsidR="00F5323F">
        <w:rPr>
          <w:bCs/>
          <w:sz w:val="28"/>
          <w:szCs w:val="28"/>
        </w:rPr>
        <w:t xml:space="preserve">, ¶¶ </w:t>
      </w:r>
      <w:r w:rsidR="00E64775">
        <w:rPr>
          <w:bCs/>
          <w:sz w:val="28"/>
          <w:szCs w:val="28"/>
        </w:rPr>
        <w:t>35, 36.</w:t>
      </w:r>
      <w:r w:rsidR="00D413F8">
        <w:rPr>
          <w:bCs/>
          <w:sz w:val="28"/>
          <w:szCs w:val="28"/>
        </w:rPr>
        <w:t xml:space="preserve">  And in </w:t>
      </w:r>
      <w:r w:rsidR="00D413F8" w:rsidRPr="00B05DD1">
        <w:rPr>
          <w:bCs/>
          <w:i/>
          <w:iCs/>
          <w:sz w:val="28"/>
          <w:szCs w:val="28"/>
        </w:rPr>
        <w:t xml:space="preserve">State v. </w:t>
      </w:r>
      <w:proofErr w:type="spellStart"/>
      <w:r w:rsidR="00D413F8" w:rsidRPr="00B05DD1">
        <w:rPr>
          <w:bCs/>
          <w:i/>
          <w:iCs/>
          <w:sz w:val="28"/>
          <w:szCs w:val="28"/>
        </w:rPr>
        <w:t>Urrea</w:t>
      </w:r>
      <w:proofErr w:type="spellEnd"/>
      <w:r w:rsidR="00D413F8">
        <w:rPr>
          <w:bCs/>
          <w:sz w:val="28"/>
          <w:szCs w:val="28"/>
        </w:rPr>
        <w:t>, 244 Ariz. 443 (2018), the Arizona Supreme Court</w:t>
      </w:r>
      <w:r w:rsidR="0075329B">
        <w:rPr>
          <w:bCs/>
          <w:sz w:val="28"/>
          <w:szCs w:val="28"/>
        </w:rPr>
        <w:t xml:space="preserve"> review</w:t>
      </w:r>
      <w:r w:rsidR="00AB550B">
        <w:rPr>
          <w:bCs/>
          <w:sz w:val="28"/>
          <w:szCs w:val="28"/>
        </w:rPr>
        <w:t>ed</w:t>
      </w:r>
      <w:r w:rsidR="00734942">
        <w:rPr>
          <w:bCs/>
          <w:sz w:val="28"/>
          <w:szCs w:val="28"/>
        </w:rPr>
        <w:t xml:space="preserve"> t</w:t>
      </w:r>
      <w:r w:rsidR="0075329B">
        <w:rPr>
          <w:bCs/>
          <w:sz w:val="28"/>
          <w:szCs w:val="28"/>
        </w:rPr>
        <w:t xml:space="preserve">he appropriate remedies </w:t>
      </w:r>
      <w:r w:rsidR="001E42F1">
        <w:rPr>
          <w:bCs/>
          <w:sz w:val="28"/>
          <w:szCs w:val="28"/>
        </w:rPr>
        <w:t>on</w:t>
      </w:r>
      <w:r w:rsidR="0075329B">
        <w:rPr>
          <w:bCs/>
          <w:sz w:val="28"/>
          <w:szCs w:val="28"/>
        </w:rPr>
        <w:t xml:space="preserve"> </w:t>
      </w:r>
      <w:r w:rsidR="00F941E1">
        <w:rPr>
          <w:bCs/>
          <w:sz w:val="28"/>
          <w:szCs w:val="28"/>
        </w:rPr>
        <w:t xml:space="preserve">a </w:t>
      </w:r>
      <w:r w:rsidR="00F941E1" w:rsidRPr="001E42F1">
        <w:rPr>
          <w:bCs/>
          <w:i/>
          <w:iCs/>
          <w:sz w:val="28"/>
          <w:szCs w:val="28"/>
        </w:rPr>
        <w:t>Batson</w:t>
      </w:r>
      <w:r w:rsidR="00F941E1">
        <w:rPr>
          <w:bCs/>
          <w:sz w:val="28"/>
          <w:szCs w:val="28"/>
        </w:rPr>
        <w:t xml:space="preserve"> violation</w:t>
      </w:r>
      <w:r w:rsidR="00734942">
        <w:rPr>
          <w:bCs/>
          <w:sz w:val="28"/>
          <w:szCs w:val="28"/>
        </w:rPr>
        <w:t xml:space="preserve"> finding </w:t>
      </w:r>
      <w:r w:rsidR="00B2654C">
        <w:rPr>
          <w:bCs/>
          <w:sz w:val="28"/>
          <w:szCs w:val="28"/>
        </w:rPr>
        <w:t>and</w:t>
      </w:r>
      <w:r w:rsidR="00F941E1">
        <w:rPr>
          <w:bCs/>
          <w:sz w:val="28"/>
          <w:szCs w:val="28"/>
        </w:rPr>
        <w:t xml:space="preserve"> </w:t>
      </w:r>
      <w:r w:rsidR="000D5FF5">
        <w:rPr>
          <w:bCs/>
          <w:sz w:val="28"/>
          <w:szCs w:val="28"/>
        </w:rPr>
        <w:t xml:space="preserve">again affirmed the </w:t>
      </w:r>
      <w:r w:rsidR="000D5FF5" w:rsidRPr="001E42F1">
        <w:rPr>
          <w:bCs/>
          <w:i/>
          <w:iCs/>
          <w:sz w:val="28"/>
          <w:szCs w:val="28"/>
        </w:rPr>
        <w:t>Batson</w:t>
      </w:r>
      <w:r w:rsidR="000D5FF5">
        <w:rPr>
          <w:bCs/>
          <w:sz w:val="28"/>
          <w:szCs w:val="28"/>
        </w:rPr>
        <w:t xml:space="preserve"> analysis.  In neither case</w:t>
      </w:r>
      <w:r w:rsidR="008635EA">
        <w:rPr>
          <w:bCs/>
          <w:sz w:val="28"/>
          <w:szCs w:val="28"/>
        </w:rPr>
        <w:t xml:space="preserve"> did our Supreme Court opine that the </w:t>
      </w:r>
      <w:r w:rsidR="000D5FF5">
        <w:rPr>
          <w:bCs/>
          <w:sz w:val="28"/>
          <w:szCs w:val="28"/>
        </w:rPr>
        <w:t xml:space="preserve">current </w:t>
      </w:r>
      <w:r w:rsidR="000D5FF5" w:rsidRPr="00F208EF">
        <w:rPr>
          <w:bCs/>
          <w:i/>
          <w:iCs/>
          <w:sz w:val="28"/>
          <w:szCs w:val="28"/>
        </w:rPr>
        <w:t>Batson</w:t>
      </w:r>
      <w:r w:rsidR="000D5FF5">
        <w:rPr>
          <w:bCs/>
          <w:sz w:val="28"/>
          <w:szCs w:val="28"/>
        </w:rPr>
        <w:t xml:space="preserve"> test does not sufficiently address racial discrimination in jury selection</w:t>
      </w:r>
      <w:r w:rsidR="00B2654C">
        <w:rPr>
          <w:bCs/>
          <w:sz w:val="28"/>
          <w:szCs w:val="28"/>
        </w:rPr>
        <w:t xml:space="preserve"> in Arizona</w:t>
      </w:r>
      <w:r w:rsidR="000D5FF5">
        <w:rPr>
          <w:bCs/>
          <w:sz w:val="28"/>
          <w:szCs w:val="28"/>
        </w:rPr>
        <w:t>.</w:t>
      </w:r>
      <w:r w:rsidR="00E27BFD">
        <w:rPr>
          <w:bCs/>
          <w:sz w:val="28"/>
          <w:szCs w:val="28"/>
        </w:rPr>
        <w:t xml:space="preserve">  What was an expressed issue in Washington state</w:t>
      </w:r>
      <w:r w:rsidR="00DF2CD7">
        <w:rPr>
          <w:bCs/>
          <w:sz w:val="28"/>
          <w:szCs w:val="28"/>
        </w:rPr>
        <w:t>,</w:t>
      </w:r>
      <w:r w:rsidR="00E27BFD">
        <w:rPr>
          <w:bCs/>
          <w:sz w:val="28"/>
          <w:szCs w:val="28"/>
        </w:rPr>
        <w:t xml:space="preserve"> addressed by the adoption of General Rule 37</w:t>
      </w:r>
      <w:r w:rsidR="00DF2CD7">
        <w:rPr>
          <w:bCs/>
          <w:sz w:val="28"/>
          <w:szCs w:val="28"/>
        </w:rPr>
        <w:t>,</w:t>
      </w:r>
      <w:r w:rsidR="00E27BFD">
        <w:rPr>
          <w:bCs/>
          <w:sz w:val="28"/>
          <w:szCs w:val="28"/>
        </w:rPr>
        <w:t xml:space="preserve"> </w:t>
      </w:r>
      <w:r w:rsidR="00DF2CD7">
        <w:rPr>
          <w:bCs/>
          <w:sz w:val="28"/>
          <w:szCs w:val="28"/>
        </w:rPr>
        <w:t>has not been expressed as</w:t>
      </w:r>
      <w:r w:rsidR="00457FD9">
        <w:rPr>
          <w:bCs/>
          <w:sz w:val="28"/>
          <w:szCs w:val="28"/>
        </w:rPr>
        <w:t xml:space="preserve"> an issue in Arizona</w:t>
      </w:r>
      <w:r w:rsidR="00AD16D2">
        <w:rPr>
          <w:bCs/>
          <w:sz w:val="28"/>
          <w:szCs w:val="28"/>
        </w:rPr>
        <w:t xml:space="preserve"> needing </w:t>
      </w:r>
      <w:r w:rsidR="00B347FC">
        <w:rPr>
          <w:bCs/>
          <w:sz w:val="28"/>
          <w:szCs w:val="28"/>
        </w:rPr>
        <w:t>the creation of a new</w:t>
      </w:r>
      <w:r w:rsidR="00AD16D2">
        <w:rPr>
          <w:bCs/>
          <w:sz w:val="28"/>
          <w:szCs w:val="28"/>
        </w:rPr>
        <w:t xml:space="preserve"> </w:t>
      </w:r>
      <w:r w:rsidR="00F466B8">
        <w:rPr>
          <w:bCs/>
          <w:sz w:val="28"/>
          <w:szCs w:val="28"/>
        </w:rPr>
        <w:t xml:space="preserve">rule of the Supreme </w:t>
      </w:r>
      <w:proofErr w:type="gramStart"/>
      <w:r w:rsidR="00F466B8">
        <w:rPr>
          <w:bCs/>
          <w:sz w:val="28"/>
          <w:szCs w:val="28"/>
        </w:rPr>
        <w:t>Court</w:t>
      </w:r>
      <w:r w:rsidR="00AD16D2">
        <w:rPr>
          <w:bCs/>
          <w:sz w:val="28"/>
          <w:szCs w:val="28"/>
        </w:rPr>
        <w:t>.</w:t>
      </w:r>
      <w:proofErr w:type="gramEnd"/>
    </w:p>
    <w:p w14:paraId="2E5C35D9" w14:textId="256538D5" w:rsidR="00932103" w:rsidRDefault="00EE2599" w:rsidP="0032094D">
      <w:pPr>
        <w:pStyle w:val="Body"/>
        <w:widowControl w:val="0"/>
        <w:spacing w:line="24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932103" w:rsidRPr="00E971A7">
        <w:rPr>
          <w:b/>
          <w:bCs/>
          <w:sz w:val="28"/>
          <w:szCs w:val="28"/>
        </w:rPr>
        <w:t>.</w:t>
      </w:r>
      <w:r w:rsidR="00932103" w:rsidRPr="00E971A7">
        <w:rPr>
          <w:b/>
          <w:bCs/>
          <w:sz w:val="28"/>
          <w:szCs w:val="28"/>
        </w:rPr>
        <w:tab/>
        <w:t xml:space="preserve">Arizona Has </w:t>
      </w:r>
      <w:r w:rsidR="0032094D">
        <w:rPr>
          <w:b/>
          <w:bCs/>
          <w:sz w:val="28"/>
          <w:szCs w:val="28"/>
        </w:rPr>
        <w:t xml:space="preserve">Already </w:t>
      </w:r>
      <w:r w:rsidR="00932103" w:rsidRPr="00E971A7">
        <w:rPr>
          <w:b/>
          <w:bCs/>
          <w:sz w:val="28"/>
          <w:szCs w:val="28"/>
        </w:rPr>
        <w:t>Rejected a</w:t>
      </w:r>
      <w:r w:rsidR="009F3785">
        <w:rPr>
          <w:b/>
          <w:bCs/>
          <w:sz w:val="28"/>
          <w:szCs w:val="28"/>
        </w:rPr>
        <w:t xml:space="preserve"> Request</w:t>
      </w:r>
      <w:r w:rsidR="00E971A7" w:rsidRPr="00E971A7">
        <w:rPr>
          <w:b/>
          <w:bCs/>
          <w:sz w:val="28"/>
          <w:szCs w:val="28"/>
        </w:rPr>
        <w:t xml:space="preserve"> to Follow </w:t>
      </w:r>
      <w:r w:rsidR="00495CDA">
        <w:rPr>
          <w:b/>
          <w:bCs/>
          <w:sz w:val="28"/>
          <w:szCs w:val="28"/>
        </w:rPr>
        <w:tab/>
      </w:r>
      <w:r w:rsidR="00495CDA">
        <w:rPr>
          <w:b/>
          <w:bCs/>
          <w:sz w:val="28"/>
          <w:szCs w:val="28"/>
        </w:rPr>
        <w:tab/>
      </w:r>
      <w:r w:rsidR="00495CDA">
        <w:rPr>
          <w:b/>
          <w:bCs/>
          <w:sz w:val="28"/>
          <w:szCs w:val="28"/>
        </w:rPr>
        <w:tab/>
      </w:r>
      <w:r w:rsidR="00495CDA">
        <w:rPr>
          <w:b/>
          <w:bCs/>
          <w:sz w:val="28"/>
          <w:szCs w:val="28"/>
        </w:rPr>
        <w:tab/>
      </w:r>
      <w:r w:rsidR="001674B5">
        <w:rPr>
          <w:b/>
          <w:bCs/>
          <w:sz w:val="28"/>
          <w:szCs w:val="28"/>
        </w:rPr>
        <w:tab/>
      </w:r>
      <w:r w:rsidR="00C44EA5">
        <w:rPr>
          <w:b/>
          <w:bCs/>
          <w:sz w:val="28"/>
          <w:szCs w:val="28"/>
        </w:rPr>
        <w:t>Washington’s</w:t>
      </w:r>
      <w:r w:rsidR="00495CDA">
        <w:rPr>
          <w:b/>
          <w:bCs/>
          <w:sz w:val="28"/>
          <w:szCs w:val="28"/>
        </w:rPr>
        <w:t xml:space="preserve"> </w:t>
      </w:r>
      <w:r w:rsidR="00595D89">
        <w:rPr>
          <w:b/>
          <w:bCs/>
          <w:sz w:val="28"/>
          <w:szCs w:val="28"/>
        </w:rPr>
        <w:t>New Rule</w:t>
      </w:r>
      <w:r w:rsidR="001674B5">
        <w:rPr>
          <w:b/>
          <w:bCs/>
          <w:sz w:val="28"/>
          <w:szCs w:val="28"/>
        </w:rPr>
        <w:t xml:space="preserve"> on Jury Selection</w:t>
      </w:r>
      <w:r w:rsidR="00E971A7" w:rsidRPr="00E971A7">
        <w:rPr>
          <w:b/>
          <w:bCs/>
          <w:sz w:val="28"/>
          <w:szCs w:val="28"/>
        </w:rPr>
        <w:t>.</w:t>
      </w:r>
    </w:p>
    <w:p w14:paraId="4B5A799A" w14:textId="77777777" w:rsidR="0032094D" w:rsidRPr="00E971A7" w:rsidRDefault="0032094D" w:rsidP="0032094D">
      <w:pPr>
        <w:pStyle w:val="Body"/>
        <w:widowControl w:val="0"/>
        <w:spacing w:line="240" w:lineRule="auto"/>
        <w:ind w:firstLine="720"/>
        <w:jc w:val="both"/>
        <w:rPr>
          <w:b/>
          <w:bCs/>
          <w:sz w:val="28"/>
          <w:szCs w:val="28"/>
        </w:rPr>
      </w:pPr>
    </w:p>
    <w:p w14:paraId="5372D46A" w14:textId="2EBD8B83" w:rsidR="003E395A" w:rsidRDefault="00011C74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recently as </w:t>
      </w:r>
      <w:proofErr w:type="gramStart"/>
      <w:r w:rsidR="00055D61">
        <w:rPr>
          <w:sz w:val="28"/>
          <w:szCs w:val="28"/>
        </w:rPr>
        <w:t>January,</w:t>
      </w:r>
      <w:proofErr w:type="gramEnd"/>
      <w:r w:rsidR="00055D61">
        <w:rPr>
          <w:sz w:val="28"/>
          <w:szCs w:val="28"/>
        </w:rPr>
        <w:t xml:space="preserve"> 2020, </w:t>
      </w:r>
      <w:r>
        <w:rPr>
          <w:sz w:val="28"/>
          <w:szCs w:val="28"/>
        </w:rPr>
        <w:t xml:space="preserve">the Arizona Supreme Court </w:t>
      </w:r>
      <w:r w:rsidR="005854C8">
        <w:rPr>
          <w:sz w:val="28"/>
          <w:szCs w:val="28"/>
        </w:rPr>
        <w:t>declined</w:t>
      </w:r>
      <w:r w:rsidR="00217DCE">
        <w:rPr>
          <w:sz w:val="28"/>
          <w:szCs w:val="28"/>
        </w:rPr>
        <w:t xml:space="preserve"> an opportunity to</w:t>
      </w:r>
      <w:r w:rsidR="005E376D">
        <w:rPr>
          <w:sz w:val="28"/>
          <w:szCs w:val="28"/>
        </w:rPr>
        <w:t xml:space="preserve"> </w:t>
      </w:r>
      <w:r w:rsidR="00BE2F36">
        <w:rPr>
          <w:sz w:val="28"/>
          <w:szCs w:val="28"/>
        </w:rPr>
        <w:t>adopt the very rule</w:t>
      </w:r>
      <w:r w:rsidR="006F5C10">
        <w:rPr>
          <w:sz w:val="28"/>
          <w:szCs w:val="28"/>
        </w:rPr>
        <w:t xml:space="preserve"> the Guild</w:t>
      </w:r>
      <w:r w:rsidR="00BE2F36">
        <w:rPr>
          <w:sz w:val="28"/>
          <w:szCs w:val="28"/>
        </w:rPr>
        <w:t xml:space="preserve"> seeks to impose</w:t>
      </w:r>
      <w:r w:rsidR="006F5C10">
        <w:rPr>
          <w:sz w:val="28"/>
          <w:szCs w:val="28"/>
        </w:rPr>
        <w:t xml:space="preserve"> in its petition</w:t>
      </w:r>
      <w:r w:rsidR="00402EEB">
        <w:rPr>
          <w:sz w:val="28"/>
          <w:szCs w:val="28"/>
        </w:rPr>
        <w:t>.</w:t>
      </w:r>
      <w:r w:rsidR="00051433">
        <w:rPr>
          <w:sz w:val="28"/>
          <w:szCs w:val="28"/>
        </w:rPr>
        <w:t xml:space="preserve"> </w:t>
      </w:r>
      <w:r w:rsidR="00B631E6">
        <w:rPr>
          <w:sz w:val="28"/>
          <w:szCs w:val="28"/>
        </w:rPr>
        <w:t xml:space="preserve"> In </w:t>
      </w:r>
      <w:r w:rsidR="00051433" w:rsidRPr="00B631E6">
        <w:rPr>
          <w:i/>
          <w:iCs/>
          <w:sz w:val="28"/>
          <w:szCs w:val="28"/>
        </w:rPr>
        <w:t>State v. Gentry</w:t>
      </w:r>
      <w:r w:rsidR="004E4554">
        <w:rPr>
          <w:sz w:val="28"/>
          <w:szCs w:val="28"/>
        </w:rPr>
        <w:t>, 247 Ariz. 381 (App. 2019),</w:t>
      </w:r>
      <w:r w:rsidR="00B631E6">
        <w:rPr>
          <w:sz w:val="28"/>
          <w:szCs w:val="28"/>
        </w:rPr>
        <w:t xml:space="preserve"> the defendant </w:t>
      </w:r>
      <w:r w:rsidR="00C1585F">
        <w:rPr>
          <w:sz w:val="28"/>
          <w:szCs w:val="28"/>
        </w:rPr>
        <w:t xml:space="preserve">had </w:t>
      </w:r>
      <w:r w:rsidR="00F05A7F">
        <w:rPr>
          <w:sz w:val="28"/>
          <w:szCs w:val="28"/>
        </w:rPr>
        <w:t>argued that the trial court erred in</w:t>
      </w:r>
      <w:r w:rsidR="001D2305">
        <w:rPr>
          <w:sz w:val="28"/>
          <w:szCs w:val="28"/>
        </w:rPr>
        <w:t xml:space="preserve"> denying his </w:t>
      </w:r>
      <w:r w:rsidR="001D2305" w:rsidRPr="009879D4">
        <w:rPr>
          <w:i/>
          <w:iCs/>
          <w:sz w:val="28"/>
          <w:szCs w:val="28"/>
        </w:rPr>
        <w:t>Batson</w:t>
      </w:r>
      <w:r w:rsidR="001D2305">
        <w:rPr>
          <w:sz w:val="28"/>
          <w:szCs w:val="28"/>
        </w:rPr>
        <w:t xml:space="preserve"> challenge to the State</w:t>
      </w:r>
      <w:r w:rsidR="008830F2">
        <w:rPr>
          <w:sz w:val="28"/>
          <w:szCs w:val="28"/>
        </w:rPr>
        <w:t>’s</w:t>
      </w:r>
      <w:r w:rsidR="001D2305">
        <w:rPr>
          <w:sz w:val="28"/>
          <w:szCs w:val="28"/>
        </w:rPr>
        <w:t xml:space="preserve"> peremptory </w:t>
      </w:r>
      <w:r w:rsidR="00817FBF">
        <w:rPr>
          <w:sz w:val="28"/>
          <w:szCs w:val="28"/>
        </w:rPr>
        <w:t xml:space="preserve">strike of a racial </w:t>
      </w:r>
      <w:r w:rsidR="00817FBF">
        <w:rPr>
          <w:sz w:val="28"/>
          <w:szCs w:val="28"/>
        </w:rPr>
        <w:lastRenderedPageBreak/>
        <w:t>minority juror.</w:t>
      </w:r>
      <w:r w:rsidR="00D13A92">
        <w:rPr>
          <w:sz w:val="28"/>
          <w:szCs w:val="28"/>
        </w:rPr>
        <w:t xml:space="preserve">  In</w:t>
      </w:r>
      <w:r w:rsidR="00837B62">
        <w:rPr>
          <w:sz w:val="28"/>
          <w:szCs w:val="28"/>
        </w:rPr>
        <w:t xml:space="preserve"> </w:t>
      </w:r>
      <w:r w:rsidR="003E395A">
        <w:rPr>
          <w:sz w:val="28"/>
          <w:szCs w:val="28"/>
        </w:rPr>
        <w:t>affirming the trial court</w:t>
      </w:r>
      <w:r w:rsidR="00A53ABB">
        <w:rPr>
          <w:sz w:val="28"/>
          <w:szCs w:val="28"/>
        </w:rPr>
        <w:t>, Division One</w:t>
      </w:r>
      <w:r w:rsidR="003E395A">
        <w:rPr>
          <w:sz w:val="28"/>
          <w:szCs w:val="28"/>
        </w:rPr>
        <w:t xml:space="preserve"> </w:t>
      </w:r>
      <w:r w:rsidR="00461132">
        <w:rPr>
          <w:sz w:val="28"/>
          <w:szCs w:val="28"/>
        </w:rPr>
        <w:t>rejected</w:t>
      </w:r>
      <w:r w:rsidR="003E395A">
        <w:rPr>
          <w:sz w:val="28"/>
          <w:szCs w:val="28"/>
        </w:rPr>
        <w:t xml:space="preserve"> the Washington </w:t>
      </w:r>
      <w:r w:rsidR="00A53ABB">
        <w:rPr>
          <w:sz w:val="28"/>
          <w:szCs w:val="28"/>
        </w:rPr>
        <w:t>procedure</w:t>
      </w:r>
      <w:r w:rsidR="001B5ABA">
        <w:rPr>
          <w:sz w:val="28"/>
          <w:szCs w:val="28"/>
        </w:rPr>
        <w:t xml:space="preserve"> and its General Rule 37</w:t>
      </w:r>
      <w:r w:rsidR="003E395A">
        <w:rPr>
          <w:sz w:val="28"/>
          <w:szCs w:val="28"/>
        </w:rPr>
        <w:t>:</w:t>
      </w:r>
    </w:p>
    <w:p w14:paraId="1674E2F6" w14:textId="341D18F0" w:rsidR="00A53ABB" w:rsidRDefault="00DD7231" w:rsidP="000848D2">
      <w:pPr>
        <w:pStyle w:val="Body"/>
        <w:widowControl w:val="0"/>
        <w:spacing w:line="240" w:lineRule="auto"/>
        <w:ind w:left="720" w:righ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Defendant further asks that we adopt the approach to peremptory challenges established in Washington, which carves out a list of reasons presumed invalid and expands the third step of the </w:t>
      </w:r>
      <w:r w:rsidRPr="00DD7231">
        <w:rPr>
          <w:i/>
          <w:iCs/>
          <w:sz w:val="28"/>
          <w:szCs w:val="28"/>
        </w:rPr>
        <w:t>Batson</w:t>
      </w:r>
      <w:r>
        <w:rPr>
          <w:sz w:val="28"/>
          <w:szCs w:val="28"/>
        </w:rPr>
        <w:t xml:space="preserve"> analysis</w:t>
      </w:r>
      <w:r w:rsidR="00A14737">
        <w:rPr>
          <w:sz w:val="28"/>
          <w:szCs w:val="28"/>
        </w:rPr>
        <w:t xml:space="preserve"> to include an “objective observer” standard.</w:t>
      </w:r>
      <w:r w:rsidR="00424603">
        <w:rPr>
          <w:sz w:val="28"/>
          <w:szCs w:val="28"/>
        </w:rPr>
        <w:t xml:space="preserve">  </w:t>
      </w:r>
      <w:r w:rsidR="00424603" w:rsidRPr="00C47EA6">
        <w:rPr>
          <w:i/>
          <w:iCs/>
          <w:sz w:val="28"/>
          <w:szCs w:val="28"/>
        </w:rPr>
        <w:t>See</w:t>
      </w:r>
      <w:r w:rsidR="00424603">
        <w:rPr>
          <w:sz w:val="28"/>
          <w:szCs w:val="28"/>
        </w:rPr>
        <w:t xml:space="preserve"> </w:t>
      </w:r>
      <w:proofErr w:type="spellStart"/>
      <w:r w:rsidR="00424603">
        <w:rPr>
          <w:sz w:val="28"/>
          <w:szCs w:val="28"/>
        </w:rPr>
        <w:t>Wa</w:t>
      </w:r>
      <w:proofErr w:type="spellEnd"/>
      <w:r w:rsidR="00424603">
        <w:rPr>
          <w:sz w:val="28"/>
          <w:szCs w:val="28"/>
        </w:rPr>
        <w:t>. R. Gen.</w:t>
      </w:r>
      <w:r w:rsidR="001043E5">
        <w:rPr>
          <w:sz w:val="28"/>
          <w:szCs w:val="28"/>
        </w:rPr>
        <w:t xml:space="preserve"> G.R. 37(h); </w:t>
      </w:r>
      <w:r w:rsidR="001043E5" w:rsidRPr="00C47EA6">
        <w:rPr>
          <w:i/>
          <w:iCs/>
          <w:sz w:val="28"/>
          <w:szCs w:val="28"/>
        </w:rPr>
        <w:t>State v. Jefferson</w:t>
      </w:r>
      <w:r w:rsidR="001043E5">
        <w:rPr>
          <w:sz w:val="28"/>
          <w:szCs w:val="28"/>
        </w:rPr>
        <w:t>, 192 Wash.2d 225, 429 P.3d</w:t>
      </w:r>
      <w:r w:rsidR="00C47EA6">
        <w:rPr>
          <w:sz w:val="28"/>
          <w:szCs w:val="28"/>
        </w:rPr>
        <w:t xml:space="preserve"> 467, 481, ¶ 68 (2018).</w:t>
      </w:r>
      <w:r w:rsidR="00D42391">
        <w:rPr>
          <w:sz w:val="28"/>
          <w:szCs w:val="28"/>
        </w:rPr>
        <w:t xml:space="preserve">  We are neither bound by Washington state law, nor are we inclined to ignore well-established Arizona legal precedent.  </w:t>
      </w:r>
      <w:r w:rsidR="00D42391" w:rsidRPr="003A5984">
        <w:rPr>
          <w:i/>
          <w:iCs/>
          <w:sz w:val="28"/>
          <w:szCs w:val="28"/>
        </w:rPr>
        <w:t xml:space="preserve">See State v. </w:t>
      </w:r>
      <w:proofErr w:type="spellStart"/>
      <w:r w:rsidR="00D42391" w:rsidRPr="003A5984">
        <w:rPr>
          <w:i/>
          <w:iCs/>
          <w:sz w:val="28"/>
          <w:szCs w:val="28"/>
        </w:rPr>
        <w:t>Olague</w:t>
      </w:r>
      <w:proofErr w:type="spellEnd"/>
      <w:r w:rsidR="00D42391">
        <w:rPr>
          <w:sz w:val="28"/>
          <w:szCs w:val="28"/>
        </w:rPr>
        <w:t>, 240 Ariz. 475, 481, ¶ 23, 381 P.3d</w:t>
      </w:r>
      <w:r w:rsidR="00815F93">
        <w:rPr>
          <w:sz w:val="28"/>
          <w:szCs w:val="28"/>
        </w:rPr>
        <w:t xml:space="preserve"> 269, 275 (</w:t>
      </w:r>
      <w:r w:rsidR="003A5984">
        <w:rPr>
          <w:sz w:val="28"/>
          <w:szCs w:val="28"/>
        </w:rPr>
        <w:t>App. 2016) (“Stare decisis … requires special justification to depart from existing precedent.”).</w:t>
      </w:r>
    </w:p>
    <w:p w14:paraId="5B5285A7" w14:textId="77777777" w:rsidR="000848D2" w:rsidRDefault="000848D2" w:rsidP="000848D2">
      <w:pPr>
        <w:pStyle w:val="Body"/>
        <w:widowControl w:val="0"/>
        <w:spacing w:line="240" w:lineRule="auto"/>
        <w:ind w:left="720" w:right="720" w:firstLine="720"/>
        <w:jc w:val="both"/>
        <w:rPr>
          <w:sz w:val="28"/>
          <w:szCs w:val="28"/>
        </w:rPr>
      </w:pPr>
    </w:p>
    <w:p w14:paraId="0E726D52" w14:textId="5947E627" w:rsidR="006B7BD6" w:rsidRDefault="00A4155C" w:rsidP="007D4B84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Gentry, ¶ 13.</w:t>
      </w:r>
      <w:r w:rsidR="00EB661E">
        <w:rPr>
          <w:sz w:val="28"/>
          <w:szCs w:val="28"/>
        </w:rPr>
        <w:t xml:space="preserve">  Division One expressly renounced</w:t>
      </w:r>
      <w:r w:rsidR="001C6C3B">
        <w:rPr>
          <w:sz w:val="28"/>
          <w:szCs w:val="28"/>
        </w:rPr>
        <w:t xml:space="preserve"> in </w:t>
      </w:r>
      <w:r w:rsidR="001C6C3B" w:rsidRPr="001C6C3B">
        <w:rPr>
          <w:i/>
          <w:iCs/>
          <w:sz w:val="28"/>
          <w:szCs w:val="28"/>
        </w:rPr>
        <w:t>Gentry</w:t>
      </w:r>
      <w:r w:rsidR="001C6C3B">
        <w:rPr>
          <w:sz w:val="28"/>
          <w:szCs w:val="28"/>
        </w:rPr>
        <w:t xml:space="preserve"> the very substance of the instant petition.</w:t>
      </w:r>
    </w:p>
    <w:p w14:paraId="33E0B667" w14:textId="484CDAE2" w:rsidR="00642E68" w:rsidRDefault="006B7BD6" w:rsidP="007D4B84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On 01/07/2020, t</w:t>
      </w:r>
      <w:r w:rsidR="00A73453">
        <w:rPr>
          <w:sz w:val="28"/>
          <w:szCs w:val="28"/>
        </w:rPr>
        <w:t>he Arizona Supreme Court denied</w:t>
      </w:r>
      <w:r w:rsidR="004E4554">
        <w:rPr>
          <w:sz w:val="28"/>
          <w:szCs w:val="28"/>
        </w:rPr>
        <w:t xml:space="preserve"> review</w:t>
      </w:r>
      <w:r w:rsidR="00A73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6B7BD6">
        <w:rPr>
          <w:i/>
          <w:iCs/>
          <w:sz w:val="28"/>
          <w:szCs w:val="28"/>
        </w:rPr>
        <w:t>Gentry</w:t>
      </w:r>
      <w:r w:rsidR="00946D84">
        <w:rPr>
          <w:sz w:val="28"/>
          <w:szCs w:val="28"/>
        </w:rPr>
        <w:t>, demonstrating</w:t>
      </w:r>
      <w:r w:rsidR="00DE2C15">
        <w:rPr>
          <w:sz w:val="28"/>
          <w:szCs w:val="28"/>
        </w:rPr>
        <w:t xml:space="preserve"> that Arizona courts</w:t>
      </w:r>
      <w:r w:rsidR="00AC0524">
        <w:rPr>
          <w:sz w:val="28"/>
          <w:szCs w:val="28"/>
        </w:rPr>
        <w:t xml:space="preserve"> are not interested in following Washington </w:t>
      </w:r>
      <w:r w:rsidR="00C304AC">
        <w:rPr>
          <w:sz w:val="28"/>
          <w:szCs w:val="28"/>
        </w:rPr>
        <w:t xml:space="preserve">in finding that </w:t>
      </w:r>
      <w:r w:rsidR="00C304AC" w:rsidRPr="009F4421">
        <w:rPr>
          <w:i/>
          <w:iCs/>
          <w:sz w:val="28"/>
          <w:szCs w:val="28"/>
        </w:rPr>
        <w:t>Batson</w:t>
      </w:r>
      <w:r w:rsidR="00C304AC">
        <w:rPr>
          <w:sz w:val="28"/>
          <w:szCs w:val="28"/>
        </w:rPr>
        <w:t xml:space="preserve"> and its progeny</w:t>
      </w:r>
      <w:r w:rsidR="007A645E">
        <w:rPr>
          <w:sz w:val="28"/>
          <w:szCs w:val="28"/>
        </w:rPr>
        <w:t xml:space="preserve"> are insufficient to </w:t>
      </w:r>
      <w:r w:rsidR="00F50AD8">
        <w:rPr>
          <w:sz w:val="28"/>
          <w:szCs w:val="28"/>
        </w:rPr>
        <w:t>guard against perceived racial or ethnic</w:t>
      </w:r>
      <w:r w:rsidR="007D10DD">
        <w:rPr>
          <w:sz w:val="28"/>
          <w:szCs w:val="28"/>
        </w:rPr>
        <w:t xml:space="preserve"> discrimination in jury selection in Arizona.  The Guild has offered no </w:t>
      </w:r>
      <w:r w:rsidR="00E973E0">
        <w:rPr>
          <w:sz w:val="28"/>
          <w:szCs w:val="28"/>
        </w:rPr>
        <w:t>other</w:t>
      </w:r>
      <w:r w:rsidR="009F4421">
        <w:rPr>
          <w:sz w:val="28"/>
          <w:szCs w:val="28"/>
        </w:rPr>
        <w:t xml:space="preserve"> grounds for its petition.</w:t>
      </w:r>
    </w:p>
    <w:p w14:paraId="6DEB0EE8" w14:textId="131400F7" w:rsidR="00216D1B" w:rsidRDefault="0034594C" w:rsidP="00E72926">
      <w:pPr>
        <w:pStyle w:val="Body"/>
        <w:widowControl w:val="0"/>
        <w:spacing w:line="24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C.</w:t>
      </w:r>
      <w:r>
        <w:rPr>
          <w:b/>
          <w:bCs/>
          <w:sz w:val="28"/>
          <w:szCs w:val="28"/>
        </w:rPr>
        <w:tab/>
      </w:r>
      <w:r w:rsidR="00C54C5C">
        <w:rPr>
          <w:b/>
          <w:bCs/>
          <w:sz w:val="28"/>
          <w:szCs w:val="28"/>
        </w:rPr>
        <w:t>The “</w:t>
      </w:r>
      <w:r w:rsidR="00485F3F">
        <w:rPr>
          <w:b/>
          <w:bCs/>
          <w:sz w:val="28"/>
          <w:szCs w:val="28"/>
        </w:rPr>
        <w:t>Circumstances Considered</w:t>
      </w:r>
      <w:r w:rsidR="00C54C5C">
        <w:rPr>
          <w:b/>
          <w:bCs/>
          <w:sz w:val="28"/>
          <w:szCs w:val="28"/>
        </w:rPr>
        <w:t>”</w:t>
      </w:r>
      <w:r w:rsidR="000D17C0">
        <w:rPr>
          <w:b/>
          <w:bCs/>
          <w:sz w:val="28"/>
          <w:szCs w:val="28"/>
        </w:rPr>
        <w:t xml:space="preserve"> </w:t>
      </w:r>
      <w:r w:rsidR="00852DC3">
        <w:rPr>
          <w:b/>
          <w:bCs/>
          <w:sz w:val="28"/>
          <w:szCs w:val="28"/>
        </w:rPr>
        <w:t xml:space="preserve">Tests </w:t>
      </w:r>
      <w:r w:rsidR="000D17C0">
        <w:rPr>
          <w:b/>
          <w:bCs/>
          <w:sz w:val="28"/>
          <w:szCs w:val="28"/>
        </w:rPr>
        <w:t>in the Proposed Rule</w:t>
      </w:r>
      <w:r w:rsidR="00C74B39">
        <w:rPr>
          <w:b/>
          <w:bCs/>
          <w:sz w:val="28"/>
          <w:szCs w:val="28"/>
        </w:rPr>
        <w:t xml:space="preserve"> are </w:t>
      </w:r>
      <w:r w:rsidR="001F7463">
        <w:rPr>
          <w:b/>
          <w:bCs/>
          <w:sz w:val="28"/>
          <w:szCs w:val="28"/>
        </w:rPr>
        <w:tab/>
      </w:r>
      <w:r w:rsidR="00012F44">
        <w:rPr>
          <w:b/>
          <w:bCs/>
          <w:sz w:val="28"/>
          <w:szCs w:val="28"/>
        </w:rPr>
        <w:tab/>
      </w:r>
      <w:r w:rsidR="00012F44">
        <w:rPr>
          <w:b/>
          <w:bCs/>
          <w:sz w:val="28"/>
          <w:szCs w:val="28"/>
        </w:rPr>
        <w:tab/>
      </w:r>
      <w:r w:rsidR="00BA76C3">
        <w:rPr>
          <w:b/>
          <w:bCs/>
          <w:sz w:val="28"/>
          <w:szCs w:val="28"/>
        </w:rPr>
        <w:t xml:space="preserve">Speculative, </w:t>
      </w:r>
      <w:r w:rsidR="001F7463">
        <w:rPr>
          <w:b/>
          <w:bCs/>
          <w:sz w:val="28"/>
          <w:szCs w:val="28"/>
        </w:rPr>
        <w:t>Ambiguous</w:t>
      </w:r>
      <w:r w:rsidR="00657ACA">
        <w:rPr>
          <w:b/>
          <w:bCs/>
          <w:sz w:val="28"/>
          <w:szCs w:val="28"/>
        </w:rPr>
        <w:t xml:space="preserve">, and </w:t>
      </w:r>
      <w:r w:rsidR="0001005B">
        <w:rPr>
          <w:b/>
          <w:bCs/>
          <w:sz w:val="28"/>
          <w:szCs w:val="28"/>
        </w:rPr>
        <w:t>Ineffective</w:t>
      </w:r>
      <w:r w:rsidR="002B3411">
        <w:rPr>
          <w:b/>
          <w:bCs/>
          <w:sz w:val="28"/>
          <w:szCs w:val="28"/>
        </w:rPr>
        <w:t xml:space="preserve"> in Identifying</w:t>
      </w:r>
      <w:r w:rsidR="00EC0A83">
        <w:rPr>
          <w:b/>
          <w:bCs/>
          <w:sz w:val="28"/>
          <w:szCs w:val="28"/>
        </w:rPr>
        <w:t xml:space="preserve"> Racial or </w:t>
      </w:r>
      <w:r w:rsidR="00EC0A83">
        <w:rPr>
          <w:b/>
          <w:bCs/>
          <w:sz w:val="28"/>
          <w:szCs w:val="28"/>
        </w:rPr>
        <w:tab/>
      </w:r>
      <w:r w:rsidR="00EC0A83">
        <w:rPr>
          <w:b/>
          <w:bCs/>
          <w:sz w:val="28"/>
          <w:szCs w:val="28"/>
        </w:rPr>
        <w:tab/>
      </w:r>
      <w:r w:rsidR="00EC0A83">
        <w:rPr>
          <w:b/>
          <w:bCs/>
          <w:sz w:val="28"/>
          <w:szCs w:val="28"/>
        </w:rPr>
        <w:tab/>
        <w:t>Ethnic Bias</w:t>
      </w:r>
      <w:r w:rsidR="0015431E">
        <w:rPr>
          <w:b/>
          <w:bCs/>
          <w:sz w:val="28"/>
          <w:szCs w:val="28"/>
        </w:rPr>
        <w:t xml:space="preserve"> in Jury Selection</w:t>
      </w:r>
      <w:r w:rsidR="00EC0A83">
        <w:rPr>
          <w:b/>
          <w:bCs/>
          <w:sz w:val="28"/>
          <w:szCs w:val="28"/>
        </w:rPr>
        <w:t>.</w:t>
      </w:r>
    </w:p>
    <w:p w14:paraId="58378527" w14:textId="77777777" w:rsidR="00E72926" w:rsidRDefault="00E72926" w:rsidP="00E72926">
      <w:pPr>
        <w:pStyle w:val="Body"/>
        <w:widowControl w:val="0"/>
        <w:spacing w:line="240" w:lineRule="auto"/>
        <w:ind w:firstLine="0"/>
        <w:jc w:val="both"/>
        <w:rPr>
          <w:b/>
          <w:bCs/>
          <w:sz w:val="28"/>
          <w:szCs w:val="28"/>
        </w:rPr>
      </w:pPr>
    </w:p>
    <w:p w14:paraId="4D72CFCE" w14:textId="149FEEEA" w:rsidR="0034594C" w:rsidRDefault="0034594C" w:rsidP="00216D1B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Finally,</w:t>
      </w:r>
      <w:r w:rsidR="00E37AE4">
        <w:rPr>
          <w:sz w:val="28"/>
          <w:szCs w:val="28"/>
        </w:rPr>
        <w:t xml:space="preserve"> even if the</w:t>
      </w:r>
      <w:r w:rsidR="001E115B">
        <w:rPr>
          <w:sz w:val="28"/>
          <w:szCs w:val="28"/>
        </w:rPr>
        <w:t xml:space="preserve"> Arizona Supreme Court had no</w:t>
      </w:r>
      <w:r w:rsidR="00CC3F61">
        <w:rPr>
          <w:sz w:val="28"/>
          <w:szCs w:val="28"/>
        </w:rPr>
        <w:t xml:space="preserve">t recently rejected </w:t>
      </w:r>
      <w:r w:rsidR="0079570D">
        <w:rPr>
          <w:sz w:val="28"/>
          <w:szCs w:val="28"/>
        </w:rPr>
        <w:t xml:space="preserve">adopting </w:t>
      </w:r>
      <w:r w:rsidR="00CC3F61">
        <w:rPr>
          <w:sz w:val="28"/>
          <w:szCs w:val="28"/>
        </w:rPr>
        <w:t>the</w:t>
      </w:r>
      <w:r w:rsidR="007D10FC">
        <w:rPr>
          <w:sz w:val="28"/>
          <w:szCs w:val="28"/>
        </w:rPr>
        <w:t xml:space="preserve"> </w:t>
      </w:r>
      <w:r w:rsidR="00CC3F61">
        <w:rPr>
          <w:sz w:val="28"/>
          <w:szCs w:val="28"/>
        </w:rPr>
        <w:t>Washington</w:t>
      </w:r>
      <w:r w:rsidR="007D10FC">
        <w:rPr>
          <w:sz w:val="28"/>
          <w:szCs w:val="28"/>
        </w:rPr>
        <w:t xml:space="preserve"> “objective observer” standard</w:t>
      </w:r>
      <w:r w:rsidR="00CC3F61">
        <w:rPr>
          <w:sz w:val="28"/>
          <w:szCs w:val="28"/>
        </w:rPr>
        <w:t xml:space="preserve">, the language of the </w:t>
      </w:r>
      <w:r w:rsidR="00BD726D">
        <w:rPr>
          <w:sz w:val="28"/>
          <w:szCs w:val="28"/>
        </w:rPr>
        <w:t xml:space="preserve">petition’s </w:t>
      </w:r>
      <w:r w:rsidR="00CC3F61">
        <w:rPr>
          <w:sz w:val="28"/>
          <w:szCs w:val="28"/>
        </w:rPr>
        <w:t xml:space="preserve">proposed </w:t>
      </w:r>
      <w:r w:rsidR="00FA3BD2">
        <w:rPr>
          <w:sz w:val="28"/>
          <w:szCs w:val="28"/>
        </w:rPr>
        <w:t>rule contains</w:t>
      </w:r>
      <w:r w:rsidR="003106CA">
        <w:rPr>
          <w:sz w:val="28"/>
          <w:szCs w:val="28"/>
        </w:rPr>
        <w:t xml:space="preserve"> “circumstances” </w:t>
      </w:r>
      <w:r w:rsidR="00925777">
        <w:rPr>
          <w:sz w:val="28"/>
          <w:szCs w:val="28"/>
        </w:rPr>
        <w:t>for the court to consider which are</w:t>
      </w:r>
      <w:r w:rsidR="005E06B5">
        <w:rPr>
          <w:sz w:val="28"/>
          <w:szCs w:val="28"/>
        </w:rPr>
        <w:t xml:space="preserve"> </w:t>
      </w:r>
      <w:r w:rsidR="00F26503">
        <w:rPr>
          <w:sz w:val="28"/>
          <w:szCs w:val="28"/>
        </w:rPr>
        <w:t>speculative</w:t>
      </w:r>
      <w:r w:rsidR="00AF422D">
        <w:rPr>
          <w:sz w:val="28"/>
          <w:szCs w:val="28"/>
        </w:rPr>
        <w:t>,</w:t>
      </w:r>
      <w:r w:rsidR="005E06B5">
        <w:rPr>
          <w:sz w:val="28"/>
          <w:szCs w:val="28"/>
        </w:rPr>
        <w:t xml:space="preserve"> ambiguous</w:t>
      </w:r>
      <w:r w:rsidR="005E0FEC">
        <w:rPr>
          <w:sz w:val="28"/>
          <w:szCs w:val="28"/>
        </w:rPr>
        <w:t xml:space="preserve"> and particularly</w:t>
      </w:r>
      <w:r w:rsidR="00870FFF">
        <w:rPr>
          <w:sz w:val="28"/>
          <w:szCs w:val="28"/>
        </w:rPr>
        <w:t xml:space="preserve"> meaningless</w:t>
      </w:r>
      <w:r w:rsidR="004A63C1">
        <w:rPr>
          <w:sz w:val="28"/>
          <w:szCs w:val="28"/>
        </w:rPr>
        <w:t xml:space="preserve"> in </w:t>
      </w:r>
      <w:r w:rsidR="0099674B">
        <w:rPr>
          <w:sz w:val="28"/>
          <w:szCs w:val="28"/>
        </w:rPr>
        <w:t xml:space="preserve">determining whether </w:t>
      </w:r>
      <w:r w:rsidR="009A7006">
        <w:rPr>
          <w:sz w:val="28"/>
          <w:szCs w:val="28"/>
        </w:rPr>
        <w:t xml:space="preserve">race or </w:t>
      </w:r>
      <w:r w:rsidR="009A7006">
        <w:rPr>
          <w:sz w:val="28"/>
          <w:szCs w:val="28"/>
        </w:rPr>
        <w:lastRenderedPageBreak/>
        <w:t>ethnicity caused</w:t>
      </w:r>
      <w:r w:rsidR="00070AAE">
        <w:rPr>
          <w:sz w:val="28"/>
          <w:szCs w:val="28"/>
        </w:rPr>
        <w:t xml:space="preserve"> unfair exclusion</w:t>
      </w:r>
      <w:r w:rsidR="003B127B">
        <w:rPr>
          <w:sz w:val="28"/>
          <w:szCs w:val="28"/>
        </w:rPr>
        <w:t xml:space="preserve"> of potential jurors.</w:t>
      </w:r>
      <w:r w:rsidR="00A24937">
        <w:rPr>
          <w:sz w:val="28"/>
          <w:szCs w:val="28"/>
        </w:rPr>
        <w:t xml:space="preserve">  Considerations such as </w:t>
      </w:r>
      <w:r w:rsidR="000832B0">
        <w:rPr>
          <w:sz w:val="28"/>
          <w:szCs w:val="28"/>
        </w:rPr>
        <w:t>“the number and types of Questions posed to the prospective juror,”</w:t>
      </w:r>
      <w:r w:rsidR="00EE574D">
        <w:rPr>
          <w:sz w:val="28"/>
          <w:szCs w:val="28"/>
        </w:rPr>
        <w:t xml:space="preserve"> whether “significantly more Questions or different Questions</w:t>
      </w:r>
      <w:r w:rsidR="004B74C8">
        <w:rPr>
          <w:sz w:val="28"/>
          <w:szCs w:val="28"/>
        </w:rPr>
        <w:t xml:space="preserve">” were posed to the prospective juror compared to others, </w:t>
      </w:r>
      <w:r w:rsidR="003958DC">
        <w:rPr>
          <w:sz w:val="28"/>
          <w:szCs w:val="28"/>
        </w:rPr>
        <w:t>and</w:t>
      </w:r>
      <w:r w:rsidR="00515C2C">
        <w:rPr>
          <w:sz w:val="28"/>
          <w:szCs w:val="28"/>
        </w:rPr>
        <w:t xml:space="preserve"> whether </w:t>
      </w:r>
      <w:r w:rsidR="00DE5996">
        <w:rPr>
          <w:sz w:val="28"/>
          <w:szCs w:val="28"/>
        </w:rPr>
        <w:t>other prospective jurors</w:t>
      </w:r>
      <w:r w:rsidR="00B11DB6">
        <w:rPr>
          <w:sz w:val="28"/>
          <w:szCs w:val="28"/>
        </w:rPr>
        <w:t xml:space="preserve"> </w:t>
      </w:r>
      <w:r w:rsidR="0086281F">
        <w:rPr>
          <w:sz w:val="28"/>
          <w:szCs w:val="28"/>
        </w:rPr>
        <w:t>“</w:t>
      </w:r>
      <w:r w:rsidR="00B11DB6">
        <w:rPr>
          <w:sz w:val="28"/>
          <w:szCs w:val="28"/>
        </w:rPr>
        <w:t>provided similar answers</w:t>
      </w:r>
      <w:r w:rsidR="00A75984">
        <w:rPr>
          <w:sz w:val="28"/>
          <w:szCs w:val="28"/>
        </w:rPr>
        <w:t xml:space="preserve">” to the </w:t>
      </w:r>
      <w:r w:rsidR="00614199">
        <w:rPr>
          <w:sz w:val="28"/>
          <w:szCs w:val="28"/>
        </w:rPr>
        <w:t>juror but were not subject to a peremptory challenge</w:t>
      </w:r>
      <w:r w:rsidR="00FB47E8">
        <w:rPr>
          <w:sz w:val="28"/>
          <w:szCs w:val="28"/>
        </w:rPr>
        <w:t xml:space="preserve"> </w:t>
      </w:r>
      <w:r w:rsidR="00530FDB">
        <w:rPr>
          <w:sz w:val="28"/>
          <w:szCs w:val="28"/>
        </w:rPr>
        <w:t>would be</w:t>
      </w:r>
      <w:r w:rsidR="00FB47E8">
        <w:rPr>
          <w:sz w:val="28"/>
          <w:szCs w:val="28"/>
        </w:rPr>
        <w:t xml:space="preserve"> </w:t>
      </w:r>
      <w:r w:rsidR="001E3572">
        <w:rPr>
          <w:sz w:val="28"/>
          <w:szCs w:val="28"/>
        </w:rPr>
        <w:t>required under the new rule</w:t>
      </w:r>
      <w:r w:rsidR="009E0225">
        <w:rPr>
          <w:sz w:val="28"/>
          <w:szCs w:val="28"/>
        </w:rPr>
        <w:t>.</w:t>
      </w:r>
      <w:r w:rsidR="00DB1D49">
        <w:rPr>
          <w:sz w:val="28"/>
          <w:szCs w:val="28"/>
        </w:rPr>
        <w:t xml:space="preserve">  </w:t>
      </w:r>
      <w:r w:rsidR="0034569C">
        <w:rPr>
          <w:sz w:val="28"/>
          <w:szCs w:val="28"/>
        </w:rPr>
        <w:t>These consideration</w:t>
      </w:r>
      <w:r w:rsidR="00D139A6">
        <w:rPr>
          <w:sz w:val="28"/>
          <w:szCs w:val="28"/>
        </w:rPr>
        <w:t>s</w:t>
      </w:r>
      <w:r w:rsidR="00C814DA">
        <w:rPr>
          <w:sz w:val="28"/>
          <w:szCs w:val="28"/>
        </w:rPr>
        <w:t xml:space="preserve"> promote</w:t>
      </w:r>
      <w:r w:rsidR="00DB1D49">
        <w:rPr>
          <w:sz w:val="28"/>
          <w:szCs w:val="28"/>
        </w:rPr>
        <w:t xml:space="preserve"> </w:t>
      </w:r>
      <w:r w:rsidR="00FB3326">
        <w:rPr>
          <w:sz w:val="28"/>
          <w:szCs w:val="28"/>
        </w:rPr>
        <w:t xml:space="preserve">pure speculation </w:t>
      </w:r>
      <w:r w:rsidR="00C814DA">
        <w:rPr>
          <w:sz w:val="28"/>
          <w:szCs w:val="28"/>
        </w:rPr>
        <w:t>in</w:t>
      </w:r>
      <w:r w:rsidR="00FB3326">
        <w:rPr>
          <w:sz w:val="28"/>
          <w:szCs w:val="28"/>
        </w:rPr>
        <w:t xml:space="preserve"> attribut</w:t>
      </w:r>
      <w:r w:rsidR="00C814DA">
        <w:rPr>
          <w:sz w:val="28"/>
          <w:szCs w:val="28"/>
        </w:rPr>
        <w:t>ing</w:t>
      </w:r>
      <w:r w:rsidR="00D33270">
        <w:rPr>
          <w:sz w:val="28"/>
          <w:szCs w:val="28"/>
        </w:rPr>
        <w:t xml:space="preserve"> a </w:t>
      </w:r>
      <w:proofErr w:type="gramStart"/>
      <w:r w:rsidR="00EF561E">
        <w:rPr>
          <w:sz w:val="28"/>
          <w:szCs w:val="28"/>
        </w:rPr>
        <w:t xml:space="preserve">particular </w:t>
      </w:r>
      <w:r w:rsidR="00D33270">
        <w:rPr>
          <w:sz w:val="28"/>
          <w:szCs w:val="28"/>
        </w:rPr>
        <w:t>bias</w:t>
      </w:r>
      <w:proofErr w:type="gramEnd"/>
      <w:r w:rsidR="00D33270">
        <w:rPr>
          <w:sz w:val="28"/>
          <w:szCs w:val="28"/>
        </w:rPr>
        <w:t xml:space="preserve"> to a party.</w:t>
      </w:r>
      <w:r w:rsidR="00CD064E">
        <w:rPr>
          <w:sz w:val="28"/>
          <w:szCs w:val="28"/>
        </w:rPr>
        <w:t xml:space="preserve">  Do too few questions</w:t>
      </w:r>
      <w:r w:rsidR="00472AFF">
        <w:rPr>
          <w:sz w:val="28"/>
          <w:szCs w:val="28"/>
        </w:rPr>
        <w:t xml:space="preserve"> asked </w:t>
      </w:r>
      <w:proofErr w:type="gramStart"/>
      <w:r w:rsidR="00472AFF">
        <w:rPr>
          <w:sz w:val="28"/>
          <w:szCs w:val="28"/>
        </w:rPr>
        <w:t>pose</w:t>
      </w:r>
      <w:proofErr w:type="gramEnd"/>
      <w:r w:rsidR="00472AFF">
        <w:rPr>
          <w:sz w:val="28"/>
          <w:szCs w:val="28"/>
        </w:rPr>
        <w:t xml:space="preserve"> a bias but too many questions asked</w:t>
      </w:r>
      <w:r w:rsidR="000E23FD">
        <w:rPr>
          <w:sz w:val="28"/>
          <w:szCs w:val="28"/>
        </w:rPr>
        <w:t xml:space="preserve"> not</w:t>
      </w:r>
      <w:r w:rsidR="004B05DF">
        <w:rPr>
          <w:sz w:val="28"/>
          <w:szCs w:val="28"/>
        </w:rPr>
        <w:t xml:space="preserve"> po</w:t>
      </w:r>
      <w:r w:rsidR="00833E2F">
        <w:rPr>
          <w:sz w:val="28"/>
          <w:szCs w:val="28"/>
        </w:rPr>
        <w:t>se a bias</w:t>
      </w:r>
      <w:r w:rsidR="000E23FD">
        <w:rPr>
          <w:sz w:val="28"/>
          <w:szCs w:val="28"/>
        </w:rPr>
        <w:t>?</w:t>
      </w:r>
      <w:r w:rsidR="00E42A96">
        <w:rPr>
          <w:sz w:val="28"/>
          <w:szCs w:val="28"/>
        </w:rPr>
        <w:t xml:space="preserve">  Must every prospective juror be asked </w:t>
      </w:r>
      <w:proofErr w:type="gramStart"/>
      <w:r w:rsidR="00E42A96">
        <w:rPr>
          <w:sz w:val="28"/>
          <w:szCs w:val="28"/>
        </w:rPr>
        <w:t>exactly the same</w:t>
      </w:r>
      <w:proofErr w:type="gramEnd"/>
      <w:r w:rsidR="00E42A96">
        <w:rPr>
          <w:sz w:val="28"/>
          <w:szCs w:val="28"/>
        </w:rPr>
        <w:t xml:space="preserve"> question</w:t>
      </w:r>
      <w:r w:rsidR="004F2A7F">
        <w:rPr>
          <w:sz w:val="28"/>
          <w:szCs w:val="28"/>
        </w:rPr>
        <w:t xml:space="preserve"> in the same manner and in the same n</w:t>
      </w:r>
      <w:r w:rsidR="00EF4F7D">
        <w:rPr>
          <w:sz w:val="28"/>
          <w:szCs w:val="28"/>
        </w:rPr>
        <w:t xml:space="preserve">umber </w:t>
      </w:r>
      <w:r w:rsidR="006E2123">
        <w:rPr>
          <w:sz w:val="28"/>
          <w:szCs w:val="28"/>
        </w:rPr>
        <w:t xml:space="preserve">to avoid </w:t>
      </w:r>
      <w:r w:rsidR="0047043D">
        <w:rPr>
          <w:sz w:val="28"/>
          <w:szCs w:val="28"/>
        </w:rPr>
        <w:t>a</w:t>
      </w:r>
      <w:r w:rsidR="001A233F">
        <w:rPr>
          <w:sz w:val="28"/>
          <w:szCs w:val="28"/>
        </w:rPr>
        <w:t>ny issue</w:t>
      </w:r>
      <w:r w:rsidR="00F466BA">
        <w:rPr>
          <w:sz w:val="28"/>
          <w:szCs w:val="28"/>
        </w:rPr>
        <w:t xml:space="preserve"> of unfair exclusion based on race or ethnicity?</w:t>
      </w:r>
    </w:p>
    <w:p w14:paraId="660EC9B6" w14:textId="16C39AF1" w:rsidR="00E07B9D" w:rsidRDefault="00F466BA" w:rsidP="00216D1B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Moreover, </w:t>
      </w:r>
      <w:r w:rsidR="00C33219">
        <w:rPr>
          <w:sz w:val="28"/>
          <w:szCs w:val="28"/>
        </w:rPr>
        <w:t xml:space="preserve">the language of the petition’s </w:t>
      </w:r>
      <w:r w:rsidR="004F5B98">
        <w:rPr>
          <w:sz w:val="28"/>
          <w:szCs w:val="28"/>
        </w:rPr>
        <w:t>proposed rule contains</w:t>
      </w:r>
      <w:r w:rsidR="00403B62">
        <w:rPr>
          <w:sz w:val="28"/>
          <w:szCs w:val="28"/>
        </w:rPr>
        <w:t xml:space="preserve"> “presumptively invalid” </w:t>
      </w:r>
      <w:r w:rsidR="007F357A">
        <w:rPr>
          <w:sz w:val="28"/>
          <w:szCs w:val="28"/>
        </w:rPr>
        <w:t>reasons for exercising a peremptory strike by a party</w:t>
      </w:r>
      <w:r w:rsidR="00FE3E50">
        <w:rPr>
          <w:sz w:val="28"/>
          <w:szCs w:val="28"/>
        </w:rPr>
        <w:t xml:space="preserve"> that are borderline absurd.</w:t>
      </w:r>
      <w:r w:rsidR="00BB45B6">
        <w:rPr>
          <w:sz w:val="28"/>
          <w:szCs w:val="28"/>
        </w:rPr>
        <w:t xml:space="preserve">  </w:t>
      </w:r>
      <w:r w:rsidR="00A12B63">
        <w:rPr>
          <w:sz w:val="28"/>
          <w:szCs w:val="28"/>
        </w:rPr>
        <w:t>S</w:t>
      </w:r>
      <w:r w:rsidR="00122992">
        <w:rPr>
          <w:sz w:val="28"/>
          <w:szCs w:val="28"/>
        </w:rPr>
        <w:t>ome</w:t>
      </w:r>
      <w:r w:rsidR="00BB45B6">
        <w:rPr>
          <w:sz w:val="28"/>
          <w:szCs w:val="28"/>
        </w:rPr>
        <w:t xml:space="preserve"> r</w:t>
      </w:r>
      <w:r w:rsidR="00B2406F">
        <w:rPr>
          <w:sz w:val="28"/>
          <w:szCs w:val="28"/>
        </w:rPr>
        <w:t>eason</w:t>
      </w:r>
      <w:r w:rsidR="00A12B63">
        <w:rPr>
          <w:sz w:val="28"/>
          <w:szCs w:val="28"/>
        </w:rPr>
        <w:t>s that are</w:t>
      </w:r>
      <w:r w:rsidR="00122992">
        <w:rPr>
          <w:sz w:val="28"/>
          <w:szCs w:val="28"/>
        </w:rPr>
        <w:t xml:space="preserve"> </w:t>
      </w:r>
      <w:r w:rsidR="000A1C26">
        <w:rPr>
          <w:sz w:val="28"/>
          <w:szCs w:val="28"/>
        </w:rPr>
        <w:t>presumed invalid</w:t>
      </w:r>
      <w:r w:rsidR="0086018F">
        <w:rPr>
          <w:sz w:val="28"/>
          <w:szCs w:val="28"/>
        </w:rPr>
        <w:t xml:space="preserve"> by the</w:t>
      </w:r>
      <w:r w:rsidR="00546A2F">
        <w:rPr>
          <w:sz w:val="28"/>
          <w:szCs w:val="28"/>
        </w:rPr>
        <w:t xml:space="preserve"> proposed</w:t>
      </w:r>
      <w:r w:rsidR="0086018F">
        <w:rPr>
          <w:sz w:val="28"/>
          <w:szCs w:val="28"/>
        </w:rPr>
        <w:t xml:space="preserve"> rule</w:t>
      </w:r>
      <w:r w:rsidR="002B6705">
        <w:rPr>
          <w:sz w:val="28"/>
          <w:szCs w:val="28"/>
        </w:rPr>
        <w:t xml:space="preserve"> include</w:t>
      </w:r>
      <w:r w:rsidR="00365E27">
        <w:rPr>
          <w:sz w:val="28"/>
          <w:szCs w:val="28"/>
        </w:rPr>
        <w:t xml:space="preserve"> a prospective juror’s “prior contact with law enforcement officers”</w:t>
      </w:r>
      <w:r w:rsidR="002E67CB">
        <w:rPr>
          <w:sz w:val="28"/>
          <w:szCs w:val="28"/>
        </w:rPr>
        <w:t xml:space="preserve"> and</w:t>
      </w:r>
      <w:r w:rsidR="00973F4D">
        <w:rPr>
          <w:sz w:val="28"/>
          <w:szCs w:val="28"/>
        </w:rPr>
        <w:t xml:space="preserve"> </w:t>
      </w:r>
      <w:r w:rsidR="009C1181">
        <w:rPr>
          <w:sz w:val="28"/>
          <w:szCs w:val="28"/>
        </w:rPr>
        <w:t>“expressing a distrust of law enforcement</w:t>
      </w:r>
      <w:r w:rsidR="002E67CB">
        <w:rPr>
          <w:sz w:val="28"/>
          <w:szCs w:val="28"/>
        </w:rPr>
        <w:t>.</w:t>
      </w:r>
      <w:r w:rsidR="00B03B2F">
        <w:rPr>
          <w:sz w:val="28"/>
          <w:szCs w:val="28"/>
        </w:rPr>
        <w:t>”</w:t>
      </w:r>
      <w:r w:rsidR="00AB3349">
        <w:rPr>
          <w:sz w:val="28"/>
          <w:szCs w:val="28"/>
        </w:rPr>
        <w:t xml:space="preserve">  </w:t>
      </w:r>
      <w:r w:rsidR="009F7DB7">
        <w:rPr>
          <w:sz w:val="28"/>
          <w:szCs w:val="28"/>
        </w:rPr>
        <w:t>Contrary to the proscriptions of the proposed rule, p</w:t>
      </w:r>
      <w:r w:rsidR="00253B48">
        <w:rPr>
          <w:sz w:val="28"/>
          <w:szCs w:val="28"/>
        </w:rPr>
        <w:t xml:space="preserve">rior contact with law enforcement </w:t>
      </w:r>
      <w:r w:rsidR="00EF0B5F">
        <w:rPr>
          <w:sz w:val="28"/>
          <w:szCs w:val="28"/>
        </w:rPr>
        <w:t xml:space="preserve">is unrelated to race or ethnicity and </w:t>
      </w:r>
      <w:r w:rsidR="00255FC4">
        <w:rPr>
          <w:sz w:val="28"/>
          <w:szCs w:val="28"/>
        </w:rPr>
        <w:t xml:space="preserve">should not be presumed </w:t>
      </w:r>
      <w:r w:rsidR="00DE422F">
        <w:rPr>
          <w:sz w:val="28"/>
          <w:szCs w:val="28"/>
        </w:rPr>
        <w:t xml:space="preserve">an </w:t>
      </w:r>
      <w:r w:rsidR="00255FC4">
        <w:rPr>
          <w:sz w:val="28"/>
          <w:szCs w:val="28"/>
        </w:rPr>
        <w:t xml:space="preserve">invalid </w:t>
      </w:r>
      <w:r w:rsidR="00DE422F">
        <w:rPr>
          <w:sz w:val="28"/>
          <w:szCs w:val="28"/>
        </w:rPr>
        <w:t xml:space="preserve">reason </w:t>
      </w:r>
      <w:r w:rsidR="00255FC4">
        <w:rPr>
          <w:sz w:val="28"/>
          <w:szCs w:val="28"/>
        </w:rPr>
        <w:t>for a peremptory strike</w:t>
      </w:r>
      <w:r w:rsidR="00EF0B5F">
        <w:rPr>
          <w:sz w:val="28"/>
          <w:szCs w:val="28"/>
        </w:rPr>
        <w:t>.</w:t>
      </w:r>
      <w:r w:rsidR="004029F7">
        <w:rPr>
          <w:sz w:val="28"/>
          <w:szCs w:val="28"/>
        </w:rPr>
        <w:t xml:space="preserve">  </w:t>
      </w:r>
      <w:r w:rsidR="004029F7" w:rsidRPr="004029F7">
        <w:rPr>
          <w:i/>
          <w:iCs/>
          <w:sz w:val="28"/>
          <w:szCs w:val="28"/>
        </w:rPr>
        <w:t>See</w:t>
      </w:r>
      <w:r w:rsidR="00282FCB" w:rsidRPr="004029F7">
        <w:rPr>
          <w:i/>
          <w:iCs/>
          <w:sz w:val="28"/>
          <w:szCs w:val="28"/>
        </w:rPr>
        <w:t xml:space="preserve"> e.g. State v. Mootz</w:t>
      </w:r>
      <w:r w:rsidR="00282FCB">
        <w:rPr>
          <w:sz w:val="28"/>
          <w:szCs w:val="28"/>
        </w:rPr>
        <w:t>, 808 NW.2d</w:t>
      </w:r>
      <w:r w:rsidR="00A3514E">
        <w:rPr>
          <w:sz w:val="28"/>
          <w:szCs w:val="28"/>
        </w:rPr>
        <w:t xml:space="preserve"> 207, 219</w:t>
      </w:r>
      <w:r w:rsidR="0073699E">
        <w:rPr>
          <w:sz w:val="28"/>
          <w:szCs w:val="28"/>
        </w:rPr>
        <w:t xml:space="preserve"> (Iowa, 2012)</w:t>
      </w:r>
      <w:r w:rsidR="00A3514E">
        <w:rPr>
          <w:sz w:val="28"/>
          <w:szCs w:val="28"/>
        </w:rPr>
        <w:t xml:space="preserve"> (“</w:t>
      </w:r>
      <w:r w:rsidR="000F2902">
        <w:rPr>
          <w:sz w:val="28"/>
          <w:szCs w:val="28"/>
        </w:rPr>
        <w:t>Our cases have repeatedly noted that a juror’s interactions with law enforcement and the legal system are a valid, race-neutral reason for a perempto</w:t>
      </w:r>
      <w:r w:rsidR="00894D2B">
        <w:rPr>
          <w:sz w:val="28"/>
          <w:szCs w:val="28"/>
        </w:rPr>
        <w:t>ry</w:t>
      </w:r>
      <w:r w:rsidR="000F2902">
        <w:rPr>
          <w:sz w:val="28"/>
          <w:szCs w:val="28"/>
        </w:rPr>
        <w:t xml:space="preserve"> cha</w:t>
      </w:r>
      <w:r w:rsidR="007A7BFC">
        <w:rPr>
          <w:sz w:val="28"/>
          <w:szCs w:val="28"/>
        </w:rPr>
        <w:t>llenge.”)</w:t>
      </w:r>
      <w:r w:rsidR="00064E3E">
        <w:rPr>
          <w:sz w:val="28"/>
          <w:szCs w:val="28"/>
        </w:rPr>
        <w:t xml:space="preserve">.  </w:t>
      </w:r>
      <w:r w:rsidR="00AB3349">
        <w:rPr>
          <w:sz w:val="28"/>
          <w:szCs w:val="28"/>
        </w:rPr>
        <w:t xml:space="preserve">Are expressions of support and </w:t>
      </w:r>
      <w:r w:rsidR="00AB3349">
        <w:rPr>
          <w:sz w:val="28"/>
          <w:szCs w:val="28"/>
        </w:rPr>
        <w:lastRenderedPageBreak/>
        <w:t>appreciation</w:t>
      </w:r>
      <w:r w:rsidR="00203A9F">
        <w:rPr>
          <w:sz w:val="28"/>
          <w:szCs w:val="28"/>
        </w:rPr>
        <w:t xml:space="preserve"> for law enforcement officers</w:t>
      </w:r>
      <w:r w:rsidR="00EE2EAC">
        <w:rPr>
          <w:sz w:val="28"/>
          <w:szCs w:val="28"/>
        </w:rPr>
        <w:t xml:space="preserve"> equally</w:t>
      </w:r>
      <w:r w:rsidR="00632BB9">
        <w:rPr>
          <w:sz w:val="28"/>
          <w:szCs w:val="28"/>
        </w:rPr>
        <w:t xml:space="preserve"> invalid?</w:t>
      </w:r>
    </w:p>
    <w:p w14:paraId="06F69BCD" w14:textId="605D3BE2" w:rsidR="00E743CE" w:rsidRDefault="00E07B9D" w:rsidP="00216D1B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4793">
        <w:rPr>
          <w:sz w:val="28"/>
          <w:szCs w:val="28"/>
        </w:rPr>
        <w:t>Other reasons</w:t>
      </w:r>
      <w:r w:rsidR="00B802C0">
        <w:rPr>
          <w:sz w:val="28"/>
          <w:szCs w:val="28"/>
        </w:rPr>
        <w:t xml:space="preserve"> that can invalid</w:t>
      </w:r>
      <w:r w:rsidR="00732DD6">
        <w:rPr>
          <w:sz w:val="28"/>
          <w:szCs w:val="28"/>
        </w:rPr>
        <w:t>ate a peremptory strike</w:t>
      </w:r>
      <w:r w:rsidR="00366241">
        <w:rPr>
          <w:sz w:val="28"/>
          <w:szCs w:val="28"/>
        </w:rPr>
        <w:t xml:space="preserve"> (if not corroborated by the judge or opposing</w:t>
      </w:r>
      <w:r w:rsidR="00021325">
        <w:rPr>
          <w:sz w:val="28"/>
          <w:szCs w:val="28"/>
        </w:rPr>
        <w:t xml:space="preserve"> counsel) include prospective jurors who are sleeping, </w:t>
      </w:r>
      <w:r w:rsidR="0018406D">
        <w:rPr>
          <w:sz w:val="28"/>
          <w:szCs w:val="28"/>
        </w:rPr>
        <w:t xml:space="preserve">inattentive, </w:t>
      </w:r>
      <w:r w:rsidR="005B18AF">
        <w:rPr>
          <w:sz w:val="28"/>
          <w:szCs w:val="28"/>
        </w:rPr>
        <w:t>refusing to make eye contact, exhibiting “problematic”</w:t>
      </w:r>
      <w:r w:rsidR="009765F5">
        <w:rPr>
          <w:sz w:val="28"/>
          <w:szCs w:val="28"/>
        </w:rPr>
        <w:t xml:space="preserve"> attitude, body language or demeanor, and</w:t>
      </w:r>
      <w:r w:rsidR="008442FF">
        <w:rPr>
          <w:sz w:val="28"/>
          <w:szCs w:val="28"/>
        </w:rPr>
        <w:t xml:space="preserve"> providing unintelligent and confusing</w:t>
      </w:r>
      <w:r w:rsidR="00253C07">
        <w:rPr>
          <w:sz w:val="28"/>
          <w:szCs w:val="28"/>
        </w:rPr>
        <w:t xml:space="preserve"> answers to questions.</w:t>
      </w:r>
      <w:r w:rsidR="00537CAF">
        <w:rPr>
          <w:sz w:val="28"/>
          <w:szCs w:val="28"/>
        </w:rPr>
        <w:t xml:space="preserve">  </w:t>
      </w:r>
      <w:r w:rsidR="00D63025">
        <w:rPr>
          <w:sz w:val="28"/>
          <w:szCs w:val="28"/>
        </w:rPr>
        <w:t>Quite c</w:t>
      </w:r>
      <w:r w:rsidR="00907D7B">
        <w:rPr>
          <w:sz w:val="28"/>
          <w:szCs w:val="28"/>
        </w:rPr>
        <w:t>ontrary to the proposed rules</w:t>
      </w:r>
      <w:r w:rsidR="00C656B7">
        <w:rPr>
          <w:sz w:val="28"/>
          <w:szCs w:val="28"/>
        </w:rPr>
        <w:t>’</w:t>
      </w:r>
      <w:r w:rsidR="003A310D">
        <w:rPr>
          <w:sz w:val="28"/>
          <w:szCs w:val="28"/>
        </w:rPr>
        <w:t xml:space="preserve"> </w:t>
      </w:r>
      <w:r w:rsidR="0097756A">
        <w:rPr>
          <w:sz w:val="28"/>
          <w:szCs w:val="28"/>
        </w:rPr>
        <w:t>instructions, e</w:t>
      </w:r>
      <w:r w:rsidR="00537CAF">
        <w:rPr>
          <w:sz w:val="28"/>
          <w:szCs w:val="28"/>
        </w:rPr>
        <w:t xml:space="preserve">ach of these behaviors </w:t>
      </w:r>
      <w:r w:rsidR="00FF79ED">
        <w:rPr>
          <w:sz w:val="28"/>
          <w:szCs w:val="28"/>
        </w:rPr>
        <w:t xml:space="preserve">may </w:t>
      </w:r>
      <w:r w:rsidR="00A16EE7">
        <w:rPr>
          <w:sz w:val="28"/>
          <w:szCs w:val="28"/>
        </w:rPr>
        <w:t xml:space="preserve">provide </w:t>
      </w:r>
      <w:r w:rsidR="00FF79ED" w:rsidRPr="00C23DE5">
        <w:rPr>
          <w:i/>
          <w:iCs/>
          <w:sz w:val="28"/>
          <w:szCs w:val="28"/>
        </w:rPr>
        <w:t>proper</w:t>
      </w:r>
      <w:r w:rsidR="00FF79ED">
        <w:rPr>
          <w:sz w:val="28"/>
          <w:szCs w:val="28"/>
        </w:rPr>
        <w:t xml:space="preserve"> and </w:t>
      </w:r>
      <w:r w:rsidR="00A16EE7" w:rsidRPr="00C23DE5">
        <w:rPr>
          <w:i/>
          <w:iCs/>
          <w:sz w:val="28"/>
          <w:szCs w:val="28"/>
        </w:rPr>
        <w:t>valid</w:t>
      </w:r>
      <w:r w:rsidR="00A16EE7">
        <w:rPr>
          <w:sz w:val="28"/>
          <w:szCs w:val="28"/>
        </w:rPr>
        <w:t xml:space="preserve"> justification</w:t>
      </w:r>
      <w:r w:rsidR="00FE7894">
        <w:rPr>
          <w:sz w:val="28"/>
          <w:szCs w:val="28"/>
        </w:rPr>
        <w:t xml:space="preserve"> for a party</w:t>
      </w:r>
      <w:r w:rsidR="00601963">
        <w:rPr>
          <w:sz w:val="28"/>
          <w:szCs w:val="28"/>
        </w:rPr>
        <w:t xml:space="preserve"> exercising a peremptory strike</w:t>
      </w:r>
      <w:r w:rsidR="00871A6C">
        <w:rPr>
          <w:sz w:val="28"/>
          <w:szCs w:val="28"/>
        </w:rPr>
        <w:t xml:space="preserve"> not based at all on</w:t>
      </w:r>
      <w:r w:rsidR="00F542BA">
        <w:rPr>
          <w:sz w:val="28"/>
          <w:szCs w:val="28"/>
        </w:rPr>
        <w:t xml:space="preserve"> “implicit, institutional, and unconscious” race and</w:t>
      </w:r>
      <w:r w:rsidR="00D47B60">
        <w:rPr>
          <w:sz w:val="28"/>
          <w:szCs w:val="28"/>
        </w:rPr>
        <w:t xml:space="preserve"> ethnic biases</w:t>
      </w:r>
      <w:r w:rsidR="00601963">
        <w:rPr>
          <w:sz w:val="28"/>
          <w:szCs w:val="28"/>
        </w:rPr>
        <w:t>.</w:t>
      </w:r>
    </w:p>
    <w:p w14:paraId="69F9EEC2" w14:textId="79B7E150" w:rsidR="00EF561E" w:rsidRPr="0034594C" w:rsidRDefault="00E743CE" w:rsidP="00216D1B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47DC">
        <w:rPr>
          <w:sz w:val="28"/>
          <w:szCs w:val="28"/>
        </w:rPr>
        <w:t>T</w:t>
      </w:r>
      <w:r w:rsidR="004F196F">
        <w:rPr>
          <w:sz w:val="28"/>
          <w:szCs w:val="28"/>
        </w:rPr>
        <w:t>he Washington Association of Prosecuting Attorneys</w:t>
      </w:r>
      <w:r w:rsidR="00CE7F8F">
        <w:rPr>
          <w:sz w:val="28"/>
          <w:szCs w:val="28"/>
        </w:rPr>
        <w:t>, a member of the jury selection workgroup</w:t>
      </w:r>
      <w:r w:rsidR="00892270">
        <w:rPr>
          <w:sz w:val="28"/>
          <w:szCs w:val="28"/>
        </w:rPr>
        <w:t xml:space="preserve"> in Washington</w:t>
      </w:r>
      <w:r w:rsidR="00A92F22">
        <w:rPr>
          <w:sz w:val="28"/>
          <w:szCs w:val="28"/>
        </w:rPr>
        <w:t>,</w:t>
      </w:r>
      <w:r w:rsidR="00A112C5">
        <w:rPr>
          <w:sz w:val="28"/>
          <w:szCs w:val="28"/>
        </w:rPr>
        <w:t xml:space="preserve"> correctly</w:t>
      </w:r>
      <w:r w:rsidR="007C30E9">
        <w:rPr>
          <w:sz w:val="28"/>
          <w:szCs w:val="28"/>
        </w:rPr>
        <w:t xml:space="preserve"> acknowledged that</w:t>
      </w:r>
      <w:r w:rsidR="004F196F">
        <w:rPr>
          <w:sz w:val="28"/>
          <w:szCs w:val="28"/>
        </w:rPr>
        <w:t xml:space="preserve"> </w:t>
      </w:r>
      <w:r w:rsidR="00A112C5">
        <w:rPr>
          <w:sz w:val="28"/>
          <w:szCs w:val="28"/>
        </w:rPr>
        <w:t>“</w:t>
      </w:r>
      <w:proofErr w:type="spellStart"/>
      <w:r w:rsidR="00ED684B">
        <w:rPr>
          <w:sz w:val="28"/>
          <w:szCs w:val="28"/>
        </w:rPr>
        <w:t>voir</w:t>
      </w:r>
      <w:proofErr w:type="spellEnd"/>
      <w:r w:rsidR="00ED684B">
        <w:rPr>
          <w:sz w:val="28"/>
          <w:szCs w:val="28"/>
        </w:rPr>
        <w:t xml:space="preserve"> dire is a complex and nuanced process</w:t>
      </w:r>
      <w:r w:rsidR="00A112C5">
        <w:rPr>
          <w:sz w:val="28"/>
          <w:szCs w:val="28"/>
        </w:rPr>
        <w:t xml:space="preserve">” and </w:t>
      </w:r>
      <w:r w:rsidR="004F196F">
        <w:rPr>
          <w:sz w:val="28"/>
          <w:szCs w:val="28"/>
        </w:rPr>
        <w:t xml:space="preserve">wrote </w:t>
      </w:r>
      <w:r w:rsidR="002E4945">
        <w:rPr>
          <w:sz w:val="28"/>
          <w:szCs w:val="28"/>
        </w:rPr>
        <w:t>t</w:t>
      </w:r>
      <w:r w:rsidR="000039F2">
        <w:rPr>
          <w:sz w:val="28"/>
          <w:szCs w:val="28"/>
        </w:rPr>
        <w:t>hat</w:t>
      </w:r>
      <w:r w:rsidR="00742F2F">
        <w:rPr>
          <w:sz w:val="28"/>
          <w:szCs w:val="28"/>
        </w:rPr>
        <w:t xml:space="preserve"> “</w:t>
      </w:r>
      <w:r w:rsidR="000039F2">
        <w:rPr>
          <w:sz w:val="28"/>
          <w:szCs w:val="28"/>
        </w:rPr>
        <w:t>[l]</w:t>
      </w:r>
      <w:proofErr w:type="spellStart"/>
      <w:r w:rsidR="00725066">
        <w:rPr>
          <w:sz w:val="28"/>
          <w:szCs w:val="28"/>
        </w:rPr>
        <w:t>awyers</w:t>
      </w:r>
      <w:proofErr w:type="spellEnd"/>
      <w:r w:rsidR="00725066">
        <w:rPr>
          <w:sz w:val="28"/>
          <w:szCs w:val="28"/>
        </w:rPr>
        <w:t xml:space="preserve"> and the trial judge must constantly</w:t>
      </w:r>
      <w:r w:rsidR="001B0D6F">
        <w:rPr>
          <w:sz w:val="28"/>
          <w:szCs w:val="28"/>
        </w:rPr>
        <w:t xml:space="preserve"> assess a juror’s language as well as her facial expressions, body language, and tone of voice.”</w:t>
      </w:r>
      <w:r w:rsidR="001960F4">
        <w:rPr>
          <w:sz w:val="28"/>
          <w:szCs w:val="28"/>
        </w:rPr>
        <w:t xml:space="preserve">  Final</w:t>
      </w:r>
      <w:r w:rsidR="000E1D3B">
        <w:rPr>
          <w:sz w:val="28"/>
          <w:szCs w:val="28"/>
        </w:rPr>
        <w:t xml:space="preserve"> Report</w:t>
      </w:r>
      <w:r w:rsidR="001960F4">
        <w:rPr>
          <w:sz w:val="28"/>
          <w:szCs w:val="28"/>
        </w:rPr>
        <w:t>, p. 6</w:t>
      </w:r>
      <w:r w:rsidR="00140F68">
        <w:rPr>
          <w:sz w:val="28"/>
          <w:szCs w:val="28"/>
        </w:rPr>
        <w:t>.</w:t>
      </w:r>
      <w:r w:rsidR="008F1E2B">
        <w:rPr>
          <w:sz w:val="28"/>
          <w:szCs w:val="28"/>
        </w:rPr>
        <w:t xml:space="preserve">  </w:t>
      </w:r>
      <w:r w:rsidR="0022588E">
        <w:rPr>
          <w:sz w:val="28"/>
          <w:szCs w:val="28"/>
        </w:rPr>
        <w:t xml:space="preserve">APAAC agrees with this statement.  </w:t>
      </w:r>
      <w:r w:rsidR="008F1E2B">
        <w:rPr>
          <w:sz w:val="28"/>
          <w:szCs w:val="28"/>
        </w:rPr>
        <w:t xml:space="preserve">Arizona should reject an attempt to </w:t>
      </w:r>
      <w:r w:rsidR="005F1362">
        <w:rPr>
          <w:sz w:val="28"/>
          <w:szCs w:val="28"/>
        </w:rPr>
        <w:t>set</w:t>
      </w:r>
      <w:r w:rsidR="004327A3">
        <w:rPr>
          <w:sz w:val="28"/>
          <w:szCs w:val="28"/>
        </w:rPr>
        <w:t xml:space="preserve"> forth </w:t>
      </w:r>
      <w:r w:rsidR="00940E22">
        <w:rPr>
          <w:sz w:val="28"/>
          <w:szCs w:val="28"/>
        </w:rPr>
        <w:t xml:space="preserve">otherwise </w:t>
      </w:r>
      <w:r w:rsidR="00355ADF">
        <w:rPr>
          <w:sz w:val="28"/>
          <w:szCs w:val="28"/>
        </w:rPr>
        <w:t xml:space="preserve">valid </w:t>
      </w:r>
      <w:r w:rsidR="004327A3">
        <w:rPr>
          <w:sz w:val="28"/>
          <w:szCs w:val="28"/>
        </w:rPr>
        <w:t xml:space="preserve">circumstances and examples </w:t>
      </w:r>
      <w:r w:rsidR="00870516">
        <w:rPr>
          <w:sz w:val="28"/>
          <w:szCs w:val="28"/>
        </w:rPr>
        <w:t>for which bias is presumed</w:t>
      </w:r>
      <w:r w:rsidR="00940E22">
        <w:rPr>
          <w:sz w:val="28"/>
          <w:szCs w:val="28"/>
        </w:rPr>
        <w:t>.</w:t>
      </w:r>
    </w:p>
    <w:p w14:paraId="0A6B3B8B" w14:textId="3C6A8474" w:rsidR="00526087" w:rsidRPr="00104F4E" w:rsidRDefault="00526087" w:rsidP="007361D0">
      <w:pPr>
        <w:pStyle w:val="Body"/>
        <w:widowControl w:val="0"/>
        <w:spacing w:line="480" w:lineRule="auto"/>
        <w:ind w:firstLine="0"/>
        <w:jc w:val="both"/>
        <w:rPr>
          <w:b/>
          <w:sz w:val="28"/>
          <w:szCs w:val="28"/>
        </w:rPr>
      </w:pPr>
      <w:r w:rsidRPr="00104F4E">
        <w:rPr>
          <w:b/>
          <w:sz w:val="28"/>
          <w:szCs w:val="28"/>
        </w:rPr>
        <w:t>III.</w:t>
      </w:r>
      <w:r w:rsidRPr="00104F4E">
        <w:rPr>
          <w:b/>
          <w:sz w:val="28"/>
          <w:szCs w:val="28"/>
        </w:rPr>
        <w:tab/>
        <w:t>CONCLUSION</w:t>
      </w:r>
    </w:p>
    <w:p w14:paraId="4ED7F5FF" w14:textId="64840CD1" w:rsidR="00526087" w:rsidRPr="00CF58A1" w:rsidRDefault="00E00AF4" w:rsidP="0077097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D0C85">
        <w:rPr>
          <w:sz w:val="28"/>
          <w:szCs w:val="28"/>
        </w:rPr>
        <w:t>Arizona Prosecuting Attorneys’ Advisory Council</w:t>
      </w:r>
      <w:r>
        <w:rPr>
          <w:sz w:val="28"/>
          <w:szCs w:val="28"/>
        </w:rPr>
        <w:t xml:space="preserve"> </w:t>
      </w:r>
      <w:r w:rsidR="00660556">
        <w:rPr>
          <w:sz w:val="28"/>
          <w:szCs w:val="28"/>
        </w:rPr>
        <w:t>recognizes</w:t>
      </w:r>
      <w:r w:rsidR="00EB3321">
        <w:rPr>
          <w:sz w:val="28"/>
          <w:szCs w:val="28"/>
        </w:rPr>
        <w:t xml:space="preserve"> that</w:t>
      </w:r>
      <w:r w:rsidR="001510F8">
        <w:rPr>
          <w:sz w:val="28"/>
          <w:szCs w:val="28"/>
        </w:rPr>
        <w:t xml:space="preserve"> explicit and implicit bias</w:t>
      </w:r>
      <w:r w:rsidR="00C23B9C">
        <w:rPr>
          <w:sz w:val="28"/>
          <w:szCs w:val="28"/>
        </w:rPr>
        <w:t xml:space="preserve"> should not</w:t>
      </w:r>
      <w:r w:rsidR="00F10C34">
        <w:rPr>
          <w:sz w:val="28"/>
          <w:szCs w:val="28"/>
        </w:rPr>
        <w:t xml:space="preserve"> result in racial or ethnic discrimination is jury selection.  However, the Guild’s proposal to create a new Rule 24</w:t>
      </w:r>
      <w:r w:rsidR="004A0056">
        <w:rPr>
          <w:sz w:val="28"/>
          <w:szCs w:val="28"/>
        </w:rPr>
        <w:t xml:space="preserve"> </w:t>
      </w:r>
      <w:r w:rsidR="0099587B">
        <w:rPr>
          <w:sz w:val="28"/>
          <w:szCs w:val="28"/>
        </w:rPr>
        <w:t>attempts to impose upon Arizona a</w:t>
      </w:r>
      <w:r w:rsidR="00693629">
        <w:rPr>
          <w:sz w:val="28"/>
          <w:szCs w:val="28"/>
        </w:rPr>
        <w:t xml:space="preserve"> law that </w:t>
      </w:r>
      <w:r w:rsidR="00783587">
        <w:rPr>
          <w:sz w:val="28"/>
          <w:szCs w:val="28"/>
        </w:rPr>
        <w:t xml:space="preserve">was tailored for another state, </w:t>
      </w:r>
      <w:r w:rsidR="00693629">
        <w:rPr>
          <w:sz w:val="28"/>
          <w:szCs w:val="28"/>
        </w:rPr>
        <w:t xml:space="preserve">has already been rejected by </w:t>
      </w:r>
      <w:r w:rsidR="00783587">
        <w:rPr>
          <w:sz w:val="28"/>
          <w:szCs w:val="28"/>
        </w:rPr>
        <w:lastRenderedPageBreak/>
        <w:t xml:space="preserve">Arizona </w:t>
      </w:r>
      <w:r w:rsidR="00693629">
        <w:rPr>
          <w:sz w:val="28"/>
          <w:szCs w:val="28"/>
        </w:rPr>
        <w:t>courts</w:t>
      </w:r>
      <w:r w:rsidR="00796390">
        <w:rPr>
          <w:sz w:val="28"/>
          <w:szCs w:val="28"/>
        </w:rPr>
        <w:t xml:space="preserve">, </w:t>
      </w:r>
      <w:r w:rsidR="00FA7619">
        <w:rPr>
          <w:sz w:val="28"/>
          <w:szCs w:val="28"/>
        </w:rPr>
        <w:t xml:space="preserve">takes </w:t>
      </w:r>
      <w:r w:rsidR="007531F2">
        <w:rPr>
          <w:sz w:val="28"/>
          <w:szCs w:val="28"/>
        </w:rPr>
        <w:t>away discretion from the parties,</w:t>
      </w:r>
      <w:r w:rsidR="00B87754">
        <w:rPr>
          <w:sz w:val="28"/>
          <w:szCs w:val="28"/>
        </w:rPr>
        <w:t xml:space="preserve"> and hampers</w:t>
      </w:r>
      <w:r w:rsidR="005F63A6">
        <w:rPr>
          <w:sz w:val="28"/>
          <w:szCs w:val="28"/>
        </w:rPr>
        <w:t xml:space="preserve"> the court and parties in</w:t>
      </w:r>
      <w:r w:rsidR="007B605E">
        <w:rPr>
          <w:sz w:val="28"/>
          <w:szCs w:val="28"/>
        </w:rPr>
        <w:t xml:space="preserve"> effectively conducting </w:t>
      </w:r>
      <w:proofErr w:type="spellStart"/>
      <w:r w:rsidR="007B605E">
        <w:rPr>
          <w:sz w:val="28"/>
          <w:szCs w:val="28"/>
        </w:rPr>
        <w:t>voir</w:t>
      </w:r>
      <w:proofErr w:type="spellEnd"/>
      <w:r w:rsidR="007B605E">
        <w:rPr>
          <w:sz w:val="28"/>
          <w:szCs w:val="28"/>
        </w:rPr>
        <w:t xml:space="preserve"> dire.</w:t>
      </w:r>
      <w:r w:rsidR="00604F6D">
        <w:rPr>
          <w:sz w:val="28"/>
          <w:szCs w:val="28"/>
        </w:rPr>
        <w:t xml:space="preserve">  </w:t>
      </w:r>
      <w:r w:rsidR="00BA112B">
        <w:rPr>
          <w:sz w:val="28"/>
          <w:szCs w:val="28"/>
        </w:rPr>
        <w:t>The petition should be denied.</w:t>
      </w:r>
    </w:p>
    <w:p w14:paraId="1B599394" w14:textId="77777777" w:rsidR="002A4043" w:rsidRDefault="002A4043" w:rsidP="002A4043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 w:val="28"/>
          <w:szCs w:val="28"/>
        </w:rPr>
        <w:t xml:space="preserve">RESPECTFULLY SUBMITTED this </w:t>
      </w:r>
      <w:r>
        <w:rPr>
          <w:sz w:val="28"/>
          <w:szCs w:val="28"/>
          <w:u w:val="single"/>
        </w:rPr>
        <w:t xml:space="preserve">  1st  </w:t>
      </w:r>
      <w:r>
        <w:rPr>
          <w:sz w:val="28"/>
          <w:szCs w:val="28"/>
        </w:rPr>
        <w:t xml:space="preserve"> day of </w:t>
      </w:r>
      <w:proofErr w:type="gramStart"/>
      <w:r>
        <w:rPr>
          <w:sz w:val="28"/>
          <w:szCs w:val="28"/>
        </w:rPr>
        <w:t>April,</w:t>
      </w:r>
      <w:proofErr w:type="gramEnd"/>
      <w:r>
        <w:rPr>
          <w:sz w:val="28"/>
          <w:szCs w:val="28"/>
        </w:rPr>
        <w:t xml:space="preserve"> 2020.</w:t>
      </w:r>
    </w:p>
    <w:p w14:paraId="567F45B1" w14:textId="77777777" w:rsidR="002A4043" w:rsidRDefault="002A4043" w:rsidP="002A4043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6BA18897" w14:textId="77777777" w:rsidR="002A4043" w:rsidRDefault="002A4043" w:rsidP="002A4043">
      <w:pPr>
        <w:pStyle w:val="Body"/>
        <w:widowControl w:val="0"/>
        <w:tabs>
          <w:tab w:val="left" w:pos="720"/>
        </w:tabs>
        <w:spacing w:line="240" w:lineRule="auto"/>
        <w:ind w:firstLine="0"/>
        <w:rPr>
          <w:rFonts w:ascii="Lucida Handwriting" w:hAnsi="Lucida Handwriting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/s/    </w:t>
      </w:r>
      <w:r>
        <w:rPr>
          <w:rFonts w:ascii="Lucida Handwriting" w:hAnsi="Lucida Handwriting"/>
          <w:sz w:val="28"/>
          <w:szCs w:val="28"/>
          <w:u w:val="single"/>
        </w:rPr>
        <w:t>Elizabeth Burton Ortiz</w:t>
      </w:r>
      <w:r>
        <w:rPr>
          <w:rFonts w:ascii="Lucida Handwriting" w:hAnsi="Lucida Handwriting"/>
          <w:sz w:val="28"/>
          <w:szCs w:val="28"/>
          <w:u w:val="single"/>
        </w:rPr>
        <w:tab/>
      </w:r>
      <w:r>
        <w:rPr>
          <w:rFonts w:ascii="Lucida Handwriting" w:hAnsi="Lucida Handwriting"/>
          <w:sz w:val="28"/>
          <w:szCs w:val="28"/>
          <w:u w:val="single"/>
        </w:rPr>
        <w:tab/>
      </w:r>
    </w:p>
    <w:p w14:paraId="2F01FB46" w14:textId="77777777" w:rsidR="002A4043" w:rsidRDefault="002A4043" w:rsidP="002A4043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Elizabeth Burton Ortiz, #012838</w:t>
      </w:r>
    </w:p>
    <w:p w14:paraId="7A116DFD" w14:textId="77777777" w:rsidR="002A4043" w:rsidRDefault="002A4043" w:rsidP="002A4043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09B580A5" w14:textId="77777777" w:rsidR="002A4043" w:rsidRDefault="002A4043" w:rsidP="002A4043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14:paraId="1314E5A1" w14:textId="77777777" w:rsidR="002A4043" w:rsidRDefault="002A4043" w:rsidP="002A4043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 Advisory Council</w:t>
      </w:r>
    </w:p>
    <w:p w14:paraId="23BA00FF" w14:textId="77777777" w:rsidR="002A4043" w:rsidRDefault="002A4043" w:rsidP="002A4043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31C4F042" w14:textId="77777777" w:rsidR="002A4043" w:rsidRDefault="002A4043" w:rsidP="002A4043">
      <w:pPr>
        <w:widowControl w:val="0"/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t>Electronic copy filed with the</w:t>
      </w:r>
    </w:p>
    <w:p w14:paraId="6B41E19A" w14:textId="77777777" w:rsidR="002A4043" w:rsidRDefault="002A4043" w:rsidP="002A4043">
      <w:pPr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t>Clerk of the Arizona Supreme Court</w:t>
      </w:r>
    </w:p>
    <w:p w14:paraId="5978B1AD" w14:textId="77777777" w:rsidR="002A4043" w:rsidRDefault="002A4043" w:rsidP="002A4043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>
        <w:rPr>
          <w:sz w:val="28"/>
          <w:szCs w:val="28"/>
          <w:u w:val="single"/>
        </w:rPr>
        <w:t xml:space="preserve">  2nd  </w:t>
      </w:r>
      <w:r>
        <w:rPr>
          <w:sz w:val="28"/>
          <w:szCs w:val="28"/>
        </w:rPr>
        <w:t xml:space="preserve"> day of </w:t>
      </w:r>
      <w:proofErr w:type="gramStart"/>
      <w:r>
        <w:rPr>
          <w:sz w:val="28"/>
          <w:szCs w:val="28"/>
        </w:rPr>
        <w:t>April,</w:t>
      </w:r>
      <w:proofErr w:type="gramEnd"/>
      <w:r>
        <w:rPr>
          <w:sz w:val="28"/>
          <w:szCs w:val="28"/>
        </w:rPr>
        <w:t xml:space="preserve"> 2020.</w:t>
      </w:r>
    </w:p>
    <w:p w14:paraId="064526DF" w14:textId="77777777" w:rsidR="002A4043" w:rsidRDefault="002A4043" w:rsidP="002A4043">
      <w:pPr>
        <w:spacing w:line="240" w:lineRule="auto"/>
        <w:ind w:right="4572"/>
        <w:rPr>
          <w:sz w:val="28"/>
          <w:szCs w:val="28"/>
        </w:rPr>
      </w:pPr>
    </w:p>
    <w:p w14:paraId="25F0F781" w14:textId="77777777" w:rsidR="002A4043" w:rsidRDefault="002A4043" w:rsidP="002A4043">
      <w:pPr>
        <w:spacing w:line="240" w:lineRule="auto"/>
        <w:ind w:right="4572"/>
        <w:rPr>
          <w:sz w:val="28"/>
          <w:szCs w:val="28"/>
        </w:rPr>
      </w:pPr>
    </w:p>
    <w:p w14:paraId="2853D613" w14:textId="77777777" w:rsidR="002A4043" w:rsidRDefault="002A4043" w:rsidP="002A4043">
      <w:pPr>
        <w:spacing w:line="240" w:lineRule="auto"/>
        <w:ind w:right="4572"/>
        <w:rPr>
          <w:rFonts w:ascii="Bradley Hand ITC" w:hAnsi="Bradley Hand ITC"/>
          <w:sz w:val="32"/>
          <w:szCs w:val="32"/>
          <w:u w:val="single"/>
        </w:rPr>
      </w:pPr>
      <w:r>
        <w:rPr>
          <w:sz w:val="28"/>
          <w:szCs w:val="28"/>
        </w:rPr>
        <w:t xml:space="preserve">By:  </w:t>
      </w:r>
      <w:r>
        <w:rPr>
          <w:rFonts w:ascii="Bradley Hand ITC" w:hAnsi="Bradley Hand ITC"/>
          <w:sz w:val="32"/>
          <w:szCs w:val="32"/>
          <w:u w:val="single"/>
        </w:rPr>
        <w:tab/>
      </w:r>
      <w:r>
        <w:rPr>
          <w:sz w:val="28"/>
          <w:szCs w:val="28"/>
          <w:u w:val="single"/>
        </w:rPr>
        <w:t>/s</w:t>
      </w:r>
      <w:proofErr w:type="gramStart"/>
      <w:r>
        <w:rPr>
          <w:sz w:val="28"/>
          <w:szCs w:val="28"/>
          <w:u w:val="single"/>
        </w:rPr>
        <w:t xml:space="preserve">/  </w:t>
      </w:r>
      <w:r>
        <w:rPr>
          <w:rFonts w:ascii="Bradley Hand ITC" w:hAnsi="Bradley Hand ITC"/>
          <w:sz w:val="32"/>
          <w:szCs w:val="32"/>
          <w:u w:val="single"/>
        </w:rPr>
        <w:t>Diana</w:t>
      </w:r>
      <w:proofErr w:type="gramEnd"/>
      <w:r>
        <w:rPr>
          <w:rFonts w:ascii="Bradley Hand ITC" w:hAnsi="Bradley Hand ITC"/>
          <w:sz w:val="32"/>
          <w:szCs w:val="32"/>
          <w:u w:val="single"/>
        </w:rPr>
        <w:t xml:space="preserve"> Cooney</w:t>
      </w:r>
      <w:r>
        <w:rPr>
          <w:rFonts w:ascii="Bradley Hand ITC" w:hAnsi="Bradley Hand ITC"/>
          <w:sz w:val="32"/>
          <w:szCs w:val="32"/>
          <w:u w:val="single"/>
        </w:rPr>
        <w:tab/>
      </w:r>
      <w:r>
        <w:rPr>
          <w:rFonts w:ascii="Bradley Hand ITC" w:hAnsi="Bradley Hand ITC"/>
          <w:sz w:val="32"/>
          <w:szCs w:val="32"/>
          <w:u w:val="single"/>
        </w:rPr>
        <w:tab/>
      </w:r>
    </w:p>
    <w:p w14:paraId="7A652556" w14:textId="77777777" w:rsidR="00052372" w:rsidRPr="000F7A7F" w:rsidRDefault="00052372" w:rsidP="002A4043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bookmarkStart w:id="2" w:name="_GoBack"/>
      <w:bookmarkEnd w:id="2"/>
    </w:p>
    <w:sectPr w:rsidR="00052372" w:rsidRPr="000F7A7F" w:rsidSect="006F63FD">
      <w:headerReference w:type="default" r:id="rId12"/>
      <w:footerReference w:type="even" r:id="rId13"/>
      <w:footerReference w:type="default" r:id="rId14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C5CC1" w14:textId="77777777" w:rsidR="00831E4F" w:rsidRDefault="00831E4F">
      <w:r>
        <w:separator/>
      </w:r>
    </w:p>
  </w:endnote>
  <w:endnote w:type="continuationSeparator" w:id="0">
    <w:p w14:paraId="66CC9B23" w14:textId="77777777" w:rsidR="00831E4F" w:rsidRDefault="00831E4F">
      <w:r>
        <w:continuationSeparator/>
      </w:r>
    </w:p>
  </w:endnote>
  <w:endnote w:type="continuationNotice" w:id="1">
    <w:p w14:paraId="0BACB500" w14:textId="77777777" w:rsidR="00831E4F" w:rsidRDefault="00831E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E4592" w14:textId="77777777" w:rsidR="00526244" w:rsidRDefault="00526244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937" w14:textId="77777777" w:rsidR="00526244" w:rsidRDefault="00526244" w:rsidP="00861563">
    <w:pPr>
      <w:pStyle w:val="Footer"/>
      <w:ind w:right="360"/>
    </w:pPr>
  </w:p>
  <w:p w14:paraId="1E6CF164" w14:textId="77777777" w:rsidR="00526244" w:rsidRDefault="005262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5A6C317" w14:textId="256FA35E" w:rsidR="00526244" w:rsidRPr="006B4F9A" w:rsidRDefault="00526244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59970812" w14:textId="77777777" w:rsidR="00526244" w:rsidRDefault="00526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8334D" w14:textId="77777777" w:rsidR="00831E4F" w:rsidRDefault="00831E4F">
      <w:r>
        <w:separator/>
      </w:r>
    </w:p>
  </w:footnote>
  <w:footnote w:type="continuationSeparator" w:id="0">
    <w:p w14:paraId="10F046CC" w14:textId="77777777" w:rsidR="00831E4F" w:rsidRDefault="00831E4F">
      <w:r>
        <w:continuationSeparator/>
      </w:r>
    </w:p>
  </w:footnote>
  <w:footnote w:type="continuationNotice" w:id="1">
    <w:p w14:paraId="4E9F87FC" w14:textId="77777777" w:rsidR="00831E4F" w:rsidRDefault="00831E4F">
      <w:pPr>
        <w:spacing w:line="240" w:lineRule="auto"/>
      </w:pPr>
    </w:p>
  </w:footnote>
  <w:footnote w:id="2">
    <w:p w14:paraId="6DB89D9B" w14:textId="18E0438A" w:rsidR="00DA08AD" w:rsidRDefault="00DA08AD">
      <w:pPr>
        <w:pStyle w:val="FootnoteText"/>
      </w:pPr>
      <w:r w:rsidRPr="00E47ECD">
        <w:rPr>
          <w:rStyle w:val="FootnoteReference"/>
          <w:sz w:val="28"/>
          <w:szCs w:val="28"/>
        </w:rPr>
        <w:footnoteRef/>
      </w:r>
      <w:r w:rsidRPr="00E47ECD">
        <w:rPr>
          <w:sz w:val="28"/>
          <w:szCs w:val="28"/>
        </w:rPr>
        <w:t xml:space="preserve"> </w:t>
      </w:r>
      <w:hyperlink r:id="rId1" w:history="1">
        <w:r w:rsidR="003D1F14" w:rsidRPr="00E47ECD">
          <w:rPr>
            <w:rStyle w:val="Hyperlink"/>
            <w:sz w:val="28"/>
            <w:szCs w:val="28"/>
          </w:rPr>
          <w:t>https://www.courts.wa.gov/content/publicUpload/Supreme%20Court%20Orders/OrderNo25700-A-1221</w:t>
        </w:r>
      </w:hyperlink>
      <w:r w:rsidR="00620582" w:rsidRPr="00E47ECD">
        <w:rPr>
          <w:sz w:val="28"/>
          <w:szCs w:val="28"/>
        </w:rPr>
        <w:t>.</w:t>
      </w:r>
      <w:r w:rsidR="003D399F" w:rsidRPr="00E47ECD">
        <w:rPr>
          <w:sz w:val="28"/>
          <w:szCs w:val="28"/>
        </w:rPr>
        <w:t xml:space="preserve">  (Final Report</w:t>
      </w:r>
      <w:r w:rsidR="000F1DA8" w:rsidRPr="00E47ECD">
        <w:rPr>
          <w:sz w:val="28"/>
          <w:szCs w:val="28"/>
        </w:rPr>
        <w:t>, “Proposed New GR 37 – Jury Selection Workgroup</w:t>
      </w:r>
      <w:r w:rsidR="008759E6" w:rsidRPr="00E47ECD">
        <w:rPr>
          <w:sz w:val="28"/>
          <w:szCs w:val="28"/>
        </w:rPr>
        <w:t>” (</w:t>
      </w:r>
      <w:r w:rsidR="006A4E6B" w:rsidRPr="00E47ECD">
        <w:rPr>
          <w:sz w:val="28"/>
          <w:szCs w:val="28"/>
        </w:rPr>
        <w:t>“</w:t>
      </w:r>
      <w:r w:rsidR="007D36E1">
        <w:rPr>
          <w:sz w:val="28"/>
          <w:szCs w:val="28"/>
        </w:rPr>
        <w:t xml:space="preserve">Final </w:t>
      </w:r>
      <w:r w:rsidR="006A4E6B" w:rsidRPr="00E47ECD">
        <w:rPr>
          <w:sz w:val="28"/>
          <w:szCs w:val="28"/>
        </w:rPr>
        <w:t>Report”)</w:t>
      </w:r>
      <w:r w:rsidR="007A457D">
        <w:rPr>
          <w:sz w:val="28"/>
          <w:szCs w:val="28"/>
        </w:rPr>
        <w:t>)</w:t>
      </w:r>
      <w:r w:rsidR="006A4E6B" w:rsidRPr="00E47ECD">
        <w:rPr>
          <w:sz w:val="28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4CE94" w14:textId="77777777" w:rsidR="00526244" w:rsidRDefault="005262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76106" id="RightBorder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BD904" id="LeftBorder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DF845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>
              <w10:wrap anchorx="margin" anchory="page"/>
            </v:line>
          </w:pict>
        </mc:Fallback>
      </mc:AlternateContent>
    </w:r>
  </w:p>
  <w:p w14:paraId="6C95D955" w14:textId="77777777" w:rsidR="00526244" w:rsidRDefault="00526244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E0D1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1B95C0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F0CAAF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3406F26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98E809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AE7B72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66B64DB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1091D2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15AFEA6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8BF988E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094C491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4E9CD87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7229104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2C62D687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66CCC56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8BD910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B7285F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38B858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A8DF8C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38E1D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E01046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48120BA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7756D1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58A28ED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6F4DFD6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1DFF66E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" stroked="f">
              <v:textbox inset="0,0,0,0">
                <w:txbxContent>
                  <w:p w14:paraId="102E0D1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51B95C0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F0CAAF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3406F26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098E809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3AE7B72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666B64DB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41091D2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15AFEA6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18BF988E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094C491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4E9CD87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7229104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2C62D687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66CCC56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58BD910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B7285F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38B858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A8DF8C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438E1D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E01046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48120BA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7756D1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58A28ED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6F4DFD6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1DFF66E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3E8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4D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73C0B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B4FD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E2D0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602D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776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B027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6E8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0428E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418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C47"/>
    <w:multiLevelType w:val="hybridMultilevel"/>
    <w:tmpl w:val="88605894"/>
    <w:lvl w:ilvl="0" w:tplc="2A266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24C33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72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503385"/>
    <w:multiLevelType w:val="hybridMultilevel"/>
    <w:tmpl w:val="647E9EB2"/>
    <w:lvl w:ilvl="0" w:tplc="B200319A">
      <w:start w:val="1"/>
      <w:numFmt w:val="decimal"/>
      <w:lvlText w:val="(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1D38B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0B5C5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4F6FF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351E1"/>
    <w:multiLevelType w:val="hybridMultilevel"/>
    <w:tmpl w:val="59184A4C"/>
    <w:lvl w:ilvl="0" w:tplc="E8BC2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A85CA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7"/>
  </w:num>
  <w:num w:numId="8">
    <w:abstractNumId w:val="33"/>
  </w:num>
  <w:num w:numId="9">
    <w:abstractNumId w:val="19"/>
  </w:num>
  <w:num w:numId="10">
    <w:abstractNumId w:val="25"/>
  </w:num>
  <w:num w:numId="11">
    <w:abstractNumId w:val="22"/>
  </w:num>
  <w:num w:numId="12">
    <w:abstractNumId w:val="13"/>
  </w:num>
  <w:num w:numId="13">
    <w:abstractNumId w:val="8"/>
  </w:num>
  <w:num w:numId="14">
    <w:abstractNumId w:val="10"/>
  </w:num>
  <w:num w:numId="15">
    <w:abstractNumId w:val="20"/>
  </w:num>
  <w:num w:numId="16">
    <w:abstractNumId w:val="31"/>
  </w:num>
  <w:num w:numId="17">
    <w:abstractNumId w:val="26"/>
  </w:num>
  <w:num w:numId="18">
    <w:abstractNumId w:val="4"/>
  </w:num>
  <w:num w:numId="19">
    <w:abstractNumId w:val="12"/>
  </w:num>
  <w:num w:numId="20">
    <w:abstractNumId w:val="32"/>
  </w:num>
  <w:num w:numId="21">
    <w:abstractNumId w:val="3"/>
  </w:num>
  <w:num w:numId="22">
    <w:abstractNumId w:val="23"/>
  </w:num>
  <w:num w:numId="23">
    <w:abstractNumId w:val="1"/>
  </w:num>
  <w:num w:numId="24">
    <w:abstractNumId w:val="15"/>
  </w:num>
  <w:num w:numId="25">
    <w:abstractNumId w:val="5"/>
  </w:num>
  <w:num w:numId="26">
    <w:abstractNumId w:val="21"/>
  </w:num>
  <w:num w:numId="27">
    <w:abstractNumId w:val="2"/>
  </w:num>
  <w:num w:numId="28">
    <w:abstractNumId w:val="30"/>
  </w:num>
  <w:num w:numId="29">
    <w:abstractNumId w:val="29"/>
  </w:num>
  <w:num w:numId="30">
    <w:abstractNumId w:val="9"/>
  </w:num>
  <w:num w:numId="31">
    <w:abstractNumId w:val="0"/>
  </w:num>
  <w:num w:numId="32">
    <w:abstractNumId w:val="14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39F2"/>
    <w:rsid w:val="00004501"/>
    <w:rsid w:val="00005824"/>
    <w:rsid w:val="0001005B"/>
    <w:rsid w:val="00011C74"/>
    <w:rsid w:val="00012531"/>
    <w:rsid w:val="00012F44"/>
    <w:rsid w:val="00013CE0"/>
    <w:rsid w:val="00021325"/>
    <w:rsid w:val="00025B19"/>
    <w:rsid w:val="00027B60"/>
    <w:rsid w:val="00030B51"/>
    <w:rsid w:val="000323DC"/>
    <w:rsid w:val="00034CA8"/>
    <w:rsid w:val="00034D6C"/>
    <w:rsid w:val="00035056"/>
    <w:rsid w:val="000353E6"/>
    <w:rsid w:val="00036A5E"/>
    <w:rsid w:val="000410B3"/>
    <w:rsid w:val="00042BB5"/>
    <w:rsid w:val="00043D4D"/>
    <w:rsid w:val="0004786F"/>
    <w:rsid w:val="00051090"/>
    <w:rsid w:val="00051433"/>
    <w:rsid w:val="00051556"/>
    <w:rsid w:val="00052372"/>
    <w:rsid w:val="00055D61"/>
    <w:rsid w:val="00056CA0"/>
    <w:rsid w:val="00061976"/>
    <w:rsid w:val="0006397E"/>
    <w:rsid w:val="00064E3E"/>
    <w:rsid w:val="00065E4A"/>
    <w:rsid w:val="000666D1"/>
    <w:rsid w:val="00070AAE"/>
    <w:rsid w:val="00072559"/>
    <w:rsid w:val="00072E08"/>
    <w:rsid w:val="000763AA"/>
    <w:rsid w:val="00076747"/>
    <w:rsid w:val="000829A0"/>
    <w:rsid w:val="000832B0"/>
    <w:rsid w:val="000848D2"/>
    <w:rsid w:val="00085F03"/>
    <w:rsid w:val="000868BC"/>
    <w:rsid w:val="000917C0"/>
    <w:rsid w:val="00091DD4"/>
    <w:rsid w:val="000A0F79"/>
    <w:rsid w:val="000A1C26"/>
    <w:rsid w:val="000A1D6B"/>
    <w:rsid w:val="000A3687"/>
    <w:rsid w:val="000A4793"/>
    <w:rsid w:val="000A6842"/>
    <w:rsid w:val="000B4071"/>
    <w:rsid w:val="000B5C79"/>
    <w:rsid w:val="000B7A2C"/>
    <w:rsid w:val="000C48A9"/>
    <w:rsid w:val="000C58DC"/>
    <w:rsid w:val="000D17C0"/>
    <w:rsid w:val="000D5D16"/>
    <w:rsid w:val="000D5FF5"/>
    <w:rsid w:val="000D7E6C"/>
    <w:rsid w:val="000E1747"/>
    <w:rsid w:val="000E1D3B"/>
    <w:rsid w:val="000E23FD"/>
    <w:rsid w:val="000E55F8"/>
    <w:rsid w:val="000F1DA8"/>
    <w:rsid w:val="000F2902"/>
    <w:rsid w:val="000F54A9"/>
    <w:rsid w:val="000F690F"/>
    <w:rsid w:val="000F71D8"/>
    <w:rsid w:val="000F7A7F"/>
    <w:rsid w:val="000F7C13"/>
    <w:rsid w:val="001003C3"/>
    <w:rsid w:val="00101418"/>
    <w:rsid w:val="001043E5"/>
    <w:rsid w:val="001054FE"/>
    <w:rsid w:val="00106819"/>
    <w:rsid w:val="00107951"/>
    <w:rsid w:val="00107B18"/>
    <w:rsid w:val="00116D61"/>
    <w:rsid w:val="001207B0"/>
    <w:rsid w:val="00121B9C"/>
    <w:rsid w:val="00122992"/>
    <w:rsid w:val="0012408C"/>
    <w:rsid w:val="001242B6"/>
    <w:rsid w:val="0012729B"/>
    <w:rsid w:val="00131578"/>
    <w:rsid w:val="00132181"/>
    <w:rsid w:val="0013236F"/>
    <w:rsid w:val="00133760"/>
    <w:rsid w:val="00134B99"/>
    <w:rsid w:val="00135326"/>
    <w:rsid w:val="00140F68"/>
    <w:rsid w:val="001510F8"/>
    <w:rsid w:val="001528E3"/>
    <w:rsid w:val="0015431E"/>
    <w:rsid w:val="00154ECC"/>
    <w:rsid w:val="0015590B"/>
    <w:rsid w:val="00156D8F"/>
    <w:rsid w:val="001674B5"/>
    <w:rsid w:val="001704C4"/>
    <w:rsid w:val="00170D89"/>
    <w:rsid w:val="00171BBD"/>
    <w:rsid w:val="00172F58"/>
    <w:rsid w:val="00173D1C"/>
    <w:rsid w:val="00177417"/>
    <w:rsid w:val="0018360F"/>
    <w:rsid w:val="0018406D"/>
    <w:rsid w:val="00184E54"/>
    <w:rsid w:val="00190478"/>
    <w:rsid w:val="00191494"/>
    <w:rsid w:val="00192053"/>
    <w:rsid w:val="00193F7D"/>
    <w:rsid w:val="001960F4"/>
    <w:rsid w:val="0019690A"/>
    <w:rsid w:val="001A190F"/>
    <w:rsid w:val="001A233F"/>
    <w:rsid w:val="001A2520"/>
    <w:rsid w:val="001A5793"/>
    <w:rsid w:val="001A741A"/>
    <w:rsid w:val="001A77DD"/>
    <w:rsid w:val="001B054C"/>
    <w:rsid w:val="001B0854"/>
    <w:rsid w:val="001B0D6F"/>
    <w:rsid w:val="001B25E1"/>
    <w:rsid w:val="001B5ABA"/>
    <w:rsid w:val="001C021A"/>
    <w:rsid w:val="001C1531"/>
    <w:rsid w:val="001C30D5"/>
    <w:rsid w:val="001C36D4"/>
    <w:rsid w:val="001C55AD"/>
    <w:rsid w:val="001C5E17"/>
    <w:rsid w:val="001C6C3B"/>
    <w:rsid w:val="001C72DA"/>
    <w:rsid w:val="001D0AAA"/>
    <w:rsid w:val="001D2305"/>
    <w:rsid w:val="001D56ED"/>
    <w:rsid w:val="001D6306"/>
    <w:rsid w:val="001E115B"/>
    <w:rsid w:val="001E3572"/>
    <w:rsid w:val="001E42F1"/>
    <w:rsid w:val="001E6473"/>
    <w:rsid w:val="001E720D"/>
    <w:rsid w:val="001E726D"/>
    <w:rsid w:val="001F2210"/>
    <w:rsid w:val="001F591C"/>
    <w:rsid w:val="001F7463"/>
    <w:rsid w:val="00200BE9"/>
    <w:rsid w:val="0020168B"/>
    <w:rsid w:val="0020183E"/>
    <w:rsid w:val="00203A04"/>
    <w:rsid w:val="00203A9F"/>
    <w:rsid w:val="00210114"/>
    <w:rsid w:val="0021014F"/>
    <w:rsid w:val="00213ABC"/>
    <w:rsid w:val="0021663F"/>
    <w:rsid w:val="00216D1B"/>
    <w:rsid w:val="00217DCE"/>
    <w:rsid w:val="0022049B"/>
    <w:rsid w:val="00220558"/>
    <w:rsid w:val="00223000"/>
    <w:rsid w:val="00224057"/>
    <w:rsid w:val="0022588E"/>
    <w:rsid w:val="00227F72"/>
    <w:rsid w:val="00245270"/>
    <w:rsid w:val="00246C3D"/>
    <w:rsid w:val="00252D11"/>
    <w:rsid w:val="00253B48"/>
    <w:rsid w:val="00253C07"/>
    <w:rsid w:val="00255B54"/>
    <w:rsid w:val="00255FC4"/>
    <w:rsid w:val="00256F98"/>
    <w:rsid w:val="00262BE7"/>
    <w:rsid w:val="00267532"/>
    <w:rsid w:val="00270431"/>
    <w:rsid w:val="0027359D"/>
    <w:rsid w:val="00274D6A"/>
    <w:rsid w:val="0027776A"/>
    <w:rsid w:val="00282E21"/>
    <w:rsid w:val="00282FCB"/>
    <w:rsid w:val="00286193"/>
    <w:rsid w:val="00287784"/>
    <w:rsid w:val="00291360"/>
    <w:rsid w:val="00297773"/>
    <w:rsid w:val="002A15E2"/>
    <w:rsid w:val="002A4043"/>
    <w:rsid w:val="002A7694"/>
    <w:rsid w:val="002B0C94"/>
    <w:rsid w:val="002B0CD7"/>
    <w:rsid w:val="002B3411"/>
    <w:rsid w:val="002B4928"/>
    <w:rsid w:val="002B6705"/>
    <w:rsid w:val="002C43E9"/>
    <w:rsid w:val="002C72E8"/>
    <w:rsid w:val="002C7E23"/>
    <w:rsid w:val="002D2738"/>
    <w:rsid w:val="002D2E4D"/>
    <w:rsid w:val="002E021F"/>
    <w:rsid w:val="002E4945"/>
    <w:rsid w:val="002E602B"/>
    <w:rsid w:val="002E67CB"/>
    <w:rsid w:val="002E6D70"/>
    <w:rsid w:val="002F3986"/>
    <w:rsid w:val="002F5443"/>
    <w:rsid w:val="003018A9"/>
    <w:rsid w:val="00301D0C"/>
    <w:rsid w:val="003024C2"/>
    <w:rsid w:val="00302664"/>
    <w:rsid w:val="00302CDE"/>
    <w:rsid w:val="0030370C"/>
    <w:rsid w:val="00303A51"/>
    <w:rsid w:val="00303F08"/>
    <w:rsid w:val="00303F65"/>
    <w:rsid w:val="00305B80"/>
    <w:rsid w:val="003106CA"/>
    <w:rsid w:val="00315CFD"/>
    <w:rsid w:val="003160E1"/>
    <w:rsid w:val="0032094D"/>
    <w:rsid w:val="003270CB"/>
    <w:rsid w:val="00327BB4"/>
    <w:rsid w:val="00331ECE"/>
    <w:rsid w:val="0033248F"/>
    <w:rsid w:val="00341028"/>
    <w:rsid w:val="00342636"/>
    <w:rsid w:val="003435D1"/>
    <w:rsid w:val="0034569C"/>
    <w:rsid w:val="0034594C"/>
    <w:rsid w:val="00347AAB"/>
    <w:rsid w:val="00352347"/>
    <w:rsid w:val="00355ADF"/>
    <w:rsid w:val="003566D6"/>
    <w:rsid w:val="00357F4D"/>
    <w:rsid w:val="003617D1"/>
    <w:rsid w:val="003617F7"/>
    <w:rsid w:val="00362EF9"/>
    <w:rsid w:val="00364005"/>
    <w:rsid w:val="00364150"/>
    <w:rsid w:val="0036551C"/>
    <w:rsid w:val="00365E27"/>
    <w:rsid w:val="00366241"/>
    <w:rsid w:val="00367F9E"/>
    <w:rsid w:val="003700EE"/>
    <w:rsid w:val="0037123E"/>
    <w:rsid w:val="003755A5"/>
    <w:rsid w:val="00375956"/>
    <w:rsid w:val="0037607E"/>
    <w:rsid w:val="00377199"/>
    <w:rsid w:val="003813C4"/>
    <w:rsid w:val="0038196F"/>
    <w:rsid w:val="00381E2C"/>
    <w:rsid w:val="003903BD"/>
    <w:rsid w:val="00391AC0"/>
    <w:rsid w:val="00391ED5"/>
    <w:rsid w:val="00393CD1"/>
    <w:rsid w:val="003958DC"/>
    <w:rsid w:val="00397E14"/>
    <w:rsid w:val="003A0F98"/>
    <w:rsid w:val="003A1639"/>
    <w:rsid w:val="003A28AC"/>
    <w:rsid w:val="003A310D"/>
    <w:rsid w:val="003A465D"/>
    <w:rsid w:val="003A5984"/>
    <w:rsid w:val="003B05CC"/>
    <w:rsid w:val="003B127B"/>
    <w:rsid w:val="003B402A"/>
    <w:rsid w:val="003B699A"/>
    <w:rsid w:val="003B706E"/>
    <w:rsid w:val="003C2FDA"/>
    <w:rsid w:val="003C33ED"/>
    <w:rsid w:val="003C39B8"/>
    <w:rsid w:val="003C4B1B"/>
    <w:rsid w:val="003C5B3F"/>
    <w:rsid w:val="003D1B33"/>
    <w:rsid w:val="003D1F14"/>
    <w:rsid w:val="003D2699"/>
    <w:rsid w:val="003D284E"/>
    <w:rsid w:val="003D399F"/>
    <w:rsid w:val="003D67B8"/>
    <w:rsid w:val="003E05E1"/>
    <w:rsid w:val="003E395A"/>
    <w:rsid w:val="003E59F1"/>
    <w:rsid w:val="003E6A88"/>
    <w:rsid w:val="003F1DC9"/>
    <w:rsid w:val="003F353B"/>
    <w:rsid w:val="00400D44"/>
    <w:rsid w:val="00401FE1"/>
    <w:rsid w:val="004029F7"/>
    <w:rsid w:val="00402EEB"/>
    <w:rsid w:val="00403B62"/>
    <w:rsid w:val="00407E2D"/>
    <w:rsid w:val="004119D5"/>
    <w:rsid w:val="00415F3D"/>
    <w:rsid w:val="00415FD2"/>
    <w:rsid w:val="00416319"/>
    <w:rsid w:val="00422F15"/>
    <w:rsid w:val="00424603"/>
    <w:rsid w:val="00424A5A"/>
    <w:rsid w:val="00426698"/>
    <w:rsid w:val="00426E79"/>
    <w:rsid w:val="00427673"/>
    <w:rsid w:val="004314B5"/>
    <w:rsid w:val="00431CB5"/>
    <w:rsid w:val="004327A3"/>
    <w:rsid w:val="00433071"/>
    <w:rsid w:val="004331B2"/>
    <w:rsid w:val="0043500B"/>
    <w:rsid w:val="00436E58"/>
    <w:rsid w:val="00437498"/>
    <w:rsid w:val="00440D2F"/>
    <w:rsid w:val="00440E4C"/>
    <w:rsid w:val="00443C5B"/>
    <w:rsid w:val="00443C91"/>
    <w:rsid w:val="0044693C"/>
    <w:rsid w:val="00447944"/>
    <w:rsid w:val="00450492"/>
    <w:rsid w:val="00452121"/>
    <w:rsid w:val="00453B20"/>
    <w:rsid w:val="00457FD9"/>
    <w:rsid w:val="00460947"/>
    <w:rsid w:val="00460E63"/>
    <w:rsid w:val="00461132"/>
    <w:rsid w:val="00462193"/>
    <w:rsid w:val="00463734"/>
    <w:rsid w:val="0046578F"/>
    <w:rsid w:val="0047043D"/>
    <w:rsid w:val="00472AFF"/>
    <w:rsid w:val="00474B20"/>
    <w:rsid w:val="00475385"/>
    <w:rsid w:val="00476599"/>
    <w:rsid w:val="004833CE"/>
    <w:rsid w:val="00484BAB"/>
    <w:rsid w:val="00485F3F"/>
    <w:rsid w:val="00487012"/>
    <w:rsid w:val="004908BD"/>
    <w:rsid w:val="004918F5"/>
    <w:rsid w:val="004927FD"/>
    <w:rsid w:val="00492B42"/>
    <w:rsid w:val="00492F69"/>
    <w:rsid w:val="00494893"/>
    <w:rsid w:val="00494BDF"/>
    <w:rsid w:val="00495CDA"/>
    <w:rsid w:val="0049776A"/>
    <w:rsid w:val="00497CE7"/>
    <w:rsid w:val="004A0056"/>
    <w:rsid w:val="004A13BF"/>
    <w:rsid w:val="004A63C1"/>
    <w:rsid w:val="004A7A9D"/>
    <w:rsid w:val="004B03B2"/>
    <w:rsid w:val="004B05DF"/>
    <w:rsid w:val="004B6016"/>
    <w:rsid w:val="004B74C8"/>
    <w:rsid w:val="004C055C"/>
    <w:rsid w:val="004C1B73"/>
    <w:rsid w:val="004C3AE3"/>
    <w:rsid w:val="004D253A"/>
    <w:rsid w:val="004D303F"/>
    <w:rsid w:val="004D5644"/>
    <w:rsid w:val="004D6622"/>
    <w:rsid w:val="004D69AC"/>
    <w:rsid w:val="004D6C64"/>
    <w:rsid w:val="004E38CD"/>
    <w:rsid w:val="004E4554"/>
    <w:rsid w:val="004E47DC"/>
    <w:rsid w:val="004F196F"/>
    <w:rsid w:val="004F2A7F"/>
    <w:rsid w:val="004F5B98"/>
    <w:rsid w:val="005007BE"/>
    <w:rsid w:val="00502017"/>
    <w:rsid w:val="005049A3"/>
    <w:rsid w:val="00504BFF"/>
    <w:rsid w:val="00504E1E"/>
    <w:rsid w:val="00504E81"/>
    <w:rsid w:val="00506803"/>
    <w:rsid w:val="00506859"/>
    <w:rsid w:val="0050726B"/>
    <w:rsid w:val="005074BE"/>
    <w:rsid w:val="00510EAE"/>
    <w:rsid w:val="0051273D"/>
    <w:rsid w:val="00513FD1"/>
    <w:rsid w:val="00515C2C"/>
    <w:rsid w:val="00520F93"/>
    <w:rsid w:val="00522009"/>
    <w:rsid w:val="0052337B"/>
    <w:rsid w:val="0052370B"/>
    <w:rsid w:val="00526087"/>
    <w:rsid w:val="00526244"/>
    <w:rsid w:val="005273B8"/>
    <w:rsid w:val="005275CC"/>
    <w:rsid w:val="005303B6"/>
    <w:rsid w:val="00530FDB"/>
    <w:rsid w:val="00532975"/>
    <w:rsid w:val="005358C2"/>
    <w:rsid w:val="005366D0"/>
    <w:rsid w:val="00537CAF"/>
    <w:rsid w:val="00540770"/>
    <w:rsid w:val="00546909"/>
    <w:rsid w:val="00546A2F"/>
    <w:rsid w:val="00550630"/>
    <w:rsid w:val="00550D25"/>
    <w:rsid w:val="00555AF3"/>
    <w:rsid w:val="00564D07"/>
    <w:rsid w:val="0056563C"/>
    <w:rsid w:val="00565F98"/>
    <w:rsid w:val="00566856"/>
    <w:rsid w:val="005679A3"/>
    <w:rsid w:val="00570CF2"/>
    <w:rsid w:val="00577DAF"/>
    <w:rsid w:val="005854C8"/>
    <w:rsid w:val="00585B10"/>
    <w:rsid w:val="00587224"/>
    <w:rsid w:val="00591E83"/>
    <w:rsid w:val="00592FD8"/>
    <w:rsid w:val="00594E2D"/>
    <w:rsid w:val="00595D89"/>
    <w:rsid w:val="005971F4"/>
    <w:rsid w:val="00597A0F"/>
    <w:rsid w:val="00597EFA"/>
    <w:rsid w:val="005A0C14"/>
    <w:rsid w:val="005A1A7A"/>
    <w:rsid w:val="005A21B0"/>
    <w:rsid w:val="005A5C62"/>
    <w:rsid w:val="005A6282"/>
    <w:rsid w:val="005B0A47"/>
    <w:rsid w:val="005B1356"/>
    <w:rsid w:val="005B18AF"/>
    <w:rsid w:val="005B2DC1"/>
    <w:rsid w:val="005B3B5D"/>
    <w:rsid w:val="005B4AAC"/>
    <w:rsid w:val="005B5161"/>
    <w:rsid w:val="005C38AC"/>
    <w:rsid w:val="005C4CC2"/>
    <w:rsid w:val="005C58BA"/>
    <w:rsid w:val="005C59C8"/>
    <w:rsid w:val="005D180F"/>
    <w:rsid w:val="005D4886"/>
    <w:rsid w:val="005D598D"/>
    <w:rsid w:val="005D699A"/>
    <w:rsid w:val="005D6AD4"/>
    <w:rsid w:val="005D6E38"/>
    <w:rsid w:val="005D7DAF"/>
    <w:rsid w:val="005E06B5"/>
    <w:rsid w:val="005E0FEC"/>
    <w:rsid w:val="005E376D"/>
    <w:rsid w:val="005E5D68"/>
    <w:rsid w:val="005F02F8"/>
    <w:rsid w:val="005F0B3E"/>
    <w:rsid w:val="005F1362"/>
    <w:rsid w:val="005F2222"/>
    <w:rsid w:val="005F39FA"/>
    <w:rsid w:val="005F457C"/>
    <w:rsid w:val="005F63A6"/>
    <w:rsid w:val="00601963"/>
    <w:rsid w:val="006027AB"/>
    <w:rsid w:val="00603807"/>
    <w:rsid w:val="00604F6D"/>
    <w:rsid w:val="00607087"/>
    <w:rsid w:val="00607A22"/>
    <w:rsid w:val="00607D96"/>
    <w:rsid w:val="00611B8C"/>
    <w:rsid w:val="00614199"/>
    <w:rsid w:val="00615D52"/>
    <w:rsid w:val="00620582"/>
    <w:rsid w:val="00621727"/>
    <w:rsid w:val="0062695B"/>
    <w:rsid w:val="00630F92"/>
    <w:rsid w:val="00632BB9"/>
    <w:rsid w:val="006338C1"/>
    <w:rsid w:val="0063539D"/>
    <w:rsid w:val="00636F5E"/>
    <w:rsid w:val="00640CC4"/>
    <w:rsid w:val="006410A6"/>
    <w:rsid w:val="00642E68"/>
    <w:rsid w:val="00642FCB"/>
    <w:rsid w:val="006435A1"/>
    <w:rsid w:val="0064377B"/>
    <w:rsid w:val="00644A2A"/>
    <w:rsid w:val="00645047"/>
    <w:rsid w:val="00645B32"/>
    <w:rsid w:val="00646F40"/>
    <w:rsid w:val="00652B52"/>
    <w:rsid w:val="00655B55"/>
    <w:rsid w:val="00656EA2"/>
    <w:rsid w:val="00657ACA"/>
    <w:rsid w:val="00660556"/>
    <w:rsid w:val="00661732"/>
    <w:rsid w:val="0066331A"/>
    <w:rsid w:val="00664CB9"/>
    <w:rsid w:val="00665CCF"/>
    <w:rsid w:val="006666D1"/>
    <w:rsid w:val="00671752"/>
    <w:rsid w:val="006721EC"/>
    <w:rsid w:val="00673192"/>
    <w:rsid w:val="00677063"/>
    <w:rsid w:val="00682EA7"/>
    <w:rsid w:val="00683AC1"/>
    <w:rsid w:val="00684E23"/>
    <w:rsid w:val="00687126"/>
    <w:rsid w:val="0068791C"/>
    <w:rsid w:val="00692E3B"/>
    <w:rsid w:val="006932BA"/>
    <w:rsid w:val="00693629"/>
    <w:rsid w:val="006953C6"/>
    <w:rsid w:val="006957E9"/>
    <w:rsid w:val="006A1DDB"/>
    <w:rsid w:val="006A3C34"/>
    <w:rsid w:val="006A4E6B"/>
    <w:rsid w:val="006A76BC"/>
    <w:rsid w:val="006B007F"/>
    <w:rsid w:val="006B4F9A"/>
    <w:rsid w:val="006B65D1"/>
    <w:rsid w:val="006B6C8E"/>
    <w:rsid w:val="006B7BD6"/>
    <w:rsid w:val="006C1366"/>
    <w:rsid w:val="006C4C43"/>
    <w:rsid w:val="006C5CE4"/>
    <w:rsid w:val="006D1FE3"/>
    <w:rsid w:val="006D5EC2"/>
    <w:rsid w:val="006D6031"/>
    <w:rsid w:val="006E2123"/>
    <w:rsid w:val="006E4382"/>
    <w:rsid w:val="006E4573"/>
    <w:rsid w:val="006E4C07"/>
    <w:rsid w:val="006F55A8"/>
    <w:rsid w:val="006F5C10"/>
    <w:rsid w:val="006F5ECA"/>
    <w:rsid w:val="006F6385"/>
    <w:rsid w:val="006F63FD"/>
    <w:rsid w:val="00702233"/>
    <w:rsid w:val="00703AE1"/>
    <w:rsid w:val="0070421B"/>
    <w:rsid w:val="0070578E"/>
    <w:rsid w:val="00716B90"/>
    <w:rsid w:val="00720954"/>
    <w:rsid w:val="00722B0F"/>
    <w:rsid w:val="00725066"/>
    <w:rsid w:val="007265D8"/>
    <w:rsid w:val="00727D5D"/>
    <w:rsid w:val="00732169"/>
    <w:rsid w:val="007326C8"/>
    <w:rsid w:val="00732DD6"/>
    <w:rsid w:val="0073336B"/>
    <w:rsid w:val="00733559"/>
    <w:rsid w:val="00734942"/>
    <w:rsid w:val="00735659"/>
    <w:rsid w:val="007361D0"/>
    <w:rsid w:val="0073699E"/>
    <w:rsid w:val="007376C3"/>
    <w:rsid w:val="00742F2F"/>
    <w:rsid w:val="00744130"/>
    <w:rsid w:val="007479DC"/>
    <w:rsid w:val="00751E69"/>
    <w:rsid w:val="00752657"/>
    <w:rsid w:val="00752B4C"/>
    <w:rsid w:val="007531F2"/>
    <w:rsid w:val="0075329B"/>
    <w:rsid w:val="00753914"/>
    <w:rsid w:val="00755B0B"/>
    <w:rsid w:val="0075606F"/>
    <w:rsid w:val="00756B66"/>
    <w:rsid w:val="00757E5B"/>
    <w:rsid w:val="007639B5"/>
    <w:rsid w:val="00764BE5"/>
    <w:rsid w:val="007658D4"/>
    <w:rsid w:val="00770976"/>
    <w:rsid w:val="0077110E"/>
    <w:rsid w:val="00772FAC"/>
    <w:rsid w:val="007734CD"/>
    <w:rsid w:val="00775B02"/>
    <w:rsid w:val="00783587"/>
    <w:rsid w:val="00785FA0"/>
    <w:rsid w:val="007870CB"/>
    <w:rsid w:val="0079570D"/>
    <w:rsid w:val="00796390"/>
    <w:rsid w:val="007A2140"/>
    <w:rsid w:val="007A24CC"/>
    <w:rsid w:val="007A3D49"/>
    <w:rsid w:val="007A3F0F"/>
    <w:rsid w:val="007A457D"/>
    <w:rsid w:val="007A5D9C"/>
    <w:rsid w:val="007A645E"/>
    <w:rsid w:val="007A728D"/>
    <w:rsid w:val="007A7BFC"/>
    <w:rsid w:val="007B0087"/>
    <w:rsid w:val="007B12B3"/>
    <w:rsid w:val="007B2197"/>
    <w:rsid w:val="007B3964"/>
    <w:rsid w:val="007B5BD9"/>
    <w:rsid w:val="007B605E"/>
    <w:rsid w:val="007C1DE1"/>
    <w:rsid w:val="007C30E9"/>
    <w:rsid w:val="007C3967"/>
    <w:rsid w:val="007C4A3E"/>
    <w:rsid w:val="007D10DD"/>
    <w:rsid w:val="007D10FC"/>
    <w:rsid w:val="007D36E1"/>
    <w:rsid w:val="007D4B84"/>
    <w:rsid w:val="007D5C49"/>
    <w:rsid w:val="007D629C"/>
    <w:rsid w:val="007D73FF"/>
    <w:rsid w:val="007E2C05"/>
    <w:rsid w:val="007F0A6F"/>
    <w:rsid w:val="007F1B54"/>
    <w:rsid w:val="007F241E"/>
    <w:rsid w:val="007F357A"/>
    <w:rsid w:val="007F6F9D"/>
    <w:rsid w:val="008006ED"/>
    <w:rsid w:val="00800D0A"/>
    <w:rsid w:val="008012C1"/>
    <w:rsid w:val="00806B52"/>
    <w:rsid w:val="0081185D"/>
    <w:rsid w:val="00814DCF"/>
    <w:rsid w:val="00815F93"/>
    <w:rsid w:val="00817FBF"/>
    <w:rsid w:val="00821246"/>
    <w:rsid w:val="00821C73"/>
    <w:rsid w:val="00822598"/>
    <w:rsid w:val="00822C54"/>
    <w:rsid w:val="00830912"/>
    <w:rsid w:val="00831E4F"/>
    <w:rsid w:val="00833E2F"/>
    <w:rsid w:val="0083469E"/>
    <w:rsid w:val="008360A1"/>
    <w:rsid w:val="00837B62"/>
    <w:rsid w:val="008401A7"/>
    <w:rsid w:val="0084227D"/>
    <w:rsid w:val="008442FF"/>
    <w:rsid w:val="008444E3"/>
    <w:rsid w:val="00850105"/>
    <w:rsid w:val="00852DC3"/>
    <w:rsid w:val="008540F9"/>
    <w:rsid w:val="008541C9"/>
    <w:rsid w:val="0086018F"/>
    <w:rsid w:val="00861563"/>
    <w:rsid w:val="0086281F"/>
    <w:rsid w:val="00862C61"/>
    <w:rsid w:val="008635EA"/>
    <w:rsid w:val="00870516"/>
    <w:rsid w:val="00870FFF"/>
    <w:rsid w:val="00871A6C"/>
    <w:rsid w:val="00871AAA"/>
    <w:rsid w:val="00872A45"/>
    <w:rsid w:val="008759E6"/>
    <w:rsid w:val="00877C59"/>
    <w:rsid w:val="008830F2"/>
    <w:rsid w:val="00885CDD"/>
    <w:rsid w:val="0089136E"/>
    <w:rsid w:val="00891557"/>
    <w:rsid w:val="00891AAA"/>
    <w:rsid w:val="00892270"/>
    <w:rsid w:val="00892DD9"/>
    <w:rsid w:val="00893BE1"/>
    <w:rsid w:val="00894D2B"/>
    <w:rsid w:val="00896CBF"/>
    <w:rsid w:val="00897DDD"/>
    <w:rsid w:val="008A6C55"/>
    <w:rsid w:val="008A7800"/>
    <w:rsid w:val="008B0B43"/>
    <w:rsid w:val="008B2BBE"/>
    <w:rsid w:val="008B31DD"/>
    <w:rsid w:val="008B3DC3"/>
    <w:rsid w:val="008B7744"/>
    <w:rsid w:val="008C1FA7"/>
    <w:rsid w:val="008C4C91"/>
    <w:rsid w:val="008C5179"/>
    <w:rsid w:val="008C684D"/>
    <w:rsid w:val="008C6E84"/>
    <w:rsid w:val="008D6D4C"/>
    <w:rsid w:val="008E4874"/>
    <w:rsid w:val="008E5026"/>
    <w:rsid w:val="008E64C6"/>
    <w:rsid w:val="008F1E2B"/>
    <w:rsid w:val="008F64B4"/>
    <w:rsid w:val="008F67E6"/>
    <w:rsid w:val="00901A7B"/>
    <w:rsid w:val="00902133"/>
    <w:rsid w:val="009024E5"/>
    <w:rsid w:val="00902557"/>
    <w:rsid w:val="00907D1C"/>
    <w:rsid w:val="00907D7B"/>
    <w:rsid w:val="00910EF5"/>
    <w:rsid w:val="00911A60"/>
    <w:rsid w:val="00913C59"/>
    <w:rsid w:val="009141AE"/>
    <w:rsid w:val="00915093"/>
    <w:rsid w:val="009160E9"/>
    <w:rsid w:val="00917FFB"/>
    <w:rsid w:val="00920286"/>
    <w:rsid w:val="00922AB1"/>
    <w:rsid w:val="00925777"/>
    <w:rsid w:val="009260F8"/>
    <w:rsid w:val="009273E0"/>
    <w:rsid w:val="00932103"/>
    <w:rsid w:val="00933723"/>
    <w:rsid w:val="00933EA1"/>
    <w:rsid w:val="00935537"/>
    <w:rsid w:val="0093697F"/>
    <w:rsid w:val="00940E22"/>
    <w:rsid w:val="00942C89"/>
    <w:rsid w:val="00943344"/>
    <w:rsid w:val="00945929"/>
    <w:rsid w:val="00946A12"/>
    <w:rsid w:val="00946D84"/>
    <w:rsid w:val="00947DB1"/>
    <w:rsid w:val="00951416"/>
    <w:rsid w:val="00951E60"/>
    <w:rsid w:val="00953859"/>
    <w:rsid w:val="00953D41"/>
    <w:rsid w:val="00960D21"/>
    <w:rsid w:val="00964A69"/>
    <w:rsid w:val="00967672"/>
    <w:rsid w:val="00967F61"/>
    <w:rsid w:val="00970A6F"/>
    <w:rsid w:val="00971F3A"/>
    <w:rsid w:val="00973F4D"/>
    <w:rsid w:val="00974566"/>
    <w:rsid w:val="00975DAB"/>
    <w:rsid w:val="009765F5"/>
    <w:rsid w:val="0097756A"/>
    <w:rsid w:val="00981D29"/>
    <w:rsid w:val="00981E11"/>
    <w:rsid w:val="00982644"/>
    <w:rsid w:val="00983BD7"/>
    <w:rsid w:val="00983F54"/>
    <w:rsid w:val="0098478A"/>
    <w:rsid w:val="00986498"/>
    <w:rsid w:val="009879D4"/>
    <w:rsid w:val="0099202D"/>
    <w:rsid w:val="009922F2"/>
    <w:rsid w:val="009945D0"/>
    <w:rsid w:val="0099587B"/>
    <w:rsid w:val="0099674B"/>
    <w:rsid w:val="00997D2F"/>
    <w:rsid w:val="009A25E6"/>
    <w:rsid w:val="009A647F"/>
    <w:rsid w:val="009A7006"/>
    <w:rsid w:val="009A7F89"/>
    <w:rsid w:val="009C1181"/>
    <w:rsid w:val="009C1CAA"/>
    <w:rsid w:val="009C35EC"/>
    <w:rsid w:val="009D25A4"/>
    <w:rsid w:val="009D2889"/>
    <w:rsid w:val="009E0225"/>
    <w:rsid w:val="009E0DC9"/>
    <w:rsid w:val="009E153B"/>
    <w:rsid w:val="009F10EB"/>
    <w:rsid w:val="009F3785"/>
    <w:rsid w:val="009F42C9"/>
    <w:rsid w:val="009F4421"/>
    <w:rsid w:val="009F4B43"/>
    <w:rsid w:val="009F7DB7"/>
    <w:rsid w:val="00A01B69"/>
    <w:rsid w:val="00A0595A"/>
    <w:rsid w:val="00A07874"/>
    <w:rsid w:val="00A102AE"/>
    <w:rsid w:val="00A10CF2"/>
    <w:rsid w:val="00A112C5"/>
    <w:rsid w:val="00A11510"/>
    <w:rsid w:val="00A12B63"/>
    <w:rsid w:val="00A133C4"/>
    <w:rsid w:val="00A14737"/>
    <w:rsid w:val="00A14B4F"/>
    <w:rsid w:val="00A154F0"/>
    <w:rsid w:val="00A155F1"/>
    <w:rsid w:val="00A1564B"/>
    <w:rsid w:val="00A16536"/>
    <w:rsid w:val="00A16EE7"/>
    <w:rsid w:val="00A2392B"/>
    <w:rsid w:val="00A24937"/>
    <w:rsid w:val="00A27EB9"/>
    <w:rsid w:val="00A32A08"/>
    <w:rsid w:val="00A33A02"/>
    <w:rsid w:val="00A3514E"/>
    <w:rsid w:val="00A37211"/>
    <w:rsid w:val="00A4137B"/>
    <w:rsid w:val="00A4155C"/>
    <w:rsid w:val="00A4629B"/>
    <w:rsid w:val="00A47E38"/>
    <w:rsid w:val="00A50A82"/>
    <w:rsid w:val="00A5194F"/>
    <w:rsid w:val="00A53ABB"/>
    <w:rsid w:val="00A54472"/>
    <w:rsid w:val="00A57220"/>
    <w:rsid w:val="00A57F78"/>
    <w:rsid w:val="00A60782"/>
    <w:rsid w:val="00A622FD"/>
    <w:rsid w:val="00A62C72"/>
    <w:rsid w:val="00A641B3"/>
    <w:rsid w:val="00A67498"/>
    <w:rsid w:val="00A67594"/>
    <w:rsid w:val="00A712EA"/>
    <w:rsid w:val="00A73453"/>
    <w:rsid w:val="00A75984"/>
    <w:rsid w:val="00A76580"/>
    <w:rsid w:val="00A767C9"/>
    <w:rsid w:val="00A83CF5"/>
    <w:rsid w:val="00A84255"/>
    <w:rsid w:val="00A871D6"/>
    <w:rsid w:val="00A871DE"/>
    <w:rsid w:val="00A9118F"/>
    <w:rsid w:val="00A92F22"/>
    <w:rsid w:val="00A95DF7"/>
    <w:rsid w:val="00AA2820"/>
    <w:rsid w:val="00AA72E6"/>
    <w:rsid w:val="00AA768E"/>
    <w:rsid w:val="00AB04B9"/>
    <w:rsid w:val="00AB1635"/>
    <w:rsid w:val="00AB3349"/>
    <w:rsid w:val="00AB401C"/>
    <w:rsid w:val="00AB40C1"/>
    <w:rsid w:val="00AB550B"/>
    <w:rsid w:val="00AB5EDB"/>
    <w:rsid w:val="00AB6C18"/>
    <w:rsid w:val="00AC0524"/>
    <w:rsid w:val="00AC2B63"/>
    <w:rsid w:val="00AC5069"/>
    <w:rsid w:val="00AC7692"/>
    <w:rsid w:val="00AD030E"/>
    <w:rsid w:val="00AD16D2"/>
    <w:rsid w:val="00AD4B21"/>
    <w:rsid w:val="00AD4DE9"/>
    <w:rsid w:val="00AD6948"/>
    <w:rsid w:val="00AD706C"/>
    <w:rsid w:val="00AE1767"/>
    <w:rsid w:val="00AE30C2"/>
    <w:rsid w:val="00AE3159"/>
    <w:rsid w:val="00AE4B2F"/>
    <w:rsid w:val="00AE75A0"/>
    <w:rsid w:val="00AF005F"/>
    <w:rsid w:val="00AF282C"/>
    <w:rsid w:val="00AF3FF7"/>
    <w:rsid w:val="00AF41E4"/>
    <w:rsid w:val="00AF422D"/>
    <w:rsid w:val="00AF427D"/>
    <w:rsid w:val="00AF4649"/>
    <w:rsid w:val="00AF4B2C"/>
    <w:rsid w:val="00AF4D31"/>
    <w:rsid w:val="00AF7028"/>
    <w:rsid w:val="00AF7BE4"/>
    <w:rsid w:val="00AF7D6D"/>
    <w:rsid w:val="00B0006A"/>
    <w:rsid w:val="00B02AF3"/>
    <w:rsid w:val="00B03B2F"/>
    <w:rsid w:val="00B05DD1"/>
    <w:rsid w:val="00B0715E"/>
    <w:rsid w:val="00B11617"/>
    <w:rsid w:val="00B11DB6"/>
    <w:rsid w:val="00B12FD4"/>
    <w:rsid w:val="00B137E3"/>
    <w:rsid w:val="00B14571"/>
    <w:rsid w:val="00B1491D"/>
    <w:rsid w:val="00B1673F"/>
    <w:rsid w:val="00B16AE0"/>
    <w:rsid w:val="00B16EAB"/>
    <w:rsid w:val="00B2406F"/>
    <w:rsid w:val="00B2654C"/>
    <w:rsid w:val="00B2769F"/>
    <w:rsid w:val="00B314F7"/>
    <w:rsid w:val="00B31731"/>
    <w:rsid w:val="00B347FC"/>
    <w:rsid w:val="00B3627A"/>
    <w:rsid w:val="00B40943"/>
    <w:rsid w:val="00B41664"/>
    <w:rsid w:val="00B43995"/>
    <w:rsid w:val="00B44699"/>
    <w:rsid w:val="00B466EB"/>
    <w:rsid w:val="00B47B7D"/>
    <w:rsid w:val="00B5142C"/>
    <w:rsid w:val="00B543D7"/>
    <w:rsid w:val="00B5499E"/>
    <w:rsid w:val="00B55CC9"/>
    <w:rsid w:val="00B57D5F"/>
    <w:rsid w:val="00B61AD0"/>
    <w:rsid w:val="00B631E6"/>
    <w:rsid w:val="00B65963"/>
    <w:rsid w:val="00B72FC4"/>
    <w:rsid w:val="00B73558"/>
    <w:rsid w:val="00B73696"/>
    <w:rsid w:val="00B750EC"/>
    <w:rsid w:val="00B76C10"/>
    <w:rsid w:val="00B77B71"/>
    <w:rsid w:val="00B802C0"/>
    <w:rsid w:val="00B87754"/>
    <w:rsid w:val="00B87B69"/>
    <w:rsid w:val="00B92950"/>
    <w:rsid w:val="00B92A68"/>
    <w:rsid w:val="00B92D7E"/>
    <w:rsid w:val="00B94138"/>
    <w:rsid w:val="00B94640"/>
    <w:rsid w:val="00B94A80"/>
    <w:rsid w:val="00B96B71"/>
    <w:rsid w:val="00BA0826"/>
    <w:rsid w:val="00BA112B"/>
    <w:rsid w:val="00BA1BB2"/>
    <w:rsid w:val="00BA76C3"/>
    <w:rsid w:val="00BB45B6"/>
    <w:rsid w:val="00BB54FE"/>
    <w:rsid w:val="00BB5AD1"/>
    <w:rsid w:val="00BB78EE"/>
    <w:rsid w:val="00BC0ABB"/>
    <w:rsid w:val="00BD726D"/>
    <w:rsid w:val="00BE07AA"/>
    <w:rsid w:val="00BE1837"/>
    <w:rsid w:val="00BE2F36"/>
    <w:rsid w:val="00BF0849"/>
    <w:rsid w:val="00BF0E36"/>
    <w:rsid w:val="00BF716D"/>
    <w:rsid w:val="00C03E0F"/>
    <w:rsid w:val="00C03E84"/>
    <w:rsid w:val="00C045CA"/>
    <w:rsid w:val="00C048E3"/>
    <w:rsid w:val="00C1406D"/>
    <w:rsid w:val="00C1585F"/>
    <w:rsid w:val="00C15A25"/>
    <w:rsid w:val="00C17C29"/>
    <w:rsid w:val="00C20779"/>
    <w:rsid w:val="00C23B9C"/>
    <w:rsid w:val="00C23DE5"/>
    <w:rsid w:val="00C26CCC"/>
    <w:rsid w:val="00C27F0A"/>
    <w:rsid w:val="00C304AC"/>
    <w:rsid w:val="00C305A4"/>
    <w:rsid w:val="00C320BD"/>
    <w:rsid w:val="00C33219"/>
    <w:rsid w:val="00C33AD8"/>
    <w:rsid w:val="00C33B68"/>
    <w:rsid w:val="00C34AB4"/>
    <w:rsid w:val="00C35DE3"/>
    <w:rsid w:val="00C36D86"/>
    <w:rsid w:val="00C37715"/>
    <w:rsid w:val="00C4114A"/>
    <w:rsid w:val="00C419BC"/>
    <w:rsid w:val="00C42589"/>
    <w:rsid w:val="00C42E3B"/>
    <w:rsid w:val="00C44EA5"/>
    <w:rsid w:val="00C47EA6"/>
    <w:rsid w:val="00C52E56"/>
    <w:rsid w:val="00C5407A"/>
    <w:rsid w:val="00C54C5C"/>
    <w:rsid w:val="00C5551F"/>
    <w:rsid w:val="00C656B7"/>
    <w:rsid w:val="00C662B0"/>
    <w:rsid w:val="00C7106E"/>
    <w:rsid w:val="00C74B39"/>
    <w:rsid w:val="00C814DA"/>
    <w:rsid w:val="00C84FD4"/>
    <w:rsid w:val="00C84FE7"/>
    <w:rsid w:val="00C87BAD"/>
    <w:rsid w:val="00C94A80"/>
    <w:rsid w:val="00C958EE"/>
    <w:rsid w:val="00C973B8"/>
    <w:rsid w:val="00C97BD1"/>
    <w:rsid w:val="00CA0C27"/>
    <w:rsid w:val="00CA1515"/>
    <w:rsid w:val="00CA565E"/>
    <w:rsid w:val="00CB6FC4"/>
    <w:rsid w:val="00CC0653"/>
    <w:rsid w:val="00CC15CB"/>
    <w:rsid w:val="00CC1B62"/>
    <w:rsid w:val="00CC2E2B"/>
    <w:rsid w:val="00CC3F61"/>
    <w:rsid w:val="00CC726D"/>
    <w:rsid w:val="00CD064E"/>
    <w:rsid w:val="00CD21FB"/>
    <w:rsid w:val="00CD46B2"/>
    <w:rsid w:val="00CD5454"/>
    <w:rsid w:val="00CE6857"/>
    <w:rsid w:val="00CE6871"/>
    <w:rsid w:val="00CE7F8F"/>
    <w:rsid w:val="00CF022C"/>
    <w:rsid w:val="00CF64DE"/>
    <w:rsid w:val="00CF7E14"/>
    <w:rsid w:val="00D0470C"/>
    <w:rsid w:val="00D05018"/>
    <w:rsid w:val="00D0655B"/>
    <w:rsid w:val="00D139A6"/>
    <w:rsid w:val="00D13A92"/>
    <w:rsid w:val="00D1409E"/>
    <w:rsid w:val="00D16D84"/>
    <w:rsid w:val="00D22424"/>
    <w:rsid w:val="00D2753B"/>
    <w:rsid w:val="00D31140"/>
    <w:rsid w:val="00D312DD"/>
    <w:rsid w:val="00D33270"/>
    <w:rsid w:val="00D376D0"/>
    <w:rsid w:val="00D40916"/>
    <w:rsid w:val="00D41134"/>
    <w:rsid w:val="00D413F8"/>
    <w:rsid w:val="00D42391"/>
    <w:rsid w:val="00D423FE"/>
    <w:rsid w:val="00D442E4"/>
    <w:rsid w:val="00D45473"/>
    <w:rsid w:val="00D45ADE"/>
    <w:rsid w:val="00D46FE5"/>
    <w:rsid w:val="00D4799C"/>
    <w:rsid w:val="00D47B60"/>
    <w:rsid w:val="00D47C3A"/>
    <w:rsid w:val="00D513DC"/>
    <w:rsid w:val="00D515DD"/>
    <w:rsid w:val="00D519F4"/>
    <w:rsid w:val="00D51D03"/>
    <w:rsid w:val="00D62538"/>
    <w:rsid w:val="00D62F2B"/>
    <w:rsid w:val="00D63025"/>
    <w:rsid w:val="00D6666E"/>
    <w:rsid w:val="00D706B1"/>
    <w:rsid w:val="00D70DC1"/>
    <w:rsid w:val="00D72D57"/>
    <w:rsid w:val="00D73D60"/>
    <w:rsid w:val="00D75AA4"/>
    <w:rsid w:val="00D75B64"/>
    <w:rsid w:val="00D76572"/>
    <w:rsid w:val="00D76C9A"/>
    <w:rsid w:val="00D80EDC"/>
    <w:rsid w:val="00D82EB6"/>
    <w:rsid w:val="00D84281"/>
    <w:rsid w:val="00D86593"/>
    <w:rsid w:val="00D95EA0"/>
    <w:rsid w:val="00D961E3"/>
    <w:rsid w:val="00DA08AD"/>
    <w:rsid w:val="00DA2F45"/>
    <w:rsid w:val="00DA3885"/>
    <w:rsid w:val="00DA4748"/>
    <w:rsid w:val="00DA7107"/>
    <w:rsid w:val="00DA762E"/>
    <w:rsid w:val="00DB0C9B"/>
    <w:rsid w:val="00DB1D49"/>
    <w:rsid w:val="00DB23A9"/>
    <w:rsid w:val="00DB48F2"/>
    <w:rsid w:val="00DB4E14"/>
    <w:rsid w:val="00DC0419"/>
    <w:rsid w:val="00DC30A9"/>
    <w:rsid w:val="00DC4F14"/>
    <w:rsid w:val="00DD04A3"/>
    <w:rsid w:val="00DD0E34"/>
    <w:rsid w:val="00DD48A3"/>
    <w:rsid w:val="00DD6BDE"/>
    <w:rsid w:val="00DD7231"/>
    <w:rsid w:val="00DE0FF9"/>
    <w:rsid w:val="00DE1929"/>
    <w:rsid w:val="00DE2C15"/>
    <w:rsid w:val="00DE2D5D"/>
    <w:rsid w:val="00DE422F"/>
    <w:rsid w:val="00DE52B9"/>
    <w:rsid w:val="00DE5996"/>
    <w:rsid w:val="00DE7701"/>
    <w:rsid w:val="00DF1131"/>
    <w:rsid w:val="00DF2CD7"/>
    <w:rsid w:val="00DF4F15"/>
    <w:rsid w:val="00E00AF4"/>
    <w:rsid w:val="00E0220D"/>
    <w:rsid w:val="00E047D3"/>
    <w:rsid w:val="00E05B3D"/>
    <w:rsid w:val="00E06E4D"/>
    <w:rsid w:val="00E07B9D"/>
    <w:rsid w:val="00E12B25"/>
    <w:rsid w:val="00E2059D"/>
    <w:rsid w:val="00E21F02"/>
    <w:rsid w:val="00E22BA5"/>
    <w:rsid w:val="00E23326"/>
    <w:rsid w:val="00E2485C"/>
    <w:rsid w:val="00E266B7"/>
    <w:rsid w:val="00E26B04"/>
    <w:rsid w:val="00E27BFD"/>
    <w:rsid w:val="00E3078F"/>
    <w:rsid w:val="00E321C5"/>
    <w:rsid w:val="00E32EA7"/>
    <w:rsid w:val="00E36267"/>
    <w:rsid w:val="00E37197"/>
    <w:rsid w:val="00E37AE4"/>
    <w:rsid w:val="00E41829"/>
    <w:rsid w:val="00E42028"/>
    <w:rsid w:val="00E42A96"/>
    <w:rsid w:val="00E46F3C"/>
    <w:rsid w:val="00E47ECD"/>
    <w:rsid w:val="00E50237"/>
    <w:rsid w:val="00E54B55"/>
    <w:rsid w:val="00E54CCA"/>
    <w:rsid w:val="00E5772B"/>
    <w:rsid w:val="00E60739"/>
    <w:rsid w:val="00E64775"/>
    <w:rsid w:val="00E66E1B"/>
    <w:rsid w:val="00E66FCC"/>
    <w:rsid w:val="00E67511"/>
    <w:rsid w:val="00E72926"/>
    <w:rsid w:val="00E734CC"/>
    <w:rsid w:val="00E743CE"/>
    <w:rsid w:val="00E7565F"/>
    <w:rsid w:val="00E822BA"/>
    <w:rsid w:val="00E82D0F"/>
    <w:rsid w:val="00E86028"/>
    <w:rsid w:val="00E925F0"/>
    <w:rsid w:val="00E950B5"/>
    <w:rsid w:val="00E958AC"/>
    <w:rsid w:val="00E96378"/>
    <w:rsid w:val="00E967AD"/>
    <w:rsid w:val="00E971A7"/>
    <w:rsid w:val="00E973E0"/>
    <w:rsid w:val="00EA1637"/>
    <w:rsid w:val="00EA19CC"/>
    <w:rsid w:val="00EA2B76"/>
    <w:rsid w:val="00EA44EA"/>
    <w:rsid w:val="00EA57BF"/>
    <w:rsid w:val="00EA602A"/>
    <w:rsid w:val="00EA683A"/>
    <w:rsid w:val="00EB2333"/>
    <w:rsid w:val="00EB3321"/>
    <w:rsid w:val="00EB3F73"/>
    <w:rsid w:val="00EB5851"/>
    <w:rsid w:val="00EB63D2"/>
    <w:rsid w:val="00EB661E"/>
    <w:rsid w:val="00EB7FE0"/>
    <w:rsid w:val="00EC0A83"/>
    <w:rsid w:val="00EC0BC7"/>
    <w:rsid w:val="00EC4CEE"/>
    <w:rsid w:val="00EC6E78"/>
    <w:rsid w:val="00EC756B"/>
    <w:rsid w:val="00ED26AF"/>
    <w:rsid w:val="00ED27F1"/>
    <w:rsid w:val="00ED62C5"/>
    <w:rsid w:val="00ED684B"/>
    <w:rsid w:val="00EE2599"/>
    <w:rsid w:val="00EE2EAC"/>
    <w:rsid w:val="00EE574D"/>
    <w:rsid w:val="00EE5FC7"/>
    <w:rsid w:val="00EF0B5F"/>
    <w:rsid w:val="00EF175F"/>
    <w:rsid w:val="00EF31D8"/>
    <w:rsid w:val="00EF4F7D"/>
    <w:rsid w:val="00EF561E"/>
    <w:rsid w:val="00F0070C"/>
    <w:rsid w:val="00F0195F"/>
    <w:rsid w:val="00F05879"/>
    <w:rsid w:val="00F05A7F"/>
    <w:rsid w:val="00F06F5B"/>
    <w:rsid w:val="00F0736E"/>
    <w:rsid w:val="00F07A66"/>
    <w:rsid w:val="00F07CE6"/>
    <w:rsid w:val="00F10C34"/>
    <w:rsid w:val="00F115F7"/>
    <w:rsid w:val="00F133BE"/>
    <w:rsid w:val="00F14CD5"/>
    <w:rsid w:val="00F208EF"/>
    <w:rsid w:val="00F22037"/>
    <w:rsid w:val="00F22D3D"/>
    <w:rsid w:val="00F2485D"/>
    <w:rsid w:val="00F25E6C"/>
    <w:rsid w:val="00F26503"/>
    <w:rsid w:val="00F33926"/>
    <w:rsid w:val="00F33B2F"/>
    <w:rsid w:val="00F343CE"/>
    <w:rsid w:val="00F37428"/>
    <w:rsid w:val="00F37DB4"/>
    <w:rsid w:val="00F41468"/>
    <w:rsid w:val="00F423D9"/>
    <w:rsid w:val="00F426CB"/>
    <w:rsid w:val="00F449A7"/>
    <w:rsid w:val="00F449EF"/>
    <w:rsid w:val="00F457C5"/>
    <w:rsid w:val="00F466B8"/>
    <w:rsid w:val="00F466BA"/>
    <w:rsid w:val="00F50AD8"/>
    <w:rsid w:val="00F5323F"/>
    <w:rsid w:val="00F542BA"/>
    <w:rsid w:val="00F544A6"/>
    <w:rsid w:val="00F54DF7"/>
    <w:rsid w:val="00F56C5C"/>
    <w:rsid w:val="00F60C61"/>
    <w:rsid w:val="00F615DC"/>
    <w:rsid w:val="00F6407A"/>
    <w:rsid w:val="00F64B52"/>
    <w:rsid w:val="00F66881"/>
    <w:rsid w:val="00F717C6"/>
    <w:rsid w:val="00F7311B"/>
    <w:rsid w:val="00F75A8B"/>
    <w:rsid w:val="00F75B40"/>
    <w:rsid w:val="00F85EBD"/>
    <w:rsid w:val="00F86C53"/>
    <w:rsid w:val="00F87B95"/>
    <w:rsid w:val="00F91A34"/>
    <w:rsid w:val="00F93246"/>
    <w:rsid w:val="00F941E1"/>
    <w:rsid w:val="00F964D8"/>
    <w:rsid w:val="00FA04CF"/>
    <w:rsid w:val="00FA177C"/>
    <w:rsid w:val="00FA1F69"/>
    <w:rsid w:val="00FA2940"/>
    <w:rsid w:val="00FA3BD2"/>
    <w:rsid w:val="00FA711A"/>
    <w:rsid w:val="00FA7619"/>
    <w:rsid w:val="00FB0EF5"/>
    <w:rsid w:val="00FB14E8"/>
    <w:rsid w:val="00FB3326"/>
    <w:rsid w:val="00FB3924"/>
    <w:rsid w:val="00FB47E8"/>
    <w:rsid w:val="00FB5289"/>
    <w:rsid w:val="00FB5291"/>
    <w:rsid w:val="00FB615D"/>
    <w:rsid w:val="00FB71AE"/>
    <w:rsid w:val="00FC1144"/>
    <w:rsid w:val="00FC141C"/>
    <w:rsid w:val="00FC2639"/>
    <w:rsid w:val="00FC26FE"/>
    <w:rsid w:val="00FC4A03"/>
    <w:rsid w:val="00FC7447"/>
    <w:rsid w:val="00FD0C85"/>
    <w:rsid w:val="00FD2461"/>
    <w:rsid w:val="00FD3D4E"/>
    <w:rsid w:val="00FD50C8"/>
    <w:rsid w:val="00FD583A"/>
    <w:rsid w:val="00FE232E"/>
    <w:rsid w:val="00FE28DC"/>
    <w:rsid w:val="00FE2A7E"/>
    <w:rsid w:val="00FE3E50"/>
    <w:rsid w:val="00FE4B01"/>
    <w:rsid w:val="00FE68AD"/>
    <w:rsid w:val="00FE7894"/>
    <w:rsid w:val="00FE7BE7"/>
    <w:rsid w:val="00FE7E8B"/>
    <w:rsid w:val="00FF66EC"/>
    <w:rsid w:val="00FF730B"/>
    <w:rsid w:val="00FF7399"/>
    <w:rsid w:val="00FF79ED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19661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7E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1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zabeth.Ortiz@apaacaz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urts.wa.gov/content/publicUpload/Supreme%20Court%20Orders/OrderNo25700-A-12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2" ma:contentTypeDescription="Create a new document." ma:contentTypeScope="" ma:versionID="d067aa5a249aece90641887729f3776b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985952db9e15e83f16b6e456cbbf08ed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33FE-3BCA-45A8-95B9-811372C98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9968B-0913-467C-AB02-761075C7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7DBA4-CB9F-43A0-B6FB-D9DE4EB53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71D8B3-333F-44B7-8D92-FA011193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0</TotalTime>
  <Pages>8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Diana Cooney</cp:lastModifiedBy>
  <cp:revision>4</cp:revision>
  <cp:lastPrinted>2020-04-01T01:02:00Z</cp:lastPrinted>
  <dcterms:created xsi:type="dcterms:W3CDTF">2020-04-01T00:54:00Z</dcterms:created>
  <dcterms:modified xsi:type="dcterms:W3CDTF">2020-04-02T17:35:00Z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  <property fmtid="{D5CDD505-2E9C-101B-9397-08002B2CF9AE}" pid="6" name="ContentTypeId">
    <vt:lpwstr>0x0101009A6D02B0C4E2C1469C5472F9B6E92497</vt:lpwstr>
  </property>
</Properties>
</file>