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32E" w:rsidRPr="002E0E97" w:rsidRDefault="00CE4B01" w:rsidP="00C7232E">
      <w:pPr>
        <w:pStyle w:val="PlainText"/>
        <w:rPr>
          <w:rFonts w:ascii="Times New Roman" w:hAnsi="Times New Roman" w:cs="Times New Roman"/>
          <w:sz w:val="28"/>
          <w:szCs w:val="28"/>
        </w:rPr>
      </w:pPr>
      <w:bookmarkStart w:id="0" w:name="_GoBack"/>
      <w:bookmarkEnd w:id="0"/>
      <w:r w:rsidRPr="002E0E97">
        <w:rPr>
          <w:rFonts w:ascii="Times New Roman" w:hAnsi="Times New Roman" w:cs="Times New Roman"/>
          <w:sz w:val="28"/>
          <w:szCs w:val="28"/>
        </w:rPr>
        <w:t>Scott Bales</w:t>
      </w:r>
      <w:r w:rsidR="00C7232E" w:rsidRPr="002E0E97">
        <w:rPr>
          <w:rFonts w:ascii="Times New Roman" w:hAnsi="Times New Roman" w:cs="Times New Roman"/>
          <w:sz w:val="28"/>
          <w:szCs w:val="28"/>
        </w:rPr>
        <w:t xml:space="preserve">, Bar. No. 010147 </w:t>
      </w:r>
    </w:p>
    <w:p w:rsidR="00C7232E" w:rsidRPr="002E0E97" w:rsidRDefault="00C7232E" w:rsidP="00C7232E">
      <w:pPr>
        <w:pStyle w:val="PlainText"/>
        <w:rPr>
          <w:rFonts w:ascii="Times New Roman" w:hAnsi="Times New Roman" w:cs="Times New Roman"/>
          <w:sz w:val="28"/>
          <w:szCs w:val="28"/>
        </w:rPr>
      </w:pPr>
      <w:r w:rsidRPr="002E0E97">
        <w:rPr>
          <w:rFonts w:ascii="Times New Roman" w:hAnsi="Times New Roman" w:cs="Times New Roman"/>
          <w:sz w:val="28"/>
          <w:szCs w:val="28"/>
        </w:rPr>
        <w:t>Zachariah J. DeMeola</w:t>
      </w:r>
    </w:p>
    <w:p w:rsidR="00C7232E" w:rsidRPr="002E0E97" w:rsidRDefault="00C7232E" w:rsidP="00C7232E">
      <w:pPr>
        <w:pStyle w:val="PlainText"/>
        <w:rPr>
          <w:rFonts w:ascii="Times New Roman" w:hAnsi="Times New Roman" w:cs="Times New Roman"/>
          <w:sz w:val="28"/>
          <w:szCs w:val="28"/>
        </w:rPr>
      </w:pPr>
      <w:r w:rsidRPr="002E0E97">
        <w:rPr>
          <w:rFonts w:ascii="Times New Roman" w:hAnsi="Times New Roman" w:cs="Times New Roman"/>
          <w:sz w:val="28"/>
          <w:szCs w:val="28"/>
        </w:rPr>
        <w:t>IAALS</w:t>
      </w:r>
    </w:p>
    <w:p w:rsidR="00C7232E" w:rsidRPr="002E0E97" w:rsidRDefault="00C7232E" w:rsidP="00C7232E">
      <w:pPr>
        <w:pStyle w:val="PlainText"/>
        <w:rPr>
          <w:rFonts w:ascii="Times New Roman" w:hAnsi="Times New Roman" w:cs="Times New Roman"/>
          <w:sz w:val="28"/>
          <w:szCs w:val="28"/>
        </w:rPr>
      </w:pPr>
      <w:r w:rsidRPr="002E0E97">
        <w:rPr>
          <w:rFonts w:ascii="Times New Roman" w:hAnsi="Times New Roman" w:cs="Times New Roman"/>
          <w:sz w:val="28"/>
          <w:szCs w:val="28"/>
        </w:rPr>
        <w:t>John Moye Hall</w:t>
      </w:r>
    </w:p>
    <w:p w:rsidR="00C7232E" w:rsidRPr="002E0E97" w:rsidRDefault="00C7232E" w:rsidP="00C7232E">
      <w:pPr>
        <w:pStyle w:val="PlainText"/>
        <w:rPr>
          <w:rFonts w:ascii="Times New Roman" w:hAnsi="Times New Roman" w:cs="Times New Roman"/>
          <w:sz w:val="28"/>
          <w:szCs w:val="28"/>
        </w:rPr>
      </w:pPr>
      <w:r w:rsidRPr="002E0E97">
        <w:rPr>
          <w:rFonts w:ascii="Times New Roman" w:hAnsi="Times New Roman" w:cs="Times New Roman"/>
          <w:sz w:val="28"/>
          <w:szCs w:val="28"/>
        </w:rPr>
        <w:t>2060 South Gaylord Way</w:t>
      </w:r>
    </w:p>
    <w:p w:rsidR="00C7232E" w:rsidRPr="002E0E97" w:rsidRDefault="00C7232E" w:rsidP="00C7232E">
      <w:pPr>
        <w:pStyle w:val="PlainText"/>
        <w:rPr>
          <w:rFonts w:ascii="Times New Roman" w:hAnsi="Times New Roman" w:cs="Times New Roman"/>
          <w:sz w:val="28"/>
          <w:szCs w:val="28"/>
        </w:rPr>
      </w:pPr>
      <w:r w:rsidRPr="002E0E97">
        <w:rPr>
          <w:rFonts w:ascii="Times New Roman" w:hAnsi="Times New Roman" w:cs="Times New Roman"/>
          <w:sz w:val="28"/>
          <w:szCs w:val="28"/>
        </w:rPr>
        <w:t>Denver, Colorado 80208</w:t>
      </w:r>
    </w:p>
    <w:p w:rsidR="00C7232E" w:rsidRPr="002E0E97" w:rsidRDefault="00C7232E" w:rsidP="00C7232E">
      <w:pPr>
        <w:pStyle w:val="PlainText"/>
        <w:rPr>
          <w:rFonts w:ascii="Times New Roman" w:hAnsi="Times New Roman" w:cs="Times New Roman"/>
          <w:sz w:val="28"/>
          <w:szCs w:val="28"/>
        </w:rPr>
      </w:pPr>
    </w:p>
    <w:p w:rsidR="00CE4B01" w:rsidRPr="002E0E97" w:rsidRDefault="00CE4B01" w:rsidP="00C7232E">
      <w:pPr>
        <w:rPr>
          <w:rFonts w:ascii="Times New Roman" w:hAnsi="Times New Roman"/>
          <w:sz w:val="28"/>
          <w:szCs w:val="28"/>
        </w:rPr>
      </w:pPr>
    </w:p>
    <w:p w:rsidR="009027EF" w:rsidRPr="002E0E97" w:rsidRDefault="009027EF" w:rsidP="009027EF">
      <w:pPr>
        <w:rPr>
          <w:rFonts w:ascii="Times New Roman" w:hAnsi="Times New Roman"/>
          <w:sz w:val="28"/>
          <w:szCs w:val="28"/>
        </w:rPr>
      </w:pPr>
    </w:p>
    <w:p w:rsidR="009027EF" w:rsidRPr="002E0E97" w:rsidRDefault="009027EF" w:rsidP="009027EF">
      <w:pPr>
        <w:jc w:val="center"/>
        <w:rPr>
          <w:rFonts w:ascii="Times New Roman" w:hAnsi="Times New Roman"/>
          <w:b/>
          <w:sz w:val="28"/>
          <w:szCs w:val="28"/>
        </w:rPr>
      </w:pPr>
      <w:r w:rsidRPr="002E0E97">
        <w:rPr>
          <w:rFonts w:ascii="Times New Roman" w:hAnsi="Times New Roman"/>
          <w:b/>
          <w:sz w:val="28"/>
          <w:szCs w:val="28"/>
        </w:rPr>
        <w:t>ARIZONA SUPREME COURT</w:t>
      </w:r>
    </w:p>
    <w:p w:rsidR="009027EF" w:rsidRPr="002E0E97" w:rsidRDefault="009027EF" w:rsidP="009027EF">
      <w:pPr>
        <w:rPr>
          <w:rFonts w:ascii="Times New Roman" w:hAnsi="Times New Roman"/>
          <w:sz w:val="28"/>
          <w:szCs w:val="28"/>
        </w:rPr>
      </w:pPr>
    </w:p>
    <w:p w:rsidR="009027EF" w:rsidRPr="002E0E97" w:rsidRDefault="009027EF" w:rsidP="009027EF">
      <w:pPr>
        <w:tabs>
          <w:tab w:val="left" w:pos="5040"/>
        </w:tabs>
        <w:rPr>
          <w:rFonts w:ascii="Times New Roman" w:hAnsi="Times New Roman"/>
          <w:sz w:val="28"/>
          <w:szCs w:val="28"/>
        </w:rPr>
      </w:pPr>
      <w:r w:rsidRPr="002E0E97">
        <w:rPr>
          <w:rFonts w:ascii="Times New Roman" w:hAnsi="Times New Roman"/>
          <w:sz w:val="28"/>
          <w:szCs w:val="28"/>
        </w:rPr>
        <w:t>In the matter of:</w:t>
      </w:r>
      <w:r w:rsidRPr="002E0E97">
        <w:rPr>
          <w:rFonts w:ascii="Times New Roman" w:hAnsi="Times New Roman"/>
          <w:sz w:val="28"/>
          <w:szCs w:val="28"/>
        </w:rPr>
        <w:tab/>
        <w:t>)</w:t>
      </w:r>
    </w:p>
    <w:p w:rsidR="009027EF" w:rsidRPr="002E0E97" w:rsidRDefault="009027EF" w:rsidP="009027EF">
      <w:pPr>
        <w:tabs>
          <w:tab w:val="left" w:pos="5040"/>
        </w:tabs>
        <w:rPr>
          <w:rFonts w:ascii="Times New Roman" w:hAnsi="Times New Roman"/>
          <w:sz w:val="28"/>
          <w:szCs w:val="28"/>
        </w:rPr>
      </w:pPr>
      <w:r w:rsidRPr="002E0E97">
        <w:rPr>
          <w:rFonts w:ascii="Times New Roman" w:hAnsi="Times New Roman"/>
          <w:sz w:val="28"/>
          <w:szCs w:val="28"/>
        </w:rPr>
        <w:tab/>
        <w:t>)</w:t>
      </w:r>
    </w:p>
    <w:p w:rsidR="009027EF" w:rsidRPr="002E0E97" w:rsidRDefault="009027EF" w:rsidP="009027EF">
      <w:pPr>
        <w:tabs>
          <w:tab w:val="left" w:pos="5040"/>
          <w:tab w:val="left" w:pos="5760"/>
        </w:tabs>
        <w:rPr>
          <w:rFonts w:ascii="Times New Roman" w:hAnsi="Times New Roman"/>
          <w:sz w:val="28"/>
          <w:szCs w:val="28"/>
        </w:rPr>
      </w:pPr>
      <w:r w:rsidRPr="002E0E97">
        <w:rPr>
          <w:rFonts w:ascii="Times New Roman" w:hAnsi="Times New Roman"/>
          <w:sz w:val="28"/>
          <w:szCs w:val="28"/>
        </w:rPr>
        <w:t>RESTYLE AND AMEND RULE 31;</w:t>
      </w:r>
      <w:r w:rsidRPr="002E0E97">
        <w:rPr>
          <w:rFonts w:ascii="Times New Roman" w:hAnsi="Times New Roman"/>
          <w:sz w:val="28"/>
          <w:szCs w:val="28"/>
        </w:rPr>
        <w:tab/>
        <w:t>)</w:t>
      </w:r>
      <w:r w:rsidRPr="002E0E97">
        <w:rPr>
          <w:rFonts w:ascii="Times New Roman" w:hAnsi="Times New Roman"/>
          <w:sz w:val="28"/>
          <w:szCs w:val="28"/>
        </w:rPr>
        <w:tab/>
        <w:t>Supreme Court No. R-20-0034</w:t>
      </w:r>
    </w:p>
    <w:p w:rsidR="009027EF" w:rsidRPr="002E0E97" w:rsidRDefault="009027EF" w:rsidP="009027EF">
      <w:pPr>
        <w:tabs>
          <w:tab w:val="left" w:pos="5040"/>
          <w:tab w:val="left" w:pos="5760"/>
        </w:tabs>
        <w:rPr>
          <w:rFonts w:ascii="Times New Roman" w:hAnsi="Times New Roman"/>
          <w:sz w:val="28"/>
          <w:szCs w:val="28"/>
        </w:rPr>
      </w:pPr>
      <w:r w:rsidRPr="002E0E97">
        <w:rPr>
          <w:rFonts w:ascii="Times New Roman" w:hAnsi="Times New Roman"/>
          <w:sz w:val="28"/>
          <w:szCs w:val="28"/>
        </w:rPr>
        <w:t>ADOPT NEW RULE 33.1; AMEND</w:t>
      </w:r>
      <w:r w:rsidRPr="002E0E97">
        <w:rPr>
          <w:rFonts w:ascii="Times New Roman" w:hAnsi="Times New Roman"/>
          <w:sz w:val="28"/>
          <w:szCs w:val="28"/>
        </w:rPr>
        <w:tab/>
        <w:t>)</w:t>
      </w:r>
      <w:r w:rsidRPr="002E0E97">
        <w:rPr>
          <w:rFonts w:ascii="Times New Roman" w:hAnsi="Times New Roman"/>
          <w:sz w:val="28"/>
          <w:szCs w:val="28"/>
        </w:rPr>
        <w:tab/>
      </w:r>
    </w:p>
    <w:p w:rsidR="009027EF" w:rsidRPr="002E0E97" w:rsidRDefault="009027EF" w:rsidP="009027EF">
      <w:pPr>
        <w:tabs>
          <w:tab w:val="left" w:pos="5040"/>
          <w:tab w:val="left" w:pos="5760"/>
        </w:tabs>
        <w:rPr>
          <w:rFonts w:ascii="Times New Roman" w:hAnsi="Times New Roman"/>
          <w:sz w:val="28"/>
          <w:szCs w:val="28"/>
        </w:rPr>
      </w:pPr>
      <w:r w:rsidRPr="002E0E97">
        <w:rPr>
          <w:rFonts w:ascii="Times New Roman" w:hAnsi="Times New Roman"/>
          <w:sz w:val="28"/>
          <w:szCs w:val="28"/>
        </w:rPr>
        <w:t xml:space="preserve">RULES 32, 41, 42 (VARIOUS ERs FROM </w:t>
      </w:r>
      <w:r w:rsidRPr="002E0E97">
        <w:rPr>
          <w:rFonts w:ascii="Times New Roman" w:hAnsi="Times New Roman"/>
          <w:sz w:val="28"/>
          <w:szCs w:val="28"/>
        </w:rPr>
        <w:tab/>
        <w:t>)</w:t>
      </w:r>
      <w:r w:rsidRPr="002E0E97">
        <w:rPr>
          <w:rFonts w:ascii="Times New Roman" w:hAnsi="Times New Roman"/>
          <w:sz w:val="28"/>
          <w:szCs w:val="28"/>
        </w:rPr>
        <w:tab/>
        <w:t xml:space="preserve">           COMMENT</w:t>
      </w:r>
    </w:p>
    <w:p w:rsidR="009027EF" w:rsidRPr="002E0E97" w:rsidRDefault="009027EF" w:rsidP="009027EF">
      <w:pPr>
        <w:tabs>
          <w:tab w:val="left" w:pos="5040"/>
          <w:tab w:val="left" w:pos="5760"/>
        </w:tabs>
        <w:rPr>
          <w:rFonts w:ascii="Times New Roman" w:hAnsi="Times New Roman"/>
          <w:sz w:val="28"/>
          <w:szCs w:val="28"/>
        </w:rPr>
      </w:pPr>
      <w:r w:rsidRPr="002E0E97">
        <w:rPr>
          <w:rFonts w:ascii="Times New Roman" w:hAnsi="Times New Roman"/>
          <w:sz w:val="28"/>
          <w:szCs w:val="28"/>
        </w:rPr>
        <w:t>1.0 TO 5.7), 46-51, 54-58 AND 75-76</w:t>
      </w:r>
      <w:r w:rsidRPr="002E0E97">
        <w:rPr>
          <w:rFonts w:ascii="Times New Roman" w:hAnsi="Times New Roman"/>
          <w:sz w:val="28"/>
          <w:szCs w:val="28"/>
        </w:rPr>
        <w:tab/>
        <w:t>)</w:t>
      </w:r>
    </w:p>
    <w:p w:rsidR="009027EF" w:rsidRPr="002E0E97" w:rsidRDefault="009027EF" w:rsidP="009027EF">
      <w:pPr>
        <w:tabs>
          <w:tab w:val="left" w:pos="5040"/>
          <w:tab w:val="left" w:pos="5760"/>
        </w:tabs>
        <w:rPr>
          <w:rFonts w:ascii="Times New Roman" w:hAnsi="Times New Roman"/>
          <w:sz w:val="28"/>
          <w:szCs w:val="28"/>
        </w:rPr>
      </w:pPr>
      <w:r w:rsidRPr="002E0E97">
        <w:rPr>
          <w:rFonts w:ascii="Times New Roman" w:hAnsi="Times New Roman"/>
          <w:sz w:val="28"/>
          <w:szCs w:val="28"/>
        </w:rPr>
        <w:t>____________________________________)</w:t>
      </w:r>
    </w:p>
    <w:p w:rsidR="009027EF" w:rsidRPr="002E0E97" w:rsidRDefault="009027EF" w:rsidP="009027EF">
      <w:pPr>
        <w:jc w:val="both"/>
        <w:rPr>
          <w:rFonts w:ascii="Times New Roman" w:hAnsi="Times New Roman"/>
          <w:sz w:val="28"/>
          <w:szCs w:val="28"/>
        </w:rPr>
      </w:pP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We write on behalf of IAALS, the Institute for the Advancement of the American Legal System at the University of Denver, in support of the Petition to Amend Rules 31, 32, 41, (ERs 1.0-5.7, 46-51, 54-58, 60, 75 and 76, Ariz. R. Sup. Ct., and Adopt New Rule 33.1, Ariz. R. Sup. Ct. (the “Petition”). We urge the Arizona Supreme Court to eliminate Ethical Rule 5.4 and adopt the framework proposed in the Petition for regulating alternative business structures (ABS</w:t>
      </w:r>
      <w:r w:rsidR="00DD27C2">
        <w:rPr>
          <w:rFonts w:ascii="Times New Roman" w:hAnsi="Times New Roman"/>
          <w:sz w:val="28"/>
          <w:szCs w:val="28"/>
        </w:rPr>
        <w:t>s</w:t>
      </w:r>
      <w:r w:rsidRPr="002E0E97">
        <w:rPr>
          <w:rFonts w:ascii="Times New Roman" w:hAnsi="Times New Roman"/>
          <w:sz w:val="28"/>
          <w:szCs w:val="28"/>
        </w:rPr>
        <w:t xml:space="preserve">). Doing so will facilitate the development of new, innovative business and service offerings, permit outside investment and/or multi-professional business models, and expand Arizona attorneys’ ability to offer legal services to their clients. Such a change could benefit the bottom line for Arizona attorneys and their firms, in </w:t>
      </w:r>
      <w:r w:rsidRPr="002E0E97">
        <w:rPr>
          <w:rFonts w:ascii="Times New Roman" w:hAnsi="Times New Roman"/>
          <w:sz w:val="28"/>
          <w:szCs w:val="28"/>
        </w:rPr>
        <w:lastRenderedPageBreak/>
        <w:t xml:space="preserve">addition to potentially expanding the reach of legal services to accommodate many </w:t>
      </w:r>
      <w:r w:rsidR="006E170C">
        <w:rPr>
          <w:rFonts w:ascii="Times New Roman" w:hAnsi="Times New Roman"/>
          <w:sz w:val="28"/>
          <w:szCs w:val="28"/>
        </w:rPr>
        <w:t xml:space="preserve">unmet </w:t>
      </w:r>
      <w:r w:rsidRPr="002E0E97">
        <w:rPr>
          <w:rFonts w:ascii="Times New Roman" w:hAnsi="Times New Roman"/>
          <w:sz w:val="28"/>
          <w:szCs w:val="28"/>
        </w:rPr>
        <w:t xml:space="preserve">needs. </w:t>
      </w:r>
    </w:p>
    <w:p w:rsidR="002E0E97" w:rsidRPr="002E0E97" w:rsidRDefault="002E0E97" w:rsidP="002E0E97">
      <w:pPr>
        <w:spacing w:line="480" w:lineRule="auto"/>
        <w:jc w:val="center"/>
        <w:rPr>
          <w:rFonts w:ascii="Times New Roman" w:hAnsi="Times New Roman"/>
          <w:b/>
          <w:bCs/>
          <w:sz w:val="28"/>
          <w:szCs w:val="28"/>
        </w:rPr>
      </w:pPr>
      <w:r w:rsidRPr="002E0E97">
        <w:rPr>
          <w:rFonts w:ascii="Times New Roman" w:hAnsi="Times New Roman"/>
          <w:b/>
          <w:bCs/>
          <w:sz w:val="28"/>
          <w:szCs w:val="28"/>
        </w:rPr>
        <w:t>A Consequential Rule Unsupported by Evidence</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 xml:space="preserve">Arizona Ethical Rule 5.4, identical to ABA Model Rule of Professional Conduct 5.4, ostensibly exists to preserve lawyers’ independent judgment, but it does very little to offer such protection. </w:t>
      </w:r>
      <w:r w:rsidR="006E170C">
        <w:rPr>
          <w:rFonts w:ascii="Times New Roman" w:hAnsi="Times New Roman"/>
          <w:sz w:val="28"/>
          <w:szCs w:val="28"/>
        </w:rPr>
        <w:t xml:space="preserve">Many </w:t>
      </w:r>
      <w:r w:rsidRPr="002E0E97">
        <w:rPr>
          <w:rFonts w:ascii="Times New Roman" w:hAnsi="Times New Roman"/>
          <w:sz w:val="28"/>
          <w:szCs w:val="28"/>
        </w:rPr>
        <w:t>other rules already protect a lawyer’s independence in exercising professional judgment on a client’s behalf and free from control of others—a bedrock of any attorney’s ethical obligations.</w:t>
      </w:r>
      <w:r w:rsidRPr="002E0E97">
        <w:rPr>
          <w:rStyle w:val="FootnoteReference"/>
          <w:rFonts w:ascii="Times New Roman" w:hAnsi="Times New Roman"/>
          <w:sz w:val="28"/>
          <w:szCs w:val="28"/>
        </w:rPr>
        <w:footnoteReference w:id="1"/>
      </w:r>
      <w:r w:rsidRPr="002E0E97">
        <w:rPr>
          <w:rFonts w:ascii="Times New Roman" w:hAnsi="Times New Roman"/>
          <w:sz w:val="28"/>
          <w:szCs w:val="28"/>
        </w:rPr>
        <w:t xml:space="preserve"> Instead, Rule 5.4 principally exists only to constrain business practices.</w:t>
      </w:r>
      <w:r w:rsidRPr="002E0E97">
        <w:rPr>
          <w:rStyle w:val="FootnoteReference"/>
          <w:rFonts w:ascii="Times New Roman" w:hAnsi="Times New Roman"/>
          <w:sz w:val="28"/>
          <w:szCs w:val="28"/>
        </w:rPr>
        <w:footnoteReference w:id="2"/>
      </w:r>
      <w:r w:rsidRPr="002E0E97">
        <w:rPr>
          <w:rFonts w:ascii="Times New Roman" w:hAnsi="Times New Roman"/>
          <w:sz w:val="28"/>
          <w:szCs w:val="28"/>
        </w:rPr>
        <w:t xml:space="preserve"> Most of Rule 5.4’s provisions are not directed toward ethical behavior at all, but </w:t>
      </w:r>
      <w:r w:rsidR="006E170C">
        <w:rPr>
          <w:rFonts w:ascii="Times New Roman" w:hAnsi="Times New Roman"/>
          <w:sz w:val="28"/>
          <w:szCs w:val="28"/>
        </w:rPr>
        <w:t xml:space="preserve">instead </w:t>
      </w:r>
      <w:r w:rsidRPr="002E0E97">
        <w:rPr>
          <w:rFonts w:ascii="Times New Roman" w:hAnsi="Times New Roman"/>
          <w:sz w:val="28"/>
          <w:szCs w:val="28"/>
        </w:rPr>
        <w:t xml:space="preserve">are economic rules that dictate how lawyers are allowed </w:t>
      </w:r>
      <w:r w:rsidR="006E170C">
        <w:rPr>
          <w:rFonts w:ascii="Times New Roman" w:hAnsi="Times New Roman"/>
          <w:sz w:val="28"/>
          <w:szCs w:val="28"/>
        </w:rPr>
        <w:t xml:space="preserve">to </w:t>
      </w:r>
      <w:r w:rsidRPr="002E0E97">
        <w:rPr>
          <w:rFonts w:ascii="Times New Roman" w:hAnsi="Times New Roman"/>
          <w:sz w:val="28"/>
          <w:szCs w:val="28"/>
        </w:rPr>
        <w:t xml:space="preserve">structure their business with other lawyers and allied professionals. </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 xml:space="preserve">The rule prohibits lawyers from sharing legal fees with other others, prohibits others from having any financial interest in law firms, and prohibits lawyers from forming partnerships with anyone other than a lawyer if any of the </w:t>
      </w:r>
      <w:r w:rsidRPr="002E0E97">
        <w:rPr>
          <w:rFonts w:ascii="Times New Roman" w:hAnsi="Times New Roman"/>
          <w:sz w:val="28"/>
          <w:szCs w:val="28"/>
        </w:rPr>
        <w:lastRenderedPageBreak/>
        <w:t xml:space="preserve">partnership’s activities consist of the practice of law. These business practices are linked to independent professional judgment by the thinnest of unsupported assumptions. In fact, IAALS </w:t>
      </w:r>
      <w:r w:rsidR="006E170C">
        <w:rPr>
          <w:rFonts w:ascii="Times New Roman" w:hAnsi="Times New Roman"/>
          <w:sz w:val="28"/>
          <w:szCs w:val="28"/>
        </w:rPr>
        <w:t>has not identified</w:t>
      </w:r>
      <w:r w:rsidRPr="002E0E97">
        <w:rPr>
          <w:rFonts w:ascii="Times New Roman" w:hAnsi="Times New Roman"/>
          <w:sz w:val="28"/>
          <w:szCs w:val="28"/>
        </w:rPr>
        <w:t xml:space="preserve"> any evidence that these business practices inherently compromise the independent judgment of lawyers, and certainly not in any way that requires the</w:t>
      </w:r>
      <w:r w:rsidR="006E170C">
        <w:rPr>
          <w:rFonts w:ascii="Times New Roman" w:hAnsi="Times New Roman"/>
          <w:sz w:val="28"/>
          <w:szCs w:val="28"/>
        </w:rPr>
        <w:t>ir</w:t>
      </w:r>
      <w:r w:rsidRPr="002E0E97">
        <w:rPr>
          <w:rFonts w:ascii="Times New Roman" w:hAnsi="Times New Roman"/>
          <w:sz w:val="28"/>
          <w:szCs w:val="28"/>
        </w:rPr>
        <w:t xml:space="preserve"> categorical prohibition. And </w:t>
      </w:r>
      <w:r w:rsidR="006E170C">
        <w:rPr>
          <w:rFonts w:ascii="Times New Roman" w:hAnsi="Times New Roman"/>
          <w:sz w:val="28"/>
          <w:szCs w:val="28"/>
        </w:rPr>
        <w:t>when</w:t>
      </w:r>
      <w:r w:rsidRPr="002E0E97">
        <w:rPr>
          <w:rFonts w:ascii="Times New Roman" w:hAnsi="Times New Roman"/>
          <w:sz w:val="28"/>
          <w:szCs w:val="28"/>
        </w:rPr>
        <w:t xml:space="preserve"> the rule was originally drafted, there was no evidence that the corporations then supplying lawyers to clients were harming the public. Today, lawyers currently work within corporations, insurance companies, and accounting firms and have been doing so for years. There is no evidence that this arrangement destroys these attorneys’ independent judgment. Absent the need for Rule 5.4 to protect the independent judgment of a lawyer—protection amply afforded elsewhere in the rules—the lack of any real evidence behind Rule 5.4 is alarming, given that the rule’s economic restrictions have had severe consequences for lawyers and for people in need of legal services. </w:t>
      </w:r>
    </w:p>
    <w:p w:rsidR="002E0E97" w:rsidRPr="002E0E97" w:rsidRDefault="002E0E97" w:rsidP="002E0E97">
      <w:pPr>
        <w:spacing w:line="480" w:lineRule="auto"/>
        <w:jc w:val="center"/>
        <w:rPr>
          <w:rFonts w:ascii="Times New Roman" w:hAnsi="Times New Roman"/>
          <w:b/>
          <w:bCs/>
          <w:sz w:val="28"/>
          <w:szCs w:val="28"/>
        </w:rPr>
      </w:pPr>
      <w:r w:rsidRPr="002E0E97">
        <w:rPr>
          <w:rFonts w:ascii="Times New Roman" w:hAnsi="Times New Roman"/>
          <w:b/>
          <w:bCs/>
          <w:sz w:val="28"/>
          <w:szCs w:val="28"/>
        </w:rPr>
        <w:t>Rule 5.4’s Detrimental Effects on Attorneys</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 xml:space="preserve">For example, the Rule has condemned law firms to systemic inefficiency. Lawyers are not allowed to bring in business partners with expertise in business, marketing, or technology. Instead, many lawyers spend much (if not most) of their day-to-day time on administrative tasks and work related to marketing and earning </w:t>
      </w:r>
      <w:r w:rsidRPr="002E0E97">
        <w:rPr>
          <w:rFonts w:ascii="Times New Roman" w:hAnsi="Times New Roman"/>
          <w:sz w:val="28"/>
          <w:szCs w:val="28"/>
        </w:rPr>
        <w:lastRenderedPageBreak/>
        <w:t>new clients.</w:t>
      </w:r>
      <w:r w:rsidRPr="002E0E97">
        <w:rPr>
          <w:rStyle w:val="FootnoteReference"/>
          <w:rFonts w:ascii="Times New Roman" w:hAnsi="Times New Roman"/>
          <w:sz w:val="28"/>
          <w:szCs w:val="28"/>
        </w:rPr>
        <w:footnoteReference w:id="3"/>
      </w:r>
      <w:r w:rsidRPr="002E0E97">
        <w:rPr>
          <w:rFonts w:ascii="Times New Roman" w:hAnsi="Times New Roman"/>
          <w:sz w:val="28"/>
          <w:szCs w:val="28"/>
        </w:rPr>
        <w:t xml:space="preserve"> One report suggests that some solo and small firm practitioners earn just 1.6 hours in billable work per day, after factoring in the number of billable hours that never make it to an invoice and the amounts forfeited by unpaid bills.</w:t>
      </w:r>
      <w:r w:rsidRPr="002E0E97">
        <w:rPr>
          <w:rStyle w:val="FootnoteReference"/>
          <w:rFonts w:ascii="Times New Roman" w:hAnsi="Times New Roman"/>
          <w:sz w:val="28"/>
          <w:szCs w:val="28"/>
        </w:rPr>
        <w:footnoteReference w:id="4"/>
      </w:r>
      <w:r w:rsidRPr="002E0E97">
        <w:rPr>
          <w:rFonts w:ascii="Times New Roman" w:hAnsi="Times New Roman"/>
          <w:sz w:val="28"/>
          <w:szCs w:val="28"/>
        </w:rPr>
        <w:t xml:space="preserve"> This restriction puts lawyers in the unenviable position of having to run a business with structural impediments to making services more efficient—a detriment unique to the legal profession.</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 xml:space="preserve">To make matters worse, lawyers’ ability to innovate or scale the services they provide is hampered by Rule 5.4’s prohibition on taking capital investments from sources outside lawyer partnerships. And because Rule 5.4 restricts lawyers to organizing legal services in sole proprietorships, legal partnerships, or LLCs, money paid for services is received as fees and profits are distributed to partners/owners at the end of the fiscal year, offering little in the way of incentive to forego distributions and invest in technology or other long-term solutions to better serve clients. In fact, while nearly every other industry is taking advantage of new technology, multi-disciplinary collaboration, and the ability to leverage to scale services, lawyers remain woefully behind. </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 xml:space="preserve">Handicapped by structural inefficiency and unable to leverage modern tools for growth, lawyers are at a severe disadvantage to competitors in an economy </w:t>
      </w:r>
      <w:r w:rsidRPr="002E0E97">
        <w:rPr>
          <w:rFonts w:ascii="Times New Roman" w:hAnsi="Times New Roman"/>
          <w:sz w:val="28"/>
          <w:szCs w:val="28"/>
        </w:rPr>
        <w:lastRenderedPageBreak/>
        <w:t>characterized by technologically adept consumers expecting solutions to be readily available and accessible. According to the 2019 Altman Weil Law Firms in Transition study, 63 percent of attorneys indicated their firm</w:t>
      </w:r>
      <w:r w:rsidR="006E170C">
        <w:rPr>
          <w:rFonts w:ascii="Times New Roman" w:hAnsi="Times New Roman"/>
          <w:sz w:val="28"/>
          <w:szCs w:val="28"/>
        </w:rPr>
        <w:t>s</w:t>
      </w:r>
      <w:r w:rsidRPr="002E0E97">
        <w:rPr>
          <w:rFonts w:ascii="Times New Roman" w:hAnsi="Times New Roman"/>
          <w:sz w:val="28"/>
          <w:szCs w:val="28"/>
        </w:rPr>
        <w:t xml:space="preserve"> w</w:t>
      </w:r>
      <w:r w:rsidR="006E170C">
        <w:rPr>
          <w:rFonts w:ascii="Times New Roman" w:hAnsi="Times New Roman"/>
          <w:sz w:val="28"/>
          <w:szCs w:val="28"/>
        </w:rPr>
        <w:t>ere</w:t>
      </w:r>
      <w:r w:rsidRPr="002E0E97">
        <w:rPr>
          <w:rFonts w:ascii="Times New Roman" w:hAnsi="Times New Roman"/>
          <w:sz w:val="28"/>
          <w:szCs w:val="28"/>
        </w:rPr>
        <w:t xml:space="preserve"> losing business to corporate law departments and 14 percent reported losing business to alternative legal providers.</w:t>
      </w:r>
      <w:r w:rsidRPr="002E0E97">
        <w:rPr>
          <w:rStyle w:val="FootnoteReference"/>
          <w:rFonts w:ascii="Times New Roman" w:hAnsi="Times New Roman"/>
          <w:sz w:val="28"/>
          <w:szCs w:val="28"/>
        </w:rPr>
        <w:footnoteReference w:id="5"/>
      </w:r>
      <w:r w:rsidRPr="002E0E97">
        <w:rPr>
          <w:rFonts w:ascii="Times New Roman" w:hAnsi="Times New Roman"/>
          <w:sz w:val="28"/>
          <w:szCs w:val="28"/>
        </w:rPr>
        <w:t xml:space="preserve"> And unregulated companies such as LegalZoom or Rocket Lawyer have the ability to scale in a way </w:t>
      </w:r>
      <w:proofErr w:type="gramStart"/>
      <w:r w:rsidRPr="002E0E97">
        <w:rPr>
          <w:rFonts w:ascii="Times New Roman" w:hAnsi="Times New Roman"/>
          <w:sz w:val="28"/>
          <w:szCs w:val="28"/>
        </w:rPr>
        <w:t>lawyers</w:t>
      </w:r>
      <w:proofErr w:type="gramEnd"/>
      <w:r w:rsidRPr="002E0E97">
        <w:rPr>
          <w:rFonts w:ascii="Times New Roman" w:hAnsi="Times New Roman"/>
          <w:sz w:val="28"/>
          <w:szCs w:val="28"/>
        </w:rPr>
        <w:t xml:space="preserve"> do not. </w:t>
      </w:r>
    </w:p>
    <w:p w:rsidR="002E0E97" w:rsidRPr="002E0E97" w:rsidRDefault="002E0E97" w:rsidP="002E0E97">
      <w:pPr>
        <w:spacing w:line="480" w:lineRule="auto"/>
        <w:jc w:val="center"/>
        <w:rPr>
          <w:rFonts w:ascii="Times New Roman" w:hAnsi="Times New Roman"/>
          <w:b/>
          <w:bCs/>
          <w:sz w:val="28"/>
          <w:szCs w:val="28"/>
        </w:rPr>
      </w:pPr>
      <w:bookmarkStart w:id="1" w:name="_Hlk36032376"/>
      <w:r w:rsidRPr="002E0E97">
        <w:rPr>
          <w:rFonts w:ascii="Times New Roman" w:hAnsi="Times New Roman"/>
          <w:b/>
          <w:bCs/>
          <w:sz w:val="28"/>
          <w:szCs w:val="28"/>
        </w:rPr>
        <w:t>Rule 5.4’s Detrimental Effects on Consumers</w:t>
      </w:r>
    </w:p>
    <w:bookmarkEnd w:id="1"/>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 xml:space="preserve">The movement toward regulatory reform of the legal profession, a movement now reaching across multiple states, is driven </w:t>
      </w:r>
      <w:r w:rsidR="006E170C">
        <w:rPr>
          <w:rFonts w:ascii="Times New Roman" w:hAnsi="Times New Roman"/>
          <w:sz w:val="28"/>
          <w:szCs w:val="28"/>
        </w:rPr>
        <w:t xml:space="preserve">not only </w:t>
      </w:r>
      <w:r w:rsidRPr="002E0E97">
        <w:rPr>
          <w:rFonts w:ascii="Times New Roman" w:hAnsi="Times New Roman"/>
          <w:sz w:val="28"/>
          <w:szCs w:val="28"/>
        </w:rPr>
        <w:t xml:space="preserve">by the need for a more sustainable model of practice for lawyers, but also </w:t>
      </w:r>
      <w:r w:rsidR="006E170C">
        <w:rPr>
          <w:rFonts w:ascii="Times New Roman" w:hAnsi="Times New Roman"/>
          <w:sz w:val="28"/>
          <w:szCs w:val="28"/>
        </w:rPr>
        <w:t>the</w:t>
      </w:r>
      <w:r w:rsidRPr="002E0E97">
        <w:rPr>
          <w:rFonts w:ascii="Times New Roman" w:hAnsi="Times New Roman"/>
          <w:sz w:val="28"/>
          <w:szCs w:val="28"/>
        </w:rPr>
        <w:t xml:space="preserve"> recognition that the American legal system </w:t>
      </w:r>
      <w:r w:rsidR="006E170C">
        <w:rPr>
          <w:rFonts w:ascii="Times New Roman" w:hAnsi="Times New Roman"/>
          <w:sz w:val="28"/>
          <w:szCs w:val="28"/>
        </w:rPr>
        <w:t>faces a crisis in terms of</w:t>
      </w:r>
      <w:r w:rsidRPr="002E0E97">
        <w:rPr>
          <w:rFonts w:ascii="Times New Roman" w:hAnsi="Times New Roman"/>
          <w:sz w:val="28"/>
          <w:szCs w:val="28"/>
        </w:rPr>
        <w:t xml:space="preserve"> public dissatisfaction and disengagement. The inefficiency of Rule 5.4’s economic regulations has significantly contributed to an environment where lawyers must charge fees that most people in the United States simply cannot afford. </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The United States ranks 99th out of 126 countries for accessibility to legal services,</w:t>
      </w:r>
      <w:r w:rsidRPr="002E0E97">
        <w:rPr>
          <w:rFonts w:ascii="Times New Roman" w:hAnsi="Times New Roman"/>
          <w:sz w:val="28"/>
          <w:szCs w:val="28"/>
          <w:vertAlign w:val="superscript"/>
        </w:rPr>
        <w:footnoteReference w:id="6"/>
      </w:r>
      <w:r w:rsidRPr="002E0E97">
        <w:rPr>
          <w:rFonts w:ascii="Times New Roman" w:hAnsi="Times New Roman"/>
          <w:sz w:val="28"/>
          <w:szCs w:val="28"/>
        </w:rPr>
        <w:t xml:space="preserve"> and the problem reaches far up the income scale. It is not only the </w:t>
      </w:r>
      <w:r w:rsidRPr="002E0E97">
        <w:rPr>
          <w:rFonts w:ascii="Times New Roman" w:hAnsi="Times New Roman"/>
          <w:sz w:val="28"/>
          <w:szCs w:val="28"/>
        </w:rPr>
        <w:lastRenderedPageBreak/>
        <w:t>poorest who lack access to legal services, it is also the middle class and small businesses. According to the ABA, in some jurisdictions over 80 percent of the civil legal needs of lower- to middle-income individuals are unmet.</w:t>
      </w:r>
      <w:r w:rsidRPr="002E0E97">
        <w:rPr>
          <w:rStyle w:val="FootnoteReference"/>
          <w:rFonts w:ascii="Times New Roman" w:eastAsia="Times New Roman" w:hAnsi="Times New Roman"/>
          <w:sz w:val="28"/>
          <w:szCs w:val="28"/>
        </w:rPr>
        <w:footnoteReference w:id="7"/>
      </w:r>
      <w:r w:rsidRPr="002E0E97">
        <w:rPr>
          <w:rFonts w:ascii="Times New Roman" w:hAnsi="Times New Roman"/>
          <w:sz w:val="28"/>
          <w:szCs w:val="28"/>
        </w:rPr>
        <w:t xml:space="preserve"> People want legal help, and they are not getting the help they need.</w:t>
      </w:r>
      <w:r w:rsidRPr="002E0E97">
        <w:rPr>
          <w:rStyle w:val="FootnoteReference"/>
          <w:rFonts w:ascii="Times New Roman" w:hAnsi="Times New Roman"/>
          <w:sz w:val="28"/>
          <w:szCs w:val="28"/>
          <w:highlight w:val="white"/>
        </w:rPr>
        <w:footnoteReference w:id="8"/>
      </w:r>
      <w:r w:rsidRPr="002E0E97">
        <w:rPr>
          <w:rFonts w:ascii="Times New Roman" w:hAnsi="Times New Roman"/>
          <w:sz w:val="28"/>
          <w:szCs w:val="28"/>
        </w:rPr>
        <w:t xml:space="preserve"> When </w:t>
      </w:r>
      <w:r w:rsidR="006E170C">
        <w:rPr>
          <w:rFonts w:ascii="Times New Roman" w:hAnsi="Times New Roman"/>
          <w:sz w:val="28"/>
          <w:szCs w:val="28"/>
        </w:rPr>
        <w:t xml:space="preserve">this reality collides with our ideal of </w:t>
      </w:r>
      <w:r w:rsidRPr="002E0E97">
        <w:rPr>
          <w:rFonts w:ascii="Times New Roman" w:hAnsi="Times New Roman"/>
          <w:sz w:val="28"/>
          <w:szCs w:val="28"/>
        </w:rPr>
        <w:t>“equality under the law” the sustainability of the legal system is threatened.</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Whether by choice or by circumstance, the American public is increasingly turning away from the legal system. Americans seek lawyers for help or consider doing so for only 16 percent of the civil justice situations they encounter, and 76 percent of cases in state courts involve at least one self-represented party.</w:t>
      </w:r>
      <w:r w:rsidRPr="002E0E97">
        <w:rPr>
          <w:rFonts w:ascii="Times New Roman" w:hAnsi="Times New Roman"/>
          <w:sz w:val="28"/>
          <w:szCs w:val="28"/>
          <w:highlight w:val="white"/>
          <w:vertAlign w:val="superscript"/>
        </w:rPr>
        <w:footnoteReference w:id="9"/>
      </w:r>
      <w:r w:rsidRPr="002E0E97">
        <w:rPr>
          <w:rFonts w:ascii="Times New Roman" w:hAnsi="Times New Roman"/>
          <w:sz w:val="28"/>
          <w:szCs w:val="28"/>
        </w:rPr>
        <w:t xml:space="preserve"> In his </w:t>
      </w:r>
      <w:r w:rsidRPr="002E0E97">
        <w:rPr>
          <w:rFonts w:ascii="Times New Roman" w:hAnsi="Times New Roman"/>
          <w:sz w:val="28"/>
          <w:szCs w:val="28"/>
        </w:rPr>
        <w:lastRenderedPageBreak/>
        <w:t>study on the legal services landscape, Professor William Henderson noted that “As society becomes wealthier through better and cheaper good and services, human-intensive fields such as law, medical care, and higher education become relatively more expensive,” but “[</w:t>
      </w:r>
      <w:proofErr w:type="spellStart"/>
      <w:r w:rsidRPr="002E0E97">
        <w:rPr>
          <w:rFonts w:ascii="Times New Roman" w:hAnsi="Times New Roman"/>
          <w:sz w:val="28"/>
          <w:szCs w:val="28"/>
        </w:rPr>
        <w:t>i</w:t>
      </w:r>
      <w:proofErr w:type="spellEnd"/>
      <w:r w:rsidRPr="002E0E97">
        <w:rPr>
          <w:rFonts w:ascii="Times New Roman" w:hAnsi="Times New Roman"/>
          <w:sz w:val="28"/>
          <w:szCs w:val="28"/>
        </w:rPr>
        <w:t>]n contrast to medical care and higher education, however, a growing proportion of U.S. consumers are choosing to forgo legal services rather than pay a higher price.”</w:t>
      </w:r>
      <w:r w:rsidRPr="002E0E97">
        <w:rPr>
          <w:rStyle w:val="FootnoteReference"/>
          <w:rFonts w:ascii="Times New Roman" w:hAnsi="Times New Roman"/>
          <w:sz w:val="28"/>
          <w:szCs w:val="28"/>
        </w:rPr>
        <w:footnoteReference w:id="10"/>
      </w:r>
      <w:r w:rsidRPr="002E0E97">
        <w:rPr>
          <w:rFonts w:ascii="Times New Roman" w:hAnsi="Times New Roman"/>
          <w:sz w:val="28"/>
          <w:szCs w:val="28"/>
        </w:rPr>
        <w:t xml:space="preserve"> </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 xml:space="preserve">What do these statistics </w:t>
      </w:r>
      <w:proofErr w:type="gramStart"/>
      <w:r w:rsidRPr="002E0E97">
        <w:rPr>
          <w:rFonts w:ascii="Times New Roman" w:hAnsi="Times New Roman"/>
          <w:sz w:val="28"/>
          <w:szCs w:val="28"/>
        </w:rPr>
        <w:t>actually mean</w:t>
      </w:r>
      <w:proofErr w:type="gramEnd"/>
      <w:r w:rsidRPr="002E0E97">
        <w:rPr>
          <w:rFonts w:ascii="Times New Roman" w:hAnsi="Times New Roman"/>
          <w:sz w:val="28"/>
          <w:szCs w:val="28"/>
        </w:rPr>
        <w:t>? They mean that many people face major challenges to their financial security, living security, and their physical and mental health without any assistance, and, consequently, they often suffer significant adverse impacts on their lives. Evidence shows us that those forced to deal with issues such as evictions, mortgage foreclosures, child custody disputes, child support proceedings, and debt collection cases without legal help face disproportionately adverse outcomes.</w:t>
      </w:r>
      <w:r w:rsidRPr="002E0E97">
        <w:rPr>
          <w:rFonts w:ascii="Times New Roman" w:hAnsi="Times New Roman"/>
          <w:sz w:val="28"/>
          <w:szCs w:val="28"/>
          <w:highlight w:val="white"/>
          <w:vertAlign w:val="superscript"/>
        </w:rPr>
        <w:footnoteReference w:id="11"/>
      </w:r>
      <w:r w:rsidRPr="002E0E97">
        <w:rPr>
          <w:rFonts w:ascii="Times New Roman" w:hAnsi="Times New Roman"/>
          <w:sz w:val="28"/>
          <w:szCs w:val="28"/>
        </w:rPr>
        <w:t xml:space="preserve"> </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lastRenderedPageBreak/>
        <w:t xml:space="preserve">Lawyers, through pro bono and legal aid services, have worked to close part of the justice gap. But the need is just too great. An attorney’s average hourly rate is approximately $250, much more than most people can afford or want to pay, whichever the case may be. Providing </w:t>
      </w:r>
      <w:r w:rsidR="006E170C">
        <w:rPr>
          <w:rFonts w:ascii="Times New Roman" w:hAnsi="Times New Roman"/>
          <w:sz w:val="28"/>
          <w:szCs w:val="28"/>
        </w:rPr>
        <w:t xml:space="preserve">just </w:t>
      </w:r>
      <w:r w:rsidRPr="002E0E97">
        <w:rPr>
          <w:rFonts w:ascii="Times New Roman" w:hAnsi="Times New Roman"/>
          <w:sz w:val="28"/>
          <w:szCs w:val="28"/>
        </w:rPr>
        <w:t>one hour of attorney assistance to every household facing a legal problem would require over 200 hours of pro bono work per year by every lawyer in the country.</w:t>
      </w:r>
      <w:r w:rsidRPr="002E0E97">
        <w:rPr>
          <w:rFonts w:ascii="Times New Roman" w:hAnsi="Times New Roman"/>
          <w:sz w:val="28"/>
          <w:szCs w:val="28"/>
          <w:highlight w:val="white"/>
          <w:vertAlign w:val="superscript"/>
        </w:rPr>
        <w:footnoteReference w:id="12"/>
      </w:r>
      <w:r w:rsidRPr="002E0E97">
        <w:rPr>
          <w:rFonts w:ascii="Times New Roman" w:hAnsi="Times New Roman"/>
          <w:sz w:val="28"/>
          <w:szCs w:val="28"/>
        </w:rPr>
        <w:t xml:space="preserve"> The cost of providing legal help under our current rules is too expensive for lawyers to provide legal assistance at the scale needed to solve the problem. This is because our current rules require lawyers, and lawyers alone, to bear all the risk and all the responsibility of law practice.</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Emphasizing the point, ABA President Judy Perry Martinez recently stated, “We need new ideas. We are one-fifth into the 21</w:t>
      </w:r>
      <w:r w:rsidRPr="002E0E97">
        <w:rPr>
          <w:rFonts w:ascii="Times New Roman" w:hAnsi="Times New Roman"/>
          <w:sz w:val="28"/>
          <w:szCs w:val="28"/>
          <w:highlight w:val="white"/>
          <w:vertAlign w:val="superscript"/>
        </w:rPr>
        <w:t>st</w:t>
      </w:r>
      <w:r w:rsidRPr="002E0E97">
        <w:rPr>
          <w:rFonts w:ascii="Times New Roman" w:hAnsi="Times New Roman"/>
          <w:sz w:val="28"/>
          <w:szCs w:val="28"/>
        </w:rPr>
        <w:t xml:space="preserve"> century, yet we continue to rely on 20</w:t>
      </w:r>
      <w:r w:rsidRPr="002E0E97">
        <w:rPr>
          <w:rFonts w:ascii="Times New Roman" w:hAnsi="Times New Roman"/>
          <w:sz w:val="28"/>
          <w:szCs w:val="28"/>
          <w:highlight w:val="white"/>
          <w:vertAlign w:val="superscript"/>
        </w:rPr>
        <w:t>th</w:t>
      </w:r>
      <w:r w:rsidRPr="002E0E97">
        <w:rPr>
          <w:rFonts w:ascii="Times New Roman" w:hAnsi="Times New Roman"/>
          <w:sz w:val="28"/>
          <w:szCs w:val="28"/>
        </w:rPr>
        <w:t>-century processes, procedures and regulations.”</w:t>
      </w:r>
      <w:r w:rsidRPr="002E0E97">
        <w:rPr>
          <w:rStyle w:val="FootnoteReference"/>
          <w:rFonts w:ascii="Times New Roman" w:hAnsi="Times New Roman"/>
          <w:sz w:val="28"/>
          <w:szCs w:val="28"/>
          <w:highlight w:val="white"/>
        </w:rPr>
        <w:footnoteReference w:id="13"/>
      </w:r>
      <w:r w:rsidRPr="002E0E97">
        <w:rPr>
          <w:rFonts w:ascii="Times New Roman" w:hAnsi="Times New Roman"/>
          <w:sz w:val="28"/>
          <w:szCs w:val="28"/>
        </w:rPr>
        <w:t xml:space="preserve"> Under today’s regulatory system, in most jurisdictions, anyone other than a lawyer providing legal services would </w:t>
      </w:r>
      <w:proofErr w:type="gramStart"/>
      <w:r w:rsidRPr="002E0E97">
        <w:rPr>
          <w:rFonts w:ascii="Times New Roman" w:hAnsi="Times New Roman"/>
          <w:sz w:val="28"/>
          <w:szCs w:val="28"/>
        </w:rPr>
        <w:t>be seen as</w:t>
      </w:r>
      <w:proofErr w:type="gramEnd"/>
      <w:r w:rsidRPr="002E0E97">
        <w:rPr>
          <w:rFonts w:ascii="Times New Roman" w:hAnsi="Times New Roman"/>
          <w:sz w:val="28"/>
          <w:szCs w:val="28"/>
        </w:rPr>
        <w:t xml:space="preserve"> engaging in the unauthorized practice of law and can be subject </w:t>
      </w:r>
      <w:r w:rsidRPr="002E0E97">
        <w:rPr>
          <w:rFonts w:ascii="Times New Roman" w:hAnsi="Times New Roman"/>
          <w:sz w:val="28"/>
          <w:szCs w:val="28"/>
        </w:rPr>
        <w:lastRenderedPageBreak/>
        <w:t>to sanctions—even if those services were actually helping, not harming, consumers. Most jurisdictions prevent lawyers from sharing fees or ownership interest with any other professional. Eliminating Rule 5.4 and allowing outside investment and/or multi-professional business models would foster innovation in a sector deeply in need of innovative thinking and benefit a customer base that is deeply in need of legal services. Thus, access to legal services for consumers and sustainable practices for lawyers appear to be two sides of the same coin. As Professor Henderson writes, “We have entered a period where we are either going to redesign our legal institutions or they will fail.”</w:t>
      </w:r>
      <w:r w:rsidRPr="002E0E97">
        <w:rPr>
          <w:rStyle w:val="FootnoteReference"/>
          <w:rFonts w:ascii="Times New Roman" w:hAnsi="Times New Roman"/>
          <w:sz w:val="28"/>
          <w:szCs w:val="28"/>
        </w:rPr>
        <w:footnoteReference w:id="14"/>
      </w:r>
    </w:p>
    <w:p w:rsidR="002E0E97" w:rsidRPr="002E0E97" w:rsidRDefault="002E0E97" w:rsidP="002E0E97">
      <w:pPr>
        <w:spacing w:line="480" w:lineRule="auto"/>
        <w:jc w:val="center"/>
        <w:rPr>
          <w:rFonts w:ascii="Times New Roman" w:hAnsi="Times New Roman"/>
          <w:b/>
          <w:bCs/>
          <w:sz w:val="28"/>
          <w:szCs w:val="28"/>
        </w:rPr>
      </w:pPr>
      <w:r w:rsidRPr="002E0E97">
        <w:rPr>
          <w:rFonts w:ascii="Times New Roman" w:hAnsi="Times New Roman"/>
          <w:b/>
          <w:bCs/>
          <w:sz w:val="28"/>
          <w:szCs w:val="28"/>
        </w:rPr>
        <w:t xml:space="preserve">Evidence Supporting the Elimination of Rule 5.4 </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There is already strong public support for the rule changes proposed by the Petition. Over 60% of Arizonans surveyed agreed that the current requirement that restricts the ownership of any business that engages in the practice of law exclusively to lawyers should be eliminated.</w:t>
      </w:r>
      <w:r w:rsidRPr="002E0E97">
        <w:rPr>
          <w:rStyle w:val="FootnoteReference"/>
          <w:rFonts w:ascii="Times New Roman" w:hAnsi="Times New Roman"/>
          <w:sz w:val="28"/>
          <w:szCs w:val="28"/>
        </w:rPr>
        <w:footnoteReference w:id="15"/>
      </w:r>
      <w:r w:rsidRPr="002E0E97">
        <w:rPr>
          <w:rFonts w:ascii="Times New Roman" w:hAnsi="Times New Roman"/>
          <w:sz w:val="28"/>
          <w:szCs w:val="28"/>
        </w:rPr>
        <w:t xml:space="preserve"> In addition to public support, there is also ample evidence to suggest that these changes could lead to more innovation </w:t>
      </w:r>
      <w:r w:rsidRPr="002E0E97">
        <w:rPr>
          <w:rFonts w:ascii="Times New Roman" w:hAnsi="Times New Roman"/>
          <w:sz w:val="28"/>
          <w:szCs w:val="28"/>
        </w:rPr>
        <w:lastRenderedPageBreak/>
        <w:t>in the delivery of legal services, more available services for those who need them, and better quality services in general.</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Unlike Rule 5.4, the changes proposed in the Petition are not based solely on assumption. Research from England and Wales on ABSs operating under the Solicitors Regulation Authority (SRA) suggests that overall innovation among legal services providers, including innovation that reduces the cost of delivery legal services, is higher than among traditional providers. ABSs are three times as likely to make use of technology compared to other providers. Specifically, ABSs are twice as likely as other providers to use any of the following ten emerging technologies: interactive websites, live chat or virtual assistants, cloud or similar data storage mechanisms, ID-checking tools, custom-built smart device apps, technology assisted review (TAR), automated document assembly (ADA), robotic process automation (RPA), predictive technology, and smart contracts/distributed ledger technology (DLT).</w:t>
      </w:r>
      <w:r w:rsidRPr="002E0E97">
        <w:rPr>
          <w:rStyle w:val="FootnoteReference"/>
          <w:rFonts w:ascii="Times New Roman" w:hAnsi="Times New Roman"/>
          <w:sz w:val="28"/>
          <w:szCs w:val="28"/>
        </w:rPr>
        <w:footnoteReference w:id="16"/>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 xml:space="preserve">The beneficial impacts of technology on the quality of services is widely recognized, and technology has also been shown to reduce the costs of legal services delivery. Along with ABS entities, larger organizations and newer </w:t>
      </w:r>
      <w:r w:rsidRPr="002E0E97">
        <w:rPr>
          <w:rFonts w:ascii="Times New Roman" w:hAnsi="Times New Roman"/>
          <w:sz w:val="28"/>
          <w:szCs w:val="28"/>
        </w:rPr>
        <w:lastRenderedPageBreak/>
        <w:t>providers operating under the SRA were also more likely to innovate in a way that would result in more efficiency (reduced costs/increased profitability).</w:t>
      </w:r>
      <w:r w:rsidRPr="002E0E97">
        <w:rPr>
          <w:rStyle w:val="FootnoteReference"/>
          <w:rFonts w:ascii="Times New Roman" w:hAnsi="Times New Roman"/>
          <w:sz w:val="28"/>
          <w:szCs w:val="28"/>
        </w:rPr>
        <w:footnoteReference w:id="17"/>
      </w:r>
      <w:r w:rsidRPr="002E0E97">
        <w:rPr>
          <w:rFonts w:ascii="Times New Roman" w:hAnsi="Times New Roman"/>
          <w:sz w:val="28"/>
          <w:szCs w:val="28"/>
        </w:rPr>
        <w:t xml:space="preserve"> </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A 2016 review of the Law Society of England and Wales similarly illustrated that ABS firms were active in numerous, diverse areas, including residential conveyancing, personal injury, ADR/other litigation, corporate/commercial, and others.</w:t>
      </w:r>
      <w:r w:rsidRPr="002E0E97">
        <w:rPr>
          <w:rStyle w:val="FootnoteReference"/>
          <w:rFonts w:ascii="Times New Roman" w:hAnsi="Times New Roman"/>
          <w:sz w:val="28"/>
          <w:szCs w:val="28"/>
        </w:rPr>
        <w:footnoteReference w:id="18"/>
      </w:r>
      <w:r w:rsidRPr="002E0E97">
        <w:rPr>
          <w:rFonts w:ascii="Times New Roman" w:hAnsi="Times New Roman"/>
          <w:sz w:val="28"/>
          <w:szCs w:val="28"/>
        </w:rPr>
        <w:t xml:space="preserve"> Thus, the evidence shows that by allowing attorneys to partner with other professionals, those attorneys are far more likely to create efficiencies that lead to better client service and a more sustainable practice overall—a change that would be welcome for many attorneys, particularly among the solo and small firm practitioners who make up the bulk of the legal profession.</w:t>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 xml:space="preserve">Increased innovation in England is also leading to more available services for people who need them. Indeed, U.S. Supreme Court Justice Neil Gorsuch addressed this issue recently in his book “A Republic, If You Can Keep It.” Citing data from an experiment analyzing ABSs six years after permitting multidisciplinary firms and non-lawyer investment in England and Wales, Justice Gorsuch writes: </w:t>
      </w:r>
    </w:p>
    <w:p w:rsidR="002E0E97" w:rsidRPr="002E0E97" w:rsidRDefault="002E0E97" w:rsidP="002E0E97">
      <w:pPr>
        <w:ind w:left="720" w:right="1440"/>
        <w:jc w:val="both"/>
        <w:rPr>
          <w:rFonts w:ascii="Times New Roman" w:hAnsi="Times New Roman"/>
          <w:sz w:val="28"/>
          <w:szCs w:val="28"/>
        </w:rPr>
      </w:pPr>
      <w:r w:rsidRPr="002E0E97">
        <w:rPr>
          <w:rFonts w:ascii="Times New Roman" w:hAnsi="Times New Roman"/>
          <w:sz w:val="28"/>
          <w:szCs w:val="28"/>
        </w:rPr>
        <w:t>[W]</w:t>
      </w:r>
      <w:proofErr w:type="spellStart"/>
      <w:r w:rsidRPr="002E0E97">
        <w:rPr>
          <w:rFonts w:ascii="Times New Roman" w:hAnsi="Times New Roman"/>
          <w:sz w:val="28"/>
          <w:szCs w:val="28"/>
        </w:rPr>
        <w:t>hile</w:t>
      </w:r>
      <w:proofErr w:type="spellEnd"/>
      <w:r w:rsidRPr="002E0E97">
        <w:rPr>
          <w:rFonts w:ascii="Times New Roman" w:hAnsi="Times New Roman"/>
          <w:sz w:val="28"/>
          <w:szCs w:val="28"/>
        </w:rPr>
        <w:t xml:space="preserve"> these entities accounted for only 3 percent of all law firms, they had captured 20 percent of consumer and mental health work and nearly 33 percent of the personal injury market </w:t>
      </w:r>
      <w:r w:rsidRPr="002E0E97">
        <w:rPr>
          <w:rFonts w:ascii="Times New Roman" w:hAnsi="Times New Roman"/>
          <w:sz w:val="28"/>
          <w:szCs w:val="28"/>
        </w:rPr>
        <w:lastRenderedPageBreak/>
        <w:t>– suggesting that ABSs were indeed serving the needs of the poor and middle class, not just or even primarily the wealthy. Notably too, almost one-third of the ABSs were new participants in the legal services market, thus increasing supply and presumably decreasing price. ABSs also reached customers online at far greater rates than traditional firms – more than 90 percent of ABSs were found to possess an online presence versus roughly 50 percent of traditional firms, again suggesting an increased focus on reaching individual consumers. Given the success of this program, it’s no surprise that some U.S. Jurisdictions have appointed committees to study reforms just along these lines.</w:t>
      </w:r>
      <w:r w:rsidRPr="002E0E97">
        <w:rPr>
          <w:rStyle w:val="FootnoteReference"/>
          <w:rFonts w:ascii="Times New Roman" w:hAnsi="Times New Roman"/>
          <w:sz w:val="28"/>
          <w:szCs w:val="28"/>
        </w:rPr>
        <w:footnoteReference w:id="19"/>
      </w:r>
    </w:p>
    <w:p w:rsidR="002E0E97" w:rsidRPr="002E0E97" w:rsidRDefault="002E0E97" w:rsidP="002E0E97">
      <w:pPr>
        <w:spacing w:line="480" w:lineRule="auto"/>
        <w:ind w:firstLine="720"/>
        <w:rPr>
          <w:rFonts w:ascii="Times New Roman" w:hAnsi="Times New Roman"/>
          <w:sz w:val="28"/>
          <w:szCs w:val="28"/>
        </w:rPr>
      </w:pPr>
      <w:r w:rsidRPr="002E0E97">
        <w:rPr>
          <w:rFonts w:ascii="Times New Roman" w:hAnsi="Times New Roman"/>
          <w:sz w:val="28"/>
          <w:szCs w:val="28"/>
        </w:rPr>
        <w:t>Moreover, the Petition’s proposed amendments ensure that a new ABS model in Arizona will not come at the cost of ethical duties or quality of service.</w:t>
      </w:r>
      <w:r w:rsidRPr="002E0E97">
        <w:rPr>
          <w:rStyle w:val="FootnoteReference"/>
          <w:rFonts w:ascii="Times New Roman" w:hAnsi="Times New Roman"/>
          <w:sz w:val="28"/>
          <w:szCs w:val="28"/>
        </w:rPr>
        <w:footnoteReference w:id="20"/>
      </w:r>
      <w:r w:rsidRPr="002E0E97">
        <w:rPr>
          <w:rFonts w:ascii="Times New Roman" w:hAnsi="Times New Roman"/>
          <w:sz w:val="28"/>
          <w:szCs w:val="28"/>
        </w:rPr>
        <w:t xml:space="preserve"> And in other countries where ABS entities have existed for years, there is no evidence that they cause any more consumer harm than traditional firms. In fact, in New South Wales, Australia, which has allowed nonlawyer ownership under a management-based regulatory approach since 2001, there has been no increase in complaints against lawyers.</w:t>
      </w:r>
      <w:r w:rsidRPr="002E0E97">
        <w:rPr>
          <w:rStyle w:val="FootnoteReference"/>
          <w:rFonts w:ascii="Times New Roman" w:hAnsi="Times New Roman"/>
          <w:sz w:val="28"/>
          <w:szCs w:val="28"/>
        </w:rPr>
        <w:footnoteReference w:id="21"/>
      </w:r>
      <w:r w:rsidRPr="002E0E97">
        <w:rPr>
          <w:rFonts w:ascii="Times New Roman" w:hAnsi="Times New Roman"/>
          <w:sz w:val="28"/>
          <w:szCs w:val="28"/>
        </w:rPr>
        <w:t xml:space="preserve"> Importantly, in Australian business structures where lawyers and other professionals share fees or ownership, all other professionals </w:t>
      </w:r>
      <w:r w:rsidRPr="002E0E97">
        <w:rPr>
          <w:rFonts w:ascii="Times New Roman" w:hAnsi="Times New Roman"/>
          <w:sz w:val="28"/>
          <w:szCs w:val="28"/>
        </w:rPr>
        <w:lastRenderedPageBreak/>
        <w:t>working with lawyers are held to the same ethical standards as the lawyer. And in England, where the ABS model has existed since 2007, “[t]here have been no major disciplinary failings by ABS firms or unusual levels of complaints.”</w:t>
      </w:r>
      <w:r w:rsidRPr="002E0E97">
        <w:rPr>
          <w:rStyle w:val="FootnoteReference"/>
          <w:rFonts w:ascii="Times New Roman" w:hAnsi="Times New Roman"/>
          <w:sz w:val="28"/>
          <w:szCs w:val="28"/>
        </w:rPr>
        <w:footnoteReference w:id="22"/>
      </w:r>
      <w:r w:rsidRPr="002E0E97">
        <w:rPr>
          <w:rFonts w:ascii="Times New Roman" w:hAnsi="Times New Roman"/>
          <w:sz w:val="28"/>
          <w:szCs w:val="28"/>
        </w:rPr>
        <w:t xml:space="preserve"> To the contrary, the quality of legal services in England has improved, as measured by the 12 percent increase in the number of “first tier” complaints being resolved, and new business models, including ABSs, have better and more responsive consumer complaint processes.</w:t>
      </w:r>
      <w:r w:rsidRPr="002E0E97">
        <w:rPr>
          <w:rStyle w:val="FootnoteReference"/>
          <w:rFonts w:ascii="Times New Roman" w:hAnsi="Times New Roman"/>
          <w:sz w:val="28"/>
          <w:szCs w:val="28"/>
        </w:rPr>
        <w:footnoteReference w:id="23"/>
      </w:r>
    </w:p>
    <w:p w:rsidR="002E0E97" w:rsidRPr="002E0E97" w:rsidRDefault="002E0E97" w:rsidP="002E0E97">
      <w:pPr>
        <w:spacing w:line="480" w:lineRule="auto"/>
        <w:jc w:val="center"/>
        <w:rPr>
          <w:rFonts w:ascii="Times New Roman" w:hAnsi="Times New Roman"/>
          <w:b/>
          <w:bCs/>
          <w:color w:val="333333"/>
          <w:sz w:val="28"/>
          <w:szCs w:val="28"/>
          <w:highlight w:val="white"/>
        </w:rPr>
      </w:pPr>
      <w:r w:rsidRPr="002E0E97">
        <w:rPr>
          <w:rFonts w:ascii="Times New Roman" w:hAnsi="Times New Roman"/>
          <w:b/>
          <w:bCs/>
          <w:sz w:val="28"/>
          <w:szCs w:val="28"/>
        </w:rPr>
        <w:t>IAALS Supports Adoption of the Petition’s Proposals</w:t>
      </w:r>
      <w:r w:rsidRPr="002E0E97">
        <w:rPr>
          <w:rFonts w:ascii="Times New Roman" w:hAnsi="Times New Roman"/>
          <w:b/>
          <w:bCs/>
          <w:color w:val="333333"/>
          <w:sz w:val="28"/>
          <w:szCs w:val="28"/>
          <w:highlight w:val="white"/>
        </w:rPr>
        <w:t xml:space="preserve"> </w:t>
      </w:r>
    </w:p>
    <w:p w:rsidR="002E0E97" w:rsidRPr="002E0E97" w:rsidRDefault="002E0E97" w:rsidP="002E0E97">
      <w:pPr>
        <w:spacing w:line="480" w:lineRule="auto"/>
        <w:ind w:firstLine="720"/>
        <w:rPr>
          <w:rStyle w:val="css-901oao"/>
          <w:rFonts w:ascii="Times New Roman" w:hAnsi="Times New Roman"/>
          <w:sz w:val="28"/>
          <w:szCs w:val="28"/>
        </w:rPr>
      </w:pPr>
      <w:r w:rsidRPr="002E0E97">
        <w:rPr>
          <w:rStyle w:val="css-901oao"/>
          <w:rFonts w:ascii="Times New Roman" w:hAnsi="Times New Roman"/>
          <w:sz w:val="28"/>
          <w:szCs w:val="28"/>
        </w:rPr>
        <w:t xml:space="preserve">The profession is facing declining business at a time </w:t>
      </w:r>
      <w:r w:rsidR="00BF67B5">
        <w:rPr>
          <w:rStyle w:val="css-901oao"/>
          <w:rFonts w:ascii="Times New Roman" w:hAnsi="Times New Roman"/>
          <w:sz w:val="28"/>
          <w:szCs w:val="28"/>
        </w:rPr>
        <w:t>when</w:t>
      </w:r>
      <w:r w:rsidRPr="002E0E97">
        <w:rPr>
          <w:rStyle w:val="css-901oao"/>
          <w:rFonts w:ascii="Times New Roman" w:hAnsi="Times New Roman"/>
          <w:sz w:val="28"/>
          <w:szCs w:val="28"/>
        </w:rPr>
        <w:t xml:space="preserve"> there is enormous demand for affordable legal services. This contradiction exists because lawyers are locked into a 19th century model for delivering legal services. </w:t>
      </w:r>
      <w:r w:rsidRPr="002E0E97">
        <w:rPr>
          <w:rFonts w:ascii="Times New Roman" w:hAnsi="Times New Roman"/>
          <w:sz w:val="28"/>
          <w:szCs w:val="28"/>
        </w:rPr>
        <w:t xml:space="preserve">Now, more than ever, with disruptions and restrictions in place due to the COVID-19 pandemic, is time for change. </w:t>
      </w:r>
    </w:p>
    <w:p w:rsidR="002E0E97" w:rsidRPr="002E0E97" w:rsidRDefault="002E0E97" w:rsidP="002E0E97">
      <w:pPr>
        <w:shd w:val="clear" w:color="auto" w:fill="FFFFFF"/>
        <w:spacing w:after="300" w:line="480" w:lineRule="auto"/>
        <w:ind w:firstLine="720"/>
        <w:rPr>
          <w:rFonts w:ascii="Times New Roman" w:hAnsi="Times New Roman"/>
          <w:sz w:val="28"/>
          <w:szCs w:val="28"/>
        </w:rPr>
      </w:pPr>
      <w:r w:rsidRPr="002E0E97">
        <w:rPr>
          <w:rFonts w:ascii="Times New Roman" w:hAnsi="Times New Roman"/>
          <w:sz w:val="28"/>
          <w:szCs w:val="28"/>
        </w:rPr>
        <w:t xml:space="preserve">The crisis we face demands action. Our </w:t>
      </w:r>
      <w:r w:rsidRPr="002E0E97">
        <w:rPr>
          <w:rFonts w:ascii="Times New Roman" w:hAnsi="Times New Roman"/>
          <w:i/>
          <w:sz w:val="28"/>
          <w:szCs w:val="28"/>
        </w:rPr>
        <w:t>Unlocking Legal Regulation</w:t>
      </w:r>
      <w:r w:rsidRPr="002E0E97">
        <w:rPr>
          <w:rFonts w:ascii="Times New Roman" w:hAnsi="Times New Roman"/>
          <w:sz w:val="28"/>
          <w:szCs w:val="28"/>
        </w:rPr>
        <w:t xml:space="preserve"> project is about taking a bold step towards laying the foundation for a consumer-centered regulatory system that will ensure access to a well-developed, high-quality, </w:t>
      </w:r>
      <w:r w:rsidRPr="002E0E97">
        <w:rPr>
          <w:rFonts w:ascii="Times New Roman" w:hAnsi="Times New Roman"/>
          <w:sz w:val="28"/>
          <w:szCs w:val="28"/>
        </w:rPr>
        <w:lastRenderedPageBreak/>
        <w:t>innovative, and competitive market for legal services. Our vision is a legal system that works for all people by being accessible, fair, reliable, efficient, and accountable: a system that earns trust, because a trusted and trustworthy legal system is essential to our democracy, our economy, and our freedom. That is why we support eliminating Rule 5.4, and we urge the Arizona Supreme Court to adopt the proposals outlined in the Petition.</w:t>
      </w:r>
    </w:p>
    <w:p w:rsidR="002E0E97" w:rsidRPr="002E0E97" w:rsidRDefault="002E0E97" w:rsidP="002E0E97">
      <w:pPr>
        <w:pStyle w:val="PlainText"/>
        <w:spacing w:line="480" w:lineRule="auto"/>
        <w:rPr>
          <w:rFonts w:ascii="Times New Roman" w:hAnsi="Times New Roman" w:cs="Times New Roman"/>
          <w:sz w:val="28"/>
          <w:szCs w:val="28"/>
        </w:rPr>
      </w:pPr>
      <w:r w:rsidRPr="002E0E97">
        <w:rPr>
          <w:rFonts w:ascii="Times New Roman" w:hAnsi="Times New Roman" w:cs="Times New Roman"/>
          <w:sz w:val="28"/>
          <w:szCs w:val="28"/>
        </w:rPr>
        <w:t>Sincerely,</w:t>
      </w:r>
    </w:p>
    <w:p w:rsidR="002E0E97" w:rsidRPr="002E0E97" w:rsidRDefault="002E0E97" w:rsidP="002E0E97">
      <w:pPr>
        <w:pStyle w:val="PlainText"/>
        <w:spacing w:line="480" w:lineRule="auto"/>
        <w:rPr>
          <w:rFonts w:ascii="Times New Roman" w:hAnsi="Times New Roman" w:cs="Times New Roman"/>
          <w:sz w:val="28"/>
          <w:szCs w:val="28"/>
        </w:rPr>
      </w:pPr>
    </w:p>
    <w:p w:rsidR="002E0E97" w:rsidRPr="002E0E97" w:rsidRDefault="002E0E97" w:rsidP="002E0E97">
      <w:pPr>
        <w:pStyle w:val="PlainText"/>
        <w:rPr>
          <w:rFonts w:ascii="Times New Roman" w:hAnsi="Times New Roman" w:cs="Times New Roman"/>
          <w:sz w:val="28"/>
          <w:szCs w:val="28"/>
        </w:rPr>
      </w:pPr>
      <w:r w:rsidRPr="002E0E97">
        <w:rPr>
          <w:rFonts w:ascii="Times New Roman" w:hAnsi="Times New Roman" w:cs="Times New Roman"/>
          <w:sz w:val="28"/>
          <w:szCs w:val="28"/>
        </w:rPr>
        <w:t>Scott Bales</w:t>
      </w:r>
    </w:p>
    <w:p w:rsidR="002E0E97" w:rsidRPr="002E0E97" w:rsidRDefault="002E0E97" w:rsidP="002E0E97">
      <w:pPr>
        <w:pStyle w:val="PlainText"/>
        <w:rPr>
          <w:rFonts w:ascii="Times New Roman" w:hAnsi="Times New Roman" w:cs="Times New Roman"/>
          <w:sz w:val="28"/>
          <w:szCs w:val="28"/>
        </w:rPr>
      </w:pPr>
      <w:r w:rsidRPr="002E0E97">
        <w:rPr>
          <w:rFonts w:ascii="Times New Roman" w:hAnsi="Times New Roman" w:cs="Times New Roman"/>
          <w:sz w:val="28"/>
          <w:szCs w:val="28"/>
        </w:rPr>
        <w:t>Executive Director</w:t>
      </w:r>
    </w:p>
    <w:p w:rsidR="002E0E97" w:rsidRPr="002E0E97" w:rsidRDefault="002E0E97" w:rsidP="002E0E97">
      <w:pPr>
        <w:pStyle w:val="PlainText"/>
        <w:rPr>
          <w:rFonts w:ascii="Times New Roman" w:hAnsi="Times New Roman" w:cs="Times New Roman"/>
          <w:sz w:val="28"/>
          <w:szCs w:val="28"/>
        </w:rPr>
      </w:pPr>
    </w:p>
    <w:p w:rsidR="002E0E97" w:rsidRPr="002E0E97" w:rsidRDefault="002E0E97" w:rsidP="002E0E97">
      <w:pPr>
        <w:pStyle w:val="PlainText"/>
        <w:rPr>
          <w:rFonts w:ascii="Times New Roman" w:hAnsi="Times New Roman" w:cs="Times New Roman"/>
          <w:sz w:val="28"/>
          <w:szCs w:val="28"/>
        </w:rPr>
      </w:pPr>
      <w:r w:rsidRPr="002E0E97">
        <w:rPr>
          <w:rFonts w:ascii="Times New Roman" w:hAnsi="Times New Roman" w:cs="Times New Roman"/>
          <w:sz w:val="28"/>
          <w:szCs w:val="28"/>
        </w:rPr>
        <w:t>Zachariah J. DeMeola</w:t>
      </w:r>
    </w:p>
    <w:p w:rsidR="002E0E97" w:rsidRPr="002E0E97" w:rsidRDefault="002E0E97" w:rsidP="002E0E97">
      <w:pPr>
        <w:pStyle w:val="PlainText"/>
        <w:rPr>
          <w:rFonts w:ascii="Times New Roman" w:hAnsi="Times New Roman" w:cs="Times New Roman"/>
          <w:sz w:val="28"/>
          <w:szCs w:val="28"/>
        </w:rPr>
      </w:pPr>
      <w:r w:rsidRPr="002E0E97">
        <w:rPr>
          <w:rFonts w:ascii="Times New Roman" w:hAnsi="Times New Roman" w:cs="Times New Roman"/>
          <w:sz w:val="28"/>
          <w:szCs w:val="28"/>
        </w:rPr>
        <w:t>Manager</w:t>
      </w:r>
    </w:p>
    <w:p w:rsidR="002E0E97" w:rsidRPr="002E0E97" w:rsidRDefault="002E0E97" w:rsidP="002E0E97">
      <w:pPr>
        <w:pStyle w:val="PlainText"/>
        <w:rPr>
          <w:rFonts w:ascii="Times New Roman" w:hAnsi="Times New Roman" w:cs="Times New Roman"/>
          <w:sz w:val="28"/>
          <w:szCs w:val="28"/>
        </w:rPr>
      </w:pPr>
    </w:p>
    <w:p w:rsidR="002E0E97" w:rsidRPr="002F31A0" w:rsidRDefault="002E0E97" w:rsidP="002E0E97">
      <w:pPr>
        <w:pStyle w:val="PlainText"/>
        <w:spacing w:line="480" w:lineRule="auto"/>
        <w:rPr>
          <w:rFonts w:ascii="Times New Roman" w:hAnsi="Times New Roman" w:cs="Times New Roman"/>
          <w:sz w:val="28"/>
          <w:szCs w:val="28"/>
        </w:rPr>
      </w:pPr>
    </w:p>
    <w:p w:rsidR="002E0E97" w:rsidRPr="002F31A0" w:rsidRDefault="002E0E97" w:rsidP="002E0E97">
      <w:pPr>
        <w:pStyle w:val="PlainText"/>
        <w:spacing w:line="480" w:lineRule="auto"/>
        <w:rPr>
          <w:rFonts w:ascii="Times New Roman" w:hAnsi="Times New Roman" w:cs="Times New Roman"/>
          <w:sz w:val="28"/>
          <w:szCs w:val="28"/>
        </w:rPr>
      </w:pPr>
    </w:p>
    <w:p w:rsidR="002E0E97" w:rsidRPr="002F31A0" w:rsidRDefault="002E0E97" w:rsidP="002E0E97">
      <w:pPr>
        <w:spacing w:line="480" w:lineRule="auto"/>
        <w:rPr>
          <w:sz w:val="28"/>
          <w:szCs w:val="28"/>
        </w:rPr>
      </w:pPr>
    </w:p>
    <w:p w:rsidR="00BB55CE" w:rsidRDefault="00BB55CE"/>
    <w:sectPr w:rsidR="00BB55C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A16" w:rsidRDefault="00535A16" w:rsidP="002E0E97">
      <w:r>
        <w:separator/>
      </w:r>
    </w:p>
  </w:endnote>
  <w:endnote w:type="continuationSeparator" w:id="0">
    <w:p w:rsidR="00535A16" w:rsidRDefault="00535A16" w:rsidP="002E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507520"/>
      <w:docPartObj>
        <w:docPartGallery w:val="Page Numbers (Bottom of Page)"/>
        <w:docPartUnique/>
      </w:docPartObj>
    </w:sdtPr>
    <w:sdtEndPr>
      <w:rPr>
        <w:rFonts w:ascii="Times New Roman" w:hAnsi="Times New Roman"/>
        <w:noProof/>
        <w:sz w:val="28"/>
        <w:szCs w:val="28"/>
      </w:rPr>
    </w:sdtEndPr>
    <w:sdtContent>
      <w:p w:rsidR="00953F79" w:rsidRPr="00953F79" w:rsidRDefault="00953F79">
        <w:pPr>
          <w:pStyle w:val="Footer"/>
          <w:jc w:val="center"/>
          <w:rPr>
            <w:rFonts w:ascii="Times New Roman" w:hAnsi="Times New Roman"/>
            <w:sz w:val="28"/>
            <w:szCs w:val="28"/>
          </w:rPr>
        </w:pPr>
        <w:r w:rsidRPr="00953F79">
          <w:rPr>
            <w:rFonts w:ascii="Times New Roman" w:hAnsi="Times New Roman"/>
            <w:sz w:val="28"/>
            <w:szCs w:val="28"/>
          </w:rPr>
          <w:fldChar w:fldCharType="begin"/>
        </w:r>
        <w:r w:rsidRPr="00953F79">
          <w:rPr>
            <w:rFonts w:ascii="Times New Roman" w:hAnsi="Times New Roman"/>
            <w:sz w:val="28"/>
            <w:szCs w:val="28"/>
          </w:rPr>
          <w:instrText xml:space="preserve"> PAGE   \* MERGEFORMAT </w:instrText>
        </w:r>
        <w:r w:rsidRPr="00953F79">
          <w:rPr>
            <w:rFonts w:ascii="Times New Roman" w:hAnsi="Times New Roman"/>
            <w:sz w:val="28"/>
            <w:szCs w:val="28"/>
          </w:rPr>
          <w:fldChar w:fldCharType="separate"/>
        </w:r>
        <w:r w:rsidRPr="00953F79">
          <w:rPr>
            <w:rFonts w:ascii="Times New Roman" w:hAnsi="Times New Roman"/>
            <w:noProof/>
            <w:sz w:val="28"/>
            <w:szCs w:val="28"/>
          </w:rPr>
          <w:t>2</w:t>
        </w:r>
        <w:r w:rsidRPr="00953F79">
          <w:rPr>
            <w:rFonts w:ascii="Times New Roman" w:hAnsi="Times New Roman"/>
            <w:noProof/>
            <w:sz w:val="28"/>
            <w:szCs w:val="28"/>
          </w:rPr>
          <w:fldChar w:fldCharType="end"/>
        </w:r>
      </w:p>
    </w:sdtContent>
  </w:sdt>
  <w:p w:rsidR="00953F79" w:rsidRDefault="00953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A16" w:rsidRDefault="00535A16" w:rsidP="002E0E97">
      <w:r>
        <w:separator/>
      </w:r>
    </w:p>
  </w:footnote>
  <w:footnote w:type="continuationSeparator" w:id="0">
    <w:p w:rsidR="00535A16" w:rsidRDefault="00535A16" w:rsidP="002E0E97">
      <w:r>
        <w:continuationSeparator/>
      </w:r>
    </w:p>
  </w:footnote>
  <w:footnote w:id="1">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t>
      </w:r>
      <w:r w:rsidRPr="00953F79">
        <w:rPr>
          <w:i/>
          <w:sz w:val="28"/>
          <w:szCs w:val="28"/>
        </w:rPr>
        <w:t>See</w:t>
      </w:r>
      <w:r w:rsidRPr="00953F79">
        <w:rPr>
          <w:sz w:val="28"/>
          <w:szCs w:val="28"/>
        </w:rPr>
        <w:t xml:space="preserve">, </w:t>
      </w:r>
      <w:r w:rsidRPr="00953F79">
        <w:rPr>
          <w:i/>
          <w:sz w:val="28"/>
          <w:szCs w:val="28"/>
        </w:rPr>
        <w:t>e.g.</w:t>
      </w:r>
      <w:r w:rsidRPr="00953F79">
        <w:rPr>
          <w:sz w:val="28"/>
          <w:szCs w:val="28"/>
        </w:rPr>
        <w:t>, Petition at 9 (citing such rules as ER 1.7 (prohibiting a lawyer from representing a client if there is a significant risk that the representation will by materially limited by the lawyer’s responsibilities to a third person) and 1.8(f) (directing that third-party payers cannot interfere with a lawyer’s independent professional judgment)).</w:t>
      </w:r>
    </w:p>
  </w:footnote>
  <w:footnote w:id="2">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t>
      </w:r>
      <w:r w:rsidRPr="00953F79">
        <w:rPr>
          <w:i/>
          <w:sz w:val="28"/>
          <w:szCs w:val="28"/>
        </w:rPr>
        <w:t>See Id</w:t>
      </w:r>
      <w:r w:rsidRPr="00953F79">
        <w:rPr>
          <w:sz w:val="28"/>
          <w:szCs w:val="28"/>
        </w:rPr>
        <w:t>. (ABA Model Rule 5.4 and its predecessor rules were “not rooted in protecting the public but in economic protectionism.”).</w:t>
      </w:r>
    </w:p>
    <w:p w:rsidR="002E0E97" w:rsidRPr="00953F79" w:rsidRDefault="002E0E97" w:rsidP="002E0E97">
      <w:pPr>
        <w:pStyle w:val="FootnoteText"/>
        <w:rPr>
          <w:sz w:val="28"/>
          <w:szCs w:val="28"/>
        </w:rPr>
      </w:pPr>
    </w:p>
  </w:footnote>
  <w:footnote w:id="3">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t>
      </w:r>
      <w:r w:rsidRPr="00953F79">
        <w:rPr>
          <w:smallCaps/>
          <w:sz w:val="28"/>
          <w:szCs w:val="28"/>
        </w:rPr>
        <w:t xml:space="preserve">Legal Trends Report 14, </w:t>
      </w:r>
      <w:r w:rsidRPr="00953F79">
        <w:rPr>
          <w:smallCaps/>
          <w:sz w:val="28"/>
          <w:szCs w:val="28"/>
        </w:rPr>
        <w:t>clio</w:t>
      </w:r>
      <w:r w:rsidRPr="00953F79">
        <w:rPr>
          <w:sz w:val="28"/>
          <w:szCs w:val="28"/>
        </w:rPr>
        <w:t xml:space="preserve"> (2018), https://www.clio.com/wp-content/uploads/2018/10/Legal-Trends-Report-2018.pdf.</w:t>
      </w:r>
    </w:p>
  </w:footnote>
  <w:footnote w:id="4">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t>
      </w:r>
      <w:r w:rsidRPr="00953F79">
        <w:rPr>
          <w:i/>
          <w:sz w:val="28"/>
          <w:szCs w:val="28"/>
        </w:rPr>
        <w:t>Id</w:t>
      </w:r>
      <w:r w:rsidRPr="00953F79">
        <w:rPr>
          <w:sz w:val="28"/>
          <w:szCs w:val="28"/>
        </w:rPr>
        <w:t>. at 10-11.</w:t>
      </w:r>
    </w:p>
  </w:footnote>
  <w:footnote w:id="5">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t>
      </w:r>
      <w:r w:rsidRPr="00953F79">
        <w:rPr>
          <w:smallCaps/>
          <w:sz w:val="28"/>
          <w:szCs w:val="28"/>
        </w:rPr>
        <w:t>Law Firms in Transition: An Altman Weil Flash Survey 4, Altman Weil, Inc</w:t>
      </w:r>
      <w:r w:rsidRPr="00953F79">
        <w:rPr>
          <w:sz w:val="28"/>
          <w:szCs w:val="28"/>
        </w:rPr>
        <w:t xml:space="preserve">. (2019), </w:t>
      </w:r>
      <w:hyperlink r:id="rId1" w:history="1">
        <w:r w:rsidRPr="00953F79">
          <w:rPr>
            <w:rStyle w:val="Hyperlink"/>
            <w:sz w:val="28"/>
            <w:szCs w:val="28"/>
          </w:rPr>
          <w:t>http://www.altmanweil.com//dir_docs/resource/28BC6AB5-10E9-418D-AED2-B63D1145F989_document.pdf</w:t>
        </w:r>
      </w:hyperlink>
      <w:r w:rsidRPr="00953F79">
        <w:rPr>
          <w:sz w:val="28"/>
          <w:szCs w:val="28"/>
        </w:rPr>
        <w:t>.</w:t>
      </w:r>
    </w:p>
  </w:footnote>
  <w:footnote w:id="6">
    <w:p w:rsidR="002E0E97" w:rsidRPr="00953F79" w:rsidRDefault="002E0E97" w:rsidP="002E0E97">
      <w:pPr>
        <w:contextualSpacing/>
        <w:rPr>
          <w:rFonts w:ascii="Times New Roman" w:hAnsi="Times New Roman"/>
          <w:sz w:val="28"/>
          <w:szCs w:val="28"/>
        </w:rPr>
      </w:pPr>
      <w:r w:rsidRPr="00953F79">
        <w:rPr>
          <w:rFonts w:ascii="Times New Roman" w:hAnsi="Times New Roman"/>
          <w:sz w:val="28"/>
          <w:szCs w:val="28"/>
          <w:vertAlign w:val="superscript"/>
        </w:rPr>
        <w:footnoteRef/>
      </w:r>
      <w:r w:rsidRPr="00953F79">
        <w:rPr>
          <w:rFonts w:ascii="Times New Roman" w:hAnsi="Times New Roman"/>
          <w:sz w:val="28"/>
          <w:szCs w:val="28"/>
        </w:rPr>
        <w:t xml:space="preserve"> </w:t>
      </w:r>
      <w:r w:rsidRPr="00953F79">
        <w:rPr>
          <w:rFonts w:ascii="Times New Roman" w:hAnsi="Times New Roman"/>
          <w:smallCaps/>
          <w:sz w:val="28"/>
          <w:szCs w:val="28"/>
        </w:rPr>
        <w:t>Rule of Law Index 2019, World Justice Project</w:t>
      </w:r>
      <w:r w:rsidRPr="00953F79">
        <w:rPr>
          <w:rFonts w:ascii="Times New Roman" w:hAnsi="Times New Roman"/>
          <w:sz w:val="28"/>
          <w:szCs w:val="28"/>
        </w:rPr>
        <w:t xml:space="preserve">, </w:t>
      </w:r>
      <w:hyperlink r:id="rId2">
        <w:r w:rsidRPr="00953F79">
          <w:rPr>
            <w:rFonts w:ascii="Times New Roman" w:hAnsi="Times New Roman"/>
            <w:color w:val="1155CC"/>
            <w:sz w:val="28"/>
            <w:szCs w:val="28"/>
            <w:u w:val="single"/>
          </w:rPr>
          <w:t>https://worldjusticeproject.org/our-work/research-and-data/wjp-rule-law-index-2019</w:t>
        </w:r>
      </w:hyperlink>
      <w:r w:rsidRPr="00953F79">
        <w:rPr>
          <w:rFonts w:ascii="Times New Roman" w:hAnsi="Times New Roman"/>
          <w:sz w:val="28"/>
          <w:szCs w:val="28"/>
        </w:rPr>
        <w:t>.</w:t>
      </w:r>
    </w:p>
  </w:footnote>
  <w:footnote w:id="7">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Victor Li and James </w:t>
      </w:r>
      <w:r w:rsidRPr="00953F79">
        <w:rPr>
          <w:sz w:val="28"/>
          <w:szCs w:val="28"/>
        </w:rPr>
        <w:t xml:space="preserve">Podgers, </w:t>
      </w:r>
      <w:r w:rsidRPr="00953F79">
        <w:rPr>
          <w:i/>
          <w:sz w:val="28"/>
          <w:szCs w:val="28"/>
        </w:rPr>
        <w:t>Can the access-to-justice gap be closed? These recommendations might make it possible</w:t>
      </w:r>
      <w:r w:rsidRPr="00953F79">
        <w:rPr>
          <w:sz w:val="28"/>
          <w:szCs w:val="28"/>
        </w:rPr>
        <w:t xml:space="preserve">, </w:t>
      </w:r>
      <w:r w:rsidRPr="00953F79">
        <w:rPr>
          <w:smallCaps/>
          <w:sz w:val="28"/>
          <w:szCs w:val="28"/>
        </w:rPr>
        <w:t>ABA Journal</w:t>
      </w:r>
      <w:r w:rsidRPr="00953F79">
        <w:rPr>
          <w:sz w:val="28"/>
          <w:szCs w:val="28"/>
        </w:rPr>
        <w:t xml:space="preserve"> (Aug. 6, 2016), </w:t>
      </w:r>
      <w:hyperlink r:id="rId3" w:history="1">
        <w:r w:rsidRPr="00953F79">
          <w:rPr>
            <w:rStyle w:val="Hyperlink"/>
            <w:sz w:val="28"/>
            <w:szCs w:val="28"/>
          </w:rPr>
          <w:t>http://www.abajournal.com/news/article/aba_commission_future_legal_services_report_access_to_justice</w:t>
        </w:r>
      </w:hyperlink>
      <w:r w:rsidRPr="00953F79">
        <w:rPr>
          <w:sz w:val="28"/>
          <w:szCs w:val="28"/>
        </w:rPr>
        <w:t>.</w:t>
      </w:r>
    </w:p>
  </w:footnote>
  <w:footnote w:id="8">
    <w:p w:rsidR="002E0E97" w:rsidRPr="00953F79" w:rsidRDefault="002E0E97" w:rsidP="002E0E97">
      <w:pPr>
        <w:pStyle w:val="FootnoteText"/>
        <w:contextualSpacing/>
        <w:rPr>
          <w:sz w:val="28"/>
          <w:szCs w:val="28"/>
        </w:rPr>
      </w:pPr>
      <w:r w:rsidRPr="00953F79">
        <w:rPr>
          <w:rStyle w:val="FootnoteReference"/>
          <w:sz w:val="28"/>
          <w:szCs w:val="28"/>
        </w:rPr>
        <w:footnoteRef/>
      </w:r>
      <w:r w:rsidRPr="00953F79">
        <w:rPr>
          <w:sz w:val="28"/>
          <w:szCs w:val="28"/>
        </w:rPr>
        <w:t xml:space="preserve"> </w:t>
      </w:r>
      <w:r w:rsidRPr="00953F79">
        <w:rPr>
          <w:color w:val="333333"/>
          <w:sz w:val="28"/>
          <w:szCs w:val="28"/>
          <w:highlight w:val="white"/>
        </w:rPr>
        <w:t xml:space="preserve">In 2016, IAALS conducted its Cases Without Counsel study, focused on the experience of self-representation in family court, </w:t>
      </w:r>
      <w:r w:rsidR="006E170C">
        <w:rPr>
          <w:color w:val="333333"/>
          <w:sz w:val="28"/>
          <w:szCs w:val="28"/>
          <w:highlight w:val="white"/>
        </w:rPr>
        <w:t xml:space="preserve">the court in which the largest portion </w:t>
      </w:r>
      <w:r w:rsidRPr="00953F79">
        <w:rPr>
          <w:color w:val="333333"/>
          <w:sz w:val="28"/>
          <w:szCs w:val="28"/>
          <w:highlight w:val="white"/>
        </w:rPr>
        <w:t xml:space="preserve">of Americans will be involved over the course of their lives. More than 85 percent of the people we talked to in that study wanted legal advice or representation, but they could not get the help they needed because the cost was too high and they were unclear on where to find the right resources. </w:t>
      </w:r>
      <w:r w:rsidRPr="00953F79">
        <w:rPr>
          <w:smallCaps/>
          <w:color w:val="333333"/>
          <w:sz w:val="28"/>
          <w:szCs w:val="28"/>
          <w:highlight w:val="white"/>
        </w:rPr>
        <w:t xml:space="preserve">Natalie Ann Knowlton, Logan Cornett, Corina D. </w:t>
      </w:r>
      <w:r w:rsidRPr="00953F79">
        <w:rPr>
          <w:smallCaps/>
          <w:color w:val="333333"/>
          <w:sz w:val="28"/>
          <w:szCs w:val="28"/>
          <w:highlight w:val="white"/>
        </w:rPr>
        <w:t>Gerety,  &amp; Janet Drobinske,</w:t>
      </w:r>
      <w:r w:rsidRPr="00953F79">
        <w:rPr>
          <w:color w:val="333333"/>
          <w:sz w:val="28"/>
          <w:szCs w:val="28"/>
          <w:highlight w:val="white"/>
        </w:rPr>
        <w:t xml:space="preserve"> </w:t>
      </w:r>
      <w:r w:rsidRPr="00953F79">
        <w:rPr>
          <w:smallCaps/>
          <w:color w:val="333333"/>
          <w:sz w:val="28"/>
          <w:szCs w:val="28"/>
          <w:highlight w:val="white"/>
        </w:rPr>
        <w:t>Cases without Counsel, Research on Experiences of Self-Representation in U.S. Family Court</w:t>
      </w:r>
      <w:r w:rsidRPr="00953F79">
        <w:rPr>
          <w:color w:val="333333"/>
          <w:sz w:val="28"/>
          <w:szCs w:val="28"/>
          <w:highlight w:val="white"/>
        </w:rPr>
        <w:t xml:space="preserve"> 12 (May 2016),</w:t>
      </w:r>
      <w:r w:rsidRPr="00953F79">
        <w:rPr>
          <w:color w:val="333333"/>
          <w:sz w:val="28"/>
          <w:szCs w:val="28"/>
        </w:rPr>
        <w:t xml:space="preserve"> </w:t>
      </w:r>
      <w:hyperlink r:id="rId4">
        <w:r w:rsidRPr="00953F79">
          <w:rPr>
            <w:color w:val="8C2332"/>
            <w:sz w:val="28"/>
            <w:szCs w:val="28"/>
            <w:highlight w:val="white"/>
          </w:rPr>
          <w:t>https://iaals.du.edu/sites/default/files/documents/publications/cases_without_counsel_research_report.pdf</w:t>
        </w:r>
      </w:hyperlink>
      <w:r w:rsidRPr="00953F79">
        <w:rPr>
          <w:color w:val="333333"/>
          <w:sz w:val="28"/>
          <w:szCs w:val="28"/>
          <w:highlight w:val="white"/>
        </w:rPr>
        <w:t>.</w:t>
      </w:r>
    </w:p>
  </w:footnote>
  <w:footnote w:id="9">
    <w:p w:rsidR="002E0E97" w:rsidRPr="00953F79" w:rsidRDefault="002E0E97" w:rsidP="002E0E97">
      <w:pPr>
        <w:contextualSpacing/>
        <w:rPr>
          <w:rFonts w:ascii="Times New Roman" w:hAnsi="Times New Roman"/>
          <w:sz w:val="28"/>
          <w:szCs w:val="28"/>
        </w:rPr>
      </w:pPr>
      <w:r w:rsidRPr="00953F79">
        <w:rPr>
          <w:rFonts w:ascii="Times New Roman" w:hAnsi="Times New Roman"/>
          <w:sz w:val="28"/>
          <w:szCs w:val="28"/>
          <w:vertAlign w:val="superscript"/>
        </w:rPr>
        <w:footnoteRef/>
      </w:r>
      <w:r w:rsidRPr="00953F79">
        <w:rPr>
          <w:rFonts w:ascii="Times New Roman" w:hAnsi="Times New Roman"/>
          <w:sz w:val="28"/>
          <w:szCs w:val="28"/>
        </w:rPr>
        <w:t xml:space="preserve"> </w:t>
      </w:r>
      <w:r w:rsidRPr="00953F79">
        <w:rPr>
          <w:rFonts w:ascii="Times New Roman" w:hAnsi="Times New Roman"/>
          <w:i/>
          <w:color w:val="333333"/>
          <w:sz w:val="28"/>
          <w:szCs w:val="28"/>
          <w:highlight w:val="white"/>
        </w:rPr>
        <w:t>See</w:t>
      </w:r>
      <w:r w:rsidRPr="00953F79">
        <w:rPr>
          <w:rFonts w:ascii="Times New Roman" w:hAnsi="Times New Roman"/>
          <w:color w:val="333333"/>
          <w:sz w:val="28"/>
          <w:szCs w:val="28"/>
          <w:highlight w:val="white"/>
        </w:rPr>
        <w:t xml:space="preserve"> Rebecca L. </w:t>
      </w:r>
      <w:r w:rsidRPr="00953F79">
        <w:rPr>
          <w:rFonts w:ascii="Times New Roman" w:hAnsi="Times New Roman"/>
          <w:color w:val="333333"/>
          <w:sz w:val="28"/>
          <w:szCs w:val="28"/>
          <w:highlight w:val="white"/>
        </w:rPr>
        <w:t xml:space="preserve">Sandefur, </w:t>
      </w:r>
      <w:r w:rsidRPr="00953F79">
        <w:rPr>
          <w:rFonts w:ascii="Times New Roman" w:hAnsi="Times New Roman"/>
          <w:i/>
          <w:color w:val="333333"/>
          <w:sz w:val="28"/>
          <w:szCs w:val="28"/>
          <w:highlight w:val="white"/>
        </w:rPr>
        <w:t>Accessing Justice in the Contemporary USA: Findings from the Community Needs and Services Study</w:t>
      </w:r>
      <w:r w:rsidRPr="00953F79">
        <w:rPr>
          <w:rFonts w:ascii="Times New Roman" w:hAnsi="Times New Roman"/>
          <w:color w:val="333333"/>
          <w:sz w:val="28"/>
          <w:szCs w:val="28"/>
          <w:highlight w:val="white"/>
        </w:rPr>
        <w:t xml:space="preserve">, </w:t>
      </w:r>
      <w:r w:rsidRPr="00953F79">
        <w:rPr>
          <w:rFonts w:ascii="Times New Roman" w:hAnsi="Times New Roman"/>
          <w:smallCaps/>
          <w:color w:val="333333"/>
          <w:sz w:val="28"/>
          <w:szCs w:val="28"/>
          <w:highlight w:val="white"/>
        </w:rPr>
        <w:t>Am. B. Found</w:t>
      </w:r>
      <w:r w:rsidRPr="00953F79">
        <w:rPr>
          <w:rFonts w:ascii="Times New Roman" w:hAnsi="Times New Roman"/>
          <w:color w:val="333333"/>
          <w:sz w:val="28"/>
          <w:szCs w:val="28"/>
          <w:highlight w:val="white"/>
        </w:rPr>
        <w:t xml:space="preserve">. 14 (2014), </w:t>
      </w:r>
      <w:hyperlink r:id="rId5">
        <w:r w:rsidRPr="00953F79">
          <w:rPr>
            <w:rFonts w:ascii="Times New Roman" w:hAnsi="Times New Roman"/>
            <w:color w:val="8C2332"/>
            <w:sz w:val="28"/>
            <w:szCs w:val="28"/>
            <w:highlight w:val="white"/>
          </w:rPr>
          <w:t>http://www.americanbarfoundation.org/uploads/cms/documents/sandefur_accessing_justice_in_the_contemporary_usa._aug._2014.pdf</w:t>
        </w:r>
      </w:hyperlink>
      <w:r w:rsidRPr="00953F79">
        <w:rPr>
          <w:rFonts w:ascii="Times New Roman" w:hAnsi="Times New Roman"/>
          <w:color w:val="333333"/>
          <w:sz w:val="28"/>
          <w:szCs w:val="28"/>
          <w:highlight w:val="white"/>
        </w:rPr>
        <w:t xml:space="preserve">, </w:t>
      </w:r>
      <w:r w:rsidRPr="00953F79">
        <w:rPr>
          <w:rFonts w:ascii="Times New Roman" w:hAnsi="Times New Roman"/>
          <w:i/>
          <w:color w:val="333333"/>
          <w:sz w:val="28"/>
          <w:szCs w:val="28"/>
          <w:highlight w:val="white"/>
        </w:rPr>
        <w:t>and</w:t>
      </w:r>
      <w:r w:rsidRPr="00953F79">
        <w:rPr>
          <w:rFonts w:ascii="Times New Roman" w:hAnsi="Times New Roman"/>
          <w:color w:val="333333"/>
          <w:sz w:val="28"/>
          <w:szCs w:val="28"/>
          <w:highlight w:val="white"/>
        </w:rPr>
        <w:t xml:space="preserve"> Civil Justice Initiative, </w:t>
      </w:r>
      <w:r w:rsidRPr="00953F79">
        <w:rPr>
          <w:rFonts w:ascii="Times New Roman" w:hAnsi="Times New Roman"/>
          <w:i/>
          <w:color w:val="333333"/>
          <w:sz w:val="28"/>
          <w:szCs w:val="28"/>
          <w:highlight w:val="white"/>
        </w:rPr>
        <w:t>The Landscape of Civil Litigation in State Courts</w:t>
      </w:r>
      <w:r w:rsidRPr="00953F79">
        <w:rPr>
          <w:rFonts w:ascii="Times New Roman" w:hAnsi="Times New Roman"/>
          <w:color w:val="333333"/>
          <w:sz w:val="28"/>
          <w:szCs w:val="28"/>
          <w:highlight w:val="white"/>
        </w:rPr>
        <w:t xml:space="preserve">, </w:t>
      </w:r>
      <w:r w:rsidRPr="00953F79">
        <w:rPr>
          <w:rFonts w:ascii="Times New Roman" w:hAnsi="Times New Roman"/>
          <w:smallCaps/>
          <w:color w:val="333333"/>
          <w:sz w:val="28"/>
          <w:szCs w:val="28"/>
          <w:highlight w:val="white"/>
        </w:rPr>
        <w:t>National Center for State Courts, State Justice Institute</w:t>
      </w:r>
      <w:r w:rsidR="00CC220F">
        <w:rPr>
          <w:rFonts w:ascii="Times New Roman" w:hAnsi="Times New Roman"/>
          <w:color w:val="333333"/>
          <w:sz w:val="28"/>
          <w:szCs w:val="28"/>
          <w:highlight w:val="white"/>
        </w:rPr>
        <w:t xml:space="preserve"> </w:t>
      </w:r>
      <w:r w:rsidRPr="00953F79">
        <w:rPr>
          <w:rFonts w:ascii="Times New Roman" w:hAnsi="Times New Roman"/>
          <w:color w:val="333333"/>
          <w:sz w:val="28"/>
          <w:szCs w:val="28"/>
          <w:highlight w:val="white"/>
        </w:rPr>
        <w:t xml:space="preserve">iv (2015), </w:t>
      </w:r>
      <w:hyperlink r:id="rId6">
        <w:r w:rsidRPr="00953F79">
          <w:rPr>
            <w:rFonts w:ascii="Times New Roman" w:hAnsi="Times New Roman"/>
            <w:color w:val="8C2332"/>
            <w:sz w:val="28"/>
            <w:szCs w:val="28"/>
            <w:highlight w:val="white"/>
          </w:rPr>
          <w:t>https://www.ncsc.org/~/media/Files/PDF/Research/CivilJusticeReport-2015.ashx</w:t>
        </w:r>
      </w:hyperlink>
      <w:r w:rsidRPr="00953F79">
        <w:rPr>
          <w:rFonts w:ascii="Times New Roman" w:hAnsi="Times New Roman"/>
          <w:color w:val="333333"/>
          <w:sz w:val="28"/>
          <w:szCs w:val="28"/>
          <w:highlight w:val="white"/>
        </w:rPr>
        <w:t xml:space="preserve">, </w:t>
      </w:r>
      <w:r w:rsidRPr="00953F79">
        <w:rPr>
          <w:rFonts w:ascii="Times New Roman" w:hAnsi="Times New Roman"/>
          <w:i/>
          <w:color w:val="333333"/>
          <w:sz w:val="28"/>
          <w:szCs w:val="28"/>
          <w:highlight w:val="white"/>
        </w:rPr>
        <w:t>respectively</w:t>
      </w:r>
      <w:r w:rsidRPr="00953F79">
        <w:rPr>
          <w:rFonts w:ascii="Times New Roman" w:hAnsi="Times New Roman"/>
          <w:color w:val="333333"/>
          <w:sz w:val="28"/>
          <w:szCs w:val="28"/>
          <w:highlight w:val="white"/>
        </w:rPr>
        <w:t>.</w:t>
      </w:r>
    </w:p>
  </w:footnote>
  <w:footnote w:id="10">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William D. Henderson, </w:t>
      </w:r>
      <w:r w:rsidRPr="00953F79">
        <w:rPr>
          <w:i/>
          <w:iCs/>
          <w:sz w:val="28"/>
          <w:szCs w:val="28"/>
        </w:rPr>
        <w:t>Legal Market Landscape Report</w:t>
      </w:r>
      <w:r w:rsidRPr="00953F79">
        <w:rPr>
          <w:sz w:val="28"/>
          <w:szCs w:val="28"/>
        </w:rPr>
        <w:t xml:space="preserve">, </w:t>
      </w:r>
      <w:r w:rsidRPr="00953F79">
        <w:rPr>
          <w:smallCaps/>
          <w:sz w:val="28"/>
          <w:szCs w:val="28"/>
        </w:rPr>
        <w:t>State Bar of California</w:t>
      </w:r>
      <w:r w:rsidRPr="00953F79">
        <w:rPr>
          <w:sz w:val="28"/>
          <w:szCs w:val="28"/>
        </w:rPr>
        <w:t xml:space="preserve"> </w:t>
      </w:r>
      <w:r w:rsidRPr="00953F79">
        <w:rPr>
          <w:sz w:val="28"/>
          <w:szCs w:val="28"/>
        </w:rPr>
        <w:t xml:space="preserve">i (July 2018), </w:t>
      </w:r>
      <w:hyperlink r:id="rId7" w:history="1">
        <w:r w:rsidRPr="00953F79">
          <w:rPr>
            <w:rStyle w:val="Hyperlink"/>
            <w:sz w:val="28"/>
            <w:szCs w:val="28"/>
          </w:rPr>
          <w:t>http://board.calbar.ca.gov/docs/agendaItem/Public/agendaitem1000022382.pdf</w:t>
        </w:r>
      </w:hyperlink>
      <w:r w:rsidRPr="00953F79">
        <w:rPr>
          <w:sz w:val="28"/>
          <w:szCs w:val="28"/>
        </w:rPr>
        <w:t xml:space="preserve">. </w:t>
      </w:r>
    </w:p>
  </w:footnote>
  <w:footnote w:id="11">
    <w:p w:rsidR="002E0E97" w:rsidRPr="00953F79" w:rsidRDefault="002E0E97" w:rsidP="002E0E97">
      <w:pPr>
        <w:contextualSpacing/>
        <w:rPr>
          <w:rFonts w:ascii="Times New Roman" w:hAnsi="Times New Roman"/>
          <w:sz w:val="28"/>
          <w:szCs w:val="28"/>
        </w:rPr>
      </w:pPr>
      <w:r w:rsidRPr="00953F79">
        <w:rPr>
          <w:rFonts w:ascii="Times New Roman" w:hAnsi="Times New Roman"/>
          <w:sz w:val="28"/>
          <w:szCs w:val="28"/>
          <w:vertAlign w:val="superscript"/>
        </w:rPr>
        <w:footnoteRef/>
      </w:r>
      <w:r w:rsidRPr="00953F79">
        <w:rPr>
          <w:rFonts w:ascii="Times New Roman" w:hAnsi="Times New Roman"/>
          <w:sz w:val="28"/>
          <w:szCs w:val="28"/>
        </w:rPr>
        <w:t xml:space="preserve"> </w:t>
      </w:r>
      <w:r w:rsidRPr="00953F79">
        <w:rPr>
          <w:rFonts w:ascii="Times New Roman" w:hAnsi="Times New Roman"/>
          <w:color w:val="333333"/>
          <w:sz w:val="28"/>
          <w:szCs w:val="28"/>
          <w:highlight w:val="white"/>
        </w:rPr>
        <w:t xml:space="preserve">As just one example, renters in Colorado who lacked legal representation were evicted 68 percent of the time from private housing and 43 percent of the time from public housing, while those who were represented by counsel kept their private housing 94 percent of the time and public housing 80 percent of the time. Aubrey </w:t>
      </w:r>
      <w:r w:rsidRPr="00953F79">
        <w:rPr>
          <w:rFonts w:ascii="Times New Roman" w:hAnsi="Times New Roman"/>
          <w:color w:val="333333"/>
          <w:sz w:val="28"/>
          <w:szCs w:val="28"/>
          <w:highlight w:val="white"/>
        </w:rPr>
        <w:t xml:space="preserve">Hasvold &amp; Jack Regenbogen, </w:t>
      </w:r>
      <w:r w:rsidRPr="00953F79">
        <w:rPr>
          <w:rFonts w:ascii="Times New Roman" w:hAnsi="Times New Roman"/>
          <w:i/>
          <w:color w:val="333333"/>
          <w:sz w:val="28"/>
          <w:szCs w:val="28"/>
          <w:highlight w:val="white"/>
        </w:rPr>
        <w:t>Facing Eviction Alone: A Study of Evictions, Denver, CO, 2014–2016</w:t>
      </w:r>
      <w:r w:rsidRPr="00953F79">
        <w:rPr>
          <w:rFonts w:ascii="Times New Roman" w:hAnsi="Times New Roman"/>
          <w:color w:val="333333"/>
          <w:sz w:val="28"/>
          <w:szCs w:val="28"/>
          <w:highlight w:val="white"/>
        </w:rPr>
        <w:t xml:space="preserve">, </w:t>
      </w:r>
      <w:r w:rsidRPr="00953F79">
        <w:rPr>
          <w:rFonts w:ascii="Times New Roman" w:hAnsi="Times New Roman"/>
          <w:smallCaps/>
          <w:color w:val="333333"/>
          <w:sz w:val="28"/>
          <w:szCs w:val="28"/>
          <w:highlight w:val="white"/>
        </w:rPr>
        <w:t>Colorado Coalition for the Homeless</w:t>
      </w:r>
      <w:r w:rsidRPr="00953F79">
        <w:rPr>
          <w:rFonts w:ascii="Times New Roman" w:hAnsi="Times New Roman"/>
          <w:color w:val="333333"/>
          <w:sz w:val="28"/>
          <w:szCs w:val="28"/>
          <w:highlight w:val="white"/>
        </w:rPr>
        <w:t xml:space="preserve"> 2, 8 (September 11, 2017), </w:t>
      </w:r>
      <w:hyperlink r:id="rId8">
        <w:r w:rsidRPr="00953F79">
          <w:rPr>
            <w:rFonts w:ascii="Times New Roman" w:hAnsi="Times New Roman"/>
            <w:color w:val="8C2332"/>
            <w:sz w:val="28"/>
            <w:szCs w:val="28"/>
            <w:highlight w:val="white"/>
          </w:rPr>
          <w:t>http://cclponline.org/wp-content/uploads/2017/10/Facing-Eviction-Alone-9-11-17_revised.pdf</w:t>
        </w:r>
      </w:hyperlink>
      <w:r w:rsidRPr="00953F79">
        <w:rPr>
          <w:rFonts w:ascii="Times New Roman" w:hAnsi="Times New Roman"/>
          <w:color w:val="333333"/>
          <w:sz w:val="28"/>
          <w:szCs w:val="28"/>
          <w:highlight w:val="white"/>
        </w:rPr>
        <w:t>.</w:t>
      </w:r>
    </w:p>
  </w:footnote>
  <w:footnote w:id="12">
    <w:p w:rsidR="002E0E97" w:rsidRPr="00953F79" w:rsidRDefault="002E0E97" w:rsidP="002E0E97">
      <w:pPr>
        <w:contextualSpacing/>
        <w:rPr>
          <w:rFonts w:ascii="Times New Roman" w:hAnsi="Times New Roman"/>
          <w:sz w:val="28"/>
          <w:szCs w:val="28"/>
        </w:rPr>
      </w:pPr>
      <w:r w:rsidRPr="00953F79">
        <w:rPr>
          <w:rFonts w:ascii="Times New Roman" w:hAnsi="Times New Roman"/>
          <w:sz w:val="28"/>
          <w:szCs w:val="28"/>
          <w:vertAlign w:val="superscript"/>
        </w:rPr>
        <w:footnoteRef/>
      </w:r>
      <w:r w:rsidRPr="00953F79">
        <w:rPr>
          <w:rFonts w:ascii="Times New Roman" w:hAnsi="Times New Roman"/>
          <w:sz w:val="28"/>
          <w:szCs w:val="28"/>
        </w:rPr>
        <w:t xml:space="preserve"> </w:t>
      </w:r>
      <w:r w:rsidRPr="00953F79">
        <w:rPr>
          <w:rFonts w:ascii="Times New Roman" w:hAnsi="Times New Roman"/>
          <w:i/>
          <w:sz w:val="28"/>
          <w:szCs w:val="28"/>
        </w:rPr>
        <w:t xml:space="preserve">See </w:t>
      </w:r>
      <w:r w:rsidRPr="00953F79">
        <w:rPr>
          <w:rFonts w:ascii="Times New Roman" w:hAnsi="Times New Roman"/>
          <w:sz w:val="28"/>
          <w:szCs w:val="28"/>
        </w:rPr>
        <w:t xml:space="preserve">Gillian K. Hadfield  &amp; Deborah L. Rhode, </w:t>
      </w:r>
      <w:r w:rsidRPr="00953F79">
        <w:rPr>
          <w:rFonts w:ascii="Times New Roman" w:hAnsi="Times New Roman"/>
          <w:i/>
          <w:sz w:val="28"/>
          <w:szCs w:val="28"/>
        </w:rPr>
        <w:t>How to Regulate Legal Services to Promote Access to Justice, Innovation, and the Quality of Legal Services</w:t>
      </w:r>
      <w:r w:rsidRPr="00953F79">
        <w:rPr>
          <w:rFonts w:ascii="Times New Roman" w:hAnsi="Times New Roman"/>
          <w:sz w:val="28"/>
          <w:szCs w:val="28"/>
        </w:rPr>
        <w:t xml:space="preserve">, </w:t>
      </w:r>
      <w:r w:rsidRPr="00953F79">
        <w:rPr>
          <w:rFonts w:ascii="Times New Roman" w:hAnsi="Times New Roman"/>
          <w:smallCaps/>
          <w:sz w:val="28"/>
          <w:szCs w:val="28"/>
        </w:rPr>
        <w:t>67 Hastings L.J.</w:t>
      </w:r>
      <w:r w:rsidRPr="00953F79">
        <w:rPr>
          <w:rFonts w:ascii="Times New Roman" w:hAnsi="Times New Roman"/>
          <w:sz w:val="28"/>
          <w:szCs w:val="28"/>
        </w:rPr>
        <w:t xml:space="preserve"> 1191, 1193 (June 2016).</w:t>
      </w:r>
    </w:p>
  </w:footnote>
  <w:footnote w:id="13">
    <w:p w:rsidR="002E0E97" w:rsidRPr="00953F79" w:rsidRDefault="002E0E97" w:rsidP="002E0E97">
      <w:pPr>
        <w:contextualSpacing/>
        <w:rPr>
          <w:rFonts w:ascii="Times New Roman" w:hAnsi="Times New Roman"/>
          <w:smallCaps/>
          <w:sz w:val="28"/>
          <w:szCs w:val="28"/>
        </w:rPr>
      </w:pPr>
      <w:r w:rsidRPr="00953F79">
        <w:rPr>
          <w:rStyle w:val="FootnoteReference"/>
          <w:rFonts w:ascii="Times New Roman" w:hAnsi="Times New Roman"/>
          <w:sz w:val="28"/>
          <w:szCs w:val="28"/>
        </w:rPr>
        <w:footnoteRef/>
      </w:r>
      <w:r w:rsidRPr="00953F79">
        <w:rPr>
          <w:rFonts w:ascii="Times New Roman" w:hAnsi="Times New Roman"/>
          <w:sz w:val="28"/>
          <w:szCs w:val="28"/>
        </w:rPr>
        <w:t xml:space="preserve"> Judy Perry Martinez, </w:t>
      </w:r>
      <w:r w:rsidRPr="00953F79">
        <w:rPr>
          <w:rFonts w:ascii="Times New Roman" w:hAnsi="Times New Roman"/>
          <w:i/>
          <w:sz w:val="28"/>
          <w:szCs w:val="28"/>
        </w:rPr>
        <w:t>We Must Not Squander the Future of Legal Services</w:t>
      </w:r>
      <w:r w:rsidRPr="00953F79">
        <w:rPr>
          <w:rFonts w:ascii="Times New Roman" w:hAnsi="Times New Roman"/>
          <w:sz w:val="28"/>
          <w:szCs w:val="28"/>
        </w:rPr>
        <w:t xml:space="preserve">, </w:t>
      </w:r>
      <w:r w:rsidRPr="00953F79">
        <w:rPr>
          <w:rFonts w:ascii="Times New Roman" w:hAnsi="Times New Roman"/>
          <w:smallCaps/>
          <w:sz w:val="28"/>
          <w:szCs w:val="28"/>
        </w:rPr>
        <w:t>a.b.a. j.</w:t>
      </w:r>
      <w:r w:rsidR="00CC220F">
        <w:rPr>
          <w:rFonts w:ascii="Times New Roman" w:hAnsi="Times New Roman"/>
          <w:smallCaps/>
          <w:sz w:val="28"/>
          <w:szCs w:val="28"/>
        </w:rPr>
        <w:t xml:space="preserve"> </w:t>
      </w:r>
      <w:r w:rsidRPr="00953F79">
        <w:rPr>
          <w:rFonts w:ascii="Times New Roman" w:hAnsi="Times New Roman"/>
          <w:sz w:val="28"/>
          <w:szCs w:val="28"/>
        </w:rPr>
        <w:t xml:space="preserve">(Feb. 1, 2020), </w:t>
      </w:r>
      <w:hyperlink r:id="rId9" w:history="1">
        <w:r w:rsidRPr="00953F79">
          <w:rPr>
            <w:rStyle w:val="Hyperlink"/>
            <w:rFonts w:ascii="Times New Roman" w:hAnsi="Times New Roman"/>
            <w:sz w:val="28"/>
            <w:szCs w:val="28"/>
          </w:rPr>
          <w:t>https://www.abajournal.com/magazine/article/we-must-not-squander-the-future-of-legal-services</w:t>
        </w:r>
      </w:hyperlink>
      <w:r w:rsidRPr="00953F79">
        <w:rPr>
          <w:rFonts w:ascii="Times New Roman" w:hAnsi="Times New Roman"/>
          <w:sz w:val="28"/>
          <w:szCs w:val="28"/>
        </w:rPr>
        <w:t>.</w:t>
      </w:r>
    </w:p>
  </w:footnote>
  <w:footnote w:id="14">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William Henderson, </w:t>
      </w:r>
      <w:r w:rsidRPr="00953F79">
        <w:rPr>
          <w:i/>
          <w:iCs/>
          <w:sz w:val="28"/>
          <w:szCs w:val="28"/>
        </w:rPr>
        <w:t xml:space="preserve">The Decline of the </w:t>
      </w:r>
      <w:r w:rsidRPr="00953F79">
        <w:rPr>
          <w:i/>
          <w:iCs/>
          <w:sz w:val="28"/>
          <w:szCs w:val="28"/>
        </w:rPr>
        <w:t>PeopleLaw Sector</w:t>
      </w:r>
      <w:r w:rsidRPr="00953F79">
        <w:rPr>
          <w:sz w:val="28"/>
          <w:szCs w:val="28"/>
        </w:rPr>
        <w:t xml:space="preserve">, </w:t>
      </w:r>
      <w:r w:rsidRPr="00953F79">
        <w:rPr>
          <w:smallCaps/>
          <w:sz w:val="28"/>
          <w:szCs w:val="28"/>
        </w:rPr>
        <w:t>Legalevolution.org</w:t>
      </w:r>
      <w:r w:rsidRPr="00953F79">
        <w:rPr>
          <w:sz w:val="28"/>
          <w:szCs w:val="28"/>
        </w:rPr>
        <w:t xml:space="preserve"> (Nov. 19, 2017), </w:t>
      </w:r>
      <w:hyperlink r:id="rId10" w:history="1">
        <w:r w:rsidRPr="00953F79">
          <w:rPr>
            <w:rStyle w:val="Hyperlink"/>
            <w:sz w:val="28"/>
            <w:szCs w:val="28"/>
          </w:rPr>
          <w:t>https://www.legalevolution.org/2017/11/decline-peoplelaw-sector-037/</w:t>
        </w:r>
      </w:hyperlink>
      <w:r w:rsidRPr="00953F79">
        <w:rPr>
          <w:sz w:val="28"/>
          <w:szCs w:val="28"/>
        </w:rPr>
        <w:t>.</w:t>
      </w:r>
    </w:p>
  </w:footnote>
  <w:footnote w:id="15">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t>
      </w:r>
      <w:r w:rsidRPr="00953F79">
        <w:rPr>
          <w:smallCaps/>
          <w:sz w:val="28"/>
          <w:szCs w:val="28"/>
        </w:rPr>
        <w:t>State of Arizona Public Opinion Survey, Arizona Supreme Court Task Force on the Delivery of Legal Services</w:t>
      </w:r>
      <w:r w:rsidR="00CC220F">
        <w:rPr>
          <w:smallCaps/>
          <w:sz w:val="28"/>
          <w:szCs w:val="28"/>
        </w:rPr>
        <w:t xml:space="preserve"> 22</w:t>
      </w:r>
      <w:r w:rsidRPr="00953F79">
        <w:rPr>
          <w:sz w:val="28"/>
          <w:szCs w:val="28"/>
        </w:rPr>
        <w:t xml:space="preserve"> (Jan. 20-24, 2020), </w:t>
      </w:r>
      <w:hyperlink r:id="rId11" w:history="1">
        <w:r w:rsidRPr="00953F79">
          <w:rPr>
            <w:rStyle w:val="Hyperlink"/>
            <w:sz w:val="28"/>
            <w:szCs w:val="28"/>
          </w:rPr>
          <w:t>https://www.azcourts.gov/Portals/215/Documents/Opinion%20Poll%20Results.pdf?ver=2020-03-06-113334-443</w:t>
        </w:r>
      </w:hyperlink>
      <w:r w:rsidRPr="00953F79">
        <w:rPr>
          <w:sz w:val="28"/>
          <w:szCs w:val="28"/>
        </w:rPr>
        <w:t xml:space="preserve">. </w:t>
      </w:r>
    </w:p>
  </w:footnote>
  <w:footnote w:id="16">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t>
      </w:r>
      <w:r w:rsidRPr="00953F79">
        <w:rPr>
          <w:smallCaps/>
          <w:sz w:val="28"/>
          <w:szCs w:val="28"/>
        </w:rPr>
        <w:t>Technology and Innovation in Legal Services – Main Report: An Analysis of a Survey of Legal Service Providers</w:t>
      </w:r>
      <w:r w:rsidRPr="00953F79">
        <w:rPr>
          <w:sz w:val="28"/>
          <w:szCs w:val="28"/>
        </w:rPr>
        <w:t xml:space="preserve">, </w:t>
      </w:r>
      <w:r w:rsidRPr="00953F79">
        <w:rPr>
          <w:smallCaps/>
          <w:sz w:val="28"/>
          <w:szCs w:val="28"/>
        </w:rPr>
        <w:t>Legal Services Board</w:t>
      </w:r>
      <w:r w:rsidRPr="00953F79">
        <w:rPr>
          <w:sz w:val="28"/>
          <w:szCs w:val="28"/>
        </w:rPr>
        <w:t xml:space="preserve"> 1, 11 (November 2018), </w:t>
      </w:r>
      <w:hyperlink r:id="rId12" w:history="1">
        <w:r w:rsidRPr="00953F79">
          <w:rPr>
            <w:rStyle w:val="Hyperlink"/>
            <w:sz w:val="28"/>
            <w:szCs w:val="28"/>
          </w:rPr>
          <w:t>https://www.legalservicesboard.org.uk/wp-content/media/Innovation-survey-2018-report-FINAL-2.pdf</w:t>
        </w:r>
      </w:hyperlink>
      <w:r w:rsidRPr="00953F79">
        <w:rPr>
          <w:sz w:val="28"/>
          <w:szCs w:val="28"/>
        </w:rPr>
        <w:t xml:space="preserve">. </w:t>
      </w:r>
    </w:p>
  </w:footnote>
  <w:footnote w:id="17">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t>
      </w:r>
      <w:r w:rsidRPr="00953F79">
        <w:rPr>
          <w:i/>
          <w:sz w:val="28"/>
          <w:szCs w:val="28"/>
        </w:rPr>
        <w:t>Id</w:t>
      </w:r>
      <w:r w:rsidRPr="00953F79">
        <w:rPr>
          <w:sz w:val="28"/>
          <w:szCs w:val="28"/>
        </w:rPr>
        <w:t>. at 43.</w:t>
      </w:r>
    </w:p>
  </w:footnote>
  <w:footnote w:id="18">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t>
      </w:r>
      <w:r w:rsidRPr="00953F79">
        <w:rPr>
          <w:smallCaps/>
          <w:sz w:val="28"/>
          <w:szCs w:val="28"/>
        </w:rPr>
        <w:t>The Future of Legal Services, The Law Society of England and Wales</w:t>
      </w:r>
      <w:r w:rsidRPr="00953F79">
        <w:rPr>
          <w:sz w:val="28"/>
          <w:szCs w:val="28"/>
        </w:rPr>
        <w:t xml:space="preserve"> (January 2016), </w:t>
      </w:r>
      <w:hyperlink r:id="rId13" w:history="1">
        <w:r w:rsidRPr="00953F79">
          <w:rPr>
            <w:rStyle w:val="Hyperlink"/>
            <w:sz w:val="28"/>
            <w:szCs w:val="28"/>
          </w:rPr>
          <w:t>https://www.lawsociety.org.uk/news/documents/future-of-legal-services-pdf/</w:t>
        </w:r>
      </w:hyperlink>
      <w:r w:rsidRPr="00953F79">
        <w:rPr>
          <w:sz w:val="28"/>
          <w:szCs w:val="28"/>
        </w:rPr>
        <w:t>.</w:t>
      </w:r>
    </w:p>
  </w:footnote>
  <w:footnote w:id="19">
    <w:p w:rsidR="002E0E97" w:rsidRPr="00953F79" w:rsidRDefault="002E0E97" w:rsidP="002E0E97">
      <w:pPr>
        <w:contextualSpacing/>
        <w:rPr>
          <w:rFonts w:ascii="Times New Roman" w:hAnsi="Times New Roman"/>
          <w:smallCaps/>
          <w:sz w:val="28"/>
          <w:szCs w:val="28"/>
        </w:rPr>
      </w:pPr>
      <w:r w:rsidRPr="00953F79">
        <w:rPr>
          <w:rStyle w:val="FootnoteReference"/>
          <w:rFonts w:ascii="Times New Roman" w:hAnsi="Times New Roman"/>
          <w:sz w:val="28"/>
          <w:szCs w:val="28"/>
        </w:rPr>
        <w:footnoteRef/>
      </w:r>
      <w:r w:rsidRPr="00953F79">
        <w:rPr>
          <w:rFonts w:ascii="Times New Roman" w:hAnsi="Times New Roman"/>
          <w:smallCaps/>
          <w:sz w:val="28"/>
          <w:szCs w:val="28"/>
        </w:rPr>
        <w:t>Neil M. Gorsuch</w:t>
      </w:r>
      <w:r w:rsidRPr="00953F79">
        <w:rPr>
          <w:rFonts w:ascii="Times New Roman" w:hAnsi="Times New Roman"/>
          <w:sz w:val="28"/>
          <w:szCs w:val="28"/>
        </w:rPr>
        <w:t xml:space="preserve">, </w:t>
      </w:r>
      <w:r w:rsidRPr="00953F79">
        <w:rPr>
          <w:rFonts w:ascii="Times New Roman" w:hAnsi="Times New Roman"/>
          <w:smallCaps/>
          <w:sz w:val="28"/>
          <w:szCs w:val="28"/>
        </w:rPr>
        <w:t>A Republic, If You Can Keep It</w:t>
      </w:r>
      <w:r w:rsidRPr="00953F79">
        <w:rPr>
          <w:rFonts w:ascii="Times New Roman" w:hAnsi="Times New Roman"/>
          <w:sz w:val="28"/>
          <w:szCs w:val="28"/>
        </w:rPr>
        <w:t xml:space="preserve"> 259 (Random House 2019).</w:t>
      </w:r>
    </w:p>
  </w:footnote>
  <w:footnote w:id="20">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The Petition proposes amendments to ER 5.3(a) that would require that the conduct of all nonlawyers in an ABS, including any nonlawyers who have economic interests in the firm, is consistent with a lawyer’s professional obligations. Petition at 14.</w:t>
      </w:r>
    </w:p>
  </w:footnote>
  <w:footnote w:id="21">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Memorandum to ABA Entities, Courts, Bar Associations (state, local, specialty,</w:t>
      </w:r>
      <w:r w:rsidR="00BF67B5">
        <w:rPr>
          <w:sz w:val="28"/>
          <w:szCs w:val="28"/>
        </w:rPr>
        <w:t xml:space="preserve"> </w:t>
      </w:r>
      <w:r w:rsidRPr="00953F79">
        <w:rPr>
          <w:sz w:val="28"/>
          <w:szCs w:val="28"/>
        </w:rPr>
        <w:t xml:space="preserve">and international), Law Schools, Disciplinary Agencies, Individual Clients and Client Entities from The ABA Commission of the Future of Legal Services re: For Comment: Issues Paper Regarding Alternative Business Structures, April 8, 2016, </w:t>
      </w:r>
      <w:hyperlink r:id="rId14" w:history="1">
        <w:r w:rsidRPr="00953F79">
          <w:rPr>
            <w:rStyle w:val="Hyperlink"/>
            <w:sz w:val="28"/>
            <w:szCs w:val="28"/>
          </w:rPr>
          <w:t>https://www.americanbar.org/content/dam/aba/images/office_president/alternative_business_issues_paper.pdf</w:t>
        </w:r>
      </w:hyperlink>
      <w:r w:rsidRPr="00953F79">
        <w:rPr>
          <w:sz w:val="28"/>
          <w:szCs w:val="28"/>
        </w:rPr>
        <w:t>.</w:t>
      </w:r>
    </w:p>
  </w:footnote>
  <w:footnote w:id="22">
    <w:p w:rsidR="002E0E97" w:rsidRPr="00953F79"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t>
      </w:r>
      <w:r w:rsidRPr="00953F79">
        <w:rPr>
          <w:smallCaps/>
          <w:sz w:val="28"/>
          <w:szCs w:val="28"/>
        </w:rPr>
        <w:t>Legal Services Consumer Panel, 2014 Consumer Impact Report</w:t>
      </w:r>
      <w:r w:rsidRPr="00953F79">
        <w:rPr>
          <w:sz w:val="28"/>
          <w:szCs w:val="28"/>
        </w:rPr>
        <w:t xml:space="preserve"> 15 (2014), </w:t>
      </w:r>
      <w:hyperlink r:id="rId15" w:history="1">
        <w:r w:rsidRPr="00953F79">
          <w:rPr>
            <w:rStyle w:val="Hyperlink"/>
            <w:sz w:val="28"/>
            <w:szCs w:val="28"/>
          </w:rPr>
          <w:t>https://www.legalservicesconsumerpanel.org.uk/publications/research_and_reports/documents/Consumer%20Impact%20Report%203.pdf</w:t>
        </w:r>
      </w:hyperlink>
      <w:r w:rsidRPr="00953F79">
        <w:rPr>
          <w:sz w:val="28"/>
          <w:szCs w:val="28"/>
        </w:rPr>
        <w:t>.</w:t>
      </w:r>
    </w:p>
  </w:footnote>
  <w:footnote w:id="23">
    <w:p w:rsidR="002E0E97" w:rsidRPr="002F31A0" w:rsidRDefault="002E0E97" w:rsidP="002E0E97">
      <w:pPr>
        <w:pStyle w:val="FootnoteText"/>
        <w:rPr>
          <w:sz w:val="28"/>
          <w:szCs w:val="28"/>
        </w:rPr>
      </w:pPr>
      <w:r w:rsidRPr="00953F79">
        <w:rPr>
          <w:rStyle w:val="FootnoteReference"/>
          <w:sz w:val="28"/>
          <w:szCs w:val="28"/>
        </w:rPr>
        <w:footnoteRef/>
      </w:r>
      <w:r w:rsidRPr="00953F79">
        <w:rPr>
          <w:sz w:val="28"/>
          <w:szCs w:val="28"/>
        </w:rPr>
        <w:t xml:space="preserve"> </w:t>
      </w:r>
      <w:r w:rsidRPr="00953F79">
        <w:rPr>
          <w:smallCaps/>
          <w:sz w:val="28"/>
          <w:szCs w:val="28"/>
        </w:rPr>
        <w:t>Changes in the Legal Services Market 2006/07 -2014/15, Legal Services Board</w:t>
      </w:r>
      <w:r w:rsidRPr="00953F79">
        <w:rPr>
          <w:sz w:val="28"/>
          <w:szCs w:val="28"/>
        </w:rPr>
        <w:t xml:space="preserve">, </w:t>
      </w:r>
      <w:hyperlink r:id="rId16" w:history="1">
        <w:r w:rsidRPr="00953F79">
          <w:rPr>
            <w:rStyle w:val="Hyperlink"/>
            <w:sz w:val="28"/>
            <w:szCs w:val="28"/>
          </w:rPr>
          <w:t>https://www.legalservicesboard.org.uk/wp-content/media/2015-2016-FINAL-Market-Evaluation-Infographic.pdf</w:t>
        </w:r>
      </w:hyperlink>
      <w:r w:rsidRPr="00953F79">
        <w:rPr>
          <w:sz w:val="28"/>
          <w:szCs w:val="2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EF"/>
    <w:rsid w:val="002E0E97"/>
    <w:rsid w:val="00535A16"/>
    <w:rsid w:val="005E5692"/>
    <w:rsid w:val="006E170C"/>
    <w:rsid w:val="009027EF"/>
    <w:rsid w:val="00953F79"/>
    <w:rsid w:val="00BB55CE"/>
    <w:rsid w:val="00BF67B5"/>
    <w:rsid w:val="00C7232E"/>
    <w:rsid w:val="00CC220F"/>
    <w:rsid w:val="00CE4B01"/>
    <w:rsid w:val="00DD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4D0CA-CE59-4F11-B498-5CD1FBAF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7E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027EF"/>
    <w:rPr>
      <w:color w:val="0563C1"/>
      <w:u w:val="single"/>
    </w:rPr>
  </w:style>
  <w:style w:type="paragraph" w:styleId="PlainText">
    <w:name w:val="Plain Text"/>
    <w:basedOn w:val="Normal"/>
    <w:link w:val="PlainTextChar"/>
    <w:uiPriority w:val="99"/>
    <w:unhideWhenUsed/>
    <w:rsid w:val="00C7232E"/>
    <w:rPr>
      <w:rFonts w:eastAsiaTheme="minorHAnsi" w:cstheme="minorBidi"/>
      <w:szCs w:val="21"/>
    </w:rPr>
  </w:style>
  <w:style w:type="character" w:customStyle="1" w:styleId="PlainTextChar">
    <w:name w:val="Plain Text Char"/>
    <w:basedOn w:val="DefaultParagraphFont"/>
    <w:link w:val="PlainText"/>
    <w:uiPriority w:val="99"/>
    <w:rsid w:val="00C7232E"/>
    <w:rPr>
      <w:rFonts w:ascii="Calibri" w:hAnsi="Calibri"/>
      <w:szCs w:val="21"/>
    </w:rPr>
  </w:style>
  <w:style w:type="paragraph" w:styleId="FootnoteText">
    <w:name w:val="footnote text"/>
    <w:basedOn w:val="Normal"/>
    <w:link w:val="FootnoteTextChar"/>
    <w:uiPriority w:val="99"/>
    <w:unhideWhenUsed/>
    <w:rsid w:val="002E0E97"/>
    <w:rPr>
      <w:rFonts w:ascii="Times New Roman" w:hAnsi="Times New Roman"/>
      <w:sz w:val="20"/>
      <w:szCs w:val="20"/>
    </w:rPr>
  </w:style>
  <w:style w:type="character" w:customStyle="1" w:styleId="FootnoteTextChar">
    <w:name w:val="Footnote Text Char"/>
    <w:basedOn w:val="DefaultParagraphFont"/>
    <w:link w:val="FootnoteText"/>
    <w:uiPriority w:val="99"/>
    <w:rsid w:val="002E0E9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E0E97"/>
    <w:rPr>
      <w:vertAlign w:val="superscript"/>
    </w:rPr>
  </w:style>
  <w:style w:type="character" w:customStyle="1" w:styleId="css-901oao">
    <w:name w:val="css-901oao"/>
    <w:basedOn w:val="DefaultParagraphFont"/>
    <w:rsid w:val="002E0E97"/>
  </w:style>
  <w:style w:type="paragraph" w:styleId="Header">
    <w:name w:val="header"/>
    <w:basedOn w:val="Normal"/>
    <w:link w:val="HeaderChar"/>
    <w:uiPriority w:val="99"/>
    <w:unhideWhenUsed/>
    <w:rsid w:val="00953F79"/>
    <w:pPr>
      <w:tabs>
        <w:tab w:val="center" w:pos="4680"/>
        <w:tab w:val="right" w:pos="9360"/>
      </w:tabs>
    </w:pPr>
  </w:style>
  <w:style w:type="character" w:customStyle="1" w:styleId="HeaderChar">
    <w:name w:val="Header Char"/>
    <w:basedOn w:val="DefaultParagraphFont"/>
    <w:link w:val="Header"/>
    <w:uiPriority w:val="99"/>
    <w:rsid w:val="00953F79"/>
    <w:rPr>
      <w:rFonts w:ascii="Calibri" w:eastAsia="Calibri" w:hAnsi="Calibri" w:cs="Times New Roman"/>
    </w:rPr>
  </w:style>
  <w:style w:type="paragraph" w:styleId="Footer">
    <w:name w:val="footer"/>
    <w:basedOn w:val="Normal"/>
    <w:link w:val="FooterChar"/>
    <w:uiPriority w:val="99"/>
    <w:unhideWhenUsed/>
    <w:rsid w:val="00953F79"/>
    <w:pPr>
      <w:tabs>
        <w:tab w:val="center" w:pos="4680"/>
        <w:tab w:val="right" w:pos="9360"/>
      </w:tabs>
    </w:pPr>
  </w:style>
  <w:style w:type="character" w:customStyle="1" w:styleId="FooterChar">
    <w:name w:val="Footer Char"/>
    <w:basedOn w:val="DefaultParagraphFont"/>
    <w:link w:val="Footer"/>
    <w:uiPriority w:val="99"/>
    <w:rsid w:val="00953F7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cclponline.org/wp-content/uploads/2017/10/Facing-Eviction-Alone-9-11-17_revised.pdf" TargetMode="External"/><Relationship Id="rId13" Type="http://schemas.openxmlformats.org/officeDocument/2006/relationships/hyperlink" Target="https://www.lawsociety.org.uk/news/documents/future-of-legal-services-pdf/" TargetMode="External"/><Relationship Id="rId3" Type="http://schemas.openxmlformats.org/officeDocument/2006/relationships/hyperlink" Target="http://www.abajournal.com/news/article/aba_commission_future_legal_services_report_access_to_justice" TargetMode="External"/><Relationship Id="rId7" Type="http://schemas.openxmlformats.org/officeDocument/2006/relationships/hyperlink" Target="http://board.calbar.ca.gov/docs/agendaItem/Public/agendaitem1000022382.pdf" TargetMode="External"/><Relationship Id="rId12" Type="http://schemas.openxmlformats.org/officeDocument/2006/relationships/hyperlink" Target="https://www.legalservicesboard.org.uk/wp-content/media/Innovation-survey-2018-report-FINAL-2.pdf" TargetMode="External"/><Relationship Id="rId2" Type="http://schemas.openxmlformats.org/officeDocument/2006/relationships/hyperlink" Target="https://worldjusticeproject.org/our-work/research-and-data/wjp-rule-law-index-2019" TargetMode="External"/><Relationship Id="rId16" Type="http://schemas.openxmlformats.org/officeDocument/2006/relationships/hyperlink" Target="https://www.legalservicesboard.org.uk/wp-content/media/2015-2016-FINAL-Market-Evaluation-Infographic.pdf" TargetMode="External"/><Relationship Id="rId1" Type="http://schemas.openxmlformats.org/officeDocument/2006/relationships/hyperlink" Target="http://www.altmanweil.com/dir_docs/resource/28BC6AB5-10E9-418D-AED2-B63D1145F989_document.pdf" TargetMode="External"/><Relationship Id="rId6" Type="http://schemas.openxmlformats.org/officeDocument/2006/relationships/hyperlink" Target="https://www.ncsc.org/~/media/Files/PDF/Research/CivilJusticeReport-2015.ashx" TargetMode="External"/><Relationship Id="rId11" Type="http://schemas.openxmlformats.org/officeDocument/2006/relationships/hyperlink" Target="https://www.azcourts.gov/Portals/215/Documents/Opinion%20Poll%20Results.pdf?ver=2020-03-06-113334-443" TargetMode="External"/><Relationship Id="rId5" Type="http://schemas.openxmlformats.org/officeDocument/2006/relationships/hyperlink" Target="http://www.americanbarfoundation.org/uploads/cms/documents/sandefur_accessing_justice_in_the_contemporary_usa._aug._2014.pdf" TargetMode="External"/><Relationship Id="rId15" Type="http://schemas.openxmlformats.org/officeDocument/2006/relationships/hyperlink" Target="https://www.legalservicesconsumerpanel.org.uk/publications/research_and_reports/documents/Consumer%20Impact%20Report%203.pdf" TargetMode="External"/><Relationship Id="rId10" Type="http://schemas.openxmlformats.org/officeDocument/2006/relationships/hyperlink" Target="https://www.legalevolution.org/2017/11/decline-peoplelaw-sector-037/" TargetMode="External"/><Relationship Id="rId4" Type="http://schemas.openxmlformats.org/officeDocument/2006/relationships/hyperlink" Target="https://iaals.du.edu/sites/default/files/documents/publications/cases_without_counsel_research_report.pdf" TargetMode="External"/><Relationship Id="rId9" Type="http://schemas.openxmlformats.org/officeDocument/2006/relationships/hyperlink" Target="https://www.abajournal.com/magazine/article/we-must-not-squander-the-future-of-legal-services" TargetMode="External"/><Relationship Id="rId14" Type="http://schemas.openxmlformats.org/officeDocument/2006/relationships/hyperlink" Target="https://www.americanbar.org/content/dam/aba/images/office_president/alternative_business_issues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Bales</dc:creator>
  <cp:keywords/>
  <dc:description/>
  <cp:lastModifiedBy>Fox, Yolanda</cp:lastModifiedBy>
  <cp:revision>2</cp:revision>
  <dcterms:created xsi:type="dcterms:W3CDTF">2020-03-31T18:40:00Z</dcterms:created>
  <dcterms:modified xsi:type="dcterms:W3CDTF">2020-03-31T18:40:00Z</dcterms:modified>
</cp:coreProperties>
</file>