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8B4" w:rsidRDefault="002508B4" w:rsidP="007F54A2">
      <w:pPr>
        <w:jc w:val="both"/>
        <w:rPr>
          <w:sz w:val="28"/>
          <w:szCs w:val="28"/>
        </w:rPr>
      </w:pPr>
      <w:r>
        <w:rPr>
          <w:sz w:val="28"/>
          <w:szCs w:val="28"/>
        </w:rPr>
        <w:t>Dave Byers</w:t>
      </w:r>
      <w:r>
        <w:rPr>
          <w:rStyle w:val="FootnoteReference"/>
          <w:sz w:val="28"/>
          <w:szCs w:val="28"/>
        </w:rPr>
        <w:footnoteReference w:id="1"/>
      </w:r>
    </w:p>
    <w:p w:rsidR="002508B4" w:rsidRPr="00FD45C7" w:rsidRDefault="007711EC" w:rsidP="007F54A2">
      <w:pPr>
        <w:jc w:val="both"/>
        <w:rPr>
          <w:sz w:val="28"/>
          <w:szCs w:val="28"/>
        </w:rPr>
      </w:pPr>
      <w:r>
        <w:rPr>
          <w:sz w:val="28"/>
          <w:szCs w:val="28"/>
        </w:rPr>
        <w:t>Administrative</w:t>
      </w:r>
      <w:r w:rsidR="002508B4">
        <w:rPr>
          <w:sz w:val="28"/>
          <w:szCs w:val="28"/>
        </w:rPr>
        <w:t xml:space="preserve"> Director, Administrative Office of Courts</w:t>
      </w:r>
    </w:p>
    <w:p w:rsidR="007711EC" w:rsidRPr="00FD45C7" w:rsidRDefault="007711EC" w:rsidP="007F54A2">
      <w:pPr>
        <w:jc w:val="both"/>
        <w:rPr>
          <w:sz w:val="28"/>
          <w:szCs w:val="28"/>
        </w:rPr>
      </w:pPr>
      <w:r>
        <w:rPr>
          <w:sz w:val="28"/>
          <w:szCs w:val="28"/>
        </w:rPr>
        <w:t>Member</w:t>
      </w:r>
      <w:r w:rsidRPr="00FD45C7">
        <w:rPr>
          <w:sz w:val="28"/>
          <w:szCs w:val="28"/>
        </w:rPr>
        <w:t xml:space="preserve">, </w:t>
      </w:r>
      <w:r>
        <w:rPr>
          <w:sz w:val="28"/>
          <w:szCs w:val="28"/>
        </w:rPr>
        <w:t xml:space="preserve">Task Force on the Delivery of Legal Services </w:t>
      </w:r>
    </w:p>
    <w:p w:rsidR="007711EC" w:rsidRPr="00FD45C7" w:rsidRDefault="007711EC" w:rsidP="007F54A2">
      <w:pPr>
        <w:jc w:val="both"/>
        <w:rPr>
          <w:sz w:val="28"/>
          <w:szCs w:val="28"/>
        </w:rPr>
      </w:pPr>
      <w:r w:rsidRPr="00FD45C7">
        <w:rPr>
          <w:sz w:val="28"/>
          <w:szCs w:val="28"/>
        </w:rPr>
        <w:t>State Courts Building</w:t>
      </w:r>
    </w:p>
    <w:p w:rsidR="007711EC" w:rsidRPr="00FD45C7" w:rsidRDefault="007711EC" w:rsidP="007F54A2">
      <w:pPr>
        <w:jc w:val="both"/>
        <w:rPr>
          <w:sz w:val="28"/>
          <w:szCs w:val="28"/>
        </w:rPr>
      </w:pPr>
      <w:r w:rsidRPr="00FD45C7">
        <w:rPr>
          <w:sz w:val="28"/>
          <w:szCs w:val="28"/>
        </w:rPr>
        <w:t>1501 West Washington</w:t>
      </w:r>
    </w:p>
    <w:p w:rsidR="007711EC" w:rsidRPr="00FD45C7" w:rsidRDefault="007711EC" w:rsidP="007F54A2">
      <w:pPr>
        <w:jc w:val="both"/>
        <w:rPr>
          <w:sz w:val="28"/>
          <w:szCs w:val="28"/>
        </w:rPr>
      </w:pPr>
      <w:r>
        <w:rPr>
          <w:sz w:val="28"/>
          <w:szCs w:val="28"/>
        </w:rPr>
        <w:t>Phoenix, Arizona </w:t>
      </w:r>
      <w:r w:rsidRPr="00FD45C7">
        <w:rPr>
          <w:sz w:val="28"/>
          <w:szCs w:val="28"/>
        </w:rPr>
        <w:t>85007</w:t>
      </w:r>
    </w:p>
    <w:p w:rsidR="007711EC" w:rsidRPr="00FD45C7" w:rsidRDefault="007711EC" w:rsidP="007F54A2">
      <w:pPr>
        <w:jc w:val="both"/>
        <w:rPr>
          <w:sz w:val="28"/>
          <w:szCs w:val="28"/>
        </w:rPr>
      </w:pPr>
      <w:r>
        <w:rPr>
          <w:sz w:val="28"/>
          <w:szCs w:val="28"/>
        </w:rPr>
        <w:t xml:space="preserve">Telephone: </w:t>
      </w:r>
      <w:r w:rsidRPr="00FD45C7">
        <w:rPr>
          <w:sz w:val="28"/>
          <w:szCs w:val="28"/>
        </w:rPr>
        <w:t xml:space="preserve">(602) </w:t>
      </w:r>
      <w:r>
        <w:rPr>
          <w:sz w:val="28"/>
          <w:szCs w:val="28"/>
        </w:rPr>
        <w:t>452-3301</w:t>
      </w:r>
    </w:p>
    <w:p w:rsidR="002508B4" w:rsidRDefault="007711EC" w:rsidP="007F54A2">
      <w:pPr>
        <w:jc w:val="both"/>
        <w:rPr>
          <w:sz w:val="28"/>
          <w:szCs w:val="28"/>
        </w:rPr>
      </w:pPr>
      <w:r>
        <w:rPr>
          <w:sz w:val="28"/>
          <w:szCs w:val="28"/>
        </w:rPr>
        <w:t>Projects2@courts.az.gov</w:t>
      </w:r>
    </w:p>
    <w:p w:rsidR="007711EC" w:rsidRPr="00FD45C7" w:rsidRDefault="007711EC" w:rsidP="007F54A2">
      <w:pPr>
        <w:jc w:val="both"/>
        <w:rPr>
          <w:sz w:val="28"/>
          <w:szCs w:val="28"/>
        </w:rPr>
      </w:pPr>
    </w:p>
    <w:p w:rsidR="002508B4" w:rsidRDefault="002508B4" w:rsidP="007F54A2">
      <w:pPr>
        <w:jc w:val="both"/>
        <w:rPr>
          <w:sz w:val="28"/>
          <w:szCs w:val="28"/>
        </w:rPr>
      </w:pPr>
    </w:p>
    <w:p w:rsidR="002508B4" w:rsidRPr="00FD45C7" w:rsidRDefault="002508B4" w:rsidP="007F54A2">
      <w:pPr>
        <w:jc w:val="both"/>
        <w:rPr>
          <w:sz w:val="28"/>
          <w:szCs w:val="28"/>
        </w:rPr>
      </w:pPr>
    </w:p>
    <w:p w:rsidR="002508B4" w:rsidRPr="00FD45C7" w:rsidRDefault="002508B4" w:rsidP="007F54A2">
      <w:pPr>
        <w:pStyle w:val="Heading1"/>
        <w:spacing w:line="240" w:lineRule="auto"/>
        <w:rPr>
          <w:rFonts w:ascii="Times New Roman" w:hAnsi="Times New Roman"/>
          <w:bCs/>
          <w:sz w:val="28"/>
          <w:szCs w:val="28"/>
        </w:rPr>
      </w:pPr>
      <w:r w:rsidRPr="00FD45C7">
        <w:rPr>
          <w:rFonts w:ascii="Times New Roman" w:hAnsi="Times New Roman"/>
          <w:bCs/>
          <w:sz w:val="28"/>
          <w:szCs w:val="28"/>
        </w:rPr>
        <w:t>IN THE SUPREME COURT</w:t>
      </w:r>
    </w:p>
    <w:p w:rsidR="002508B4" w:rsidRDefault="002508B4" w:rsidP="007F54A2">
      <w:pPr>
        <w:pStyle w:val="Heading1"/>
        <w:spacing w:line="240" w:lineRule="auto"/>
        <w:rPr>
          <w:rFonts w:ascii="Times New Roman" w:hAnsi="Times New Roman"/>
          <w:bCs/>
          <w:sz w:val="28"/>
          <w:szCs w:val="28"/>
        </w:rPr>
      </w:pPr>
      <w:r w:rsidRPr="00FD45C7">
        <w:rPr>
          <w:rFonts w:ascii="Times New Roman" w:hAnsi="Times New Roman"/>
          <w:bCs/>
          <w:sz w:val="28"/>
          <w:szCs w:val="28"/>
        </w:rPr>
        <w:t>STATE OF ARIZONA</w:t>
      </w:r>
    </w:p>
    <w:p w:rsidR="002508B4" w:rsidRDefault="002508B4" w:rsidP="007F54A2">
      <w:pPr>
        <w:jc w:val="both"/>
      </w:pPr>
    </w:p>
    <w:p w:rsidR="004D037C" w:rsidRPr="00FF09E1" w:rsidRDefault="004D037C" w:rsidP="007F54A2">
      <w:pPr>
        <w:jc w:val="both"/>
      </w:pPr>
    </w:p>
    <w:p w:rsidR="002508B4" w:rsidRPr="00FD45C7" w:rsidRDefault="004D037C" w:rsidP="00AD34E3">
      <w:pPr>
        <w:tabs>
          <w:tab w:val="left" w:pos="4320"/>
        </w:tabs>
        <w:jc w:val="both"/>
        <w:rPr>
          <w:sz w:val="28"/>
          <w:szCs w:val="28"/>
        </w:rPr>
      </w:pPr>
      <w:r>
        <w:rPr>
          <w:sz w:val="28"/>
          <w:szCs w:val="28"/>
        </w:rPr>
        <w:tab/>
        <w:t>)</w:t>
      </w:r>
    </w:p>
    <w:p w:rsidR="002508B4" w:rsidRPr="004D037C" w:rsidRDefault="002508B4" w:rsidP="00AD34E3">
      <w:pPr>
        <w:widowControl w:val="0"/>
        <w:tabs>
          <w:tab w:val="left" w:pos="4320"/>
        </w:tabs>
        <w:autoSpaceDE w:val="0"/>
        <w:autoSpaceDN w:val="0"/>
        <w:adjustRightInd w:val="0"/>
        <w:jc w:val="both"/>
        <w:rPr>
          <w:color w:val="000000"/>
          <w:sz w:val="28"/>
          <w:szCs w:val="28"/>
        </w:rPr>
      </w:pPr>
      <w:r w:rsidRPr="004D037C">
        <w:rPr>
          <w:color w:val="000000"/>
          <w:sz w:val="28"/>
          <w:szCs w:val="28"/>
        </w:rPr>
        <w:t xml:space="preserve">In the Matter of                                    </w:t>
      </w:r>
      <w:r w:rsidR="00AD34E3">
        <w:rPr>
          <w:color w:val="000000"/>
          <w:sz w:val="28"/>
          <w:szCs w:val="28"/>
        </w:rPr>
        <w:tab/>
      </w:r>
      <w:r w:rsidRPr="004D037C">
        <w:rPr>
          <w:color w:val="000000"/>
          <w:sz w:val="28"/>
          <w:szCs w:val="28"/>
        </w:rPr>
        <w:t xml:space="preserve">)   </w:t>
      </w:r>
    </w:p>
    <w:p w:rsidR="002508B4" w:rsidRPr="004D037C" w:rsidRDefault="002508B4" w:rsidP="00AD34E3">
      <w:pPr>
        <w:widowControl w:val="0"/>
        <w:tabs>
          <w:tab w:val="left" w:pos="4320"/>
        </w:tabs>
        <w:autoSpaceDE w:val="0"/>
        <w:autoSpaceDN w:val="0"/>
        <w:adjustRightInd w:val="0"/>
        <w:jc w:val="both"/>
        <w:rPr>
          <w:sz w:val="28"/>
          <w:szCs w:val="28"/>
        </w:rPr>
      </w:pPr>
      <w:r w:rsidRPr="004D037C">
        <w:rPr>
          <w:color w:val="000000"/>
          <w:sz w:val="28"/>
          <w:szCs w:val="28"/>
        </w:rPr>
        <w:t xml:space="preserve">                                                             </w:t>
      </w:r>
      <w:r w:rsidR="00AD34E3">
        <w:rPr>
          <w:color w:val="000000"/>
          <w:sz w:val="28"/>
          <w:szCs w:val="28"/>
        </w:rPr>
        <w:tab/>
      </w:r>
      <w:r w:rsidRPr="004D037C">
        <w:rPr>
          <w:color w:val="000000"/>
          <w:sz w:val="28"/>
          <w:szCs w:val="28"/>
        </w:rPr>
        <w:t xml:space="preserve">)  </w:t>
      </w:r>
      <w:r w:rsidR="00AD34E3">
        <w:rPr>
          <w:color w:val="000000"/>
          <w:sz w:val="28"/>
          <w:szCs w:val="28"/>
        </w:rPr>
        <w:tab/>
      </w:r>
      <w:r w:rsidRPr="004D037C">
        <w:rPr>
          <w:color w:val="000000"/>
          <w:sz w:val="28"/>
          <w:szCs w:val="28"/>
        </w:rPr>
        <w:t>Supreme Court No. R-20</w:t>
      </w:r>
      <w:r w:rsidR="00AD34E3">
        <w:rPr>
          <w:color w:val="000000"/>
          <w:sz w:val="28"/>
          <w:szCs w:val="28"/>
        </w:rPr>
        <w:t xml:space="preserve"> </w:t>
      </w:r>
      <w:r w:rsidRPr="004D037C">
        <w:rPr>
          <w:color w:val="000000"/>
          <w:sz w:val="28"/>
          <w:szCs w:val="28"/>
        </w:rPr>
        <w:t>-</w:t>
      </w:r>
      <w:r w:rsidR="00AD34E3">
        <w:rPr>
          <w:color w:val="000000"/>
          <w:sz w:val="28"/>
          <w:szCs w:val="28"/>
        </w:rPr>
        <w:t xml:space="preserve"> </w:t>
      </w:r>
      <w:r w:rsidRPr="004D037C">
        <w:rPr>
          <w:color w:val="000000"/>
          <w:sz w:val="28"/>
          <w:szCs w:val="28"/>
        </w:rPr>
        <w:t>___</w:t>
      </w:r>
    </w:p>
    <w:p w:rsidR="002508B4" w:rsidRPr="004D037C" w:rsidRDefault="002508B4" w:rsidP="00AD34E3">
      <w:pPr>
        <w:widowControl w:val="0"/>
        <w:tabs>
          <w:tab w:val="left" w:pos="4320"/>
        </w:tabs>
        <w:autoSpaceDE w:val="0"/>
        <w:autoSpaceDN w:val="0"/>
        <w:adjustRightInd w:val="0"/>
        <w:jc w:val="both"/>
        <w:rPr>
          <w:sz w:val="28"/>
          <w:szCs w:val="28"/>
        </w:rPr>
      </w:pPr>
      <w:r w:rsidRPr="004D037C">
        <w:rPr>
          <w:color w:val="000000"/>
          <w:sz w:val="28"/>
          <w:szCs w:val="28"/>
        </w:rPr>
        <w:t>PETITION TO AMEND</w:t>
      </w:r>
      <w:r w:rsidR="007711EC" w:rsidRPr="004D037C">
        <w:rPr>
          <w:color w:val="000000"/>
          <w:sz w:val="28"/>
          <w:szCs w:val="28"/>
        </w:rPr>
        <w:tab/>
      </w:r>
      <w:r w:rsidRPr="004D037C">
        <w:rPr>
          <w:color w:val="000000"/>
          <w:sz w:val="28"/>
          <w:szCs w:val="28"/>
        </w:rPr>
        <w:t xml:space="preserve">)                       </w:t>
      </w:r>
    </w:p>
    <w:p w:rsidR="004D037C" w:rsidRDefault="002508B4" w:rsidP="00AD34E3">
      <w:pPr>
        <w:widowControl w:val="0"/>
        <w:tabs>
          <w:tab w:val="left" w:pos="4320"/>
        </w:tabs>
        <w:autoSpaceDE w:val="0"/>
        <w:autoSpaceDN w:val="0"/>
        <w:adjustRightInd w:val="0"/>
        <w:jc w:val="both"/>
        <w:rPr>
          <w:sz w:val="28"/>
          <w:szCs w:val="28"/>
        </w:rPr>
      </w:pPr>
      <w:r w:rsidRPr="004D037C">
        <w:rPr>
          <w:color w:val="000000"/>
          <w:sz w:val="28"/>
          <w:szCs w:val="28"/>
        </w:rPr>
        <w:t>RULE</w:t>
      </w:r>
      <w:r w:rsidR="000C36E8" w:rsidRPr="004D037C">
        <w:rPr>
          <w:color w:val="000000"/>
          <w:sz w:val="28"/>
          <w:szCs w:val="28"/>
        </w:rPr>
        <w:t xml:space="preserve">S </w:t>
      </w:r>
      <w:r w:rsidR="004D037C" w:rsidRPr="004D037C">
        <w:rPr>
          <w:sz w:val="28"/>
          <w:szCs w:val="28"/>
        </w:rPr>
        <w:t>31, 32, 41, 42</w:t>
      </w:r>
      <w:r w:rsidR="004D037C">
        <w:rPr>
          <w:sz w:val="28"/>
          <w:szCs w:val="28"/>
        </w:rPr>
        <w:t xml:space="preserve"> (ERs 1.0-5.7)</w:t>
      </w:r>
      <w:r w:rsidR="004D037C" w:rsidRPr="004D037C">
        <w:rPr>
          <w:sz w:val="28"/>
          <w:szCs w:val="28"/>
        </w:rPr>
        <w:t>,</w:t>
      </w:r>
      <w:r w:rsidR="00AD34E3">
        <w:rPr>
          <w:sz w:val="28"/>
          <w:szCs w:val="28"/>
        </w:rPr>
        <w:tab/>
      </w:r>
      <w:r w:rsidR="004D037C">
        <w:rPr>
          <w:sz w:val="28"/>
          <w:szCs w:val="28"/>
        </w:rPr>
        <w:t>)</w:t>
      </w:r>
    </w:p>
    <w:p w:rsidR="004D037C" w:rsidRDefault="004D037C" w:rsidP="00AD34E3">
      <w:pPr>
        <w:widowControl w:val="0"/>
        <w:tabs>
          <w:tab w:val="left" w:pos="4320"/>
        </w:tabs>
        <w:autoSpaceDE w:val="0"/>
        <w:autoSpaceDN w:val="0"/>
        <w:adjustRightInd w:val="0"/>
        <w:jc w:val="both"/>
        <w:rPr>
          <w:color w:val="000000"/>
          <w:sz w:val="28"/>
          <w:szCs w:val="28"/>
        </w:rPr>
      </w:pPr>
      <w:r w:rsidRPr="004D037C">
        <w:rPr>
          <w:sz w:val="28"/>
          <w:szCs w:val="28"/>
        </w:rPr>
        <w:t>46-51, 54-58,</w:t>
      </w:r>
      <w:r>
        <w:rPr>
          <w:sz w:val="28"/>
          <w:szCs w:val="28"/>
        </w:rPr>
        <w:t xml:space="preserve"> </w:t>
      </w:r>
      <w:r w:rsidRPr="004D037C">
        <w:rPr>
          <w:sz w:val="28"/>
          <w:szCs w:val="28"/>
        </w:rPr>
        <w:t xml:space="preserve">60, 75 </w:t>
      </w:r>
      <w:r>
        <w:rPr>
          <w:sz w:val="28"/>
          <w:szCs w:val="28"/>
        </w:rPr>
        <w:t>and</w:t>
      </w:r>
      <w:r w:rsidRPr="004D037C">
        <w:rPr>
          <w:sz w:val="28"/>
          <w:szCs w:val="28"/>
        </w:rPr>
        <w:t xml:space="preserve"> 76,</w:t>
      </w:r>
      <w:r w:rsidRPr="004D037C">
        <w:rPr>
          <w:color w:val="000000"/>
          <w:sz w:val="28"/>
          <w:szCs w:val="28"/>
        </w:rPr>
        <w:t xml:space="preserve"> ARIZ. R</w:t>
      </w:r>
      <w:r>
        <w:rPr>
          <w:color w:val="000000"/>
          <w:sz w:val="28"/>
          <w:szCs w:val="28"/>
        </w:rPr>
        <w:t>.</w:t>
      </w:r>
      <w:r w:rsidR="00AD34E3">
        <w:rPr>
          <w:color w:val="000000"/>
          <w:sz w:val="28"/>
          <w:szCs w:val="28"/>
        </w:rPr>
        <w:tab/>
      </w:r>
      <w:r>
        <w:rPr>
          <w:color w:val="000000"/>
          <w:sz w:val="28"/>
          <w:szCs w:val="28"/>
        </w:rPr>
        <w:t>)</w:t>
      </w:r>
    </w:p>
    <w:p w:rsidR="004D037C" w:rsidRDefault="004D037C" w:rsidP="00AD34E3">
      <w:pPr>
        <w:widowControl w:val="0"/>
        <w:tabs>
          <w:tab w:val="left" w:pos="4320"/>
        </w:tabs>
        <w:autoSpaceDE w:val="0"/>
        <w:autoSpaceDN w:val="0"/>
        <w:adjustRightInd w:val="0"/>
        <w:jc w:val="both"/>
        <w:rPr>
          <w:color w:val="000000"/>
          <w:sz w:val="28"/>
          <w:szCs w:val="28"/>
        </w:rPr>
      </w:pPr>
      <w:r w:rsidRPr="004D037C">
        <w:rPr>
          <w:color w:val="000000"/>
          <w:sz w:val="28"/>
          <w:szCs w:val="28"/>
        </w:rPr>
        <w:t xml:space="preserve">SUP. CT., </w:t>
      </w:r>
      <w:r>
        <w:rPr>
          <w:color w:val="000000"/>
          <w:sz w:val="28"/>
          <w:szCs w:val="28"/>
        </w:rPr>
        <w:t>and</w:t>
      </w:r>
      <w:r w:rsidRPr="004D037C">
        <w:rPr>
          <w:color w:val="000000"/>
          <w:sz w:val="28"/>
          <w:szCs w:val="28"/>
        </w:rPr>
        <w:t xml:space="preserve"> ADOPT NEW RULE</w:t>
      </w:r>
      <w:r w:rsidR="00AD34E3">
        <w:rPr>
          <w:color w:val="000000"/>
          <w:sz w:val="28"/>
          <w:szCs w:val="28"/>
        </w:rPr>
        <w:tab/>
      </w:r>
      <w:r>
        <w:rPr>
          <w:color w:val="000000"/>
          <w:sz w:val="28"/>
          <w:szCs w:val="28"/>
        </w:rPr>
        <w:t>)</w:t>
      </w:r>
    </w:p>
    <w:p w:rsidR="004D037C" w:rsidRPr="004D037C" w:rsidRDefault="004D037C" w:rsidP="00AD34E3">
      <w:pPr>
        <w:widowControl w:val="0"/>
        <w:tabs>
          <w:tab w:val="left" w:pos="4320"/>
        </w:tabs>
        <w:autoSpaceDE w:val="0"/>
        <w:autoSpaceDN w:val="0"/>
        <w:adjustRightInd w:val="0"/>
        <w:jc w:val="both"/>
        <w:rPr>
          <w:sz w:val="28"/>
          <w:szCs w:val="28"/>
        </w:rPr>
      </w:pPr>
      <w:r w:rsidRPr="004D037C">
        <w:rPr>
          <w:color w:val="000000"/>
          <w:sz w:val="28"/>
          <w:szCs w:val="28"/>
        </w:rPr>
        <w:t>33.1, ARIZ. R. SUP. CT.</w:t>
      </w:r>
      <w:r w:rsidRPr="004D037C">
        <w:rPr>
          <w:color w:val="000000"/>
          <w:sz w:val="28"/>
          <w:szCs w:val="28"/>
        </w:rPr>
        <w:tab/>
      </w:r>
      <w:r>
        <w:rPr>
          <w:color w:val="000000"/>
          <w:sz w:val="28"/>
          <w:szCs w:val="28"/>
        </w:rPr>
        <w:t>)</w:t>
      </w:r>
    </w:p>
    <w:p w:rsidR="002508B4" w:rsidRPr="004D037C" w:rsidRDefault="002508B4" w:rsidP="00AD34E3">
      <w:pPr>
        <w:tabs>
          <w:tab w:val="left" w:pos="4320"/>
        </w:tabs>
        <w:jc w:val="both"/>
        <w:rPr>
          <w:color w:val="000000"/>
          <w:sz w:val="28"/>
          <w:szCs w:val="28"/>
        </w:rPr>
      </w:pPr>
      <w:r w:rsidRPr="004D037C">
        <w:rPr>
          <w:color w:val="000000"/>
          <w:sz w:val="28"/>
          <w:szCs w:val="28"/>
        </w:rPr>
        <w:t>______________________________</w:t>
      </w:r>
      <w:r w:rsidR="00AD34E3">
        <w:rPr>
          <w:color w:val="000000"/>
          <w:sz w:val="28"/>
          <w:szCs w:val="28"/>
        </w:rPr>
        <w:t>_</w:t>
      </w:r>
      <w:r w:rsidRPr="004D037C">
        <w:rPr>
          <w:color w:val="000000"/>
          <w:sz w:val="28"/>
          <w:szCs w:val="28"/>
        </w:rPr>
        <w:t>)</w:t>
      </w:r>
      <w:r w:rsidR="00AD34E3">
        <w:rPr>
          <w:color w:val="000000"/>
          <w:sz w:val="28"/>
          <w:szCs w:val="28"/>
        </w:rPr>
        <w:tab/>
      </w:r>
      <w:r w:rsidRPr="004D037C">
        <w:rPr>
          <w:color w:val="000000"/>
          <w:sz w:val="28"/>
          <w:szCs w:val="28"/>
        </w:rPr>
        <w:t xml:space="preserve">         </w:t>
      </w:r>
    </w:p>
    <w:p w:rsidR="002508B4" w:rsidRPr="00DB3840" w:rsidRDefault="002508B4" w:rsidP="007F54A2">
      <w:pPr>
        <w:jc w:val="both"/>
        <w:rPr>
          <w:sz w:val="28"/>
          <w:szCs w:val="28"/>
        </w:rPr>
      </w:pPr>
    </w:p>
    <w:p w:rsidR="009D1C29" w:rsidRPr="00B71ADB" w:rsidRDefault="00920F7C" w:rsidP="00CB2694">
      <w:pPr>
        <w:pStyle w:val="BodyText"/>
        <w:numPr>
          <w:ilvl w:val="0"/>
          <w:numId w:val="1"/>
        </w:numPr>
        <w:tabs>
          <w:tab w:val="left" w:pos="360"/>
        </w:tabs>
        <w:spacing w:line="480" w:lineRule="auto"/>
        <w:ind w:left="720"/>
        <w:jc w:val="both"/>
        <w:rPr>
          <w:b/>
          <w:bCs/>
          <w:szCs w:val="28"/>
        </w:rPr>
      </w:pPr>
      <w:r w:rsidRPr="00B71ADB">
        <w:rPr>
          <w:b/>
          <w:bCs/>
          <w:szCs w:val="28"/>
        </w:rPr>
        <w:t>Introduction</w:t>
      </w:r>
    </w:p>
    <w:p w:rsidR="005227A8" w:rsidRPr="00DB3840" w:rsidRDefault="00920F7C" w:rsidP="007F54A2">
      <w:pPr>
        <w:pStyle w:val="BodyText"/>
        <w:tabs>
          <w:tab w:val="left" w:pos="711"/>
        </w:tabs>
        <w:spacing w:line="480" w:lineRule="auto"/>
        <w:jc w:val="both"/>
        <w:rPr>
          <w:szCs w:val="28"/>
        </w:rPr>
      </w:pPr>
      <w:r w:rsidRPr="00DB3840">
        <w:rPr>
          <w:szCs w:val="28"/>
        </w:rPr>
        <w:tab/>
      </w:r>
      <w:r w:rsidR="002508B4" w:rsidRPr="004D037C">
        <w:rPr>
          <w:szCs w:val="28"/>
        </w:rPr>
        <w:t xml:space="preserve">Pursuant to Rule 28, </w:t>
      </w:r>
      <w:r w:rsidR="00464C4C" w:rsidRPr="004D037C">
        <w:rPr>
          <w:szCs w:val="28"/>
        </w:rPr>
        <w:t>Ariz. R. Sup. Ct.</w:t>
      </w:r>
      <w:r w:rsidR="002508B4" w:rsidRPr="004D037C">
        <w:rPr>
          <w:szCs w:val="28"/>
        </w:rPr>
        <w:t xml:space="preserve">, the </w:t>
      </w:r>
      <w:r w:rsidR="00FD3174">
        <w:rPr>
          <w:szCs w:val="28"/>
        </w:rPr>
        <w:t xml:space="preserve">Petitioner </w:t>
      </w:r>
      <w:r w:rsidR="002508B4" w:rsidRPr="004D037C">
        <w:rPr>
          <w:szCs w:val="28"/>
        </w:rPr>
        <w:t xml:space="preserve">petitions the Court to </w:t>
      </w:r>
      <w:r w:rsidR="004017D1">
        <w:rPr>
          <w:szCs w:val="28"/>
        </w:rPr>
        <w:t xml:space="preserve">abrogate and </w:t>
      </w:r>
      <w:r w:rsidR="002508B4" w:rsidRPr="004D037C">
        <w:rPr>
          <w:szCs w:val="28"/>
        </w:rPr>
        <w:t xml:space="preserve">amend </w:t>
      </w:r>
      <w:r w:rsidR="00EC54A9" w:rsidRPr="004D037C">
        <w:rPr>
          <w:szCs w:val="28"/>
        </w:rPr>
        <w:t>Rule 31</w:t>
      </w:r>
      <w:r w:rsidR="004017D1">
        <w:rPr>
          <w:szCs w:val="28"/>
        </w:rPr>
        <w:t>; amend Rules</w:t>
      </w:r>
      <w:r w:rsidR="00EC54A9" w:rsidRPr="004D037C">
        <w:rPr>
          <w:szCs w:val="28"/>
        </w:rPr>
        <w:t xml:space="preserve"> </w:t>
      </w:r>
      <w:r w:rsidR="005227A8" w:rsidRPr="004D037C">
        <w:rPr>
          <w:szCs w:val="28"/>
        </w:rPr>
        <w:t xml:space="preserve">32, </w:t>
      </w:r>
      <w:r w:rsidR="00EC54A9" w:rsidRPr="004D037C">
        <w:rPr>
          <w:szCs w:val="28"/>
        </w:rPr>
        <w:t>41, 42</w:t>
      </w:r>
      <w:r w:rsidR="007F54A2">
        <w:rPr>
          <w:szCs w:val="28"/>
        </w:rPr>
        <w:t xml:space="preserve"> (ERs 1.0</w:t>
      </w:r>
      <w:r w:rsidR="00DB737F">
        <w:rPr>
          <w:szCs w:val="28"/>
        </w:rPr>
        <w:t>, 1.5-1.8, 1.10, 1.17, 5.1, 5.3, 5.4, and 5.7</w:t>
      </w:r>
      <w:r w:rsidR="007F54A2">
        <w:rPr>
          <w:szCs w:val="28"/>
        </w:rPr>
        <w:t>)</w:t>
      </w:r>
      <w:r w:rsidR="00EC54A9" w:rsidRPr="004D037C">
        <w:rPr>
          <w:szCs w:val="28"/>
        </w:rPr>
        <w:t xml:space="preserve">, </w:t>
      </w:r>
      <w:r w:rsidR="005227A8" w:rsidRPr="004D037C">
        <w:rPr>
          <w:szCs w:val="28"/>
        </w:rPr>
        <w:t>46</w:t>
      </w:r>
      <w:r w:rsidR="004D037C" w:rsidRPr="004D037C">
        <w:rPr>
          <w:szCs w:val="28"/>
        </w:rPr>
        <w:t>-51, 54-</w:t>
      </w:r>
      <w:r w:rsidR="005227A8" w:rsidRPr="004D037C">
        <w:rPr>
          <w:szCs w:val="28"/>
        </w:rPr>
        <w:t xml:space="preserve">58, </w:t>
      </w:r>
      <w:r w:rsidR="004D037C" w:rsidRPr="004D037C">
        <w:rPr>
          <w:szCs w:val="28"/>
        </w:rPr>
        <w:t>60, 75 and 76</w:t>
      </w:r>
      <w:r w:rsidR="00EC54A9" w:rsidRPr="004D037C">
        <w:rPr>
          <w:szCs w:val="28"/>
        </w:rPr>
        <w:t>, Ariz. R. Sup. Ct.</w:t>
      </w:r>
      <w:r w:rsidR="004017D1">
        <w:rPr>
          <w:szCs w:val="28"/>
        </w:rPr>
        <w:t>;</w:t>
      </w:r>
      <w:r w:rsidR="005227A8" w:rsidRPr="004D037C">
        <w:rPr>
          <w:szCs w:val="28"/>
        </w:rPr>
        <w:t xml:space="preserve"> and adopt new Rule 33.1</w:t>
      </w:r>
      <w:r w:rsidR="004D037C" w:rsidRPr="004D037C">
        <w:rPr>
          <w:szCs w:val="28"/>
        </w:rPr>
        <w:t>, Ariz. R. Sup. Ct.</w:t>
      </w:r>
    </w:p>
    <w:p w:rsidR="00464C4C" w:rsidRPr="00DB3840" w:rsidRDefault="000C36E8" w:rsidP="007F54A2">
      <w:pPr>
        <w:pStyle w:val="BodyText"/>
        <w:tabs>
          <w:tab w:val="left" w:pos="711"/>
        </w:tabs>
        <w:spacing w:line="480" w:lineRule="auto"/>
        <w:jc w:val="both"/>
        <w:rPr>
          <w:szCs w:val="28"/>
        </w:rPr>
      </w:pPr>
      <w:r w:rsidRPr="00DB3840">
        <w:rPr>
          <w:szCs w:val="28"/>
        </w:rPr>
        <w:tab/>
      </w:r>
      <w:r w:rsidR="008C0A40" w:rsidRPr="00DB3840">
        <w:rPr>
          <w:szCs w:val="28"/>
        </w:rPr>
        <w:t>Th</w:t>
      </w:r>
      <w:r w:rsidR="00C24108">
        <w:rPr>
          <w:szCs w:val="28"/>
        </w:rPr>
        <w:t>is petition</w:t>
      </w:r>
      <w:r w:rsidR="00464C4C" w:rsidRPr="00DB3840">
        <w:rPr>
          <w:szCs w:val="28"/>
        </w:rPr>
        <w:t xml:space="preserve"> </w:t>
      </w:r>
      <w:r w:rsidR="008C0A40" w:rsidRPr="00DB3840">
        <w:rPr>
          <w:szCs w:val="28"/>
        </w:rPr>
        <w:t xml:space="preserve">proposes </w:t>
      </w:r>
      <w:r w:rsidR="00AF4CE2">
        <w:rPr>
          <w:szCs w:val="28"/>
        </w:rPr>
        <w:t>substantial</w:t>
      </w:r>
      <w:r w:rsidR="00AF4CE2" w:rsidRPr="00DB3840">
        <w:rPr>
          <w:szCs w:val="28"/>
        </w:rPr>
        <w:t xml:space="preserve"> </w:t>
      </w:r>
      <w:r w:rsidR="008C0A40" w:rsidRPr="00DB3840">
        <w:rPr>
          <w:szCs w:val="28"/>
        </w:rPr>
        <w:t xml:space="preserve">rule changes to implement recommendations resulting </w:t>
      </w:r>
      <w:r w:rsidR="00581C6C" w:rsidRPr="00DB3840">
        <w:rPr>
          <w:szCs w:val="28"/>
        </w:rPr>
        <w:t xml:space="preserve">from </w:t>
      </w:r>
      <w:r w:rsidR="00C24108">
        <w:rPr>
          <w:szCs w:val="28"/>
        </w:rPr>
        <w:t>the Task Force on the Delivery of Legal Services</w:t>
      </w:r>
      <w:r w:rsidR="00C24108" w:rsidRPr="00DB3840">
        <w:rPr>
          <w:szCs w:val="28"/>
        </w:rPr>
        <w:t xml:space="preserve"> </w:t>
      </w:r>
      <w:r w:rsidR="00581C6C" w:rsidRPr="00DB3840">
        <w:rPr>
          <w:szCs w:val="28"/>
        </w:rPr>
        <w:t xml:space="preserve">extensive review, fact-finding and analysis of the changing </w:t>
      </w:r>
      <w:r w:rsidR="00464C4C" w:rsidRPr="00DB3840">
        <w:rPr>
          <w:szCs w:val="28"/>
        </w:rPr>
        <w:t xml:space="preserve">consumer </w:t>
      </w:r>
      <w:r w:rsidR="00581C6C" w:rsidRPr="00DB3840">
        <w:rPr>
          <w:szCs w:val="28"/>
        </w:rPr>
        <w:t>legal market</w:t>
      </w:r>
      <w:r w:rsidR="00621ACA" w:rsidRPr="00DB3840">
        <w:rPr>
          <w:szCs w:val="28"/>
        </w:rPr>
        <w:t xml:space="preserve"> and </w:t>
      </w:r>
      <w:r w:rsidR="00FA7762" w:rsidRPr="00DB3840">
        <w:rPr>
          <w:szCs w:val="28"/>
        </w:rPr>
        <w:t xml:space="preserve">the </w:t>
      </w:r>
      <w:r w:rsidR="00621ACA" w:rsidRPr="00DB3840">
        <w:rPr>
          <w:szCs w:val="28"/>
        </w:rPr>
        <w:t>well-documented access-to-justice gap</w:t>
      </w:r>
      <w:r w:rsidR="008C0A40" w:rsidRPr="00DB3840">
        <w:rPr>
          <w:szCs w:val="28"/>
        </w:rPr>
        <w:t>.</w:t>
      </w:r>
      <w:r w:rsidR="00464C4C" w:rsidRPr="00DB3840">
        <w:rPr>
          <w:rStyle w:val="FootnoteReference"/>
          <w:szCs w:val="28"/>
        </w:rPr>
        <w:footnoteReference w:id="2"/>
      </w:r>
      <w:r w:rsidR="00FD3174">
        <w:rPr>
          <w:szCs w:val="28"/>
        </w:rPr>
        <w:t xml:space="preserve"> This petition includes rule changes developed through a subsequent workgroup on entity regulation established </w:t>
      </w:r>
      <w:r w:rsidR="006861ED">
        <w:rPr>
          <w:szCs w:val="28"/>
        </w:rPr>
        <w:t xml:space="preserve">at the </w:t>
      </w:r>
      <w:r w:rsidR="00FD3174">
        <w:rPr>
          <w:szCs w:val="28"/>
        </w:rPr>
        <w:t>recommendation of the Task Force.</w:t>
      </w:r>
      <w:r w:rsidR="00FD3174">
        <w:rPr>
          <w:rStyle w:val="FootnoteReference"/>
          <w:szCs w:val="28"/>
        </w:rPr>
        <w:footnoteReference w:id="3"/>
      </w:r>
    </w:p>
    <w:p w:rsidR="002A44D7" w:rsidRPr="00DB3840" w:rsidRDefault="00464C4C" w:rsidP="007F54A2">
      <w:pPr>
        <w:pStyle w:val="BodyText"/>
        <w:tabs>
          <w:tab w:val="left" w:pos="711"/>
        </w:tabs>
        <w:spacing w:line="480" w:lineRule="auto"/>
        <w:jc w:val="both"/>
        <w:rPr>
          <w:szCs w:val="28"/>
        </w:rPr>
      </w:pPr>
      <w:r w:rsidRPr="00DB3840">
        <w:rPr>
          <w:szCs w:val="28"/>
        </w:rPr>
        <w:tab/>
      </w:r>
      <w:r w:rsidR="008C0A40" w:rsidRPr="00DB3840">
        <w:rPr>
          <w:szCs w:val="28"/>
        </w:rPr>
        <w:t xml:space="preserve">The bulk of this petition focuses on the Task Force’s </w:t>
      </w:r>
      <w:r w:rsidR="00C24108">
        <w:rPr>
          <w:szCs w:val="28"/>
        </w:rPr>
        <w:t>recommendation</w:t>
      </w:r>
      <w:r w:rsidR="00C24108" w:rsidRPr="00DB3840">
        <w:rPr>
          <w:szCs w:val="28"/>
        </w:rPr>
        <w:t xml:space="preserve"> </w:t>
      </w:r>
      <w:r w:rsidR="008C0A40" w:rsidRPr="00DB3840">
        <w:rPr>
          <w:szCs w:val="28"/>
        </w:rPr>
        <w:t>that the</w:t>
      </w:r>
      <w:r w:rsidR="00652F50" w:rsidRPr="00DB3840">
        <w:rPr>
          <w:szCs w:val="28"/>
        </w:rPr>
        <w:t xml:space="preserve"> Court</w:t>
      </w:r>
      <w:r w:rsidR="002A763A" w:rsidRPr="00DB3840">
        <w:rPr>
          <w:szCs w:val="28"/>
        </w:rPr>
        <w:t xml:space="preserve"> </w:t>
      </w:r>
      <w:r w:rsidR="00652F50" w:rsidRPr="00DB3840">
        <w:rPr>
          <w:szCs w:val="28"/>
        </w:rPr>
        <w:t>e</w:t>
      </w:r>
      <w:r w:rsidR="002A763A" w:rsidRPr="00DB3840">
        <w:rPr>
          <w:szCs w:val="28"/>
        </w:rPr>
        <w:t>liminate Ethical Rule (ER) 5.4</w:t>
      </w:r>
      <w:r w:rsidR="008C0A40" w:rsidRPr="00DB3840">
        <w:rPr>
          <w:szCs w:val="28"/>
        </w:rPr>
        <w:t xml:space="preserve"> of the Arizona Rules of Professional Conduct, Rule 42, Ariz. R. Sup. Ct</w:t>
      </w:r>
      <w:r w:rsidR="003330F7" w:rsidRPr="00DB3840">
        <w:rPr>
          <w:szCs w:val="28"/>
        </w:rPr>
        <w:t>.</w:t>
      </w:r>
      <w:r w:rsidR="002A44D7" w:rsidRPr="00DB3840">
        <w:rPr>
          <w:szCs w:val="28"/>
        </w:rPr>
        <w:t>, which</w:t>
      </w:r>
      <w:r w:rsidR="008D0150">
        <w:rPr>
          <w:szCs w:val="28"/>
        </w:rPr>
        <w:t xml:space="preserve"> in general</w:t>
      </w:r>
      <w:r w:rsidR="002A44D7" w:rsidRPr="00DB3840">
        <w:rPr>
          <w:szCs w:val="28"/>
        </w:rPr>
        <w:t xml:space="preserve"> bars lawyers from sharing legal fees with </w:t>
      </w:r>
      <w:r w:rsidR="00FD3174">
        <w:rPr>
          <w:szCs w:val="28"/>
        </w:rPr>
        <w:t>nonlawyer</w:t>
      </w:r>
      <w:r w:rsidR="002A44D7" w:rsidRPr="00DB3840">
        <w:rPr>
          <w:szCs w:val="28"/>
        </w:rPr>
        <w:t xml:space="preserve">s or forming a partnership with a nonlawyer if any of the activities of the partnership consist of the practice of law. </w:t>
      </w:r>
      <w:r w:rsidR="00196589">
        <w:rPr>
          <w:szCs w:val="28"/>
        </w:rPr>
        <w:t>The petition requests</w:t>
      </w:r>
      <w:r w:rsidR="002A44D7" w:rsidRPr="00DB3840">
        <w:rPr>
          <w:szCs w:val="28"/>
        </w:rPr>
        <w:t xml:space="preserve"> that the Court adopt a framework for regulating what would be called an “alternative business structure”</w:t>
      </w:r>
      <w:r w:rsidR="00D02A94" w:rsidRPr="00DB3840">
        <w:rPr>
          <w:szCs w:val="28"/>
        </w:rPr>
        <w:t xml:space="preserve"> (ABS)</w:t>
      </w:r>
      <w:r w:rsidR="002A44D7" w:rsidRPr="00DB3840">
        <w:rPr>
          <w:szCs w:val="28"/>
        </w:rPr>
        <w:t xml:space="preserve"> </w:t>
      </w:r>
      <w:r w:rsidR="006178A8">
        <w:rPr>
          <w:szCs w:val="28"/>
        </w:rPr>
        <w:t xml:space="preserve">— </w:t>
      </w:r>
      <w:r w:rsidR="002A44D7" w:rsidRPr="00DB3840">
        <w:rPr>
          <w:szCs w:val="28"/>
        </w:rPr>
        <w:t xml:space="preserve">an entity that provides legal services </w:t>
      </w:r>
      <w:r w:rsidR="008D0150">
        <w:rPr>
          <w:szCs w:val="28"/>
        </w:rPr>
        <w:t xml:space="preserve">to third parties </w:t>
      </w:r>
      <w:r w:rsidR="002A44D7" w:rsidRPr="00DB3840">
        <w:rPr>
          <w:szCs w:val="28"/>
        </w:rPr>
        <w:t>and in which a nonlawyer has an economic interest or decision-making authority.</w:t>
      </w:r>
    </w:p>
    <w:p w:rsidR="002A44D7" w:rsidRPr="00DB3840" w:rsidRDefault="002A44D7" w:rsidP="006178A8">
      <w:pPr>
        <w:pStyle w:val="BodyText"/>
        <w:tabs>
          <w:tab w:val="left" w:pos="711"/>
        </w:tabs>
        <w:spacing w:line="480" w:lineRule="auto"/>
        <w:jc w:val="both"/>
      </w:pPr>
      <w:r w:rsidRPr="00DB3840">
        <w:rPr>
          <w:szCs w:val="28"/>
        </w:rPr>
        <w:tab/>
      </w:r>
      <w:r w:rsidRPr="00103778">
        <w:t xml:space="preserve">Arizona’s </w:t>
      </w:r>
      <w:r w:rsidR="003330F7" w:rsidRPr="00103778">
        <w:t>ER 5.4</w:t>
      </w:r>
      <w:r w:rsidRPr="00103778">
        <w:t xml:space="preserve">, which is the same as the American Bar Association’s Model </w:t>
      </w:r>
      <w:r w:rsidRPr="009B73EB">
        <w:t xml:space="preserve">Rule 5.4, reflects the nearly-century-old general prohibition on nonlawyers owning any interest in a law firm. </w:t>
      </w:r>
      <w:r w:rsidR="002A763A" w:rsidRPr="009B73EB">
        <w:t xml:space="preserve">Eliminating </w:t>
      </w:r>
      <w:r w:rsidRPr="009B73EB">
        <w:t xml:space="preserve">the rule would mean, for example, that a professional </w:t>
      </w:r>
      <w:r w:rsidR="00311FF1" w:rsidRPr="005C3D6F">
        <w:t xml:space="preserve">nonlawyer </w:t>
      </w:r>
      <w:r w:rsidRPr="005C3D6F">
        <w:t xml:space="preserve">administrator in a law firm </w:t>
      </w:r>
      <w:r w:rsidR="00D02A94" w:rsidRPr="00DC3CBC">
        <w:t xml:space="preserve">could have an ownership interest </w:t>
      </w:r>
      <w:r w:rsidRPr="00DC3CBC">
        <w:t xml:space="preserve">or </w:t>
      </w:r>
      <w:r w:rsidR="00311FF1" w:rsidRPr="00DC3CBC">
        <w:t xml:space="preserve">that </w:t>
      </w:r>
      <w:r w:rsidRPr="00C04276">
        <w:t xml:space="preserve">a Fortune 500 company </w:t>
      </w:r>
      <w:r w:rsidR="00D02A94" w:rsidRPr="00C04276">
        <w:t>could be a passive investor.</w:t>
      </w:r>
      <w:r w:rsidR="008D0150" w:rsidRPr="00C04276">
        <w:t xml:space="preserve"> It also could mean that a </w:t>
      </w:r>
      <w:r w:rsidR="12BB519A" w:rsidRPr="006178A8">
        <w:t>law firm could attract nonlawyer</w:t>
      </w:r>
      <w:r w:rsidR="34DB096D" w:rsidRPr="006178A8">
        <w:t xml:space="preserve"> talent, such as </w:t>
      </w:r>
      <w:r w:rsidR="00196589" w:rsidRPr="00196589">
        <w:t>technologist</w:t>
      </w:r>
      <w:r w:rsidR="00196589">
        <w:t>s</w:t>
      </w:r>
      <w:r w:rsidR="00196589" w:rsidRPr="00196589">
        <w:t>, marketers</w:t>
      </w:r>
      <w:r w:rsidR="6BB04F5A" w:rsidRPr="00196589">
        <w:t xml:space="preserve">, and business systems </w:t>
      </w:r>
      <w:r w:rsidR="00196589">
        <w:t>analysts</w:t>
      </w:r>
      <w:r w:rsidR="6BB04F5A" w:rsidRPr="00196589">
        <w:t>, by pr</w:t>
      </w:r>
      <w:r w:rsidR="360F80FE" w:rsidRPr="00196589">
        <w:t xml:space="preserve">oviding equity in the firm. </w:t>
      </w:r>
    </w:p>
    <w:p w:rsidR="00CA4211" w:rsidRPr="00DB3840" w:rsidRDefault="00D02A94" w:rsidP="007F54A2">
      <w:pPr>
        <w:pStyle w:val="BodyText"/>
        <w:tabs>
          <w:tab w:val="left" w:pos="711"/>
        </w:tabs>
        <w:spacing w:line="480" w:lineRule="auto"/>
        <w:jc w:val="both"/>
        <w:rPr>
          <w:szCs w:val="28"/>
        </w:rPr>
      </w:pPr>
      <w:r w:rsidRPr="00DB3840">
        <w:rPr>
          <w:szCs w:val="28"/>
        </w:rPr>
        <w:tab/>
      </w:r>
      <w:r w:rsidR="000D1F6D" w:rsidRPr="00DB3840">
        <w:rPr>
          <w:szCs w:val="28"/>
        </w:rPr>
        <w:t xml:space="preserve">The Task Force concluded that </w:t>
      </w:r>
      <w:r w:rsidRPr="00DB3840">
        <w:rPr>
          <w:szCs w:val="28"/>
        </w:rPr>
        <w:t>eliminating the rule would</w:t>
      </w:r>
      <w:r w:rsidR="00E41908" w:rsidRPr="00DB3840">
        <w:rPr>
          <w:szCs w:val="28"/>
        </w:rPr>
        <w:t xml:space="preserve"> encourag</w:t>
      </w:r>
      <w:r w:rsidRPr="00DB3840">
        <w:rPr>
          <w:szCs w:val="28"/>
        </w:rPr>
        <w:t xml:space="preserve">e </w:t>
      </w:r>
      <w:r w:rsidR="00E41908" w:rsidRPr="00DB3840">
        <w:rPr>
          <w:szCs w:val="28"/>
        </w:rPr>
        <w:t xml:space="preserve">innovation </w:t>
      </w:r>
      <w:r w:rsidR="00CA4211" w:rsidRPr="00DB3840">
        <w:rPr>
          <w:szCs w:val="28"/>
        </w:rPr>
        <w:t>in the delivery of legal servic</w:t>
      </w:r>
      <w:r w:rsidR="008D0C1A" w:rsidRPr="00DB3840">
        <w:rPr>
          <w:szCs w:val="28"/>
        </w:rPr>
        <w:t>e</w:t>
      </w:r>
      <w:r w:rsidR="00661819" w:rsidRPr="00DB3840">
        <w:rPr>
          <w:szCs w:val="28"/>
        </w:rPr>
        <w:t>s</w:t>
      </w:r>
      <w:r w:rsidR="008D0C1A" w:rsidRPr="00DB3840">
        <w:rPr>
          <w:szCs w:val="28"/>
        </w:rPr>
        <w:t>. Innovation, in turn, may help bridge the access-to-justice gap</w:t>
      </w:r>
      <w:r w:rsidRPr="00DB3840">
        <w:rPr>
          <w:szCs w:val="28"/>
        </w:rPr>
        <w:t xml:space="preserve"> as </w:t>
      </w:r>
      <w:r w:rsidR="00311FF1" w:rsidRPr="00DB3840">
        <w:rPr>
          <w:szCs w:val="28"/>
        </w:rPr>
        <w:t>lawyers, technology companies</w:t>
      </w:r>
      <w:r w:rsidRPr="00DB3840">
        <w:rPr>
          <w:szCs w:val="28"/>
        </w:rPr>
        <w:t xml:space="preserve"> and others would be less constrained by an artificial restriction</w:t>
      </w:r>
      <w:r w:rsidR="00CA4211" w:rsidRPr="00DB3840">
        <w:rPr>
          <w:szCs w:val="28"/>
        </w:rPr>
        <w:t>.</w:t>
      </w:r>
      <w:r w:rsidR="008C0A40" w:rsidRPr="00DB3840">
        <w:rPr>
          <w:rStyle w:val="FootnoteReference"/>
          <w:szCs w:val="28"/>
        </w:rPr>
        <w:footnoteReference w:id="4"/>
      </w:r>
    </w:p>
    <w:p w:rsidR="008D0C1A" w:rsidRPr="00DB3840" w:rsidRDefault="00CA4211" w:rsidP="007F54A2">
      <w:pPr>
        <w:pStyle w:val="BodyText"/>
        <w:tabs>
          <w:tab w:val="left" w:pos="711"/>
        </w:tabs>
        <w:spacing w:line="480" w:lineRule="auto"/>
        <w:jc w:val="both"/>
        <w:rPr>
          <w:szCs w:val="28"/>
        </w:rPr>
      </w:pPr>
      <w:r w:rsidRPr="00DB3840">
        <w:rPr>
          <w:szCs w:val="28"/>
        </w:rPr>
        <w:tab/>
      </w:r>
      <w:r w:rsidR="008D0C1A" w:rsidRPr="00DB3840">
        <w:rPr>
          <w:szCs w:val="28"/>
        </w:rPr>
        <w:t xml:space="preserve">To protect core values of professional </w:t>
      </w:r>
      <w:r w:rsidR="008C0A40" w:rsidRPr="00DB3840">
        <w:rPr>
          <w:szCs w:val="28"/>
        </w:rPr>
        <w:t>independence</w:t>
      </w:r>
      <w:r w:rsidR="008D0C1A" w:rsidRPr="00DB3840">
        <w:rPr>
          <w:szCs w:val="28"/>
        </w:rPr>
        <w:t>, confidentiality</w:t>
      </w:r>
      <w:r w:rsidR="008C0A40" w:rsidRPr="00DB3840">
        <w:rPr>
          <w:szCs w:val="28"/>
        </w:rPr>
        <w:t xml:space="preserve"> of client information</w:t>
      </w:r>
      <w:r w:rsidR="008D0C1A" w:rsidRPr="00DB3840">
        <w:rPr>
          <w:szCs w:val="28"/>
        </w:rPr>
        <w:t xml:space="preserve">, and conflict-free representation, </w:t>
      </w:r>
      <w:r w:rsidR="00196589">
        <w:rPr>
          <w:szCs w:val="28"/>
        </w:rPr>
        <w:t>this petition</w:t>
      </w:r>
      <w:r w:rsidR="008C0A40" w:rsidRPr="00DB3840">
        <w:rPr>
          <w:szCs w:val="28"/>
        </w:rPr>
        <w:t xml:space="preserve"> proposes that </w:t>
      </w:r>
      <w:r w:rsidR="00D02A94" w:rsidRPr="00DB3840">
        <w:rPr>
          <w:szCs w:val="28"/>
        </w:rPr>
        <w:t xml:space="preserve">an ABS </w:t>
      </w:r>
      <w:r w:rsidR="008D0C1A" w:rsidRPr="00DB3840">
        <w:rPr>
          <w:szCs w:val="28"/>
        </w:rPr>
        <w:t xml:space="preserve">be required to </w:t>
      </w:r>
      <w:r w:rsidR="00F247CF" w:rsidRPr="00DB3840">
        <w:rPr>
          <w:szCs w:val="28"/>
        </w:rPr>
        <w:t>identify</w:t>
      </w:r>
      <w:r w:rsidR="008D0C1A" w:rsidRPr="00DB3840">
        <w:rPr>
          <w:szCs w:val="28"/>
        </w:rPr>
        <w:t xml:space="preserve"> a compliance attorney</w:t>
      </w:r>
      <w:r w:rsidR="00D02A94" w:rsidRPr="00DB3840">
        <w:rPr>
          <w:szCs w:val="28"/>
        </w:rPr>
        <w:t xml:space="preserve"> who would be responsible for establishing policies and procedures within the </w:t>
      </w:r>
      <w:r w:rsidR="00311FF1" w:rsidRPr="00DB3840">
        <w:rPr>
          <w:szCs w:val="28"/>
        </w:rPr>
        <w:t>entity</w:t>
      </w:r>
      <w:r w:rsidR="00D02A94" w:rsidRPr="00DB3840">
        <w:rPr>
          <w:szCs w:val="28"/>
        </w:rPr>
        <w:t xml:space="preserve"> to assure that nonlawyer</w:t>
      </w:r>
      <w:r w:rsidR="009840EB" w:rsidRPr="00DB3840">
        <w:rPr>
          <w:szCs w:val="28"/>
        </w:rPr>
        <w:t xml:space="preserve"> owners</w:t>
      </w:r>
      <w:r w:rsidR="00196589">
        <w:rPr>
          <w:szCs w:val="28"/>
        </w:rPr>
        <w:t xml:space="preserve"> and </w:t>
      </w:r>
      <w:r w:rsidR="009840EB" w:rsidRPr="00DB3840">
        <w:rPr>
          <w:szCs w:val="28"/>
        </w:rPr>
        <w:t xml:space="preserve">managers comply with </w:t>
      </w:r>
      <w:r w:rsidR="00196589">
        <w:rPr>
          <w:szCs w:val="28"/>
        </w:rPr>
        <w:t>the Arizona ethical rules that govern these core concepts</w:t>
      </w:r>
      <w:r w:rsidR="009840EB" w:rsidRPr="00DB3840">
        <w:rPr>
          <w:szCs w:val="28"/>
        </w:rPr>
        <w:t xml:space="preserve">. In addition, the ABS </w:t>
      </w:r>
      <w:r w:rsidR="00196589">
        <w:rPr>
          <w:szCs w:val="28"/>
        </w:rPr>
        <w:t>will be required</w:t>
      </w:r>
      <w:r w:rsidR="009840EB" w:rsidRPr="00DB3840">
        <w:rPr>
          <w:szCs w:val="28"/>
        </w:rPr>
        <w:t xml:space="preserve"> to be licensed</w:t>
      </w:r>
      <w:r w:rsidR="00311FF1" w:rsidRPr="00DB3840">
        <w:rPr>
          <w:szCs w:val="28"/>
        </w:rPr>
        <w:t xml:space="preserve">, </w:t>
      </w:r>
      <w:r w:rsidR="009840EB" w:rsidRPr="00DB3840">
        <w:rPr>
          <w:szCs w:val="28"/>
        </w:rPr>
        <w:t xml:space="preserve">and only </w:t>
      </w:r>
      <w:r w:rsidR="003330F7" w:rsidRPr="00DB3840">
        <w:rPr>
          <w:szCs w:val="28"/>
        </w:rPr>
        <w:t>active lawyer</w:t>
      </w:r>
      <w:r w:rsidR="00FD3174">
        <w:rPr>
          <w:szCs w:val="28"/>
        </w:rPr>
        <w:t>s</w:t>
      </w:r>
      <w:r w:rsidR="003330F7" w:rsidRPr="00DB3840">
        <w:rPr>
          <w:szCs w:val="28"/>
        </w:rPr>
        <w:t xml:space="preserve"> </w:t>
      </w:r>
      <w:r w:rsidR="008D0150">
        <w:rPr>
          <w:szCs w:val="28"/>
        </w:rPr>
        <w:t>who</w:t>
      </w:r>
      <w:r w:rsidR="008D0150" w:rsidRPr="00DB3840">
        <w:rPr>
          <w:szCs w:val="28"/>
        </w:rPr>
        <w:t xml:space="preserve"> </w:t>
      </w:r>
      <w:r w:rsidR="00FD3174">
        <w:rPr>
          <w:szCs w:val="28"/>
        </w:rPr>
        <w:t>are</w:t>
      </w:r>
      <w:r w:rsidR="00FD3174" w:rsidRPr="00DB3840">
        <w:rPr>
          <w:szCs w:val="28"/>
        </w:rPr>
        <w:t xml:space="preserve"> </w:t>
      </w:r>
      <w:r w:rsidR="003330F7" w:rsidRPr="00DB3840">
        <w:rPr>
          <w:szCs w:val="28"/>
        </w:rPr>
        <w:t xml:space="preserve">part of the ABS </w:t>
      </w:r>
      <w:r w:rsidR="00FD3174">
        <w:rPr>
          <w:szCs w:val="28"/>
        </w:rPr>
        <w:t>will</w:t>
      </w:r>
      <w:r w:rsidR="00FD3174" w:rsidRPr="00DB3840">
        <w:rPr>
          <w:szCs w:val="28"/>
        </w:rPr>
        <w:t xml:space="preserve"> </w:t>
      </w:r>
      <w:r w:rsidR="003330F7" w:rsidRPr="00DB3840">
        <w:rPr>
          <w:szCs w:val="28"/>
        </w:rPr>
        <w:t>be able to provide legal services.</w:t>
      </w:r>
      <w:r w:rsidR="00EE1F87" w:rsidRPr="00DB3840">
        <w:rPr>
          <w:szCs w:val="28"/>
        </w:rPr>
        <w:t xml:space="preserve"> Licensure as an ABS does not entitle the ABS itself to practice law</w:t>
      </w:r>
      <w:r w:rsidR="00AE6AAF">
        <w:rPr>
          <w:szCs w:val="28"/>
        </w:rPr>
        <w:t>;</w:t>
      </w:r>
      <w:r w:rsidR="00EE1F87" w:rsidRPr="00DB3840">
        <w:rPr>
          <w:szCs w:val="28"/>
        </w:rPr>
        <w:t xml:space="preserve"> </w:t>
      </w:r>
      <w:r w:rsidR="00196589">
        <w:rPr>
          <w:szCs w:val="28"/>
        </w:rPr>
        <w:t>rather</w:t>
      </w:r>
      <w:r w:rsidR="00AE6AAF">
        <w:rPr>
          <w:szCs w:val="28"/>
        </w:rPr>
        <w:t>,</w:t>
      </w:r>
      <w:r w:rsidR="00196589">
        <w:rPr>
          <w:szCs w:val="28"/>
        </w:rPr>
        <w:t xml:space="preserve"> licensure creates the ability of nonlawyer</w:t>
      </w:r>
      <w:r w:rsidR="00252744">
        <w:rPr>
          <w:szCs w:val="28"/>
        </w:rPr>
        <w:t>s</w:t>
      </w:r>
      <w:r w:rsidR="00196589">
        <w:rPr>
          <w:szCs w:val="28"/>
        </w:rPr>
        <w:t xml:space="preserve"> and lawyers to jointly</w:t>
      </w:r>
      <w:r w:rsidR="00EE1F87" w:rsidRPr="00DB3840">
        <w:rPr>
          <w:szCs w:val="28"/>
        </w:rPr>
        <w:t xml:space="preserve"> own a legal practice.</w:t>
      </w:r>
    </w:p>
    <w:p w:rsidR="00103778" w:rsidRDefault="00652F50" w:rsidP="2673D5A8">
      <w:pPr>
        <w:pStyle w:val="BodyText"/>
        <w:tabs>
          <w:tab w:val="left" w:pos="711"/>
        </w:tabs>
        <w:spacing w:line="480" w:lineRule="auto"/>
        <w:jc w:val="both"/>
      </w:pPr>
      <w:r w:rsidRPr="00DB3840">
        <w:rPr>
          <w:szCs w:val="28"/>
        </w:rPr>
        <w:tab/>
      </w:r>
      <w:r w:rsidR="00311FF1" w:rsidRPr="00103778">
        <w:t xml:space="preserve">This petition also proposes </w:t>
      </w:r>
      <w:r w:rsidR="008231F1" w:rsidRPr="00103778">
        <w:t>expand</w:t>
      </w:r>
      <w:r w:rsidR="00311FF1" w:rsidRPr="00103778">
        <w:t>ing</w:t>
      </w:r>
      <w:r w:rsidR="008231F1" w:rsidRPr="00103778">
        <w:t xml:space="preserve"> the universe of legal professionals </w:t>
      </w:r>
      <w:r w:rsidR="007F1EB4" w:rsidRPr="00103778">
        <w:t xml:space="preserve">in Arizona </w:t>
      </w:r>
      <w:r w:rsidR="008231F1" w:rsidRPr="009B73EB">
        <w:t xml:space="preserve">by </w:t>
      </w:r>
      <w:r w:rsidRPr="009B73EB">
        <w:t xml:space="preserve">adopting a new </w:t>
      </w:r>
      <w:r w:rsidR="00EE1C50" w:rsidRPr="009B73EB">
        <w:t>category</w:t>
      </w:r>
      <w:r w:rsidRPr="009B73EB">
        <w:t xml:space="preserve"> of nonlawyer legal-service provider</w:t>
      </w:r>
      <w:r w:rsidR="00EE1C50" w:rsidRPr="009B73EB">
        <w:t xml:space="preserve">: the </w:t>
      </w:r>
      <w:r w:rsidRPr="00196589">
        <w:t>limited license legal practitioner (“LLLP”)</w:t>
      </w:r>
      <w:r w:rsidR="00EE1C50" w:rsidRPr="00196589">
        <w:t>. An LLLP</w:t>
      </w:r>
      <w:r w:rsidRPr="00196589">
        <w:t xml:space="preserve"> </w:t>
      </w:r>
      <w:r w:rsidR="008231F1" w:rsidRPr="00196589">
        <w:t>could appear in court and administrative hearings in limited practice areas. LLLPs would become affiliate members of the State Bar of Arizona</w:t>
      </w:r>
      <w:r w:rsidR="00FD3174">
        <w:t xml:space="preserve"> for regulation and discipline purposes</w:t>
      </w:r>
      <w:r w:rsidR="008231F1" w:rsidRPr="00196589">
        <w:t>.</w:t>
      </w:r>
      <w:r w:rsidR="360F80FE" w:rsidRPr="00196589">
        <w:t xml:space="preserve"> </w:t>
      </w:r>
      <w:r w:rsidR="00196589">
        <w:t>For context, a</w:t>
      </w:r>
      <w:r w:rsidR="360F80FE" w:rsidRPr="00196589">
        <w:t>n LLLP in some ways would be similar</w:t>
      </w:r>
      <w:r w:rsidR="375B671E">
        <w:t xml:space="preserve"> to a nurse practitioner, an innovation implemented decades ago</w:t>
      </w:r>
      <w:r w:rsidR="7F9ACC71">
        <w:t xml:space="preserve"> </w:t>
      </w:r>
      <w:r w:rsidR="00AE6AAF">
        <w:t xml:space="preserve">that </w:t>
      </w:r>
      <w:r w:rsidR="7F9ACC71">
        <w:t xml:space="preserve">is now an integral part of the delivery of medical services. </w:t>
      </w:r>
      <w:r w:rsidR="00196589">
        <w:t>The purpose of creating this new tier of licensed legal service provider is to</w:t>
      </w:r>
      <w:r w:rsidR="00103778">
        <w:t xml:space="preserve"> fill a gap that exist</w:t>
      </w:r>
      <w:r w:rsidR="00196589">
        <w:t>s between</w:t>
      </w:r>
      <w:r w:rsidR="00103778">
        <w:t xml:space="preserve"> medium</w:t>
      </w:r>
      <w:r w:rsidR="006178A8">
        <w:t>-</w:t>
      </w:r>
      <w:r w:rsidR="00103778">
        <w:t xml:space="preserve"> and low</w:t>
      </w:r>
      <w:r w:rsidR="006178A8">
        <w:t>-</w:t>
      </w:r>
      <w:r w:rsidR="00103778">
        <w:t>income individuals needing legal services</w:t>
      </w:r>
      <w:r w:rsidR="00196589">
        <w:t xml:space="preserve"> and the cost of securing those services from the traditional legal market</w:t>
      </w:r>
      <w:r w:rsidR="00103778">
        <w:t xml:space="preserve">. </w:t>
      </w:r>
      <w:r w:rsidR="00957117">
        <w:t xml:space="preserve">LLLPs will be required to </w:t>
      </w:r>
      <w:r w:rsidR="00252744">
        <w:t xml:space="preserve">meet </w:t>
      </w:r>
      <w:r w:rsidR="00957117">
        <w:t xml:space="preserve">education, examination, and licensure requirements that are </w:t>
      </w:r>
      <w:r w:rsidR="00FD3174">
        <w:t xml:space="preserve">greater than </w:t>
      </w:r>
      <w:r w:rsidR="00957117">
        <w:t xml:space="preserve">what LDPs </w:t>
      </w:r>
      <w:r w:rsidR="00FD3174">
        <w:t xml:space="preserve">must meet </w:t>
      </w:r>
      <w:r w:rsidR="00252744">
        <w:t xml:space="preserve">and </w:t>
      </w:r>
      <w:r w:rsidR="000B5DF1">
        <w:t xml:space="preserve">LLLPs </w:t>
      </w:r>
      <w:r w:rsidR="00957117">
        <w:t xml:space="preserve">will </w:t>
      </w:r>
      <w:r w:rsidR="00477FE9">
        <w:t xml:space="preserve">therefore </w:t>
      </w:r>
      <w:r w:rsidR="00957117">
        <w:t xml:space="preserve">be able to provide legal assistance to a portion of the population that LDPs cannot. </w:t>
      </w:r>
    </w:p>
    <w:p w:rsidR="008231F1" w:rsidRPr="00DB3840" w:rsidRDefault="00957117" w:rsidP="2673D5A8">
      <w:pPr>
        <w:pStyle w:val="BodyText"/>
        <w:tabs>
          <w:tab w:val="left" w:pos="711"/>
        </w:tabs>
        <w:spacing w:line="480" w:lineRule="auto"/>
        <w:jc w:val="both"/>
        <w:rPr>
          <w:szCs w:val="28"/>
        </w:rPr>
      </w:pPr>
      <w:r>
        <w:tab/>
        <w:t>The creation of LLLPs is not the first instance Arizona has allowed nonlawyer</w:t>
      </w:r>
      <w:r w:rsidR="00252744">
        <w:t>s</w:t>
      </w:r>
      <w:r>
        <w:t xml:space="preserve"> to provide legal assistance. </w:t>
      </w:r>
      <w:r w:rsidR="00103778">
        <w:t>Decades ago Arizona</w:t>
      </w:r>
      <w:r w:rsidR="275FDB88">
        <w:t xml:space="preserve"> voters authori</w:t>
      </w:r>
      <w:r w:rsidR="2673D5A8">
        <w:t>z</w:t>
      </w:r>
      <w:r w:rsidR="275FDB88">
        <w:t>ed</w:t>
      </w:r>
      <w:r w:rsidR="275FDB88" w:rsidRPr="2673D5A8">
        <w:t xml:space="preserve"> </w:t>
      </w:r>
      <w:r w:rsidR="275FDB88">
        <w:t>real</w:t>
      </w:r>
      <w:r w:rsidR="2673D5A8">
        <w:t xml:space="preserve"> </w:t>
      </w:r>
      <w:r w:rsidR="275FDB88">
        <w:t>estate agents to</w:t>
      </w:r>
      <w:r>
        <w:t xml:space="preserve"> engage in limited scope</w:t>
      </w:r>
      <w:r w:rsidR="275FDB88">
        <w:t xml:space="preserve"> practice </w:t>
      </w:r>
      <w:r>
        <w:t xml:space="preserve">of </w:t>
      </w:r>
      <w:r w:rsidR="275FDB88">
        <w:t>law by conveying real</w:t>
      </w:r>
      <w:r w:rsidR="2673D5A8">
        <w:t xml:space="preserve"> </w:t>
      </w:r>
      <w:r w:rsidR="275FDB88">
        <w:t xml:space="preserve">estate without </w:t>
      </w:r>
      <w:r w:rsidR="00FD3174">
        <w:t xml:space="preserve">requiring an </w:t>
      </w:r>
      <w:r w:rsidR="275FDB88">
        <w:t xml:space="preserve">attorney </w:t>
      </w:r>
      <w:r w:rsidR="00FD3174">
        <w:t xml:space="preserve">to </w:t>
      </w:r>
      <w:r w:rsidR="000B5DF1">
        <w:t>draft</w:t>
      </w:r>
      <w:r w:rsidR="275FDB88">
        <w:t xml:space="preserve"> the contract, a </w:t>
      </w:r>
      <w:r w:rsidR="2673D5A8">
        <w:t>requirement</w:t>
      </w:r>
      <w:r w:rsidR="275FDB88">
        <w:t xml:space="preserve"> that</w:t>
      </w:r>
      <w:r w:rsidR="2673D5A8">
        <w:t xml:space="preserve"> still exist in </w:t>
      </w:r>
      <w:r w:rsidR="00103778">
        <w:t xml:space="preserve">many </w:t>
      </w:r>
      <w:r w:rsidR="2673D5A8">
        <w:t xml:space="preserve">states. </w:t>
      </w:r>
      <w:r>
        <w:t>In Arizona</w:t>
      </w:r>
      <w:r w:rsidR="00AD34E3">
        <w:t>,</w:t>
      </w:r>
      <w:r>
        <w:t xml:space="preserve"> it is now</w:t>
      </w:r>
      <w:r w:rsidR="00103778">
        <w:t xml:space="preserve"> routine to conduct </w:t>
      </w:r>
      <w:r>
        <w:t xml:space="preserve">what is often </w:t>
      </w:r>
      <w:r w:rsidR="00103778">
        <w:t>the largest economic transaction</w:t>
      </w:r>
      <w:r>
        <w:t xml:space="preserve"> in which a person will be</w:t>
      </w:r>
      <w:r w:rsidR="00103778">
        <w:t xml:space="preserve"> involved without an attorney</w:t>
      </w:r>
      <w:r>
        <w:t xml:space="preserve"> but instead with a nonlawyer real estate agent</w:t>
      </w:r>
      <w:r w:rsidR="00103778">
        <w:t xml:space="preserve">.  </w:t>
      </w:r>
      <w:r>
        <w:t>This example demonstrates</w:t>
      </w:r>
      <w:r w:rsidR="00103778">
        <w:t xml:space="preserve"> that nonlawyers can successfully deliver legal services in limited areas if trained and regulated properly. </w:t>
      </w:r>
    </w:p>
    <w:p w:rsidR="00660DBB" w:rsidRPr="00DB3840" w:rsidRDefault="008231F1" w:rsidP="493581BC">
      <w:pPr>
        <w:pStyle w:val="BodyText"/>
        <w:tabs>
          <w:tab w:val="left" w:pos="711"/>
        </w:tabs>
        <w:spacing w:line="480" w:lineRule="auto"/>
        <w:jc w:val="both"/>
        <w:rPr>
          <w:bCs/>
          <w:szCs w:val="28"/>
        </w:rPr>
      </w:pPr>
      <w:r w:rsidRPr="00DB3840">
        <w:rPr>
          <w:bCs/>
          <w:szCs w:val="28"/>
        </w:rPr>
        <w:tab/>
      </w:r>
      <w:r w:rsidR="00957117">
        <w:rPr>
          <w:bCs/>
          <w:szCs w:val="28"/>
        </w:rPr>
        <w:t xml:space="preserve">Moreover, </w:t>
      </w:r>
      <w:r w:rsidRPr="00103778">
        <w:t xml:space="preserve">Arizona is not the first </w:t>
      </w:r>
      <w:r w:rsidR="00EE1C50" w:rsidRPr="00103778">
        <w:t xml:space="preserve">U.S. jurisdiction </w:t>
      </w:r>
      <w:r w:rsidRPr="00103778">
        <w:t xml:space="preserve">to consider licensing nonlawyers to provide limited </w:t>
      </w:r>
      <w:r w:rsidRPr="009B73EB">
        <w:t>legal services</w:t>
      </w:r>
      <w:r w:rsidR="00EE1C50" w:rsidRPr="009B73EB">
        <w:t xml:space="preserve"> and appear in court.</w:t>
      </w:r>
      <w:r w:rsidRPr="009B73EB">
        <w:t xml:space="preserve"> Washington</w:t>
      </w:r>
      <w:r w:rsidR="00EE1C50" w:rsidRPr="009B73EB">
        <w:t xml:space="preserve"> </w:t>
      </w:r>
      <w:r w:rsidR="00660DBB" w:rsidRPr="00C24108">
        <w:t xml:space="preserve">adopted what it calls </w:t>
      </w:r>
      <w:r w:rsidR="008D0150" w:rsidRPr="00196589">
        <w:t>“</w:t>
      </w:r>
      <w:r w:rsidR="00BB55B1" w:rsidRPr="00196589">
        <w:t>L</w:t>
      </w:r>
      <w:r w:rsidR="008D0150" w:rsidRPr="00196589">
        <w:t xml:space="preserve">imited </w:t>
      </w:r>
      <w:r w:rsidR="00BB55B1" w:rsidRPr="00957117">
        <w:t>L</w:t>
      </w:r>
      <w:r w:rsidR="008D0150" w:rsidRPr="00957117">
        <w:t xml:space="preserve">icense </w:t>
      </w:r>
      <w:r w:rsidR="00BB55B1" w:rsidRPr="00957117">
        <w:t>L</w:t>
      </w:r>
      <w:r w:rsidR="008D0150" w:rsidRPr="00957117">
        <w:t xml:space="preserve">egal </w:t>
      </w:r>
      <w:r w:rsidR="00BB55B1" w:rsidRPr="00957117">
        <w:t>T</w:t>
      </w:r>
      <w:r w:rsidR="008D0150" w:rsidRPr="00957117">
        <w:t xml:space="preserve">echnicians” in 2012 </w:t>
      </w:r>
      <w:r w:rsidR="00EE1C50" w:rsidRPr="00957117">
        <w:t xml:space="preserve">and </w:t>
      </w:r>
      <w:r w:rsidRPr="00957117">
        <w:t xml:space="preserve">Utah </w:t>
      </w:r>
      <w:r w:rsidR="00660DBB" w:rsidRPr="00957117">
        <w:t xml:space="preserve">established its program for </w:t>
      </w:r>
      <w:r w:rsidR="008D0150" w:rsidRPr="00957117">
        <w:t>“Licensed Paralegal Practitioners” in 2018</w:t>
      </w:r>
      <w:r w:rsidR="00A667A0">
        <w:t>.</w:t>
      </w:r>
      <w:r w:rsidR="008D0150" w:rsidRPr="00103778">
        <w:rPr>
          <w:rStyle w:val="FootnoteReference"/>
        </w:rPr>
        <w:footnoteReference w:id="5"/>
      </w:r>
      <w:r w:rsidR="7F9ACC71">
        <w:t xml:space="preserve"> </w:t>
      </w:r>
      <w:r w:rsidR="00957117">
        <w:t xml:space="preserve">In fact, </w:t>
      </w:r>
      <w:r w:rsidR="7F9ACC71">
        <w:t>Arizo</w:t>
      </w:r>
      <w:r w:rsidR="042361AD">
        <w:t>na</w:t>
      </w:r>
      <w:r w:rsidR="00957117">
        <w:t>’s</w:t>
      </w:r>
      <w:r w:rsidR="042361AD">
        <w:t xml:space="preserve"> Legal Document Prepare</w:t>
      </w:r>
      <w:r w:rsidR="00957117">
        <w:t>r</w:t>
      </w:r>
      <w:r w:rsidR="042361AD">
        <w:t xml:space="preserve"> program</w:t>
      </w:r>
      <w:r w:rsidR="493581BC">
        <w:t>, (LDPs)</w:t>
      </w:r>
      <w:r w:rsidR="00957117">
        <w:t xml:space="preserve">, </w:t>
      </w:r>
      <w:r w:rsidR="00797BF2">
        <w:t xml:space="preserve">which took effect in 2003, </w:t>
      </w:r>
      <w:r w:rsidR="00957117">
        <w:t xml:space="preserve">was one of the first programs to </w:t>
      </w:r>
      <w:r w:rsidR="042361AD">
        <w:t>allow</w:t>
      </w:r>
      <w:r w:rsidR="00957117">
        <w:t xml:space="preserve"> </w:t>
      </w:r>
      <w:r w:rsidR="00103778">
        <w:t>nonlawyers</w:t>
      </w:r>
      <w:r w:rsidR="042361AD">
        <w:t xml:space="preserve"> to provide limited legal services. </w:t>
      </w:r>
      <w:r w:rsidR="493581BC">
        <w:t>Today</w:t>
      </w:r>
      <w:r w:rsidR="00AE6AAF">
        <w:t>,</w:t>
      </w:r>
      <w:r w:rsidR="493581BC">
        <w:t xml:space="preserve"> 600 </w:t>
      </w:r>
      <w:r w:rsidR="00103778">
        <w:t xml:space="preserve">LDPs </w:t>
      </w:r>
      <w:r w:rsidR="00797BF2">
        <w:t xml:space="preserve">are </w:t>
      </w:r>
      <w:r w:rsidR="00C04276">
        <w:t>certified</w:t>
      </w:r>
      <w:r w:rsidR="00103778">
        <w:t xml:space="preserve"> </w:t>
      </w:r>
      <w:r w:rsidR="493581BC">
        <w:t>in Arizona</w:t>
      </w:r>
      <w:r w:rsidR="00103778">
        <w:t xml:space="preserve">. </w:t>
      </w:r>
    </w:p>
    <w:p w:rsidR="00B313AE" w:rsidRPr="00DB3840" w:rsidRDefault="009377F3" w:rsidP="007F54A2">
      <w:pPr>
        <w:pStyle w:val="BodyText"/>
        <w:tabs>
          <w:tab w:val="left" w:pos="711"/>
        </w:tabs>
        <w:spacing w:line="480" w:lineRule="auto"/>
        <w:jc w:val="both"/>
        <w:rPr>
          <w:bCs/>
          <w:szCs w:val="28"/>
        </w:rPr>
      </w:pPr>
      <w:r w:rsidRPr="00DB3840">
        <w:rPr>
          <w:bCs/>
          <w:szCs w:val="28"/>
        </w:rPr>
        <w:tab/>
        <w:t>This petition also proposes a restyling and reorganization of Rule 31.</w:t>
      </w:r>
    </w:p>
    <w:p w:rsidR="002508B4" w:rsidRPr="00B71ADB" w:rsidRDefault="00920F7C" w:rsidP="00CB2694">
      <w:pPr>
        <w:pStyle w:val="BodyText"/>
        <w:numPr>
          <w:ilvl w:val="0"/>
          <w:numId w:val="1"/>
        </w:numPr>
        <w:tabs>
          <w:tab w:val="left" w:pos="360"/>
        </w:tabs>
        <w:spacing w:line="480" w:lineRule="auto"/>
        <w:ind w:left="720"/>
        <w:jc w:val="both"/>
        <w:rPr>
          <w:b/>
          <w:bCs/>
          <w:szCs w:val="28"/>
        </w:rPr>
      </w:pPr>
      <w:r w:rsidRPr="00B71ADB">
        <w:rPr>
          <w:b/>
          <w:bCs/>
          <w:szCs w:val="28"/>
        </w:rPr>
        <w:t>Background</w:t>
      </w:r>
    </w:p>
    <w:p w:rsidR="007A2CD9" w:rsidRPr="00DB3840" w:rsidRDefault="00CA4211"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DB3840">
        <w:rPr>
          <w:sz w:val="28"/>
          <w:szCs w:val="28"/>
        </w:rPr>
        <w:t xml:space="preserve">Arizona Supreme Court </w:t>
      </w:r>
      <w:bookmarkStart w:id="0" w:name="_Hlk498583237"/>
      <w:r w:rsidRPr="00DB3840">
        <w:rPr>
          <w:sz w:val="28"/>
          <w:szCs w:val="28"/>
        </w:rPr>
        <w:t>Administrative Order 2018-111, issued November 21, 2018, charged the Task Force</w:t>
      </w:r>
      <w:r w:rsidR="00F43657">
        <w:rPr>
          <w:sz w:val="28"/>
          <w:szCs w:val="28"/>
        </w:rPr>
        <w:t xml:space="preserve"> on Delivery of Legal Services</w:t>
      </w:r>
      <w:r w:rsidR="00515816" w:rsidRPr="00DB3840">
        <w:rPr>
          <w:sz w:val="28"/>
          <w:szCs w:val="28"/>
        </w:rPr>
        <w:t xml:space="preserve"> </w:t>
      </w:r>
      <w:r w:rsidR="007A2CD9" w:rsidRPr="00DB3840">
        <w:rPr>
          <w:sz w:val="28"/>
          <w:szCs w:val="28"/>
        </w:rPr>
        <w:t>with “review[ing] the regulation of the delivery of legal services in Arizona</w:t>
      </w:r>
      <w:r w:rsidR="008231F1" w:rsidRPr="00DB3840">
        <w:rPr>
          <w:sz w:val="28"/>
          <w:szCs w:val="28"/>
        </w:rPr>
        <w:t>.</w:t>
      </w:r>
      <w:r w:rsidR="007A2CD9" w:rsidRPr="00DB3840">
        <w:rPr>
          <w:sz w:val="28"/>
          <w:szCs w:val="28"/>
        </w:rPr>
        <w:t xml:space="preserve">” </w:t>
      </w:r>
      <w:r w:rsidR="008231F1" w:rsidRPr="00DB3840">
        <w:rPr>
          <w:sz w:val="28"/>
          <w:szCs w:val="28"/>
        </w:rPr>
        <w:t xml:space="preserve">The order </w:t>
      </w:r>
      <w:r w:rsidR="007A2CD9" w:rsidRPr="00DB3840">
        <w:rPr>
          <w:sz w:val="28"/>
          <w:szCs w:val="28"/>
        </w:rPr>
        <w:t>specifically noted that “consumers often rely on sources other than lawyers for legal information or other assistance and that lawyers increasingly are providing services other than through traditional legal partnerships or professional corporations.”</w:t>
      </w:r>
    </w:p>
    <w:p w:rsidR="009377F3" w:rsidRPr="00DB3840" w:rsidRDefault="007A2CD9"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sz w:val="28"/>
          <w:szCs w:val="28"/>
        </w:rPr>
      </w:pPr>
      <w:r w:rsidRPr="00DB3840">
        <w:rPr>
          <w:sz w:val="28"/>
          <w:szCs w:val="28"/>
        </w:rPr>
        <w:t>To that end, the order directed the Task Force to:</w:t>
      </w:r>
    </w:p>
    <w:p w:rsidR="00515816" w:rsidRPr="00DB3840" w:rsidRDefault="00515816"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r w:rsidRPr="00DB3840">
        <w:rPr>
          <w:sz w:val="28"/>
          <w:szCs w:val="28"/>
        </w:rPr>
        <w:t>a. Restyle, update, and reorganize Rule 31(d) of the Arizona Rules of Supreme Court to simplify and clarify its provisions.</w:t>
      </w:r>
    </w:p>
    <w:p w:rsidR="007F1EB4" w:rsidRPr="00DB3840" w:rsidRDefault="007F1EB4"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p>
    <w:p w:rsidR="00515816" w:rsidRPr="00DB3840" w:rsidRDefault="00515816"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r w:rsidRPr="00DB3840">
        <w:rPr>
          <w:sz w:val="28"/>
          <w:szCs w:val="28"/>
        </w:rPr>
        <w:t>b.</w:t>
      </w:r>
      <w:r w:rsidR="00AD34E3">
        <w:rPr>
          <w:sz w:val="28"/>
          <w:szCs w:val="28"/>
        </w:rPr>
        <w:tab/>
      </w:r>
      <w:r w:rsidRPr="00DB3840">
        <w:rPr>
          <w:sz w:val="28"/>
          <w:szCs w:val="28"/>
        </w:rPr>
        <w:t>Review the Legal Document Preparers program and related Arizona Code of Judicial Administration requirements and, if warranted, recommend revisions to the existing rules and code sections that would improve access to and quality of legal services and information provided by legal document preparers.</w:t>
      </w:r>
    </w:p>
    <w:p w:rsidR="00B65F2D" w:rsidRPr="00DB3840" w:rsidRDefault="00B65F2D"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p>
    <w:p w:rsidR="00515816" w:rsidRPr="00DB3840" w:rsidRDefault="00515816"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r w:rsidRPr="00DB3840">
        <w:rPr>
          <w:sz w:val="28"/>
          <w:szCs w:val="28"/>
        </w:rPr>
        <w:t>c.</w:t>
      </w:r>
      <w:r w:rsidR="00AD34E3">
        <w:rPr>
          <w:sz w:val="28"/>
          <w:szCs w:val="28"/>
        </w:rPr>
        <w:tab/>
      </w:r>
      <w:r w:rsidRPr="00DB3840">
        <w:rPr>
          <w:sz w:val="28"/>
          <w:szCs w:val="28"/>
        </w:rPr>
        <w:t xml:space="preserve">Examine and recommend whether other </w:t>
      </w:r>
      <w:r w:rsidR="00FD3174">
        <w:rPr>
          <w:sz w:val="28"/>
          <w:szCs w:val="28"/>
        </w:rPr>
        <w:t>nonlawyer</w:t>
      </w:r>
      <w:r w:rsidRPr="00DB3840">
        <w:rPr>
          <w:sz w:val="28"/>
          <w:szCs w:val="28"/>
        </w:rPr>
        <w:t>s, with specified qualifications, should be allowed to provide limited legal services, including representing individuals in civil proceedings in limited jurisdiction courts, administrative hearings not otherwise allowed by Rule 31(d), and family court matters.</w:t>
      </w:r>
    </w:p>
    <w:p w:rsidR="007F1EB4" w:rsidRPr="00DB3840" w:rsidRDefault="007F1EB4"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p>
    <w:p w:rsidR="00515816" w:rsidRPr="00DB3840" w:rsidRDefault="00515816"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r w:rsidRPr="00DB3840">
        <w:rPr>
          <w:sz w:val="28"/>
          <w:szCs w:val="28"/>
        </w:rPr>
        <w:t>d.</w:t>
      </w:r>
      <w:r w:rsidR="00AD34E3">
        <w:rPr>
          <w:sz w:val="28"/>
          <w:szCs w:val="28"/>
        </w:rPr>
        <w:tab/>
      </w:r>
      <w:r w:rsidRPr="00DB3840">
        <w:rPr>
          <w:sz w:val="28"/>
          <w:szCs w:val="28"/>
        </w:rPr>
        <w:t>Review Supreme Court Rule 42, ER 1.2 related to scope of representation and determine if changes to this and other rules would encourage broader use of limited scope representation by individuals needing legal services.</w:t>
      </w:r>
    </w:p>
    <w:p w:rsidR="007F1EB4" w:rsidRPr="00DB3840" w:rsidRDefault="007F1EB4"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p>
    <w:p w:rsidR="00515816" w:rsidRPr="00DB3840" w:rsidRDefault="00515816"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r w:rsidRPr="00DB3840">
        <w:rPr>
          <w:sz w:val="28"/>
          <w:szCs w:val="28"/>
        </w:rPr>
        <w:t>e.</w:t>
      </w:r>
      <w:r w:rsidR="00AD34E3">
        <w:rPr>
          <w:sz w:val="28"/>
          <w:szCs w:val="28"/>
        </w:rPr>
        <w:tab/>
      </w:r>
      <w:r w:rsidRPr="00DB3840">
        <w:rPr>
          <w:sz w:val="28"/>
          <w:szCs w:val="28"/>
        </w:rPr>
        <w:t xml:space="preserve">Recommend whether Supreme Court rules should be modified to allow for co-ownership by lawyers and </w:t>
      </w:r>
      <w:r w:rsidR="00FD3174">
        <w:rPr>
          <w:sz w:val="28"/>
          <w:szCs w:val="28"/>
        </w:rPr>
        <w:t>nonlawyer</w:t>
      </w:r>
      <w:r w:rsidRPr="00DB3840">
        <w:rPr>
          <w:sz w:val="28"/>
          <w:szCs w:val="28"/>
        </w:rPr>
        <w:t>s in entities providing legal services; and,</w:t>
      </w:r>
    </w:p>
    <w:p w:rsidR="007F1EB4" w:rsidRPr="00DB3840" w:rsidRDefault="007F1EB4"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p>
    <w:p w:rsidR="00515816" w:rsidRPr="00DB3840" w:rsidRDefault="00515816"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both"/>
        <w:rPr>
          <w:sz w:val="28"/>
          <w:szCs w:val="28"/>
        </w:rPr>
      </w:pPr>
      <w:r w:rsidRPr="00DB3840">
        <w:rPr>
          <w:sz w:val="28"/>
          <w:szCs w:val="28"/>
        </w:rPr>
        <w:t>f.</w:t>
      </w:r>
      <w:r w:rsidR="00AD34E3">
        <w:rPr>
          <w:sz w:val="28"/>
          <w:szCs w:val="28"/>
        </w:rPr>
        <w:tab/>
      </w:r>
      <w:r w:rsidRPr="00DB3840">
        <w:rPr>
          <w:sz w:val="28"/>
          <w:szCs w:val="28"/>
        </w:rPr>
        <w:t>In the Chair’s discretion, consider and recommend other rule or code changes or pilot projects on the foregoing topics concerning the delivery of legal services.</w:t>
      </w:r>
    </w:p>
    <w:p w:rsidR="007A2CD9" w:rsidRPr="00DB3840" w:rsidRDefault="007A2CD9" w:rsidP="007F54A2">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p>
    <w:p w:rsidR="00B65F2D" w:rsidRPr="00DB3840" w:rsidRDefault="00B65F2D" w:rsidP="007F54A2">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DB3840">
        <w:rPr>
          <w:sz w:val="28"/>
          <w:szCs w:val="28"/>
        </w:rPr>
        <w:tab/>
        <w:t>T</w:t>
      </w:r>
      <w:r w:rsidR="00AC2F29" w:rsidRPr="00DB3840">
        <w:rPr>
          <w:sz w:val="28"/>
          <w:szCs w:val="28"/>
        </w:rPr>
        <w:t xml:space="preserve">he Task Force </w:t>
      </w:r>
      <w:r w:rsidR="00652F50" w:rsidRPr="00DB3840">
        <w:rPr>
          <w:sz w:val="28"/>
          <w:szCs w:val="28"/>
        </w:rPr>
        <w:t>responded to its charge by recommending</w:t>
      </w:r>
      <w:r w:rsidR="00AC2F29" w:rsidRPr="00DB3840">
        <w:rPr>
          <w:sz w:val="28"/>
          <w:szCs w:val="28"/>
        </w:rPr>
        <w:t xml:space="preserve"> </w:t>
      </w:r>
      <w:r w:rsidR="00660DBB" w:rsidRPr="00DB3840">
        <w:rPr>
          <w:sz w:val="28"/>
          <w:szCs w:val="28"/>
        </w:rPr>
        <w:t>amendments to the Ethical Rules in Rule 42</w:t>
      </w:r>
      <w:r w:rsidR="008D0150">
        <w:rPr>
          <w:sz w:val="28"/>
          <w:szCs w:val="28"/>
        </w:rPr>
        <w:t xml:space="preserve"> and other Supreme Court rules</w:t>
      </w:r>
      <w:r w:rsidR="00660DBB" w:rsidRPr="00DB3840">
        <w:rPr>
          <w:sz w:val="28"/>
          <w:szCs w:val="28"/>
        </w:rPr>
        <w:t>;</w:t>
      </w:r>
      <w:r w:rsidR="007F1EB4" w:rsidRPr="00DB3840">
        <w:rPr>
          <w:sz w:val="28"/>
          <w:szCs w:val="28"/>
        </w:rPr>
        <w:t xml:space="preserve"> amendments to the Arizona Code of Judicial Administration</w:t>
      </w:r>
      <w:r w:rsidR="003B1178" w:rsidRPr="00DB3840">
        <w:rPr>
          <w:sz w:val="28"/>
          <w:szCs w:val="28"/>
        </w:rPr>
        <w:t xml:space="preserve"> (ACJA)</w:t>
      </w:r>
      <w:r w:rsidR="007F1EB4" w:rsidRPr="00DB3840">
        <w:rPr>
          <w:sz w:val="28"/>
          <w:szCs w:val="28"/>
        </w:rPr>
        <w:t xml:space="preserve">; </w:t>
      </w:r>
      <w:r w:rsidR="00F40367" w:rsidRPr="00DB3840">
        <w:rPr>
          <w:sz w:val="28"/>
          <w:szCs w:val="28"/>
        </w:rPr>
        <w:t>and other administrative changes</w:t>
      </w:r>
      <w:r w:rsidR="00AC2F29" w:rsidRPr="00DB3840">
        <w:rPr>
          <w:sz w:val="28"/>
          <w:szCs w:val="28"/>
        </w:rPr>
        <w:t>.</w:t>
      </w:r>
      <w:r w:rsidRPr="00DB3840">
        <w:rPr>
          <w:rStyle w:val="FootnoteReference"/>
          <w:sz w:val="28"/>
          <w:szCs w:val="28"/>
        </w:rPr>
        <w:footnoteReference w:id="6"/>
      </w:r>
    </w:p>
    <w:p w:rsidR="00AC2F29" w:rsidRPr="00DB3840" w:rsidRDefault="00B65F2D" w:rsidP="007F54A2">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DB3840">
        <w:rPr>
          <w:sz w:val="28"/>
          <w:szCs w:val="28"/>
        </w:rPr>
        <w:tab/>
      </w:r>
      <w:r w:rsidR="00FA7762" w:rsidRPr="00DB3840">
        <w:rPr>
          <w:sz w:val="28"/>
          <w:szCs w:val="28"/>
        </w:rPr>
        <w:t>The Task Force presented its recommendations to the Arizona Judicial Council (“AJC”) on October 24, 2019.</w:t>
      </w:r>
      <w:r w:rsidR="009138D7">
        <w:rPr>
          <w:sz w:val="28"/>
          <w:szCs w:val="28"/>
        </w:rPr>
        <w:t xml:space="preserve"> The AJC </w:t>
      </w:r>
      <w:r w:rsidR="002C45C8">
        <w:rPr>
          <w:sz w:val="28"/>
          <w:szCs w:val="28"/>
        </w:rPr>
        <w:t xml:space="preserve">accepted </w:t>
      </w:r>
      <w:r w:rsidR="009138D7">
        <w:rPr>
          <w:sz w:val="28"/>
          <w:szCs w:val="28"/>
        </w:rPr>
        <w:t>all recommendations of the Task Force</w:t>
      </w:r>
      <w:r w:rsidR="000A1D16">
        <w:rPr>
          <w:sz w:val="28"/>
          <w:szCs w:val="28"/>
        </w:rPr>
        <w:t>.</w:t>
      </w:r>
      <w:r w:rsidR="00FA7762" w:rsidRPr="00DB3840">
        <w:rPr>
          <w:sz w:val="28"/>
          <w:szCs w:val="28"/>
        </w:rPr>
        <w:t xml:space="preserve"> </w:t>
      </w:r>
    </w:p>
    <w:p w:rsidR="00652F50" w:rsidRPr="00DB3840" w:rsidRDefault="00660DBB" w:rsidP="007F54A2">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DB3840">
        <w:rPr>
          <w:sz w:val="28"/>
          <w:szCs w:val="28"/>
        </w:rPr>
        <w:tab/>
      </w:r>
      <w:r w:rsidR="00AC2F29" w:rsidRPr="00DB3840">
        <w:rPr>
          <w:sz w:val="28"/>
          <w:szCs w:val="28"/>
        </w:rPr>
        <w:t xml:space="preserve">This petition addresses the Task Force’s recommendations </w:t>
      </w:r>
      <w:r w:rsidR="00081C60" w:rsidRPr="00DB3840">
        <w:rPr>
          <w:sz w:val="28"/>
          <w:szCs w:val="28"/>
        </w:rPr>
        <w:t xml:space="preserve">responding to </w:t>
      </w:r>
      <w:r w:rsidR="00581D0C" w:rsidRPr="00DB3840">
        <w:rPr>
          <w:sz w:val="28"/>
          <w:szCs w:val="28"/>
        </w:rPr>
        <w:t>the Court’s</w:t>
      </w:r>
      <w:r w:rsidR="00652F50" w:rsidRPr="00DB3840">
        <w:rPr>
          <w:sz w:val="28"/>
          <w:szCs w:val="28"/>
        </w:rPr>
        <w:t xml:space="preserve"> assignment</w:t>
      </w:r>
      <w:r w:rsidR="00B65F2D" w:rsidRPr="00DB3840">
        <w:rPr>
          <w:sz w:val="28"/>
          <w:szCs w:val="28"/>
        </w:rPr>
        <w:t xml:space="preserve">s </w:t>
      </w:r>
      <w:r w:rsidR="00477FE9">
        <w:rPr>
          <w:sz w:val="28"/>
          <w:szCs w:val="28"/>
        </w:rPr>
        <w:t>to</w:t>
      </w:r>
      <w:r w:rsidR="00581D0C" w:rsidRPr="00DB3840">
        <w:rPr>
          <w:sz w:val="28"/>
          <w:szCs w:val="28"/>
        </w:rPr>
        <w:t xml:space="preserve"> </w:t>
      </w:r>
      <w:r w:rsidR="00B65F2D" w:rsidRPr="00DB3840">
        <w:rPr>
          <w:sz w:val="28"/>
          <w:szCs w:val="28"/>
        </w:rPr>
        <w:t xml:space="preserve">review and clarify </w:t>
      </w:r>
      <w:r w:rsidR="007F1EB4" w:rsidRPr="00DB3840">
        <w:rPr>
          <w:sz w:val="28"/>
          <w:szCs w:val="28"/>
        </w:rPr>
        <w:t xml:space="preserve">Rule 31(d); examine whether nonlawyers </w:t>
      </w:r>
      <w:r w:rsidR="00081C60" w:rsidRPr="00DB3840">
        <w:rPr>
          <w:sz w:val="28"/>
          <w:szCs w:val="28"/>
        </w:rPr>
        <w:t xml:space="preserve">should </w:t>
      </w:r>
      <w:r w:rsidR="007F1EB4" w:rsidRPr="00DB3840">
        <w:rPr>
          <w:sz w:val="28"/>
          <w:szCs w:val="28"/>
        </w:rPr>
        <w:t xml:space="preserve">be </w:t>
      </w:r>
      <w:r w:rsidR="00F40367" w:rsidRPr="00DB3840">
        <w:rPr>
          <w:sz w:val="28"/>
          <w:szCs w:val="28"/>
        </w:rPr>
        <w:t>licensed</w:t>
      </w:r>
      <w:r w:rsidR="007F1EB4" w:rsidRPr="00DB3840">
        <w:rPr>
          <w:sz w:val="28"/>
          <w:szCs w:val="28"/>
        </w:rPr>
        <w:t xml:space="preserve"> to </w:t>
      </w:r>
      <w:r w:rsidR="00706799" w:rsidRPr="00DB3840">
        <w:rPr>
          <w:sz w:val="28"/>
          <w:szCs w:val="28"/>
        </w:rPr>
        <w:t>provid</w:t>
      </w:r>
      <w:r w:rsidR="007F1EB4" w:rsidRPr="00DB3840">
        <w:rPr>
          <w:sz w:val="28"/>
          <w:szCs w:val="28"/>
        </w:rPr>
        <w:t>e</w:t>
      </w:r>
      <w:r w:rsidR="00706799" w:rsidRPr="00DB3840">
        <w:rPr>
          <w:sz w:val="28"/>
          <w:szCs w:val="28"/>
        </w:rPr>
        <w:t xml:space="preserve"> legal services</w:t>
      </w:r>
      <w:r w:rsidR="007F1EB4" w:rsidRPr="00DB3840">
        <w:rPr>
          <w:sz w:val="28"/>
          <w:szCs w:val="28"/>
        </w:rPr>
        <w:t xml:space="preserve">; and </w:t>
      </w:r>
      <w:r w:rsidR="00F40367" w:rsidRPr="00DB3840">
        <w:rPr>
          <w:sz w:val="28"/>
          <w:szCs w:val="28"/>
        </w:rPr>
        <w:t xml:space="preserve">consider </w:t>
      </w:r>
      <w:r w:rsidR="00706799" w:rsidRPr="00DB3840">
        <w:rPr>
          <w:sz w:val="28"/>
          <w:szCs w:val="28"/>
        </w:rPr>
        <w:t xml:space="preserve">nonlawyer ownership of </w:t>
      </w:r>
      <w:r w:rsidR="00081C60" w:rsidRPr="00DB3840">
        <w:rPr>
          <w:sz w:val="28"/>
          <w:szCs w:val="28"/>
        </w:rPr>
        <w:t>legal</w:t>
      </w:r>
      <w:r w:rsidR="00706799" w:rsidRPr="00DB3840">
        <w:rPr>
          <w:sz w:val="28"/>
          <w:szCs w:val="28"/>
        </w:rPr>
        <w:t>-service entities</w:t>
      </w:r>
      <w:r w:rsidR="00AC2F29" w:rsidRPr="00DB3840">
        <w:rPr>
          <w:sz w:val="28"/>
          <w:szCs w:val="28"/>
        </w:rPr>
        <w:t>.</w:t>
      </w:r>
      <w:r w:rsidR="00AC2F29" w:rsidRPr="00DB3840">
        <w:rPr>
          <w:rStyle w:val="FootnoteReference"/>
          <w:sz w:val="28"/>
          <w:szCs w:val="28"/>
        </w:rPr>
        <w:footnoteReference w:id="7"/>
      </w:r>
    </w:p>
    <w:p w:rsidR="00652F50" w:rsidRPr="00DB3840" w:rsidRDefault="00706799" w:rsidP="007F54A2">
      <w:pPr>
        <w:pStyle w:val="BodyText"/>
        <w:spacing w:line="480" w:lineRule="auto"/>
        <w:jc w:val="both"/>
        <w:rPr>
          <w:szCs w:val="28"/>
        </w:rPr>
      </w:pPr>
      <w:r w:rsidRPr="00DB3840">
        <w:rPr>
          <w:szCs w:val="28"/>
        </w:rPr>
        <w:tab/>
      </w:r>
      <w:r w:rsidR="00477FE9">
        <w:rPr>
          <w:szCs w:val="28"/>
        </w:rPr>
        <w:t>After adoption of the Task Force’s report and recommendations</w:t>
      </w:r>
      <w:r w:rsidRPr="00DB3840">
        <w:rPr>
          <w:szCs w:val="28"/>
        </w:rPr>
        <w:t xml:space="preserve"> a workgroup </w:t>
      </w:r>
      <w:r w:rsidR="00477FE9">
        <w:rPr>
          <w:szCs w:val="28"/>
        </w:rPr>
        <w:t xml:space="preserve">was formed </w:t>
      </w:r>
      <w:r w:rsidRPr="00DB3840">
        <w:rPr>
          <w:szCs w:val="28"/>
        </w:rPr>
        <w:t xml:space="preserve">to explore </w:t>
      </w:r>
      <w:r w:rsidR="00F40367" w:rsidRPr="00DB3840">
        <w:rPr>
          <w:szCs w:val="28"/>
        </w:rPr>
        <w:t xml:space="preserve">the technicalities of </w:t>
      </w:r>
      <w:r w:rsidRPr="00DB3840">
        <w:rPr>
          <w:szCs w:val="28"/>
        </w:rPr>
        <w:t xml:space="preserve">regulating </w:t>
      </w:r>
      <w:r w:rsidR="003B1178" w:rsidRPr="00DB3840">
        <w:rPr>
          <w:szCs w:val="28"/>
        </w:rPr>
        <w:t>alternative business structures</w:t>
      </w:r>
      <w:r w:rsidRPr="00DB3840">
        <w:rPr>
          <w:szCs w:val="28"/>
        </w:rPr>
        <w:t xml:space="preserve">. </w:t>
      </w:r>
      <w:r w:rsidR="00477FE9">
        <w:rPr>
          <w:szCs w:val="28"/>
        </w:rPr>
        <w:t>The</w:t>
      </w:r>
      <w:r w:rsidRPr="00DB3840">
        <w:rPr>
          <w:szCs w:val="28"/>
        </w:rPr>
        <w:t xml:space="preserve"> workgroup </w:t>
      </w:r>
      <w:r w:rsidR="00880CAE">
        <w:rPr>
          <w:szCs w:val="28"/>
        </w:rPr>
        <w:t xml:space="preserve">was </w:t>
      </w:r>
      <w:r w:rsidRPr="00DB3840">
        <w:rPr>
          <w:szCs w:val="28"/>
        </w:rPr>
        <w:t xml:space="preserve">convened </w:t>
      </w:r>
      <w:r w:rsidR="00AE6AAF">
        <w:rPr>
          <w:szCs w:val="28"/>
        </w:rPr>
        <w:t xml:space="preserve">to </w:t>
      </w:r>
      <w:r w:rsidRPr="00DB3840">
        <w:rPr>
          <w:szCs w:val="28"/>
        </w:rPr>
        <w:t xml:space="preserve">propose rule changes under which </w:t>
      </w:r>
      <w:r w:rsidR="00EE1C50" w:rsidRPr="00DB3840">
        <w:rPr>
          <w:szCs w:val="28"/>
        </w:rPr>
        <w:t>alternative business structures</w:t>
      </w:r>
      <w:r w:rsidR="003B1178" w:rsidRPr="00DB3840">
        <w:rPr>
          <w:szCs w:val="28"/>
        </w:rPr>
        <w:t xml:space="preserve"> </w:t>
      </w:r>
      <w:r w:rsidRPr="00DB3840">
        <w:rPr>
          <w:szCs w:val="28"/>
        </w:rPr>
        <w:t xml:space="preserve">would be </w:t>
      </w:r>
      <w:r w:rsidR="00652F50" w:rsidRPr="00DB3840">
        <w:rPr>
          <w:szCs w:val="28"/>
        </w:rPr>
        <w:t>regulated.</w:t>
      </w:r>
      <w:r w:rsidR="004017D1">
        <w:rPr>
          <w:szCs w:val="28"/>
        </w:rPr>
        <w:t xml:space="preserve"> The workgroup also proposed a regulatory framework, code of conduct, and disciplinary sanctions for ABSs that will be encompassed in a new section of the Arizona Code of Judicial Administration.</w:t>
      </w:r>
      <w:r w:rsidR="000A1D16">
        <w:rPr>
          <w:rStyle w:val="FootnoteReference"/>
          <w:szCs w:val="28"/>
        </w:rPr>
        <w:footnoteReference w:id="8"/>
      </w:r>
      <w:r w:rsidR="004017D1">
        <w:rPr>
          <w:szCs w:val="28"/>
        </w:rPr>
        <w:t xml:space="preserve">  </w:t>
      </w:r>
    </w:p>
    <w:bookmarkEnd w:id="0"/>
    <w:p w:rsidR="003B1178" w:rsidRPr="00DB3840" w:rsidRDefault="003B1178" w:rsidP="007F54A2">
      <w:pPr>
        <w:pStyle w:val="BodyText"/>
        <w:spacing w:line="480" w:lineRule="auto"/>
        <w:jc w:val="both"/>
        <w:rPr>
          <w:szCs w:val="28"/>
        </w:rPr>
      </w:pPr>
      <w:r w:rsidRPr="00DB3840">
        <w:rPr>
          <w:szCs w:val="28"/>
        </w:rPr>
        <w:tab/>
      </w:r>
      <w:r w:rsidR="00880CAE">
        <w:rPr>
          <w:szCs w:val="28"/>
        </w:rPr>
        <w:t>The</w:t>
      </w:r>
      <w:r w:rsidR="00880CAE" w:rsidRPr="00DB3840">
        <w:rPr>
          <w:szCs w:val="28"/>
        </w:rPr>
        <w:t xml:space="preserve"> </w:t>
      </w:r>
      <w:r w:rsidRPr="00DB3840">
        <w:rPr>
          <w:szCs w:val="28"/>
        </w:rPr>
        <w:t xml:space="preserve">workgroup also </w:t>
      </w:r>
      <w:r w:rsidR="004017D1">
        <w:rPr>
          <w:szCs w:val="28"/>
        </w:rPr>
        <w:t>gave input on</w:t>
      </w:r>
      <w:r w:rsidR="005C3D6F">
        <w:rPr>
          <w:szCs w:val="28"/>
        </w:rPr>
        <w:t xml:space="preserve"> amendments to rules that would accomplish the regulation of</w:t>
      </w:r>
      <w:r w:rsidR="00453B94" w:rsidRPr="00DB3840">
        <w:rPr>
          <w:szCs w:val="28"/>
        </w:rPr>
        <w:t xml:space="preserve"> the </w:t>
      </w:r>
      <w:r w:rsidRPr="00DB3840">
        <w:rPr>
          <w:szCs w:val="28"/>
        </w:rPr>
        <w:t xml:space="preserve">LLLP. While most LLLP regulation will be in the ACJA, </w:t>
      </w:r>
      <w:r w:rsidR="00880CAE">
        <w:rPr>
          <w:szCs w:val="28"/>
        </w:rPr>
        <w:t>this petition includes</w:t>
      </w:r>
      <w:r w:rsidRPr="00DB3840">
        <w:rPr>
          <w:szCs w:val="28"/>
        </w:rPr>
        <w:t xml:space="preserve"> recommendations for incorporating necessary references to LLLPs in </w:t>
      </w:r>
      <w:r w:rsidR="00660DBB" w:rsidRPr="00DB3840">
        <w:rPr>
          <w:szCs w:val="28"/>
        </w:rPr>
        <w:t xml:space="preserve">jurisdictional and </w:t>
      </w:r>
      <w:r w:rsidRPr="00DB3840">
        <w:rPr>
          <w:szCs w:val="28"/>
        </w:rPr>
        <w:t>procedural rules.</w:t>
      </w:r>
      <w:r w:rsidR="005C3D6F">
        <w:rPr>
          <w:szCs w:val="28"/>
        </w:rPr>
        <w:t xml:space="preserve"> The Administrative Office of Courts has begun the process of convening other workgroups to identify the practice areas, scope of practice, educational requirements, licensing and examination requirements and ethical code for LLLPs. Therefore</w:t>
      </w:r>
      <w:r w:rsidR="00880CAE">
        <w:rPr>
          <w:szCs w:val="28"/>
        </w:rPr>
        <w:t>,</w:t>
      </w:r>
      <w:r w:rsidR="005C3D6F">
        <w:rPr>
          <w:szCs w:val="28"/>
        </w:rPr>
        <w:t xml:space="preserve"> the proposed amendment to rules in this petition would not be triggered until after development, posting, and adopting of those regulatory requirements.</w:t>
      </w:r>
      <w:r w:rsidR="005C3D6F">
        <w:rPr>
          <w:rStyle w:val="FootnoteReference"/>
          <w:szCs w:val="28"/>
        </w:rPr>
        <w:footnoteReference w:id="9"/>
      </w:r>
      <w:r w:rsidR="005C3D6F">
        <w:rPr>
          <w:szCs w:val="28"/>
        </w:rPr>
        <w:t xml:space="preserve"> </w:t>
      </w:r>
    </w:p>
    <w:p w:rsidR="00C30081" w:rsidRPr="00DB3840" w:rsidRDefault="00C30081" w:rsidP="007F54A2">
      <w:pPr>
        <w:pStyle w:val="BodyText"/>
        <w:spacing w:line="480" w:lineRule="auto"/>
        <w:ind w:firstLine="720"/>
        <w:jc w:val="both"/>
        <w:rPr>
          <w:szCs w:val="28"/>
        </w:rPr>
      </w:pPr>
      <w:r w:rsidRPr="00DB3840">
        <w:rPr>
          <w:szCs w:val="28"/>
        </w:rPr>
        <w:t xml:space="preserve">A </w:t>
      </w:r>
      <w:r w:rsidR="00E66DE6" w:rsidRPr="00DB3840">
        <w:rPr>
          <w:szCs w:val="28"/>
        </w:rPr>
        <w:t xml:space="preserve">clean version </w:t>
      </w:r>
      <w:r w:rsidRPr="00DB3840">
        <w:rPr>
          <w:szCs w:val="28"/>
        </w:rPr>
        <w:t>of the proposed amendments</w:t>
      </w:r>
      <w:r w:rsidR="001F4BB3" w:rsidRPr="00DB3840">
        <w:rPr>
          <w:szCs w:val="28"/>
        </w:rPr>
        <w:t xml:space="preserve"> for </w:t>
      </w:r>
      <w:r w:rsidR="004D037C">
        <w:rPr>
          <w:szCs w:val="28"/>
        </w:rPr>
        <w:t xml:space="preserve">Rule 42, </w:t>
      </w:r>
      <w:r w:rsidR="001F4BB3" w:rsidRPr="00DB3840">
        <w:rPr>
          <w:szCs w:val="28"/>
        </w:rPr>
        <w:t>ERs 1.0 through 5.7</w:t>
      </w:r>
      <w:r w:rsidR="004D037C">
        <w:rPr>
          <w:szCs w:val="28"/>
        </w:rPr>
        <w:t>,</w:t>
      </w:r>
      <w:r w:rsidRPr="00DB3840">
        <w:rPr>
          <w:szCs w:val="28"/>
        </w:rPr>
        <w:t xml:space="preserve"> is attached at Appendix</w:t>
      </w:r>
      <w:r w:rsidR="007711EC" w:rsidRPr="00DB3840">
        <w:rPr>
          <w:szCs w:val="28"/>
        </w:rPr>
        <w:t xml:space="preserve"> 1A</w:t>
      </w:r>
      <w:r w:rsidRPr="00DB3840">
        <w:rPr>
          <w:szCs w:val="28"/>
        </w:rPr>
        <w:t xml:space="preserve"> and a </w:t>
      </w:r>
      <w:r w:rsidR="007711EC" w:rsidRPr="00DB3840">
        <w:rPr>
          <w:szCs w:val="28"/>
        </w:rPr>
        <w:t>markup</w:t>
      </w:r>
      <w:r w:rsidR="00E66DE6" w:rsidRPr="00DB3840">
        <w:rPr>
          <w:szCs w:val="28"/>
        </w:rPr>
        <w:t xml:space="preserve"> </w:t>
      </w:r>
      <w:r w:rsidRPr="00DB3840">
        <w:rPr>
          <w:szCs w:val="28"/>
        </w:rPr>
        <w:t xml:space="preserve">version of the proposed amendments is attached at Appendix </w:t>
      </w:r>
      <w:r w:rsidR="007711EC" w:rsidRPr="00DB3840">
        <w:rPr>
          <w:szCs w:val="28"/>
        </w:rPr>
        <w:t>1B</w:t>
      </w:r>
      <w:r w:rsidRPr="00DB3840">
        <w:rPr>
          <w:szCs w:val="28"/>
        </w:rPr>
        <w:t xml:space="preserve">. </w:t>
      </w:r>
    </w:p>
    <w:p w:rsidR="00B313AE" w:rsidRPr="00DB3840" w:rsidRDefault="00FD4A15" w:rsidP="007F54A2">
      <w:pPr>
        <w:pStyle w:val="BodyText"/>
        <w:spacing w:line="480" w:lineRule="auto"/>
        <w:ind w:firstLine="720"/>
        <w:jc w:val="both"/>
        <w:rPr>
          <w:szCs w:val="28"/>
        </w:rPr>
      </w:pPr>
      <w:r w:rsidRPr="00DB3840">
        <w:rPr>
          <w:szCs w:val="28"/>
        </w:rPr>
        <w:t xml:space="preserve">A clean version of the proposed amendments </w:t>
      </w:r>
      <w:r w:rsidR="003B1178" w:rsidRPr="00DB3840">
        <w:rPr>
          <w:szCs w:val="28"/>
        </w:rPr>
        <w:t>to Rules 31 through 76</w:t>
      </w:r>
      <w:r w:rsidRPr="00DB3840">
        <w:rPr>
          <w:szCs w:val="28"/>
        </w:rPr>
        <w:t xml:space="preserve"> is attached at Appendix 2A</w:t>
      </w:r>
      <w:r w:rsidR="00AD34E3">
        <w:rPr>
          <w:szCs w:val="28"/>
        </w:rPr>
        <w:t>,</w:t>
      </w:r>
      <w:r w:rsidRPr="00DB3840">
        <w:rPr>
          <w:szCs w:val="28"/>
        </w:rPr>
        <w:t xml:space="preserve"> and a markup version of the proposed amendments is attached at Appendix 2B.</w:t>
      </w:r>
    </w:p>
    <w:p w:rsidR="00B313AE" w:rsidRPr="00B71ADB" w:rsidRDefault="00660DBB" w:rsidP="00CB2694">
      <w:pPr>
        <w:pStyle w:val="BodyText"/>
        <w:numPr>
          <w:ilvl w:val="0"/>
          <w:numId w:val="1"/>
        </w:numPr>
        <w:spacing w:line="480" w:lineRule="auto"/>
        <w:ind w:left="720"/>
        <w:jc w:val="both"/>
        <w:rPr>
          <w:b/>
          <w:bCs/>
          <w:szCs w:val="28"/>
        </w:rPr>
      </w:pPr>
      <w:r w:rsidRPr="00B71ADB">
        <w:rPr>
          <w:b/>
          <w:bCs/>
          <w:szCs w:val="28"/>
        </w:rPr>
        <w:t>Nonlawyer-ownership</w:t>
      </w:r>
      <w:r w:rsidR="00EC54A9" w:rsidRPr="00B71ADB">
        <w:rPr>
          <w:b/>
          <w:bCs/>
          <w:szCs w:val="28"/>
        </w:rPr>
        <w:t xml:space="preserve">-related </w:t>
      </w:r>
      <w:r w:rsidR="00920F7C" w:rsidRPr="00B71ADB">
        <w:rPr>
          <w:b/>
          <w:bCs/>
          <w:szCs w:val="28"/>
        </w:rPr>
        <w:t xml:space="preserve">Ethical Rule </w:t>
      </w:r>
      <w:r w:rsidR="00017F44" w:rsidRPr="00B71ADB">
        <w:rPr>
          <w:b/>
          <w:bCs/>
          <w:szCs w:val="28"/>
        </w:rPr>
        <w:t>proposals</w:t>
      </w:r>
    </w:p>
    <w:p w:rsidR="00B313AE" w:rsidRPr="00B71ADB" w:rsidRDefault="00F06387" w:rsidP="00CB2694">
      <w:pPr>
        <w:pStyle w:val="BodyText"/>
        <w:numPr>
          <w:ilvl w:val="0"/>
          <w:numId w:val="2"/>
        </w:numPr>
        <w:spacing w:line="480" w:lineRule="auto"/>
        <w:ind w:left="720"/>
        <w:jc w:val="both"/>
        <w:rPr>
          <w:b/>
          <w:bCs/>
          <w:szCs w:val="28"/>
        </w:rPr>
      </w:pPr>
      <w:r w:rsidRPr="00B71ADB">
        <w:rPr>
          <w:b/>
          <w:bCs/>
          <w:szCs w:val="28"/>
        </w:rPr>
        <w:t>Eliminat</w:t>
      </w:r>
      <w:r w:rsidR="0096303E" w:rsidRPr="00B71ADB">
        <w:rPr>
          <w:b/>
          <w:bCs/>
          <w:szCs w:val="28"/>
        </w:rPr>
        <w:t>e</w:t>
      </w:r>
      <w:r w:rsidRPr="00B71ADB">
        <w:rPr>
          <w:b/>
          <w:bCs/>
          <w:szCs w:val="28"/>
        </w:rPr>
        <w:t xml:space="preserve"> ER 5.4</w:t>
      </w:r>
    </w:p>
    <w:p w:rsidR="00DC48B1" w:rsidRPr="00DB3840" w:rsidRDefault="00DC4122" w:rsidP="007F54A2">
      <w:pPr>
        <w:pStyle w:val="BodyText"/>
        <w:spacing w:line="480" w:lineRule="auto"/>
        <w:ind w:firstLine="720"/>
        <w:jc w:val="both"/>
        <w:rPr>
          <w:szCs w:val="28"/>
        </w:rPr>
      </w:pPr>
      <w:r w:rsidRPr="00DB3840">
        <w:rPr>
          <w:szCs w:val="28"/>
        </w:rPr>
        <w:t xml:space="preserve">The cornerstone of the Task Force’s </w:t>
      </w:r>
      <w:r w:rsidR="00DC48B1" w:rsidRPr="00DB3840">
        <w:rPr>
          <w:szCs w:val="28"/>
        </w:rPr>
        <w:t xml:space="preserve">recommendations </w:t>
      </w:r>
      <w:r w:rsidR="00387EB8">
        <w:rPr>
          <w:szCs w:val="28"/>
        </w:rPr>
        <w:t>regarding</w:t>
      </w:r>
      <w:r w:rsidR="00DC48B1" w:rsidRPr="00DB3840">
        <w:rPr>
          <w:szCs w:val="28"/>
        </w:rPr>
        <w:t xml:space="preserve"> “co-ownership by lawyers and </w:t>
      </w:r>
      <w:r w:rsidR="00FD3174">
        <w:rPr>
          <w:szCs w:val="28"/>
        </w:rPr>
        <w:t>nonlawyer</w:t>
      </w:r>
      <w:r w:rsidR="00DC48B1" w:rsidRPr="00DB3840">
        <w:rPr>
          <w:szCs w:val="28"/>
        </w:rPr>
        <w:t>s</w:t>
      </w:r>
      <w:r w:rsidR="008D0150">
        <w:rPr>
          <w:szCs w:val="28"/>
        </w:rPr>
        <w:t xml:space="preserve"> in entities providing legal services</w:t>
      </w:r>
      <w:r w:rsidR="00DC48B1" w:rsidRPr="00DB3840">
        <w:rPr>
          <w:szCs w:val="28"/>
        </w:rPr>
        <w:t xml:space="preserve">” </w:t>
      </w:r>
      <w:r w:rsidR="00D64EF7">
        <w:rPr>
          <w:szCs w:val="28"/>
        </w:rPr>
        <w:t>was</w:t>
      </w:r>
      <w:r w:rsidR="00D64EF7" w:rsidRPr="00DB3840">
        <w:rPr>
          <w:szCs w:val="28"/>
        </w:rPr>
        <w:t xml:space="preserve"> </w:t>
      </w:r>
      <w:r w:rsidR="00DC48B1" w:rsidRPr="00DB3840">
        <w:rPr>
          <w:szCs w:val="28"/>
        </w:rPr>
        <w:t>eliminating ER 5.4, which</w:t>
      </w:r>
      <w:r w:rsidR="003005D8" w:rsidRPr="00DB3840">
        <w:rPr>
          <w:szCs w:val="28"/>
        </w:rPr>
        <w:t xml:space="preserve"> </w:t>
      </w:r>
      <w:r w:rsidR="008D0150">
        <w:rPr>
          <w:szCs w:val="28"/>
        </w:rPr>
        <w:t xml:space="preserve">in general </w:t>
      </w:r>
      <w:r w:rsidR="00DC48B1" w:rsidRPr="00DB3840">
        <w:rPr>
          <w:szCs w:val="28"/>
        </w:rPr>
        <w:t xml:space="preserve">prohibits lawyers from sharing </w:t>
      </w:r>
      <w:r w:rsidR="008D0150">
        <w:rPr>
          <w:szCs w:val="28"/>
        </w:rPr>
        <w:t xml:space="preserve">legal </w:t>
      </w:r>
      <w:r w:rsidR="00DC48B1" w:rsidRPr="00DB3840">
        <w:rPr>
          <w:szCs w:val="28"/>
        </w:rPr>
        <w:t>fees with nonlawyers</w:t>
      </w:r>
      <w:r w:rsidR="003B1178" w:rsidRPr="00DB3840">
        <w:rPr>
          <w:szCs w:val="28"/>
        </w:rPr>
        <w:t xml:space="preserve">, </w:t>
      </w:r>
      <w:r w:rsidR="00DC48B1" w:rsidRPr="00DB3840">
        <w:rPr>
          <w:szCs w:val="28"/>
        </w:rPr>
        <w:t>prohibits nonlawyers from having any financial interest in law firms</w:t>
      </w:r>
      <w:r w:rsidR="003B1178" w:rsidRPr="00DB3840">
        <w:rPr>
          <w:szCs w:val="28"/>
        </w:rPr>
        <w:t xml:space="preserve">, and prohibits a lawyer from forming a partnership with a </w:t>
      </w:r>
      <w:r w:rsidR="00FD3174">
        <w:rPr>
          <w:szCs w:val="28"/>
        </w:rPr>
        <w:t>nonlawyer</w:t>
      </w:r>
      <w:r w:rsidR="003B1178" w:rsidRPr="00DB3840">
        <w:rPr>
          <w:szCs w:val="28"/>
        </w:rPr>
        <w:t xml:space="preserve"> if any of the partnership’s activities consist of the practice of law.</w:t>
      </w:r>
    </w:p>
    <w:p w:rsidR="00AB5159" w:rsidRPr="00DB3840" w:rsidRDefault="00D64EF7" w:rsidP="007F54A2">
      <w:pPr>
        <w:pStyle w:val="BodyText"/>
        <w:spacing w:line="480" w:lineRule="auto"/>
        <w:ind w:firstLine="720"/>
        <w:jc w:val="both"/>
        <w:rPr>
          <w:szCs w:val="28"/>
        </w:rPr>
      </w:pPr>
      <w:r>
        <w:rPr>
          <w:szCs w:val="28"/>
        </w:rPr>
        <w:t>This petition</w:t>
      </w:r>
      <w:r w:rsidR="00DC48B1" w:rsidRPr="00DB3840">
        <w:rPr>
          <w:szCs w:val="28"/>
        </w:rPr>
        <w:t xml:space="preserve"> proposes that ER 5.4 be eliminated because no modern compelling reason for maintaining the rule</w:t>
      </w:r>
      <w:r>
        <w:rPr>
          <w:szCs w:val="28"/>
        </w:rPr>
        <w:t xml:space="preserve"> exists</w:t>
      </w:r>
      <w:r w:rsidR="00DC48B1" w:rsidRPr="00DB3840">
        <w:rPr>
          <w:szCs w:val="28"/>
        </w:rPr>
        <w:t>.</w:t>
      </w:r>
      <w:r w:rsidR="00AB5159" w:rsidRPr="00DB3840">
        <w:rPr>
          <w:szCs w:val="28"/>
        </w:rPr>
        <w:t xml:space="preserve"> ABA Model Rule 5.4 and its predecessor rules as far back as the 1928 Canons of Professional Ethics “originated in legislation aimed at forbidding lawyers from being employed by corporations to provide services to members of the public.”</w:t>
      </w:r>
      <w:r w:rsidR="00AB5159" w:rsidRPr="00DB3840">
        <w:rPr>
          <w:rStyle w:val="FootnoteReference"/>
          <w:szCs w:val="28"/>
        </w:rPr>
        <w:footnoteReference w:id="10"/>
      </w:r>
      <w:r w:rsidR="00AB5159" w:rsidRPr="00DB3840">
        <w:rPr>
          <w:szCs w:val="28"/>
        </w:rPr>
        <w:t xml:space="preserve"> Th</w:t>
      </w:r>
      <w:r w:rsidR="00453B94" w:rsidRPr="00DB3840">
        <w:rPr>
          <w:szCs w:val="28"/>
        </w:rPr>
        <w:t>is</w:t>
      </w:r>
      <w:r w:rsidR="00AB5159" w:rsidRPr="00DB3840">
        <w:rPr>
          <w:szCs w:val="28"/>
        </w:rPr>
        <w:t xml:space="preserve"> prohibition was not rooted in protecting the public but in economic protectionism. There was “no evidence that the corporations then supplying lawyers to clients were harming the public, and the transparent motivation behind the legislation was to protect lawyers’ business.”</w:t>
      </w:r>
      <w:r w:rsidR="00AB5159" w:rsidRPr="00DB3840">
        <w:rPr>
          <w:rStyle w:val="FootnoteReference"/>
          <w:szCs w:val="28"/>
        </w:rPr>
        <w:footnoteReference w:id="11"/>
      </w:r>
      <w:r w:rsidR="00AB5159" w:rsidRPr="00DB3840">
        <w:rPr>
          <w:szCs w:val="28"/>
        </w:rPr>
        <w:t xml:space="preserve"> </w:t>
      </w:r>
    </w:p>
    <w:p w:rsidR="00E96453" w:rsidRPr="00DB3840" w:rsidRDefault="00AB5159" w:rsidP="007F54A2">
      <w:pPr>
        <w:pStyle w:val="BodyText"/>
        <w:spacing w:line="480" w:lineRule="auto"/>
        <w:ind w:firstLine="720"/>
        <w:jc w:val="both"/>
        <w:rPr>
          <w:szCs w:val="28"/>
        </w:rPr>
      </w:pPr>
      <w:r w:rsidRPr="00DB3840">
        <w:rPr>
          <w:szCs w:val="28"/>
        </w:rPr>
        <w:t>Today, Model Rule 5.4 is “directed mainly against entrepreneurial relationships with nonlawyers</w:t>
      </w:r>
      <w:r w:rsidR="00E96453" w:rsidRPr="00DB3840">
        <w:rPr>
          <w:szCs w:val="28"/>
        </w:rPr>
        <w:t>.”</w:t>
      </w:r>
      <w:r w:rsidR="00E96453" w:rsidRPr="00DB3840">
        <w:rPr>
          <w:rStyle w:val="FootnoteReference"/>
          <w:szCs w:val="28"/>
        </w:rPr>
        <w:footnoteReference w:id="12"/>
      </w:r>
      <w:r w:rsidR="00E96453" w:rsidRPr="00DB3840">
        <w:rPr>
          <w:szCs w:val="28"/>
        </w:rPr>
        <w:t xml:space="preserve"> As a result, it has been identified as a barrier to innovation in the delivery of legal services and contributing to the justice gap.</w:t>
      </w:r>
      <w:r w:rsidR="00E96453" w:rsidRPr="00DB3840">
        <w:rPr>
          <w:rStyle w:val="FootnoteReference"/>
          <w:szCs w:val="28"/>
        </w:rPr>
        <w:footnoteReference w:id="13"/>
      </w:r>
    </w:p>
    <w:p w:rsidR="001974D4" w:rsidRPr="00DB3840" w:rsidRDefault="00E96453" w:rsidP="007F54A2">
      <w:pPr>
        <w:pStyle w:val="BodyText"/>
        <w:spacing w:line="480" w:lineRule="auto"/>
        <w:ind w:firstLine="720"/>
        <w:jc w:val="both"/>
        <w:rPr>
          <w:szCs w:val="28"/>
        </w:rPr>
      </w:pPr>
      <w:r w:rsidRPr="00DB3840">
        <w:rPr>
          <w:szCs w:val="28"/>
        </w:rPr>
        <w:t>It purportedly “protect[</w:t>
      </w:r>
      <w:r w:rsidR="003005D8" w:rsidRPr="00DB3840">
        <w:rPr>
          <w:szCs w:val="28"/>
        </w:rPr>
        <w:t>s</w:t>
      </w:r>
      <w:r w:rsidRPr="00DB3840">
        <w:rPr>
          <w:szCs w:val="28"/>
        </w:rPr>
        <w:t xml:space="preserve">] </w:t>
      </w:r>
      <w:r w:rsidR="00AB5159" w:rsidRPr="00DB3840">
        <w:rPr>
          <w:szCs w:val="28"/>
        </w:rPr>
        <w:t>a lawyer’s independence in exercising professional judgment on the client’s behalf free from control by nonlawyers”</w:t>
      </w:r>
      <w:r w:rsidRPr="00DB3840">
        <w:rPr>
          <w:rStyle w:val="FootnoteReference"/>
          <w:szCs w:val="28"/>
        </w:rPr>
        <w:footnoteReference w:id="14"/>
      </w:r>
      <w:r w:rsidRPr="00DB3840">
        <w:rPr>
          <w:szCs w:val="28"/>
        </w:rPr>
        <w:t xml:space="preserve"> </w:t>
      </w:r>
      <w:r w:rsidR="0063353B" w:rsidRPr="00DB3840">
        <w:rPr>
          <w:szCs w:val="28"/>
        </w:rPr>
        <w:t>but o</w:t>
      </w:r>
      <w:r w:rsidRPr="00DB3840">
        <w:rPr>
          <w:szCs w:val="28"/>
        </w:rPr>
        <w:t xml:space="preserve">ther </w:t>
      </w:r>
      <w:r w:rsidR="00AB5159" w:rsidRPr="00DB3840">
        <w:rPr>
          <w:szCs w:val="28"/>
        </w:rPr>
        <w:t>rules</w:t>
      </w:r>
      <w:r w:rsidRPr="00DB3840">
        <w:rPr>
          <w:szCs w:val="28"/>
        </w:rPr>
        <w:t xml:space="preserve"> provide that protection.</w:t>
      </w:r>
      <w:r w:rsidR="003B3C09" w:rsidRPr="00DB3840">
        <w:rPr>
          <w:szCs w:val="28"/>
        </w:rPr>
        <w:t xml:space="preserve"> ER 1.7 prohibits a lawyer from representing a client if there is a significant risk that the representation will be materially limited by the lawyer’s responsibilities to a third person – a nonlawyer investor, for example. And </w:t>
      </w:r>
      <w:r w:rsidR="00AB5159" w:rsidRPr="00DB3840">
        <w:rPr>
          <w:szCs w:val="28"/>
        </w:rPr>
        <w:t>ER 1.8(f) direct</w:t>
      </w:r>
      <w:r w:rsidRPr="00DB3840">
        <w:rPr>
          <w:szCs w:val="28"/>
        </w:rPr>
        <w:t>s</w:t>
      </w:r>
      <w:r w:rsidR="00AB5159" w:rsidRPr="00DB3840">
        <w:rPr>
          <w:szCs w:val="28"/>
        </w:rPr>
        <w:t xml:space="preserve"> that third-party payers </w:t>
      </w:r>
      <w:r w:rsidR="00812393">
        <w:rPr>
          <w:szCs w:val="28"/>
        </w:rPr>
        <w:t>(</w:t>
      </w:r>
      <w:r w:rsidR="00AB5159" w:rsidRPr="00DB3840">
        <w:rPr>
          <w:szCs w:val="28"/>
        </w:rPr>
        <w:t>such as insurance companies</w:t>
      </w:r>
      <w:r w:rsidR="00812393">
        <w:rPr>
          <w:szCs w:val="28"/>
        </w:rPr>
        <w:t>)</w:t>
      </w:r>
      <w:r w:rsidR="00AB5159" w:rsidRPr="00DB3840">
        <w:rPr>
          <w:szCs w:val="28"/>
        </w:rPr>
        <w:t xml:space="preserve"> cannot interfere with a lawyer’s independent professional judgment or the client-lawyer relationship</w:t>
      </w:r>
      <w:r w:rsidR="003B3C09" w:rsidRPr="00DB3840">
        <w:rPr>
          <w:szCs w:val="28"/>
        </w:rPr>
        <w:t>.</w:t>
      </w:r>
    </w:p>
    <w:p w:rsidR="00232265" w:rsidRPr="00DB3840" w:rsidRDefault="00232265" w:rsidP="007F54A2">
      <w:pPr>
        <w:spacing w:line="480" w:lineRule="auto"/>
        <w:jc w:val="both"/>
        <w:rPr>
          <w:sz w:val="28"/>
          <w:szCs w:val="28"/>
        </w:rPr>
      </w:pPr>
      <w:r w:rsidRPr="00DB3840">
        <w:rPr>
          <w:sz w:val="28"/>
          <w:szCs w:val="28"/>
        </w:rPr>
        <w:tab/>
        <w:t xml:space="preserve">The </w:t>
      </w:r>
      <w:r w:rsidR="004C68FF" w:rsidRPr="00DB3840">
        <w:rPr>
          <w:sz w:val="28"/>
          <w:szCs w:val="28"/>
        </w:rPr>
        <w:t xml:space="preserve">general </w:t>
      </w:r>
      <w:r w:rsidRPr="00DB3840">
        <w:rPr>
          <w:sz w:val="28"/>
          <w:szCs w:val="28"/>
        </w:rPr>
        <w:t xml:space="preserve">concept of nonlawyers owning law firms is not new. Insurance companies often employ staff lawyers – sometimes called “captive counsel” – who function as law firms </w:t>
      </w:r>
      <w:r w:rsidR="004C68FF" w:rsidRPr="00DB3840">
        <w:rPr>
          <w:sz w:val="28"/>
          <w:szCs w:val="28"/>
        </w:rPr>
        <w:t>to</w:t>
      </w:r>
      <w:r w:rsidRPr="00DB3840">
        <w:rPr>
          <w:sz w:val="28"/>
          <w:szCs w:val="28"/>
        </w:rPr>
        <w:t xml:space="preserve"> represent insureds, not </w:t>
      </w:r>
      <w:r w:rsidR="004C68FF" w:rsidRPr="00DB3840">
        <w:rPr>
          <w:sz w:val="28"/>
          <w:szCs w:val="28"/>
        </w:rPr>
        <w:t xml:space="preserve">as in-house counsel who </w:t>
      </w:r>
      <w:r w:rsidRPr="00DB3840">
        <w:rPr>
          <w:sz w:val="28"/>
          <w:szCs w:val="28"/>
        </w:rPr>
        <w:t>provide legal services to the insurance company.</w:t>
      </w:r>
      <w:r w:rsidRPr="00DB3840">
        <w:rPr>
          <w:rStyle w:val="FootnoteReference"/>
          <w:sz w:val="28"/>
          <w:szCs w:val="28"/>
        </w:rPr>
        <w:footnoteReference w:id="15"/>
      </w:r>
      <w:r w:rsidR="004C68FF" w:rsidRPr="00DB3840">
        <w:rPr>
          <w:sz w:val="28"/>
          <w:szCs w:val="28"/>
        </w:rPr>
        <w:t xml:space="preserve"> In that situation, a nonlawyer – the insurance company – employs lawyers who provide legal services to third parties (the insureds). </w:t>
      </w:r>
    </w:p>
    <w:p w:rsidR="00B313AE" w:rsidRPr="00DB3840" w:rsidRDefault="00B0189E" w:rsidP="007F54A2">
      <w:pPr>
        <w:pStyle w:val="BodyText"/>
        <w:spacing w:line="480" w:lineRule="auto"/>
        <w:ind w:firstLine="720"/>
        <w:jc w:val="both"/>
        <w:rPr>
          <w:szCs w:val="28"/>
        </w:rPr>
      </w:pPr>
      <w:r w:rsidRPr="00DB3840">
        <w:rPr>
          <w:szCs w:val="28"/>
        </w:rPr>
        <w:t xml:space="preserve">Arizona would not be the first U.S. jurisdiction to </w:t>
      </w:r>
      <w:r w:rsidR="004C68FF" w:rsidRPr="00DB3840">
        <w:rPr>
          <w:szCs w:val="28"/>
        </w:rPr>
        <w:t xml:space="preserve">explicitly </w:t>
      </w:r>
      <w:r w:rsidRPr="00DB3840">
        <w:rPr>
          <w:szCs w:val="28"/>
        </w:rPr>
        <w:t>allow nonlawyer ownership</w:t>
      </w:r>
      <w:r w:rsidR="004C68FF" w:rsidRPr="00DB3840">
        <w:rPr>
          <w:szCs w:val="28"/>
        </w:rPr>
        <w:t xml:space="preserve"> by rule.</w:t>
      </w:r>
      <w:r w:rsidRPr="00DB3840">
        <w:rPr>
          <w:szCs w:val="28"/>
        </w:rPr>
        <w:t xml:space="preserve"> </w:t>
      </w:r>
      <w:r w:rsidR="00983266">
        <w:rPr>
          <w:szCs w:val="28"/>
        </w:rPr>
        <w:t>For three decades</w:t>
      </w:r>
      <w:r w:rsidR="00AD34E3">
        <w:rPr>
          <w:szCs w:val="28"/>
        </w:rPr>
        <w:t xml:space="preserve">, </w:t>
      </w:r>
      <w:r w:rsidRPr="00DB3840">
        <w:rPr>
          <w:szCs w:val="28"/>
        </w:rPr>
        <w:t>Washington D.C.</w:t>
      </w:r>
      <w:r w:rsidR="001974D4" w:rsidRPr="00DB3840">
        <w:rPr>
          <w:szCs w:val="28"/>
        </w:rPr>
        <w:t xml:space="preserve"> </w:t>
      </w:r>
      <w:r w:rsidRPr="00DB3840">
        <w:rPr>
          <w:szCs w:val="28"/>
        </w:rPr>
        <w:t xml:space="preserve">has allowed </w:t>
      </w:r>
      <w:r w:rsidR="001974D4" w:rsidRPr="00DB3840">
        <w:rPr>
          <w:szCs w:val="28"/>
        </w:rPr>
        <w:t>an “i</w:t>
      </w:r>
      <w:r w:rsidR="001974D4" w:rsidRPr="00DB3840">
        <w:rPr>
          <w:rFonts w:eastAsiaTheme="minorHAnsi"/>
          <w:szCs w:val="28"/>
        </w:rPr>
        <w:t xml:space="preserve">ndividual nonlawyer who performs professional services </w:t>
      </w:r>
      <w:r w:rsidR="00AE6AAF">
        <w:rPr>
          <w:rFonts w:eastAsiaTheme="minorHAnsi"/>
          <w:szCs w:val="28"/>
        </w:rPr>
        <w:t>[that]</w:t>
      </w:r>
      <w:r w:rsidR="00AE6AAF" w:rsidRPr="00DB3840">
        <w:rPr>
          <w:rFonts w:eastAsiaTheme="minorHAnsi"/>
          <w:szCs w:val="28"/>
        </w:rPr>
        <w:t xml:space="preserve"> </w:t>
      </w:r>
      <w:r w:rsidR="001974D4" w:rsidRPr="00DB3840">
        <w:rPr>
          <w:rFonts w:eastAsiaTheme="minorHAnsi"/>
          <w:szCs w:val="28"/>
        </w:rPr>
        <w:t>assist the organization in providing legal services to clients”</w:t>
      </w:r>
      <w:r w:rsidRPr="00DB3840">
        <w:rPr>
          <w:szCs w:val="28"/>
        </w:rPr>
        <w:t xml:space="preserve"> </w:t>
      </w:r>
      <w:r w:rsidR="00953EF6" w:rsidRPr="00DB3840">
        <w:rPr>
          <w:szCs w:val="28"/>
        </w:rPr>
        <w:t xml:space="preserve">to have </w:t>
      </w:r>
      <w:r w:rsidR="00A0231C" w:rsidRPr="00DB3840">
        <w:rPr>
          <w:szCs w:val="28"/>
        </w:rPr>
        <w:t xml:space="preserve">a </w:t>
      </w:r>
      <w:r w:rsidR="00953EF6" w:rsidRPr="00DB3840">
        <w:rPr>
          <w:szCs w:val="28"/>
        </w:rPr>
        <w:t xml:space="preserve">financial interest or managerial authority </w:t>
      </w:r>
      <w:r w:rsidR="00A0231C" w:rsidRPr="00DB3840">
        <w:rPr>
          <w:szCs w:val="28"/>
        </w:rPr>
        <w:t xml:space="preserve">in a law firm </w:t>
      </w:r>
      <w:r w:rsidR="00953EF6" w:rsidRPr="00DB3840">
        <w:rPr>
          <w:szCs w:val="28"/>
        </w:rPr>
        <w:t>under limited circumstances.</w:t>
      </w:r>
      <w:r w:rsidR="001974D4" w:rsidRPr="00DB3840">
        <w:rPr>
          <w:szCs w:val="28"/>
        </w:rPr>
        <w:t xml:space="preserve"> That jurisdiction explains that it</w:t>
      </w:r>
      <w:r w:rsidR="004C68FF" w:rsidRPr="00DB3840">
        <w:rPr>
          <w:szCs w:val="28"/>
        </w:rPr>
        <w:t xml:space="preserve"> “liberaliz[ed]” </w:t>
      </w:r>
      <w:r w:rsidR="001974D4" w:rsidRPr="00DB3840">
        <w:rPr>
          <w:szCs w:val="28"/>
        </w:rPr>
        <w:t xml:space="preserve">Rule 5.4 </w:t>
      </w:r>
    </w:p>
    <w:p w:rsidR="00661834" w:rsidRDefault="00661834" w:rsidP="007F54A2">
      <w:pPr>
        <w:autoSpaceDE w:val="0"/>
        <w:autoSpaceDN w:val="0"/>
        <w:adjustRightInd w:val="0"/>
        <w:ind w:left="720" w:right="720"/>
        <w:jc w:val="both"/>
        <w:rPr>
          <w:rFonts w:eastAsiaTheme="minorHAnsi"/>
          <w:sz w:val="28"/>
          <w:szCs w:val="28"/>
        </w:rPr>
      </w:pPr>
      <w:r w:rsidRPr="00DB3840">
        <w:rPr>
          <w:rFonts w:eastAsiaTheme="minorHAnsi"/>
          <w:i/>
          <w:iCs/>
          <w:sz w:val="28"/>
          <w:szCs w:val="28"/>
        </w:rPr>
        <w:t>to permit nonlawyer professionals to work with lawyers in the delivery of legal services without being relegated to the role of an employee</w:t>
      </w:r>
      <w:r w:rsidRPr="00DB3840">
        <w:rPr>
          <w:rFonts w:eastAsiaTheme="minorHAnsi"/>
          <w:sz w:val="28"/>
          <w:szCs w:val="28"/>
        </w:rPr>
        <w:t>. For example, the rule permits economists to work in a firm with antitrust or public utility practitioners, psychologists or psychiatric social workers to work with family law practitioners to assist in counseling clients, nonlawyer lobbyists to work with lawyers who perform legislative services, certified public accountants to work in conjunction with tax lawyers or others who use accountants’ services in performing legal services, and professional managers to serve as office managers, executive directors, or in similar positions. In all of these situations, the professionals may be given financial interests or managerial responsibility…</w:t>
      </w:r>
    </w:p>
    <w:p w:rsidR="007F54A2" w:rsidRPr="00DB3840" w:rsidRDefault="007F54A2" w:rsidP="007F54A2">
      <w:pPr>
        <w:autoSpaceDE w:val="0"/>
        <w:autoSpaceDN w:val="0"/>
        <w:adjustRightInd w:val="0"/>
        <w:ind w:left="720" w:right="720"/>
        <w:jc w:val="both"/>
        <w:rPr>
          <w:rFonts w:eastAsiaTheme="minorHAnsi"/>
          <w:sz w:val="28"/>
          <w:szCs w:val="28"/>
        </w:rPr>
      </w:pPr>
    </w:p>
    <w:p w:rsidR="00A0231C" w:rsidRPr="00DB3840" w:rsidRDefault="001974D4" w:rsidP="00015AD9">
      <w:pPr>
        <w:autoSpaceDE w:val="0"/>
        <w:autoSpaceDN w:val="0"/>
        <w:adjustRightInd w:val="0"/>
        <w:spacing w:line="480" w:lineRule="auto"/>
        <w:jc w:val="both"/>
        <w:rPr>
          <w:rFonts w:eastAsiaTheme="minorHAnsi"/>
          <w:sz w:val="28"/>
          <w:szCs w:val="28"/>
        </w:rPr>
      </w:pPr>
      <w:r w:rsidRPr="00DB3840">
        <w:rPr>
          <w:rFonts w:eastAsiaTheme="minorHAnsi"/>
          <w:sz w:val="28"/>
          <w:szCs w:val="28"/>
        </w:rPr>
        <w:t>D.C. Rule 5.4 comment [7] (emphasis added).</w:t>
      </w:r>
      <w:r w:rsidR="004017D1">
        <w:rPr>
          <w:rFonts w:eastAsiaTheme="minorHAnsi"/>
          <w:sz w:val="28"/>
          <w:szCs w:val="28"/>
        </w:rPr>
        <w:t xml:space="preserve"> Further, </w:t>
      </w:r>
      <w:r w:rsidR="004017D1" w:rsidRPr="004017D1">
        <w:rPr>
          <w:rFonts w:eastAsiaTheme="minorHAnsi"/>
          <w:sz w:val="28"/>
          <w:szCs w:val="28"/>
        </w:rPr>
        <w:t>Utah recently adopted a two-year pilot “sandbox” program that would allow the formation of alternative business structures and regulate those businesses through an independent regulatory body overseen by the Utah Supreme Court.</w:t>
      </w:r>
      <w:r w:rsidR="004017D1">
        <w:rPr>
          <w:rStyle w:val="FootnoteReference"/>
          <w:rFonts w:eastAsiaTheme="minorHAnsi"/>
          <w:sz w:val="28"/>
          <w:szCs w:val="28"/>
        </w:rPr>
        <w:footnoteReference w:id="16"/>
      </w:r>
    </w:p>
    <w:p w:rsidR="00515816" w:rsidRPr="00DB3840" w:rsidRDefault="003000F0" w:rsidP="007F54A2">
      <w:pPr>
        <w:pStyle w:val="BodyText"/>
        <w:spacing w:line="480" w:lineRule="auto"/>
        <w:ind w:firstLine="720"/>
        <w:jc w:val="both"/>
        <w:rPr>
          <w:szCs w:val="28"/>
        </w:rPr>
      </w:pPr>
      <w:r w:rsidRPr="00DB3840">
        <w:rPr>
          <w:rFonts w:eastAsiaTheme="minorHAnsi"/>
          <w:szCs w:val="28"/>
        </w:rPr>
        <w:t>Eliminating – not just liber</w:t>
      </w:r>
      <w:r w:rsidR="00A0231C" w:rsidRPr="00DB3840">
        <w:rPr>
          <w:rFonts w:eastAsiaTheme="minorHAnsi"/>
          <w:szCs w:val="28"/>
        </w:rPr>
        <w:t>a</w:t>
      </w:r>
      <w:r w:rsidRPr="00DB3840">
        <w:rPr>
          <w:rFonts w:eastAsiaTheme="minorHAnsi"/>
          <w:szCs w:val="28"/>
        </w:rPr>
        <w:t>lizing</w:t>
      </w:r>
      <w:r w:rsidR="00F72FB4">
        <w:rPr>
          <w:rFonts w:eastAsiaTheme="minorHAnsi"/>
          <w:szCs w:val="28"/>
        </w:rPr>
        <w:t xml:space="preserve"> </w:t>
      </w:r>
      <w:r w:rsidR="00F72FB4" w:rsidRPr="00DB3840">
        <w:rPr>
          <w:rFonts w:eastAsiaTheme="minorHAnsi"/>
          <w:szCs w:val="28"/>
        </w:rPr>
        <w:t>–</w:t>
      </w:r>
      <w:r w:rsidR="00F72FB4">
        <w:rPr>
          <w:rFonts w:eastAsiaTheme="minorHAnsi"/>
          <w:szCs w:val="28"/>
        </w:rPr>
        <w:t xml:space="preserve"> </w:t>
      </w:r>
      <w:r w:rsidRPr="00DB3840">
        <w:rPr>
          <w:rFonts w:eastAsiaTheme="minorHAnsi"/>
          <w:szCs w:val="28"/>
        </w:rPr>
        <w:t xml:space="preserve">ER 5.4 </w:t>
      </w:r>
      <w:r w:rsidR="00387EB8">
        <w:rPr>
          <w:rFonts w:eastAsiaTheme="minorHAnsi"/>
          <w:szCs w:val="28"/>
        </w:rPr>
        <w:t xml:space="preserve">means </w:t>
      </w:r>
      <w:r w:rsidRPr="00DB3840">
        <w:rPr>
          <w:szCs w:val="28"/>
        </w:rPr>
        <w:t xml:space="preserve">nonlawyers could partner with lawyers in an entity that </w:t>
      </w:r>
      <w:r w:rsidR="00A0231C" w:rsidRPr="00DB3840">
        <w:rPr>
          <w:szCs w:val="28"/>
        </w:rPr>
        <w:t xml:space="preserve">solely </w:t>
      </w:r>
      <w:r w:rsidRPr="00DB3840">
        <w:rPr>
          <w:szCs w:val="28"/>
        </w:rPr>
        <w:t>provides legal services</w:t>
      </w:r>
      <w:r w:rsidR="00A0231C" w:rsidRPr="00DB3840">
        <w:rPr>
          <w:szCs w:val="28"/>
        </w:rPr>
        <w:t xml:space="preserve"> or </w:t>
      </w:r>
      <w:r w:rsidR="0063353B" w:rsidRPr="00DB3840">
        <w:rPr>
          <w:szCs w:val="28"/>
        </w:rPr>
        <w:t xml:space="preserve">in </w:t>
      </w:r>
      <w:r w:rsidR="00A0231C" w:rsidRPr="00DB3840">
        <w:rPr>
          <w:szCs w:val="28"/>
        </w:rPr>
        <w:t xml:space="preserve">an entity that provides legal services among </w:t>
      </w:r>
      <w:r w:rsidR="004C68FF" w:rsidRPr="00DB3840">
        <w:rPr>
          <w:szCs w:val="28"/>
        </w:rPr>
        <w:t>non-legal</w:t>
      </w:r>
      <w:r w:rsidR="00A0231C" w:rsidRPr="00DB3840">
        <w:rPr>
          <w:szCs w:val="28"/>
        </w:rPr>
        <w:t xml:space="preserve"> services. </w:t>
      </w:r>
      <w:r w:rsidR="00F446A1" w:rsidRPr="00DB3840">
        <w:rPr>
          <w:szCs w:val="28"/>
        </w:rPr>
        <w:t>A</w:t>
      </w:r>
      <w:r w:rsidRPr="00DB3840">
        <w:rPr>
          <w:szCs w:val="28"/>
        </w:rPr>
        <w:t xml:space="preserve"> nonlawyer could make a passive investment in </w:t>
      </w:r>
      <w:r w:rsidR="00F446A1" w:rsidRPr="00DB3840">
        <w:rPr>
          <w:szCs w:val="28"/>
        </w:rPr>
        <w:t>a legal-services</w:t>
      </w:r>
      <w:r w:rsidRPr="00DB3840">
        <w:rPr>
          <w:szCs w:val="28"/>
        </w:rPr>
        <w:t xml:space="preserve"> entity</w:t>
      </w:r>
      <w:r w:rsidR="0063353B" w:rsidRPr="00DB3840">
        <w:rPr>
          <w:szCs w:val="28"/>
        </w:rPr>
        <w:t>.</w:t>
      </w:r>
      <w:r w:rsidRPr="00DB3840">
        <w:rPr>
          <w:szCs w:val="28"/>
        </w:rPr>
        <w:t xml:space="preserve"> </w:t>
      </w:r>
      <w:r w:rsidR="00C11152" w:rsidRPr="00DB3840">
        <w:rPr>
          <w:szCs w:val="28"/>
        </w:rPr>
        <w:t xml:space="preserve">A lawyer </w:t>
      </w:r>
      <w:r w:rsidR="0063353B" w:rsidRPr="00DB3840">
        <w:rPr>
          <w:szCs w:val="28"/>
        </w:rPr>
        <w:t xml:space="preserve">even </w:t>
      </w:r>
      <w:r w:rsidR="00A0231C" w:rsidRPr="00DB3840">
        <w:rPr>
          <w:szCs w:val="28"/>
        </w:rPr>
        <w:t xml:space="preserve">could </w:t>
      </w:r>
      <w:r w:rsidR="00C11152" w:rsidRPr="00DB3840">
        <w:rPr>
          <w:szCs w:val="28"/>
        </w:rPr>
        <w:t>pay nonlawyer personnel a percentage of fees earned by the law firm on a particular case.</w:t>
      </w:r>
    </w:p>
    <w:p w:rsidR="00B313AE" w:rsidRPr="00B71ADB" w:rsidRDefault="00DD4D89" w:rsidP="00CB2694">
      <w:pPr>
        <w:pStyle w:val="BodyText"/>
        <w:numPr>
          <w:ilvl w:val="0"/>
          <w:numId w:val="2"/>
        </w:numPr>
        <w:spacing w:line="480" w:lineRule="auto"/>
        <w:ind w:left="720"/>
        <w:jc w:val="both"/>
        <w:rPr>
          <w:b/>
          <w:bCs/>
          <w:szCs w:val="28"/>
        </w:rPr>
      </w:pPr>
      <w:r w:rsidRPr="00B71ADB">
        <w:rPr>
          <w:b/>
          <w:bCs/>
          <w:szCs w:val="28"/>
        </w:rPr>
        <w:t xml:space="preserve">Other Ethical Rule </w:t>
      </w:r>
      <w:r w:rsidR="0096303E" w:rsidRPr="00B71ADB">
        <w:rPr>
          <w:b/>
          <w:bCs/>
          <w:szCs w:val="28"/>
        </w:rPr>
        <w:t xml:space="preserve">changes </w:t>
      </w:r>
      <w:r w:rsidR="00F446A1" w:rsidRPr="00B71ADB">
        <w:rPr>
          <w:b/>
          <w:bCs/>
          <w:szCs w:val="28"/>
        </w:rPr>
        <w:t xml:space="preserve">necessitated by </w:t>
      </w:r>
      <w:r w:rsidR="0096303E" w:rsidRPr="00B71ADB">
        <w:rPr>
          <w:b/>
          <w:bCs/>
          <w:szCs w:val="28"/>
        </w:rPr>
        <w:t>eliminating ER 5.4</w:t>
      </w:r>
    </w:p>
    <w:p w:rsidR="00B313AE" w:rsidRPr="00DB3840" w:rsidRDefault="00E179A2" w:rsidP="007F54A2">
      <w:pPr>
        <w:spacing w:line="480" w:lineRule="auto"/>
        <w:ind w:firstLine="720"/>
        <w:jc w:val="both"/>
        <w:rPr>
          <w:sz w:val="28"/>
          <w:szCs w:val="28"/>
        </w:rPr>
      </w:pPr>
      <w:r w:rsidRPr="00DB3840">
        <w:rPr>
          <w:sz w:val="28"/>
          <w:szCs w:val="28"/>
        </w:rPr>
        <w:t xml:space="preserve">After deciding to recommend eliminating ER 5.4, the Task Force </w:t>
      </w:r>
      <w:r w:rsidR="00AC5E3C" w:rsidRPr="00DB3840">
        <w:rPr>
          <w:sz w:val="28"/>
          <w:szCs w:val="28"/>
        </w:rPr>
        <w:t xml:space="preserve">determined that other ERs needed amendments, with the goal of protecting core values of </w:t>
      </w:r>
      <w:r w:rsidR="004C68FF" w:rsidRPr="00DB3840">
        <w:rPr>
          <w:sz w:val="28"/>
          <w:szCs w:val="28"/>
        </w:rPr>
        <w:t>professional independence, confidentiality of client information, and conflict-free representation</w:t>
      </w:r>
      <w:r w:rsidR="00AC5E3C" w:rsidRPr="00DB3840">
        <w:rPr>
          <w:sz w:val="28"/>
          <w:szCs w:val="28"/>
        </w:rPr>
        <w:t>.</w:t>
      </w:r>
      <w:r w:rsidR="000372D2">
        <w:rPr>
          <w:sz w:val="28"/>
          <w:szCs w:val="28"/>
        </w:rPr>
        <w:t xml:space="preserve"> The following is a summary of the proposed amendments to other ERs contained in this petition.</w:t>
      </w:r>
    </w:p>
    <w:p w:rsidR="009D1C29" w:rsidRPr="00B71ADB" w:rsidRDefault="007C11F1" w:rsidP="00CB2694">
      <w:pPr>
        <w:pStyle w:val="ListParagraph"/>
        <w:numPr>
          <w:ilvl w:val="0"/>
          <w:numId w:val="3"/>
        </w:numPr>
        <w:spacing w:line="480" w:lineRule="auto"/>
        <w:ind w:left="1440"/>
        <w:jc w:val="both"/>
        <w:rPr>
          <w:b/>
          <w:iCs/>
          <w:sz w:val="28"/>
          <w:szCs w:val="28"/>
        </w:rPr>
      </w:pPr>
      <w:r w:rsidRPr="00B71ADB">
        <w:rPr>
          <w:b/>
          <w:iCs/>
          <w:sz w:val="28"/>
          <w:szCs w:val="28"/>
        </w:rPr>
        <w:t>Terminology</w:t>
      </w:r>
    </w:p>
    <w:p w:rsidR="00C13F35" w:rsidRPr="00DB3840" w:rsidRDefault="007C11F1" w:rsidP="007F54A2">
      <w:pPr>
        <w:spacing w:line="480" w:lineRule="auto"/>
        <w:jc w:val="both"/>
        <w:rPr>
          <w:sz w:val="28"/>
          <w:szCs w:val="28"/>
        </w:rPr>
      </w:pPr>
      <w:r w:rsidRPr="00DB3840">
        <w:rPr>
          <w:sz w:val="28"/>
          <w:szCs w:val="28"/>
        </w:rPr>
        <w:tab/>
      </w:r>
      <w:r w:rsidR="00C13F35" w:rsidRPr="00DB3840">
        <w:rPr>
          <w:sz w:val="28"/>
          <w:szCs w:val="28"/>
        </w:rPr>
        <w:t>Proposed amendments to ER 1.0</w:t>
      </w:r>
      <w:r w:rsidR="00660DBB" w:rsidRPr="00DB3840">
        <w:rPr>
          <w:sz w:val="28"/>
          <w:szCs w:val="28"/>
        </w:rPr>
        <w:t xml:space="preserve"> (terminology)</w:t>
      </w:r>
      <w:r w:rsidR="00C13F35" w:rsidRPr="00DB3840">
        <w:rPr>
          <w:sz w:val="28"/>
          <w:szCs w:val="28"/>
        </w:rPr>
        <w:t xml:space="preserve"> incorporate concepts from existing comments to the rule that the </w:t>
      </w:r>
      <w:r w:rsidR="00812393">
        <w:rPr>
          <w:sz w:val="28"/>
          <w:szCs w:val="28"/>
        </w:rPr>
        <w:t>T</w:t>
      </w:r>
      <w:r w:rsidR="00C13F35" w:rsidRPr="00DB3840">
        <w:rPr>
          <w:sz w:val="28"/>
          <w:szCs w:val="28"/>
        </w:rPr>
        <w:t xml:space="preserve">ask </w:t>
      </w:r>
      <w:r w:rsidR="00812393">
        <w:rPr>
          <w:sz w:val="28"/>
          <w:szCs w:val="28"/>
        </w:rPr>
        <w:t>F</w:t>
      </w:r>
      <w:r w:rsidR="00C13F35" w:rsidRPr="00DB3840">
        <w:rPr>
          <w:sz w:val="28"/>
          <w:szCs w:val="28"/>
        </w:rPr>
        <w:t>orce determined were important enough to be part of the rule’s text.  Amendments also define previously undefined phrases in rules that are necessary to address the new concept of nonlawyers having ownership interest</w:t>
      </w:r>
      <w:r w:rsidR="00660DBB" w:rsidRPr="00DB3840">
        <w:rPr>
          <w:sz w:val="28"/>
          <w:szCs w:val="28"/>
        </w:rPr>
        <w:t>s</w:t>
      </w:r>
      <w:r w:rsidR="00C13F35" w:rsidRPr="00DB3840">
        <w:rPr>
          <w:sz w:val="28"/>
          <w:szCs w:val="28"/>
        </w:rPr>
        <w:t xml:space="preserve"> in firms </w:t>
      </w:r>
      <w:r w:rsidR="00660DBB" w:rsidRPr="00DB3840">
        <w:rPr>
          <w:sz w:val="28"/>
          <w:szCs w:val="28"/>
        </w:rPr>
        <w:t xml:space="preserve">and </w:t>
      </w:r>
      <w:r w:rsidR="00AE6C5D">
        <w:rPr>
          <w:sz w:val="28"/>
          <w:szCs w:val="28"/>
        </w:rPr>
        <w:t xml:space="preserve">the potential that </w:t>
      </w:r>
      <w:r w:rsidR="00C13F35" w:rsidRPr="00DB3840">
        <w:rPr>
          <w:sz w:val="28"/>
          <w:szCs w:val="28"/>
        </w:rPr>
        <w:t xml:space="preserve">nonlawyers </w:t>
      </w:r>
      <w:r w:rsidR="00AE6C5D">
        <w:rPr>
          <w:sz w:val="28"/>
          <w:szCs w:val="28"/>
        </w:rPr>
        <w:t xml:space="preserve">in those firms may </w:t>
      </w:r>
      <w:r w:rsidR="00C13F35" w:rsidRPr="00DB3840">
        <w:rPr>
          <w:sz w:val="28"/>
          <w:szCs w:val="28"/>
        </w:rPr>
        <w:t>provid</w:t>
      </w:r>
      <w:r w:rsidR="00AE6C5D">
        <w:rPr>
          <w:sz w:val="28"/>
          <w:szCs w:val="28"/>
        </w:rPr>
        <w:t xml:space="preserve">e </w:t>
      </w:r>
      <w:r w:rsidR="00C13F35" w:rsidRPr="00DB3840">
        <w:rPr>
          <w:sz w:val="28"/>
          <w:szCs w:val="28"/>
        </w:rPr>
        <w:t xml:space="preserve"> nonlegal services to firm clients.</w:t>
      </w:r>
    </w:p>
    <w:p w:rsidR="008173F4" w:rsidRPr="00DB3840" w:rsidRDefault="008173F4" w:rsidP="007F54A2">
      <w:pPr>
        <w:spacing w:line="480" w:lineRule="auto"/>
        <w:ind w:firstLine="720"/>
        <w:jc w:val="both"/>
        <w:rPr>
          <w:sz w:val="28"/>
          <w:szCs w:val="28"/>
        </w:rPr>
      </w:pPr>
      <w:r w:rsidRPr="00DB3840">
        <w:rPr>
          <w:sz w:val="28"/>
          <w:szCs w:val="28"/>
        </w:rPr>
        <w:t xml:space="preserve">“Firm” or “law firm”: </w:t>
      </w:r>
      <w:r w:rsidR="00AC5E3C" w:rsidRPr="00DB3840">
        <w:rPr>
          <w:sz w:val="28"/>
          <w:szCs w:val="28"/>
        </w:rPr>
        <w:t>A streamlined definition encompasses “any affiliation</w:t>
      </w:r>
      <w:r w:rsidRPr="00DB3840">
        <w:rPr>
          <w:sz w:val="28"/>
          <w:szCs w:val="28"/>
        </w:rPr>
        <w:t>,” rather than listing types of entities, and is expanded to include “any entity that provides legal services for which it employs lawyers.”</w:t>
      </w:r>
    </w:p>
    <w:p w:rsidR="008173F4" w:rsidRPr="00DB3840" w:rsidRDefault="008173F4" w:rsidP="007F54A2">
      <w:pPr>
        <w:spacing w:line="480" w:lineRule="auto"/>
        <w:jc w:val="both"/>
        <w:rPr>
          <w:sz w:val="28"/>
          <w:szCs w:val="28"/>
        </w:rPr>
      </w:pPr>
      <w:r w:rsidRPr="00DB3840">
        <w:rPr>
          <w:sz w:val="28"/>
          <w:szCs w:val="28"/>
        </w:rPr>
        <w:tab/>
        <w:t xml:space="preserve">“Screened”: The definition has been expanded to apply to a nonlawyer with the firm as well as lawyers within the firm. Because the existing definition refers to “reasonably adequate” </w:t>
      </w:r>
      <w:r w:rsidR="00C13F35" w:rsidRPr="00DB3840">
        <w:rPr>
          <w:sz w:val="28"/>
          <w:szCs w:val="28"/>
        </w:rPr>
        <w:t>scree</w:t>
      </w:r>
      <w:r w:rsidR="004C68FF" w:rsidRPr="00DB3840">
        <w:rPr>
          <w:sz w:val="28"/>
          <w:szCs w:val="28"/>
        </w:rPr>
        <w:t>n</w:t>
      </w:r>
      <w:r w:rsidR="00C13F35" w:rsidRPr="00DB3840">
        <w:rPr>
          <w:sz w:val="28"/>
          <w:szCs w:val="28"/>
        </w:rPr>
        <w:t xml:space="preserve">ing </w:t>
      </w:r>
      <w:r w:rsidRPr="00DB3840">
        <w:rPr>
          <w:sz w:val="28"/>
          <w:szCs w:val="28"/>
        </w:rPr>
        <w:t xml:space="preserve">procedures, </w:t>
      </w:r>
      <w:r w:rsidR="007D6710" w:rsidRPr="00DB3840">
        <w:rPr>
          <w:sz w:val="28"/>
          <w:szCs w:val="28"/>
        </w:rPr>
        <w:t xml:space="preserve">what constitutes those procedures has been imported from ER 1.0 comments </w:t>
      </w:r>
      <w:r w:rsidR="00C13F35" w:rsidRPr="00DB3840">
        <w:rPr>
          <w:sz w:val="28"/>
          <w:szCs w:val="28"/>
        </w:rPr>
        <w:t>[</w:t>
      </w:r>
      <w:r w:rsidR="007D6710" w:rsidRPr="00DB3840">
        <w:rPr>
          <w:sz w:val="28"/>
          <w:szCs w:val="28"/>
        </w:rPr>
        <w:t>8</w:t>
      </w:r>
      <w:r w:rsidR="00C13F35" w:rsidRPr="00DB3840">
        <w:rPr>
          <w:sz w:val="28"/>
          <w:szCs w:val="28"/>
        </w:rPr>
        <w:t>]</w:t>
      </w:r>
      <w:r w:rsidR="007D6710" w:rsidRPr="00DB3840">
        <w:rPr>
          <w:sz w:val="28"/>
          <w:szCs w:val="28"/>
        </w:rPr>
        <w:t xml:space="preserve">, </w:t>
      </w:r>
      <w:r w:rsidR="00C13F35" w:rsidRPr="00DB3840">
        <w:rPr>
          <w:sz w:val="28"/>
          <w:szCs w:val="28"/>
        </w:rPr>
        <w:t>[</w:t>
      </w:r>
      <w:r w:rsidR="007D6710" w:rsidRPr="00DB3840">
        <w:rPr>
          <w:sz w:val="28"/>
          <w:szCs w:val="28"/>
        </w:rPr>
        <w:t>9</w:t>
      </w:r>
      <w:r w:rsidR="00C13F35" w:rsidRPr="00DB3840">
        <w:rPr>
          <w:sz w:val="28"/>
          <w:szCs w:val="28"/>
        </w:rPr>
        <w:t>]</w:t>
      </w:r>
      <w:r w:rsidR="007D6710" w:rsidRPr="00DB3840">
        <w:rPr>
          <w:sz w:val="28"/>
          <w:szCs w:val="28"/>
        </w:rPr>
        <w:t xml:space="preserve"> and </w:t>
      </w:r>
      <w:r w:rsidR="00C13F35" w:rsidRPr="00DB3840">
        <w:rPr>
          <w:sz w:val="28"/>
          <w:szCs w:val="28"/>
        </w:rPr>
        <w:t>[</w:t>
      </w:r>
      <w:r w:rsidR="007D6710" w:rsidRPr="00DB3840">
        <w:rPr>
          <w:sz w:val="28"/>
          <w:szCs w:val="28"/>
        </w:rPr>
        <w:t>10</w:t>
      </w:r>
      <w:r w:rsidR="00C13F35" w:rsidRPr="00DB3840">
        <w:rPr>
          <w:sz w:val="28"/>
          <w:szCs w:val="28"/>
        </w:rPr>
        <w:t>]</w:t>
      </w:r>
      <w:r w:rsidR="007D6710" w:rsidRPr="00DB3840">
        <w:rPr>
          <w:sz w:val="28"/>
          <w:szCs w:val="28"/>
        </w:rPr>
        <w:t>.</w:t>
      </w:r>
    </w:p>
    <w:p w:rsidR="007D6710" w:rsidRPr="00DB3840" w:rsidRDefault="007D6710" w:rsidP="007F54A2">
      <w:pPr>
        <w:spacing w:line="480" w:lineRule="auto"/>
        <w:ind w:firstLine="720"/>
        <w:jc w:val="both"/>
        <w:rPr>
          <w:sz w:val="28"/>
          <w:szCs w:val="28"/>
        </w:rPr>
      </w:pPr>
      <w:r w:rsidRPr="00DB3840">
        <w:rPr>
          <w:sz w:val="28"/>
          <w:szCs w:val="28"/>
        </w:rPr>
        <w:t xml:space="preserve">“Business transaction”: A definition has been created from ER 1.8 comments </w:t>
      </w:r>
      <w:r w:rsidR="00C13F35" w:rsidRPr="00DB3840">
        <w:rPr>
          <w:sz w:val="28"/>
          <w:szCs w:val="28"/>
        </w:rPr>
        <w:t>[</w:t>
      </w:r>
      <w:r w:rsidRPr="00DB3840">
        <w:rPr>
          <w:sz w:val="28"/>
          <w:szCs w:val="28"/>
        </w:rPr>
        <w:t>1</w:t>
      </w:r>
      <w:r w:rsidR="00C13F35" w:rsidRPr="00DB3840">
        <w:rPr>
          <w:sz w:val="28"/>
          <w:szCs w:val="28"/>
        </w:rPr>
        <w:t>]</w:t>
      </w:r>
      <w:r w:rsidRPr="00DB3840">
        <w:rPr>
          <w:sz w:val="28"/>
          <w:szCs w:val="28"/>
        </w:rPr>
        <w:t xml:space="preserve"> and </w:t>
      </w:r>
      <w:r w:rsidR="00C13F35" w:rsidRPr="00DB3840">
        <w:rPr>
          <w:sz w:val="28"/>
          <w:szCs w:val="28"/>
        </w:rPr>
        <w:t>[</w:t>
      </w:r>
      <w:r w:rsidRPr="00DB3840">
        <w:rPr>
          <w:sz w:val="28"/>
          <w:szCs w:val="28"/>
        </w:rPr>
        <w:t>3</w:t>
      </w:r>
      <w:r w:rsidR="00C13F35" w:rsidRPr="00DB3840">
        <w:rPr>
          <w:sz w:val="28"/>
          <w:szCs w:val="28"/>
        </w:rPr>
        <w:t>]</w:t>
      </w:r>
      <w:r w:rsidRPr="00DB3840">
        <w:rPr>
          <w:sz w:val="28"/>
          <w:szCs w:val="28"/>
        </w:rPr>
        <w:t>.</w:t>
      </w:r>
    </w:p>
    <w:p w:rsidR="007D6710" w:rsidRPr="00DB3840" w:rsidRDefault="007D6710" w:rsidP="007F54A2">
      <w:pPr>
        <w:spacing w:line="480" w:lineRule="auto"/>
        <w:ind w:firstLine="720"/>
        <w:jc w:val="both"/>
        <w:rPr>
          <w:sz w:val="28"/>
          <w:szCs w:val="28"/>
        </w:rPr>
      </w:pPr>
      <w:r w:rsidRPr="00DB3840">
        <w:rPr>
          <w:sz w:val="28"/>
          <w:szCs w:val="28"/>
        </w:rPr>
        <w:t>“Personal interests”: A definition was created from comments to ER 1.7 and ER 1.8.</w:t>
      </w:r>
    </w:p>
    <w:p w:rsidR="007D6710" w:rsidRPr="00DB3840" w:rsidRDefault="007D6710" w:rsidP="007F54A2">
      <w:pPr>
        <w:spacing w:line="480" w:lineRule="auto"/>
        <w:ind w:firstLine="720"/>
        <w:jc w:val="both"/>
        <w:rPr>
          <w:sz w:val="28"/>
          <w:szCs w:val="28"/>
        </w:rPr>
      </w:pPr>
      <w:r w:rsidRPr="00DB3840">
        <w:rPr>
          <w:sz w:val="28"/>
          <w:szCs w:val="28"/>
        </w:rPr>
        <w:t xml:space="preserve">“Authorized to practice law in this jurisdiction”: </w:t>
      </w:r>
      <w:r w:rsidR="00812393">
        <w:rPr>
          <w:sz w:val="28"/>
          <w:szCs w:val="28"/>
        </w:rPr>
        <w:t>This n</w:t>
      </w:r>
      <w:r w:rsidRPr="00DB3840">
        <w:rPr>
          <w:sz w:val="28"/>
          <w:szCs w:val="28"/>
        </w:rPr>
        <w:t>ew definition peg</w:t>
      </w:r>
      <w:r w:rsidR="00812393">
        <w:rPr>
          <w:sz w:val="28"/>
          <w:szCs w:val="28"/>
        </w:rPr>
        <w:t>s</w:t>
      </w:r>
      <w:r w:rsidRPr="00DB3840">
        <w:rPr>
          <w:sz w:val="28"/>
          <w:szCs w:val="28"/>
        </w:rPr>
        <w:t xml:space="preserve"> </w:t>
      </w:r>
      <w:r w:rsidR="00812393">
        <w:rPr>
          <w:sz w:val="28"/>
          <w:szCs w:val="28"/>
        </w:rPr>
        <w:t xml:space="preserve">a firm’s </w:t>
      </w:r>
      <w:r w:rsidRPr="00DB3840">
        <w:rPr>
          <w:sz w:val="28"/>
          <w:szCs w:val="28"/>
        </w:rPr>
        <w:t>conduct to Rule 31.</w:t>
      </w:r>
    </w:p>
    <w:p w:rsidR="00C13F35" w:rsidRPr="00DB3840" w:rsidRDefault="007D6710" w:rsidP="007F54A2">
      <w:pPr>
        <w:spacing w:line="480" w:lineRule="auto"/>
        <w:ind w:firstLine="720"/>
        <w:jc w:val="both"/>
        <w:rPr>
          <w:sz w:val="28"/>
          <w:szCs w:val="28"/>
        </w:rPr>
      </w:pPr>
      <w:r w:rsidRPr="00DB3840">
        <w:rPr>
          <w:sz w:val="28"/>
          <w:szCs w:val="28"/>
        </w:rPr>
        <w:t xml:space="preserve">“Nonlawyer”: New definition to clarify that </w:t>
      </w:r>
      <w:r w:rsidR="00C13F35" w:rsidRPr="00DB3840">
        <w:rPr>
          <w:sz w:val="28"/>
          <w:szCs w:val="28"/>
        </w:rPr>
        <w:t xml:space="preserve">a “nonlawyer” could either be a person not licensed as a lawyer in </w:t>
      </w:r>
      <w:r w:rsidR="00466CFB">
        <w:rPr>
          <w:sz w:val="28"/>
          <w:szCs w:val="28"/>
        </w:rPr>
        <w:t>any</w:t>
      </w:r>
      <w:r w:rsidR="00466CFB" w:rsidRPr="00DB3840">
        <w:rPr>
          <w:sz w:val="28"/>
          <w:szCs w:val="28"/>
        </w:rPr>
        <w:t xml:space="preserve"> </w:t>
      </w:r>
      <w:r w:rsidR="00C13F35" w:rsidRPr="00DB3840">
        <w:rPr>
          <w:sz w:val="28"/>
          <w:szCs w:val="28"/>
        </w:rPr>
        <w:t>jurisdiction or a lawyer licensed in another jurisdiction who is not authorized to practice in this jurisdiction.</w:t>
      </w:r>
    </w:p>
    <w:p w:rsidR="007D6710" w:rsidRPr="00DB3840" w:rsidRDefault="007D6710" w:rsidP="007F54A2">
      <w:pPr>
        <w:spacing w:line="480" w:lineRule="auto"/>
        <w:ind w:firstLine="720"/>
        <w:jc w:val="both"/>
        <w:rPr>
          <w:sz w:val="28"/>
          <w:szCs w:val="28"/>
        </w:rPr>
      </w:pPr>
      <w:r w:rsidRPr="00DB3840">
        <w:rPr>
          <w:sz w:val="28"/>
          <w:szCs w:val="28"/>
        </w:rPr>
        <w:t xml:space="preserve">“Nonlawyer assistant”: New definition </w:t>
      </w:r>
      <w:r w:rsidR="00C13F35" w:rsidRPr="00DB3840">
        <w:rPr>
          <w:sz w:val="28"/>
          <w:szCs w:val="28"/>
        </w:rPr>
        <w:t>created from ER 5.3 comment [3].</w:t>
      </w:r>
    </w:p>
    <w:p w:rsidR="00B313AE" w:rsidRPr="00DB3840" w:rsidRDefault="00C13F35" w:rsidP="007F54A2">
      <w:pPr>
        <w:spacing w:line="480" w:lineRule="auto"/>
        <w:jc w:val="both"/>
        <w:rPr>
          <w:sz w:val="28"/>
          <w:szCs w:val="28"/>
        </w:rPr>
      </w:pPr>
      <w:r w:rsidRPr="00DB3840">
        <w:rPr>
          <w:sz w:val="28"/>
          <w:szCs w:val="28"/>
        </w:rPr>
        <w:tab/>
        <w:t>One definition is proposed to be eliminated: “Partner.” The specific term “partner” is no longer relevant if ER 5.4, which contains the prohibition on being partners with a nonlawyer, is eliminated and proposed changes to ERs 5.1 and 5.3 are adopted.</w:t>
      </w:r>
    </w:p>
    <w:p w:rsidR="00B313AE" w:rsidRPr="00B71ADB" w:rsidRDefault="00C13F35" w:rsidP="00CB2694">
      <w:pPr>
        <w:pStyle w:val="ListParagraph"/>
        <w:numPr>
          <w:ilvl w:val="0"/>
          <w:numId w:val="3"/>
        </w:numPr>
        <w:spacing w:line="480" w:lineRule="auto"/>
        <w:ind w:left="1440"/>
        <w:jc w:val="both"/>
        <w:rPr>
          <w:b/>
          <w:bCs/>
          <w:sz w:val="28"/>
          <w:szCs w:val="28"/>
        </w:rPr>
      </w:pPr>
      <w:r w:rsidRPr="00B71ADB">
        <w:rPr>
          <w:b/>
          <w:bCs/>
          <w:sz w:val="28"/>
          <w:szCs w:val="28"/>
        </w:rPr>
        <w:t xml:space="preserve">Professional </w:t>
      </w:r>
      <w:r w:rsidR="004C68FF" w:rsidRPr="00B71ADB">
        <w:rPr>
          <w:b/>
          <w:bCs/>
          <w:sz w:val="28"/>
          <w:szCs w:val="28"/>
        </w:rPr>
        <w:t>independence</w:t>
      </w:r>
    </w:p>
    <w:p w:rsidR="00B313AE" w:rsidRPr="00DB3840" w:rsidRDefault="005D1B60" w:rsidP="007F54A2">
      <w:pPr>
        <w:spacing w:line="480" w:lineRule="auto"/>
        <w:ind w:firstLine="720"/>
        <w:jc w:val="both"/>
        <w:rPr>
          <w:sz w:val="28"/>
          <w:szCs w:val="28"/>
        </w:rPr>
      </w:pPr>
      <w:r w:rsidRPr="00DB3840">
        <w:rPr>
          <w:sz w:val="28"/>
          <w:szCs w:val="28"/>
        </w:rPr>
        <w:t>ER</w:t>
      </w:r>
      <w:r w:rsidR="00DD2C6C">
        <w:rPr>
          <w:sz w:val="28"/>
          <w:szCs w:val="28"/>
        </w:rPr>
        <w:t>s</w:t>
      </w:r>
      <w:r w:rsidRPr="00DB3840">
        <w:rPr>
          <w:sz w:val="28"/>
          <w:szCs w:val="28"/>
        </w:rPr>
        <w:t xml:space="preserve"> 5.1 and ER 5.3</w:t>
      </w:r>
      <w:r w:rsidR="0019088D" w:rsidRPr="00DB3840">
        <w:rPr>
          <w:sz w:val="28"/>
          <w:szCs w:val="28"/>
        </w:rPr>
        <w:t xml:space="preserve"> detail the obligations of lawyer owners and managers</w:t>
      </w:r>
      <w:r w:rsidR="00934A69" w:rsidRPr="00DB3840">
        <w:rPr>
          <w:sz w:val="28"/>
          <w:szCs w:val="28"/>
        </w:rPr>
        <w:t xml:space="preserve"> in a firm</w:t>
      </w:r>
      <w:r w:rsidR="0019088D" w:rsidRPr="00DB3840">
        <w:rPr>
          <w:sz w:val="28"/>
          <w:szCs w:val="28"/>
        </w:rPr>
        <w:t>.</w:t>
      </w:r>
    </w:p>
    <w:p w:rsidR="00B313AE" w:rsidRPr="00B71ADB" w:rsidRDefault="007C11F1" w:rsidP="00CB2694">
      <w:pPr>
        <w:pStyle w:val="ListParagraph"/>
        <w:numPr>
          <w:ilvl w:val="0"/>
          <w:numId w:val="5"/>
        </w:numPr>
        <w:spacing w:after="120"/>
        <w:ind w:left="2160"/>
        <w:jc w:val="both"/>
        <w:rPr>
          <w:b/>
          <w:iCs/>
          <w:sz w:val="28"/>
          <w:szCs w:val="28"/>
        </w:rPr>
      </w:pPr>
      <w:r w:rsidRPr="00B71ADB">
        <w:rPr>
          <w:b/>
          <w:iCs/>
          <w:sz w:val="28"/>
          <w:szCs w:val="28"/>
        </w:rPr>
        <w:t xml:space="preserve">ER 5.1 </w:t>
      </w:r>
      <w:r w:rsidR="00712F08">
        <w:rPr>
          <w:b/>
          <w:iCs/>
          <w:sz w:val="28"/>
          <w:szCs w:val="28"/>
        </w:rPr>
        <w:t>(</w:t>
      </w:r>
      <w:r w:rsidRPr="00B71ADB">
        <w:rPr>
          <w:b/>
          <w:iCs/>
          <w:sz w:val="28"/>
          <w:szCs w:val="28"/>
        </w:rPr>
        <w:t>Responsibilities of Lawyers Who Have Ownership Interests or are</w:t>
      </w:r>
      <w:r w:rsidR="00C13F35" w:rsidRPr="00B71ADB">
        <w:rPr>
          <w:b/>
          <w:iCs/>
          <w:sz w:val="28"/>
          <w:szCs w:val="28"/>
        </w:rPr>
        <w:t xml:space="preserve"> </w:t>
      </w:r>
      <w:r w:rsidRPr="00B71ADB">
        <w:rPr>
          <w:b/>
          <w:iCs/>
          <w:sz w:val="28"/>
          <w:szCs w:val="28"/>
        </w:rPr>
        <w:t>Managers or Supervisors</w:t>
      </w:r>
      <w:r w:rsidR="00712F08">
        <w:rPr>
          <w:b/>
          <w:iCs/>
          <w:sz w:val="28"/>
          <w:szCs w:val="28"/>
        </w:rPr>
        <w:t>)</w:t>
      </w:r>
    </w:p>
    <w:p w:rsidR="00E8029C" w:rsidRPr="00DB3840" w:rsidRDefault="007C11F1" w:rsidP="007F54A2">
      <w:pPr>
        <w:spacing w:line="480" w:lineRule="auto"/>
        <w:jc w:val="both"/>
        <w:rPr>
          <w:sz w:val="28"/>
          <w:szCs w:val="28"/>
        </w:rPr>
      </w:pPr>
      <w:r w:rsidRPr="00DB3840">
        <w:rPr>
          <w:sz w:val="28"/>
          <w:szCs w:val="28"/>
        </w:rPr>
        <w:tab/>
        <w:t xml:space="preserve">Amendments to this rule were made in part because a lawyer may hold an ownership interest in a firm in a variety of ways.  The rule is no longer limited to a “partner” and instead a broader reference to “ownership interests” was added to the title because of the change in the definition of “firm” in ER 1.0(c) and the elimination of ER 5.4. </w:t>
      </w:r>
    </w:p>
    <w:p w:rsidR="00B313AE" w:rsidRPr="00DB3840" w:rsidRDefault="007C11F1" w:rsidP="00DB737F">
      <w:pPr>
        <w:spacing w:line="480" w:lineRule="auto"/>
        <w:jc w:val="both"/>
        <w:rPr>
          <w:sz w:val="28"/>
          <w:szCs w:val="28"/>
        </w:rPr>
      </w:pPr>
      <w:r w:rsidRPr="00DB3840">
        <w:rPr>
          <w:sz w:val="28"/>
          <w:szCs w:val="28"/>
        </w:rPr>
        <w:t xml:space="preserve">As with several other ERs, </w:t>
      </w:r>
      <w:r w:rsidR="00A64585" w:rsidRPr="00DB3840">
        <w:rPr>
          <w:sz w:val="28"/>
          <w:szCs w:val="28"/>
        </w:rPr>
        <w:t xml:space="preserve">rule </w:t>
      </w:r>
      <w:r w:rsidRPr="00DB3840">
        <w:rPr>
          <w:sz w:val="28"/>
          <w:szCs w:val="28"/>
        </w:rPr>
        <w:t xml:space="preserve">comments </w:t>
      </w:r>
      <w:r w:rsidR="00EC0A0D">
        <w:rPr>
          <w:sz w:val="28"/>
          <w:szCs w:val="28"/>
        </w:rPr>
        <w:t xml:space="preserve">that </w:t>
      </w:r>
      <w:r w:rsidRPr="00DB3840">
        <w:rPr>
          <w:sz w:val="28"/>
          <w:szCs w:val="28"/>
        </w:rPr>
        <w:t xml:space="preserve">addressed important concepts </w:t>
      </w:r>
      <w:r w:rsidR="00EC0A0D">
        <w:rPr>
          <w:sz w:val="28"/>
          <w:szCs w:val="28"/>
        </w:rPr>
        <w:t>were integrated into the text of the rule itself</w:t>
      </w:r>
      <w:r w:rsidRPr="00DB3840">
        <w:rPr>
          <w:sz w:val="28"/>
          <w:szCs w:val="28"/>
        </w:rPr>
        <w:t>.  The definition of “internal policies and procedures” was moved from the comment to subsection (</w:t>
      </w:r>
      <w:r w:rsidR="00934A69" w:rsidRPr="00DB3840">
        <w:rPr>
          <w:sz w:val="28"/>
          <w:szCs w:val="28"/>
        </w:rPr>
        <w:t>a</w:t>
      </w:r>
      <w:r w:rsidRPr="00DB3840">
        <w:rPr>
          <w:sz w:val="28"/>
          <w:szCs w:val="28"/>
        </w:rPr>
        <w:t>)</w:t>
      </w:r>
      <w:r w:rsidR="00934A69" w:rsidRPr="00DB3840">
        <w:rPr>
          <w:sz w:val="28"/>
          <w:szCs w:val="28"/>
        </w:rPr>
        <w:t>(1)</w:t>
      </w:r>
      <w:r w:rsidRPr="00DB3840">
        <w:rPr>
          <w:sz w:val="28"/>
          <w:szCs w:val="28"/>
        </w:rPr>
        <w:t>. Subsection (</w:t>
      </w:r>
      <w:r w:rsidR="00934A69" w:rsidRPr="00DB3840">
        <w:rPr>
          <w:sz w:val="28"/>
          <w:szCs w:val="28"/>
        </w:rPr>
        <w:t>b</w:t>
      </w:r>
      <w:r w:rsidRPr="00DB3840">
        <w:rPr>
          <w:sz w:val="28"/>
          <w:szCs w:val="28"/>
        </w:rPr>
        <w:t>) now states that whether a lawyer has supervisory duties over lawyers may vary depending on the circumstances.  And, subsection (</w:t>
      </w:r>
      <w:r w:rsidR="00934A69" w:rsidRPr="00DB3840">
        <w:rPr>
          <w:sz w:val="28"/>
          <w:szCs w:val="28"/>
        </w:rPr>
        <w:t>c</w:t>
      </w:r>
      <w:r w:rsidRPr="00DB3840">
        <w:rPr>
          <w:sz w:val="28"/>
          <w:szCs w:val="28"/>
        </w:rPr>
        <w:t>) now provides guidance on what constitutes reasonable remedial action.</w:t>
      </w:r>
      <w:r w:rsidR="00387EB8">
        <w:rPr>
          <w:sz w:val="28"/>
          <w:szCs w:val="28"/>
        </w:rPr>
        <w:t xml:space="preserve">  Existing comments to the rule were deleted</w:t>
      </w:r>
      <w:r w:rsidR="00715859">
        <w:rPr>
          <w:sz w:val="28"/>
          <w:szCs w:val="28"/>
        </w:rPr>
        <w:t xml:space="preserve"> b</w:t>
      </w:r>
      <w:r w:rsidR="00C13F35" w:rsidRPr="00DB3840">
        <w:rPr>
          <w:sz w:val="28"/>
          <w:szCs w:val="28"/>
        </w:rPr>
        <w:t>ecause of the changes and additions to the rule itself</w:t>
      </w:r>
      <w:r w:rsidR="00387EB8">
        <w:rPr>
          <w:sz w:val="28"/>
          <w:szCs w:val="28"/>
        </w:rPr>
        <w:t xml:space="preserve">. </w:t>
      </w:r>
    </w:p>
    <w:p w:rsidR="007C11F1" w:rsidRPr="00B71ADB" w:rsidRDefault="007C11F1" w:rsidP="00CB2694">
      <w:pPr>
        <w:pStyle w:val="ListParagraph"/>
        <w:numPr>
          <w:ilvl w:val="0"/>
          <w:numId w:val="5"/>
        </w:numPr>
        <w:spacing w:after="120" w:line="480" w:lineRule="auto"/>
        <w:jc w:val="both"/>
        <w:rPr>
          <w:b/>
          <w:iCs/>
          <w:sz w:val="28"/>
          <w:szCs w:val="28"/>
        </w:rPr>
      </w:pPr>
      <w:r w:rsidRPr="00B71ADB">
        <w:rPr>
          <w:b/>
          <w:iCs/>
          <w:sz w:val="28"/>
          <w:szCs w:val="28"/>
        </w:rPr>
        <w:t xml:space="preserve">ER 5.3 </w:t>
      </w:r>
      <w:r w:rsidR="00712F08">
        <w:rPr>
          <w:b/>
          <w:iCs/>
          <w:sz w:val="28"/>
          <w:szCs w:val="28"/>
        </w:rPr>
        <w:t>(</w:t>
      </w:r>
      <w:r w:rsidRPr="00B71ADB">
        <w:rPr>
          <w:b/>
          <w:iCs/>
          <w:sz w:val="28"/>
          <w:szCs w:val="28"/>
        </w:rPr>
        <w:t>Responsibilities Regarding Nonlawyers</w:t>
      </w:r>
      <w:r w:rsidR="00712F08">
        <w:rPr>
          <w:b/>
          <w:iCs/>
          <w:sz w:val="28"/>
          <w:szCs w:val="28"/>
        </w:rPr>
        <w:t>)</w:t>
      </w:r>
      <w:r w:rsidRPr="00B71ADB">
        <w:rPr>
          <w:b/>
          <w:iCs/>
          <w:sz w:val="28"/>
          <w:szCs w:val="28"/>
        </w:rPr>
        <w:t xml:space="preserve"> </w:t>
      </w:r>
    </w:p>
    <w:p w:rsidR="00AD1CAA" w:rsidRPr="00DB3840" w:rsidRDefault="007C11F1" w:rsidP="007F54A2">
      <w:pPr>
        <w:spacing w:line="480" w:lineRule="auto"/>
        <w:jc w:val="both"/>
        <w:rPr>
          <w:sz w:val="28"/>
          <w:szCs w:val="28"/>
        </w:rPr>
      </w:pPr>
      <w:r w:rsidRPr="00DB3840">
        <w:rPr>
          <w:sz w:val="28"/>
          <w:szCs w:val="28"/>
        </w:rPr>
        <w:tab/>
      </w:r>
      <w:r w:rsidR="00387EB8">
        <w:rPr>
          <w:sz w:val="28"/>
          <w:szCs w:val="28"/>
        </w:rPr>
        <w:t>A</w:t>
      </w:r>
      <w:r w:rsidR="00387EB8" w:rsidRPr="00DB3840">
        <w:rPr>
          <w:sz w:val="28"/>
          <w:szCs w:val="28"/>
        </w:rPr>
        <w:t xml:space="preserve"> change to the title was made to identify the rule’s scope</w:t>
      </w:r>
      <w:r w:rsidR="00715859">
        <w:rPr>
          <w:sz w:val="28"/>
          <w:szCs w:val="28"/>
        </w:rPr>
        <w:t>,</w:t>
      </w:r>
      <w:r w:rsidR="00387EB8">
        <w:rPr>
          <w:sz w:val="28"/>
          <w:szCs w:val="28"/>
        </w:rPr>
        <w:t xml:space="preserve"> which now encompasses </w:t>
      </w:r>
      <w:r w:rsidRPr="00DB3840">
        <w:rPr>
          <w:sz w:val="28"/>
          <w:szCs w:val="28"/>
        </w:rPr>
        <w:t>both nonlawyers in the firm and nonlawyer assistants, who can be inside or outside the firm</w:t>
      </w:r>
      <w:r w:rsidR="00387EB8">
        <w:rPr>
          <w:sz w:val="28"/>
          <w:szCs w:val="28"/>
        </w:rPr>
        <w:t xml:space="preserve">. </w:t>
      </w:r>
    </w:p>
    <w:p w:rsidR="00AD1CAA" w:rsidRPr="00DB3840" w:rsidRDefault="00EC0A0D" w:rsidP="007F54A2">
      <w:pPr>
        <w:spacing w:line="480" w:lineRule="auto"/>
        <w:ind w:firstLine="720"/>
        <w:jc w:val="both"/>
        <w:rPr>
          <w:sz w:val="28"/>
          <w:szCs w:val="28"/>
        </w:rPr>
      </w:pPr>
      <w:r>
        <w:rPr>
          <w:sz w:val="28"/>
          <w:szCs w:val="28"/>
        </w:rPr>
        <w:t xml:space="preserve">The proposed amendments to </w:t>
      </w:r>
      <w:r w:rsidR="007C11F1" w:rsidRPr="00DB3840">
        <w:rPr>
          <w:sz w:val="28"/>
          <w:szCs w:val="28"/>
        </w:rPr>
        <w:t xml:space="preserve">ER 5.3(a) instruct that </w:t>
      </w:r>
      <w:r w:rsidR="004617C9" w:rsidRPr="00DB3840">
        <w:rPr>
          <w:sz w:val="28"/>
          <w:szCs w:val="28"/>
        </w:rPr>
        <w:t xml:space="preserve">all </w:t>
      </w:r>
      <w:r w:rsidR="007C11F1" w:rsidRPr="00DB3840">
        <w:rPr>
          <w:sz w:val="28"/>
          <w:szCs w:val="28"/>
        </w:rPr>
        <w:t xml:space="preserve">lawyers </w:t>
      </w:r>
      <w:r w:rsidR="00AD1CAA" w:rsidRPr="00DB3840">
        <w:rPr>
          <w:sz w:val="28"/>
          <w:szCs w:val="28"/>
        </w:rPr>
        <w:t xml:space="preserve">in a firm </w:t>
      </w:r>
      <w:r w:rsidR="007C11F1" w:rsidRPr="00DB3840">
        <w:rPr>
          <w:sz w:val="28"/>
          <w:szCs w:val="28"/>
        </w:rPr>
        <w:t xml:space="preserve">must ensure </w:t>
      </w:r>
      <w:r w:rsidR="00C13F35" w:rsidRPr="00DB3840">
        <w:rPr>
          <w:sz w:val="28"/>
          <w:szCs w:val="28"/>
        </w:rPr>
        <w:t xml:space="preserve">that </w:t>
      </w:r>
      <w:r w:rsidR="00AD1CAA" w:rsidRPr="00DB3840">
        <w:rPr>
          <w:sz w:val="28"/>
          <w:szCs w:val="28"/>
        </w:rPr>
        <w:t xml:space="preserve">the firm has in effect measures that provide reasonable assurance that the conduct of all nonlawyers, including any nonlawyers who have </w:t>
      </w:r>
      <w:r w:rsidR="00387EB8">
        <w:rPr>
          <w:sz w:val="28"/>
          <w:szCs w:val="28"/>
        </w:rPr>
        <w:t>economic</w:t>
      </w:r>
      <w:r w:rsidR="00387EB8" w:rsidRPr="00DB3840">
        <w:rPr>
          <w:sz w:val="28"/>
          <w:szCs w:val="28"/>
        </w:rPr>
        <w:t xml:space="preserve"> </w:t>
      </w:r>
      <w:r w:rsidR="00AD1CAA" w:rsidRPr="00DB3840">
        <w:rPr>
          <w:sz w:val="28"/>
          <w:szCs w:val="28"/>
        </w:rPr>
        <w:t xml:space="preserve">interests in the firm, comports with </w:t>
      </w:r>
      <w:r w:rsidR="00A64585" w:rsidRPr="00DB3840">
        <w:rPr>
          <w:sz w:val="28"/>
          <w:szCs w:val="28"/>
        </w:rPr>
        <w:t>a</w:t>
      </w:r>
      <w:r w:rsidR="00AD1CAA" w:rsidRPr="00DB3840">
        <w:rPr>
          <w:sz w:val="28"/>
          <w:szCs w:val="28"/>
        </w:rPr>
        <w:t xml:space="preserve"> lawyer’s professional obligations.</w:t>
      </w:r>
    </w:p>
    <w:p w:rsidR="00AD1CAA" w:rsidRPr="00DB3840" w:rsidRDefault="00934A69" w:rsidP="007F54A2">
      <w:pPr>
        <w:spacing w:line="480" w:lineRule="auto"/>
        <w:jc w:val="both"/>
        <w:rPr>
          <w:sz w:val="28"/>
          <w:szCs w:val="28"/>
        </w:rPr>
      </w:pPr>
      <w:r w:rsidRPr="00DB3840">
        <w:rPr>
          <w:sz w:val="28"/>
          <w:szCs w:val="28"/>
        </w:rPr>
        <w:tab/>
        <w:t>ER 5.3(</w:t>
      </w:r>
      <w:r w:rsidR="004617C9" w:rsidRPr="00DB3840">
        <w:rPr>
          <w:sz w:val="28"/>
          <w:szCs w:val="28"/>
        </w:rPr>
        <w:t xml:space="preserve">a) </w:t>
      </w:r>
      <w:r w:rsidR="00AD1CAA" w:rsidRPr="00DB3840">
        <w:rPr>
          <w:sz w:val="28"/>
          <w:szCs w:val="28"/>
        </w:rPr>
        <w:t xml:space="preserve">also </w:t>
      </w:r>
      <w:r w:rsidR="00812393">
        <w:rPr>
          <w:sz w:val="28"/>
          <w:szCs w:val="28"/>
        </w:rPr>
        <w:t xml:space="preserve">now </w:t>
      </w:r>
      <w:r w:rsidR="004617C9" w:rsidRPr="00DB3840">
        <w:rPr>
          <w:sz w:val="28"/>
          <w:szCs w:val="28"/>
        </w:rPr>
        <w:t>contains two important criteria of “reasonable measures.”</w:t>
      </w:r>
    </w:p>
    <w:p w:rsidR="00AD1CAA" w:rsidRPr="00DB3840" w:rsidRDefault="00AD1CAA" w:rsidP="007F54A2">
      <w:pPr>
        <w:spacing w:line="480" w:lineRule="auto"/>
        <w:ind w:firstLine="720"/>
        <w:jc w:val="both"/>
        <w:rPr>
          <w:sz w:val="28"/>
          <w:szCs w:val="28"/>
        </w:rPr>
      </w:pPr>
      <w:r w:rsidRPr="00DB3840">
        <w:rPr>
          <w:sz w:val="28"/>
          <w:szCs w:val="28"/>
        </w:rPr>
        <w:t xml:space="preserve">First, </w:t>
      </w:r>
      <w:r w:rsidR="00812393">
        <w:rPr>
          <w:sz w:val="28"/>
          <w:szCs w:val="28"/>
        </w:rPr>
        <w:t xml:space="preserve">proposed amendments to </w:t>
      </w:r>
      <w:r w:rsidR="004617C9" w:rsidRPr="00DB3840">
        <w:rPr>
          <w:sz w:val="28"/>
          <w:szCs w:val="28"/>
        </w:rPr>
        <w:t xml:space="preserve">ER 5.3(a)(1) require that policies and procedures </w:t>
      </w:r>
      <w:r w:rsidRPr="00DB3840">
        <w:rPr>
          <w:sz w:val="28"/>
          <w:szCs w:val="28"/>
        </w:rPr>
        <w:t>be designed to prevent nonlawyers from “directing, controlling or materially limit</w:t>
      </w:r>
      <w:r w:rsidR="00A64585" w:rsidRPr="00DB3840">
        <w:rPr>
          <w:sz w:val="28"/>
          <w:szCs w:val="28"/>
        </w:rPr>
        <w:t>ing</w:t>
      </w:r>
      <w:r w:rsidRPr="00DB3840">
        <w:rPr>
          <w:sz w:val="28"/>
          <w:szCs w:val="28"/>
        </w:rPr>
        <w:t xml:space="preserve"> the lawyer’s independent professional judgment on behalf of clients or materially influencing which clients a lawyer does or does not represent.” This language provides additional protection against nonlawyer owner influence over a lawyer’s</w:t>
      </w:r>
      <w:r w:rsidR="00A64585" w:rsidRPr="00DB3840">
        <w:rPr>
          <w:sz w:val="28"/>
          <w:szCs w:val="28"/>
        </w:rPr>
        <w:t xml:space="preserve"> legal</w:t>
      </w:r>
      <w:r w:rsidRPr="00DB3840">
        <w:rPr>
          <w:sz w:val="28"/>
          <w:szCs w:val="28"/>
        </w:rPr>
        <w:t xml:space="preserve"> practice.</w:t>
      </w:r>
    </w:p>
    <w:p w:rsidR="00AD1CAA" w:rsidRPr="00DB3840" w:rsidRDefault="00AD1CAA" w:rsidP="007F54A2">
      <w:pPr>
        <w:spacing w:line="480" w:lineRule="auto"/>
        <w:jc w:val="both"/>
        <w:rPr>
          <w:sz w:val="28"/>
          <w:szCs w:val="28"/>
        </w:rPr>
      </w:pPr>
      <w:r w:rsidRPr="00DB3840">
        <w:rPr>
          <w:sz w:val="28"/>
          <w:szCs w:val="28"/>
        </w:rPr>
        <w:tab/>
        <w:t xml:space="preserve">Second, ER 5.3(a)(2) specifies that policies and procedures must be designed to ensure that nonlawyers avoid conflicts of interest, maintain the </w:t>
      </w:r>
      <w:r w:rsidR="007F54A2" w:rsidRPr="00DB3840">
        <w:rPr>
          <w:sz w:val="28"/>
          <w:szCs w:val="28"/>
        </w:rPr>
        <w:t>confidentiality</w:t>
      </w:r>
      <w:r w:rsidRPr="00DB3840">
        <w:rPr>
          <w:sz w:val="28"/>
          <w:szCs w:val="28"/>
        </w:rPr>
        <w:t xml:space="preserve"> of all firm client information, and otherwise comport themselves in accordance with a lawyer’s ethical obligations.</w:t>
      </w:r>
      <w:r w:rsidR="00812393">
        <w:rPr>
          <w:sz w:val="28"/>
          <w:szCs w:val="28"/>
        </w:rPr>
        <w:t xml:space="preserve"> This is another protection against nonlawyer interference.</w:t>
      </w:r>
    </w:p>
    <w:p w:rsidR="005E34A8" w:rsidRPr="00DB3840" w:rsidRDefault="007C11F1" w:rsidP="007F54A2">
      <w:pPr>
        <w:spacing w:line="480" w:lineRule="auto"/>
        <w:ind w:firstLine="720"/>
        <w:jc w:val="both"/>
        <w:rPr>
          <w:sz w:val="28"/>
          <w:szCs w:val="28"/>
        </w:rPr>
      </w:pPr>
      <w:r w:rsidRPr="00DB3840">
        <w:rPr>
          <w:sz w:val="28"/>
          <w:szCs w:val="28"/>
        </w:rPr>
        <w:t xml:space="preserve">The amendments </w:t>
      </w:r>
      <w:r w:rsidR="00AD1CAA" w:rsidRPr="00DB3840">
        <w:rPr>
          <w:sz w:val="28"/>
          <w:szCs w:val="28"/>
        </w:rPr>
        <w:t xml:space="preserve">to ER 5.3(b) </w:t>
      </w:r>
      <w:r w:rsidR="00EC0A0D">
        <w:rPr>
          <w:sz w:val="28"/>
          <w:szCs w:val="28"/>
        </w:rPr>
        <w:t xml:space="preserve">also </w:t>
      </w:r>
      <w:r w:rsidRPr="00DB3840">
        <w:rPr>
          <w:sz w:val="28"/>
          <w:szCs w:val="28"/>
        </w:rPr>
        <w:t>move important information from the comments to the rule itself</w:t>
      </w:r>
      <w:r w:rsidR="00387EB8">
        <w:rPr>
          <w:sz w:val="28"/>
          <w:szCs w:val="28"/>
        </w:rPr>
        <w:t xml:space="preserve"> resulting in the deletion of those comments</w:t>
      </w:r>
      <w:r w:rsidRPr="00DB3840">
        <w:rPr>
          <w:sz w:val="28"/>
          <w:szCs w:val="28"/>
        </w:rPr>
        <w:t xml:space="preserve">.  </w:t>
      </w:r>
      <w:r w:rsidR="005E34A8" w:rsidRPr="00DB3840">
        <w:rPr>
          <w:sz w:val="28"/>
          <w:szCs w:val="28"/>
        </w:rPr>
        <w:t xml:space="preserve">New subsection (b)(1) states what constitutes </w:t>
      </w:r>
      <w:r w:rsidRPr="00DB3840">
        <w:rPr>
          <w:sz w:val="28"/>
          <w:szCs w:val="28"/>
        </w:rPr>
        <w:t>a direct supervisor’s “reasonable effort</w:t>
      </w:r>
      <w:r w:rsidR="005E34A8" w:rsidRPr="00DB3840">
        <w:rPr>
          <w:sz w:val="28"/>
          <w:szCs w:val="28"/>
        </w:rPr>
        <w:t xml:space="preserve">s.” </w:t>
      </w:r>
      <w:r w:rsidRPr="00DB3840">
        <w:rPr>
          <w:sz w:val="28"/>
          <w:szCs w:val="28"/>
        </w:rPr>
        <w:t>New subsection</w:t>
      </w:r>
      <w:r w:rsidR="005E34A8" w:rsidRPr="00DB3840">
        <w:rPr>
          <w:sz w:val="28"/>
          <w:szCs w:val="28"/>
        </w:rPr>
        <w:t>s</w:t>
      </w:r>
      <w:r w:rsidRPr="00DB3840">
        <w:rPr>
          <w:sz w:val="28"/>
          <w:szCs w:val="28"/>
        </w:rPr>
        <w:t xml:space="preserve"> (</w:t>
      </w:r>
      <w:r w:rsidR="005E34A8" w:rsidRPr="00DB3840">
        <w:rPr>
          <w:sz w:val="28"/>
          <w:szCs w:val="28"/>
        </w:rPr>
        <w:t>b</w:t>
      </w:r>
      <w:r w:rsidRPr="00DB3840">
        <w:rPr>
          <w:sz w:val="28"/>
          <w:szCs w:val="28"/>
        </w:rPr>
        <w:t>)(</w:t>
      </w:r>
      <w:r w:rsidR="005E34A8" w:rsidRPr="00DB3840">
        <w:rPr>
          <w:sz w:val="28"/>
          <w:szCs w:val="28"/>
        </w:rPr>
        <w:t>2</w:t>
      </w:r>
      <w:r w:rsidRPr="00DB3840">
        <w:rPr>
          <w:sz w:val="28"/>
          <w:szCs w:val="28"/>
        </w:rPr>
        <w:t>)</w:t>
      </w:r>
      <w:r w:rsidR="005E34A8" w:rsidRPr="00DB3840">
        <w:rPr>
          <w:sz w:val="28"/>
          <w:szCs w:val="28"/>
        </w:rPr>
        <w:t xml:space="preserve"> and (3)</w:t>
      </w:r>
      <w:r w:rsidRPr="00DB3840">
        <w:rPr>
          <w:sz w:val="28"/>
          <w:szCs w:val="28"/>
        </w:rPr>
        <w:t xml:space="preserve"> require that lawyers </w:t>
      </w:r>
      <w:r w:rsidR="005E34A8" w:rsidRPr="00DB3840">
        <w:rPr>
          <w:sz w:val="28"/>
          <w:szCs w:val="28"/>
        </w:rPr>
        <w:t xml:space="preserve">be cognizant that nonlawyers may not have legal training </w:t>
      </w:r>
      <w:r w:rsidR="00A64585" w:rsidRPr="00DB3840">
        <w:rPr>
          <w:sz w:val="28"/>
          <w:szCs w:val="28"/>
        </w:rPr>
        <w:t xml:space="preserve">and </w:t>
      </w:r>
      <w:r w:rsidR="005E34A8" w:rsidRPr="00DB3840">
        <w:rPr>
          <w:sz w:val="28"/>
          <w:szCs w:val="28"/>
        </w:rPr>
        <w:t>are not subject to professional discipline</w:t>
      </w:r>
      <w:r w:rsidR="00A64585" w:rsidRPr="00DB3840">
        <w:rPr>
          <w:sz w:val="28"/>
          <w:szCs w:val="28"/>
        </w:rPr>
        <w:t>,</w:t>
      </w:r>
      <w:r w:rsidR="005E34A8" w:rsidRPr="00DB3840">
        <w:rPr>
          <w:sz w:val="28"/>
          <w:szCs w:val="28"/>
        </w:rPr>
        <w:t xml:space="preserve"> and </w:t>
      </w:r>
      <w:r w:rsidR="00812393">
        <w:rPr>
          <w:sz w:val="28"/>
          <w:szCs w:val="28"/>
        </w:rPr>
        <w:t xml:space="preserve">therefore </w:t>
      </w:r>
      <w:r w:rsidR="005E34A8" w:rsidRPr="00DB3840">
        <w:rPr>
          <w:sz w:val="28"/>
          <w:szCs w:val="28"/>
        </w:rPr>
        <w:t xml:space="preserve">must </w:t>
      </w:r>
      <w:r w:rsidRPr="00DB3840">
        <w:rPr>
          <w:sz w:val="28"/>
          <w:szCs w:val="28"/>
        </w:rPr>
        <w:t>give directions appropriate under the circumstances</w:t>
      </w:r>
      <w:r w:rsidR="005E34A8" w:rsidRPr="00DB3840">
        <w:rPr>
          <w:sz w:val="28"/>
          <w:szCs w:val="28"/>
        </w:rPr>
        <w:t xml:space="preserve">. New subsection (b)(4) deals with the allocation of responsibility between the lawyer and the client when the client directs </w:t>
      </w:r>
      <w:r w:rsidRPr="00DB3840">
        <w:rPr>
          <w:sz w:val="28"/>
          <w:szCs w:val="28"/>
        </w:rPr>
        <w:t xml:space="preserve">that the lawyer </w:t>
      </w:r>
      <w:r w:rsidR="005E34A8" w:rsidRPr="00DB3840">
        <w:rPr>
          <w:sz w:val="28"/>
          <w:szCs w:val="28"/>
        </w:rPr>
        <w:t>use</w:t>
      </w:r>
      <w:r w:rsidRPr="00DB3840">
        <w:rPr>
          <w:sz w:val="28"/>
          <w:szCs w:val="28"/>
        </w:rPr>
        <w:t xml:space="preserve"> </w:t>
      </w:r>
      <w:r w:rsidR="005E34A8" w:rsidRPr="00DB3840">
        <w:rPr>
          <w:sz w:val="28"/>
          <w:szCs w:val="28"/>
        </w:rPr>
        <w:t>a</w:t>
      </w:r>
      <w:r w:rsidRPr="00DB3840">
        <w:rPr>
          <w:sz w:val="28"/>
          <w:szCs w:val="28"/>
        </w:rPr>
        <w:t xml:space="preserve"> particular nonlawyer </w:t>
      </w:r>
      <w:r w:rsidR="005E34A8" w:rsidRPr="00DB3840">
        <w:rPr>
          <w:sz w:val="28"/>
          <w:szCs w:val="28"/>
        </w:rPr>
        <w:t>service provider.</w:t>
      </w:r>
    </w:p>
    <w:p w:rsidR="00E16AA9" w:rsidRPr="00DB3840" w:rsidRDefault="007C11F1" w:rsidP="007F54A2">
      <w:pPr>
        <w:spacing w:line="480" w:lineRule="auto"/>
        <w:ind w:firstLine="720"/>
        <w:jc w:val="both"/>
        <w:rPr>
          <w:sz w:val="28"/>
          <w:szCs w:val="28"/>
        </w:rPr>
      </w:pPr>
      <w:r w:rsidRPr="00DB3840">
        <w:rPr>
          <w:sz w:val="28"/>
          <w:szCs w:val="28"/>
        </w:rPr>
        <w:t xml:space="preserve">Finally, </w:t>
      </w:r>
      <w:r w:rsidR="005E34A8" w:rsidRPr="00DB3840">
        <w:rPr>
          <w:sz w:val="28"/>
          <w:szCs w:val="28"/>
        </w:rPr>
        <w:t xml:space="preserve">and perhaps most importantly, </w:t>
      </w:r>
      <w:r w:rsidRPr="00DB3840">
        <w:rPr>
          <w:sz w:val="28"/>
          <w:szCs w:val="28"/>
        </w:rPr>
        <w:t xml:space="preserve">new subsection (d) requires that </w:t>
      </w:r>
      <w:r w:rsidR="005E34A8" w:rsidRPr="00DB3840">
        <w:rPr>
          <w:i/>
          <w:iCs/>
          <w:sz w:val="28"/>
          <w:szCs w:val="28"/>
        </w:rPr>
        <w:t>all</w:t>
      </w:r>
      <w:r w:rsidR="005E34A8" w:rsidRPr="00DB3840">
        <w:rPr>
          <w:sz w:val="28"/>
          <w:szCs w:val="28"/>
        </w:rPr>
        <w:t xml:space="preserve"> lawyers practicing in </w:t>
      </w:r>
      <w:r w:rsidRPr="00DB3840">
        <w:rPr>
          <w:sz w:val="28"/>
          <w:szCs w:val="28"/>
        </w:rPr>
        <w:t>firm</w:t>
      </w:r>
      <w:r w:rsidR="005E34A8" w:rsidRPr="00DB3840">
        <w:rPr>
          <w:sz w:val="28"/>
          <w:szCs w:val="28"/>
        </w:rPr>
        <w:t>s</w:t>
      </w:r>
      <w:r w:rsidRPr="00DB3840">
        <w:rPr>
          <w:sz w:val="28"/>
          <w:szCs w:val="28"/>
        </w:rPr>
        <w:t xml:space="preserve"> </w:t>
      </w:r>
      <w:r w:rsidR="005E34A8" w:rsidRPr="00DB3840">
        <w:rPr>
          <w:sz w:val="28"/>
          <w:szCs w:val="28"/>
        </w:rPr>
        <w:t xml:space="preserve">that include nonlawyer owners or managers must ensure that one </w:t>
      </w:r>
      <w:r w:rsidR="00A64585" w:rsidRPr="00DB3840">
        <w:rPr>
          <w:sz w:val="28"/>
          <w:szCs w:val="28"/>
        </w:rPr>
        <w:t xml:space="preserve">firm </w:t>
      </w:r>
      <w:r w:rsidR="005E34A8" w:rsidRPr="00DB3840">
        <w:rPr>
          <w:sz w:val="28"/>
          <w:szCs w:val="28"/>
        </w:rPr>
        <w:t xml:space="preserve">lawyer has been designated to be </w:t>
      </w:r>
      <w:r w:rsidRPr="00DB3840">
        <w:rPr>
          <w:sz w:val="28"/>
          <w:szCs w:val="28"/>
        </w:rPr>
        <w:t xml:space="preserve">responsible for establishing policies and procedures to assure that all nonlawyers comply with the lawyers’ ethical obligations. </w:t>
      </w:r>
    </w:p>
    <w:p w:rsidR="007C11F1" w:rsidRPr="00DB3840" w:rsidRDefault="004017D1" w:rsidP="007F54A2">
      <w:pPr>
        <w:spacing w:line="480" w:lineRule="auto"/>
        <w:ind w:firstLine="720"/>
        <w:jc w:val="both"/>
        <w:rPr>
          <w:sz w:val="28"/>
          <w:szCs w:val="28"/>
        </w:rPr>
      </w:pPr>
      <w:r>
        <w:rPr>
          <w:sz w:val="28"/>
          <w:szCs w:val="28"/>
        </w:rPr>
        <w:t xml:space="preserve">Further, the forthcoming proposed section of the </w:t>
      </w:r>
      <w:r w:rsidR="00EC0A0D">
        <w:rPr>
          <w:sz w:val="28"/>
          <w:szCs w:val="28"/>
        </w:rPr>
        <w:t>ACJA</w:t>
      </w:r>
      <w:r>
        <w:rPr>
          <w:sz w:val="28"/>
          <w:szCs w:val="28"/>
        </w:rPr>
        <w:t xml:space="preserve"> </w:t>
      </w:r>
      <w:r w:rsidR="007C11F1" w:rsidRPr="00DB3840">
        <w:rPr>
          <w:sz w:val="28"/>
          <w:szCs w:val="28"/>
        </w:rPr>
        <w:t>require</w:t>
      </w:r>
      <w:r w:rsidR="00387EB8">
        <w:rPr>
          <w:sz w:val="28"/>
          <w:szCs w:val="28"/>
        </w:rPr>
        <w:t>s</w:t>
      </w:r>
      <w:r w:rsidR="007C11F1" w:rsidRPr="00DB3840">
        <w:rPr>
          <w:sz w:val="28"/>
          <w:szCs w:val="28"/>
        </w:rPr>
        <w:t xml:space="preserve"> that </w:t>
      </w:r>
      <w:r>
        <w:rPr>
          <w:sz w:val="28"/>
          <w:szCs w:val="28"/>
        </w:rPr>
        <w:t>ABSs</w:t>
      </w:r>
      <w:r w:rsidRPr="00DB3840">
        <w:rPr>
          <w:sz w:val="28"/>
          <w:szCs w:val="28"/>
        </w:rPr>
        <w:t xml:space="preserve"> </w:t>
      </w:r>
      <w:r w:rsidR="007C11F1" w:rsidRPr="00DB3840">
        <w:rPr>
          <w:sz w:val="28"/>
          <w:szCs w:val="28"/>
        </w:rPr>
        <w:t xml:space="preserve">identify on </w:t>
      </w:r>
      <w:r w:rsidR="00EC0A0D">
        <w:rPr>
          <w:sz w:val="28"/>
          <w:szCs w:val="28"/>
        </w:rPr>
        <w:t>an</w:t>
      </w:r>
      <w:r w:rsidR="00EC0A0D" w:rsidRPr="00DB3840">
        <w:rPr>
          <w:sz w:val="28"/>
          <w:szCs w:val="28"/>
        </w:rPr>
        <w:t xml:space="preserve"> </w:t>
      </w:r>
      <w:r w:rsidR="007C11F1" w:rsidRPr="00DB3840">
        <w:rPr>
          <w:sz w:val="28"/>
          <w:szCs w:val="28"/>
        </w:rPr>
        <w:t xml:space="preserve">annual </w:t>
      </w:r>
      <w:r w:rsidR="002C45C8">
        <w:rPr>
          <w:sz w:val="28"/>
          <w:szCs w:val="28"/>
        </w:rPr>
        <w:t>registration</w:t>
      </w:r>
      <w:r w:rsidR="002C45C8" w:rsidRPr="00DB3840">
        <w:rPr>
          <w:sz w:val="28"/>
          <w:szCs w:val="28"/>
        </w:rPr>
        <w:t xml:space="preserve"> </w:t>
      </w:r>
      <w:r w:rsidR="007C11F1" w:rsidRPr="00DB3840">
        <w:rPr>
          <w:sz w:val="28"/>
          <w:szCs w:val="28"/>
        </w:rPr>
        <w:t xml:space="preserve">statement which lawyer in </w:t>
      </w:r>
      <w:r w:rsidR="005673BF">
        <w:rPr>
          <w:sz w:val="28"/>
          <w:szCs w:val="28"/>
        </w:rPr>
        <w:t>the ABS</w:t>
      </w:r>
      <w:r w:rsidR="007C11F1" w:rsidRPr="00DB3840">
        <w:rPr>
          <w:sz w:val="28"/>
          <w:szCs w:val="28"/>
        </w:rPr>
        <w:t xml:space="preserve"> is responsible under ER 5.3(d), similar to </w:t>
      </w:r>
      <w:r w:rsidR="00E16AA9" w:rsidRPr="00DB3840">
        <w:rPr>
          <w:sz w:val="28"/>
          <w:szCs w:val="28"/>
        </w:rPr>
        <w:t xml:space="preserve">how a lawyer required to have a trust account may identify another lawyer in the firm as being responsible for </w:t>
      </w:r>
      <w:r w:rsidR="00E16AA9" w:rsidRPr="00DB3840">
        <w:rPr>
          <w:rFonts w:eastAsiaTheme="minorHAnsi"/>
          <w:sz w:val="28"/>
          <w:szCs w:val="28"/>
        </w:rPr>
        <w:t>maintaining the trust account.</w:t>
      </w:r>
      <w:r>
        <w:rPr>
          <w:rFonts w:eastAsiaTheme="minorHAnsi"/>
          <w:sz w:val="28"/>
          <w:szCs w:val="28"/>
        </w:rPr>
        <w:t xml:space="preserve"> </w:t>
      </w:r>
      <w:r w:rsidR="00E16AA9" w:rsidRPr="00DB3840">
        <w:rPr>
          <w:sz w:val="28"/>
          <w:szCs w:val="28"/>
        </w:rPr>
        <w:t>T</w:t>
      </w:r>
      <w:r w:rsidR="007C11F1" w:rsidRPr="00DB3840">
        <w:rPr>
          <w:sz w:val="28"/>
          <w:szCs w:val="28"/>
        </w:rPr>
        <w:t>his provide</w:t>
      </w:r>
      <w:r w:rsidR="005673BF">
        <w:rPr>
          <w:sz w:val="28"/>
          <w:szCs w:val="28"/>
        </w:rPr>
        <w:t>s</w:t>
      </w:r>
      <w:r w:rsidR="007C11F1" w:rsidRPr="00DB3840">
        <w:rPr>
          <w:sz w:val="28"/>
          <w:szCs w:val="28"/>
        </w:rPr>
        <w:t xml:space="preserve"> a level of entity accountability to assure that a specific attorney must establish appropriate nonlawyer ethics procedures. </w:t>
      </w:r>
    </w:p>
    <w:p w:rsidR="007C11F1" w:rsidRPr="00B71ADB" w:rsidRDefault="007C11F1" w:rsidP="00CB2694">
      <w:pPr>
        <w:pStyle w:val="ListParagraph"/>
        <w:numPr>
          <w:ilvl w:val="0"/>
          <w:numId w:val="3"/>
        </w:numPr>
        <w:spacing w:after="120" w:line="480" w:lineRule="auto"/>
        <w:ind w:left="1440"/>
        <w:jc w:val="both"/>
        <w:rPr>
          <w:b/>
          <w:iCs/>
          <w:sz w:val="28"/>
          <w:szCs w:val="28"/>
        </w:rPr>
      </w:pPr>
      <w:r w:rsidRPr="00B71ADB">
        <w:rPr>
          <w:b/>
          <w:iCs/>
          <w:sz w:val="28"/>
          <w:szCs w:val="28"/>
        </w:rPr>
        <w:t>Confidentiality</w:t>
      </w:r>
      <w:r w:rsidR="001979A2" w:rsidRPr="00B71ADB">
        <w:rPr>
          <w:b/>
          <w:iCs/>
          <w:sz w:val="28"/>
          <w:szCs w:val="28"/>
        </w:rPr>
        <w:t xml:space="preserve"> of </w:t>
      </w:r>
      <w:r w:rsidR="004C68FF" w:rsidRPr="00B71ADB">
        <w:rPr>
          <w:b/>
          <w:iCs/>
          <w:sz w:val="28"/>
          <w:szCs w:val="28"/>
        </w:rPr>
        <w:t xml:space="preserve">client </w:t>
      </w:r>
      <w:r w:rsidR="001979A2" w:rsidRPr="00B71ADB">
        <w:rPr>
          <w:b/>
          <w:iCs/>
          <w:sz w:val="28"/>
          <w:szCs w:val="28"/>
        </w:rPr>
        <w:t>information</w:t>
      </w:r>
      <w:r w:rsidR="00B313AE" w:rsidRPr="00B71ADB">
        <w:rPr>
          <w:b/>
          <w:iCs/>
          <w:sz w:val="28"/>
          <w:szCs w:val="28"/>
        </w:rPr>
        <w:t xml:space="preserve">: </w:t>
      </w:r>
      <w:r w:rsidRPr="00B71ADB">
        <w:rPr>
          <w:b/>
          <w:iCs/>
          <w:sz w:val="28"/>
          <w:szCs w:val="28"/>
        </w:rPr>
        <w:t>ER 1.6</w:t>
      </w:r>
    </w:p>
    <w:p w:rsidR="00A64585" w:rsidRPr="00DB3840" w:rsidRDefault="007C11F1" w:rsidP="007F54A2">
      <w:pPr>
        <w:spacing w:line="480" w:lineRule="auto"/>
        <w:jc w:val="both"/>
        <w:rPr>
          <w:sz w:val="28"/>
          <w:szCs w:val="28"/>
        </w:rPr>
      </w:pPr>
      <w:r w:rsidRPr="00DB3840">
        <w:rPr>
          <w:sz w:val="28"/>
          <w:szCs w:val="28"/>
        </w:rPr>
        <w:tab/>
      </w:r>
      <w:r w:rsidR="00E8029C" w:rsidRPr="00DB3840">
        <w:rPr>
          <w:sz w:val="28"/>
          <w:szCs w:val="28"/>
        </w:rPr>
        <w:t xml:space="preserve">The </w:t>
      </w:r>
      <w:r w:rsidR="00812393">
        <w:rPr>
          <w:sz w:val="28"/>
          <w:szCs w:val="28"/>
        </w:rPr>
        <w:t>T</w:t>
      </w:r>
      <w:r w:rsidR="00E8029C" w:rsidRPr="00DB3840">
        <w:rPr>
          <w:sz w:val="28"/>
          <w:szCs w:val="28"/>
        </w:rPr>
        <w:t xml:space="preserve">ask </w:t>
      </w:r>
      <w:r w:rsidR="00812393">
        <w:rPr>
          <w:sz w:val="28"/>
          <w:szCs w:val="28"/>
        </w:rPr>
        <w:t>F</w:t>
      </w:r>
      <w:r w:rsidR="00E8029C" w:rsidRPr="00DB3840">
        <w:rPr>
          <w:sz w:val="28"/>
          <w:szCs w:val="28"/>
        </w:rPr>
        <w:t xml:space="preserve">orce recognized that by eliminating ER 5.4 and allowing lawyers and nonlawyers to partner together to form businesses that might provide both legal and nonlegal services, </w:t>
      </w:r>
      <w:r w:rsidR="00812393">
        <w:rPr>
          <w:sz w:val="28"/>
          <w:szCs w:val="28"/>
        </w:rPr>
        <w:t xml:space="preserve">there would be a heightened need to protect </w:t>
      </w:r>
      <w:r w:rsidR="00A64585" w:rsidRPr="00DB3840">
        <w:rPr>
          <w:sz w:val="28"/>
          <w:szCs w:val="28"/>
        </w:rPr>
        <w:t xml:space="preserve">client </w:t>
      </w:r>
      <w:r w:rsidR="00E8029C" w:rsidRPr="00DB3840">
        <w:rPr>
          <w:sz w:val="28"/>
          <w:szCs w:val="28"/>
        </w:rPr>
        <w:t>confidential</w:t>
      </w:r>
      <w:r w:rsidR="00A64585" w:rsidRPr="00DB3840">
        <w:rPr>
          <w:sz w:val="28"/>
          <w:szCs w:val="28"/>
        </w:rPr>
        <w:t>ity</w:t>
      </w:r>
      <w:r w:rsidR="00812393">
        <w:rPr>
          <w:sz w:val="28"/>
          <w:szCs w:val="28"/>
        </w:rPr>
        <w:t>.</w:t>
      </w:r>
      <w:r w:rsidR="00E8029C" w:rsidRPr="00DB3840">
        <w:rPr>
          <w:sz w:val="28"/>
          <w:szCs w:val="28"/>
        </w:rPr>
        <w:t xml:space="preserve"> </w:t>
      </w:r>
    </w:p>
    <w:p w:rsidR="00B313AE" w:rsidRPr="00DB3840" w:rsidRDefault="00E8029C" w:rsidP="007F54A2">
      <w:pPr>
        <w:spacing w:line="480" w:lineRule="auto"/>
        <w:ind w:firstLine="720"/>
        <w:jc w:val="both"/>
        <w:rPr>
          <w:sz w:val="28"/>
          <w:szCs w:val="28"/>
        </w:rPr>
      </w:pPr>
      <w:r w:rsidRPr="00DB3840">
        <w:rPr>
          <w:sz w:val="28"/>
          <w:szCs w:val="28"/>
        </w:rPr>
        <w:t xml:space="preserve">ER 1.6(e) currently requires that a lawyer make reasonable efforts </w:t>
      </w:r>
      <w:r w:rsidR="007C11F1" w:rsidRPr="00DB3840">
        <w:rPr>
          <w:sz w:val="28"/>
          <w:szCs w:val="28"/>
        </w:rPr>
        <w:t>to prevent inadvertent or unauthorized disclosure of confidential information about a client</w:t>
      </w:r>
      <w:r w:rsidRPr="00DB3840">
        <w:rPr>
          <w:sz w:val="28"/>
          <w:szCs w:val="28"/>
        </w:rPr>
        <w:t xml:space="preserve">. </w:t>
      </w:r>
      <w:r w:rsidR="00A64585" w:rsidRPr="00DB3840">
        <w:rPr>
          <w:sz w:val="28"/>
          <w:szCs w:val="28"/>
        </w:rPr>
        <w:t>A</w:t>
      </w:r>
      <w:r w:rsidRPr="00DB3840">
        <w:rPr>
          <w:sz w:val="28"/>
          <w:szCs w:val="28"/>
        </w:rPr>
        <w:t xml:space="preserve"> </w:t>
      </w:r>
      <w:r w:rsidR="00812393">
        <w:rPr>
          <w:sz w:val="28"/>
          <w:szCs w:val="28"/>
        </w:rPr>
        <w:t xml:space="preserve">proposed </w:t>
      </w:r>
      <w:r w:rsidRPr="00DB3840">
        <w:rPr>
          <w:sz w:val="28"/>
          <w:szCs w:val="28"/>
        </w:rPr>
        <w:t xml:space="preserve">amendment </w:t>
      </w:r>
      <w:r w:rsidR="00A64585" w:rsidRPr="00DB3840">
        <w:rPr>
          <w:sz w:val="28"/>
          <w:szCs w:val="28"/>
        </w:rPr>
        <w:t xml:space="preserve">to subsection (e) </w:t>
      </w:r>
      <w:r w:rsidRPr="00DB3840">
        <w:rPr>
          <w:sz w:val="28"/>
          <w:szCs w:val="28"/>
        </w:rPr>
        <w:t xml:space="preserve">adds this obligation </w:t>
      </w:r>
      <w:r w:rsidR="007C11F1" w:rsidRPr="00DB3840">
        <w:rPr>
          <w:sz w:val="28"/>
          <w:szCs w:val="28"/>
        </w:rPr>
        <w:t xml:space="preserve">even if the services the firm provides to the client are purely nonlegal. </w:t>
      </w:r>
      <w:r w:rsidRPr="00DB3840">
        <w:rPr>
          <w:sz w:val="28"/>
          <w:szCs w:val="28"/>
        </w:rPr>
        <w:t xml:space="preserve">The amendment thus </w:t>
      </w:r>
      <w:r w:rsidR="007C11F1" w:rsidRPr="00DB3840">
        <w:rPr>
          <w:sz w:val="28"/>
          <w:szCs w:val="28"/>
        </w:rPr>
        <w:t>clarifies that regardless whether a client is receiving legal services from a lawyer or receiving nonlegal services from a nonlawyer</w:t>
      </w:r>
      <w:r w:rsidR="00A64585" w:rsidRPr="00DB3840">
        <w:rPr>
          <w:sz w:val="28"/>
          <w:szCs w:val="28"/>
        </w:rPr>
        <w:t xml:space="preserve"> in </w:t>
      </w:r>
      <w:r w:rsidR="00812393">
        <w:rPr>
          <w:sz w:val="28"/>
          <w:szCs w:val="28"/>
        </w:rPr>
        <w:t>the same</w:t>
      </w:r>
      <w:r w:rsidR="00A64585" w:rsidRPr="00DB3840">
        <w:rPr>
          <w:sz w:val="28"/>
          <w:szCs w:val="28"/>
        </w:rPr>
        <w:t xml:space="preserve"> firm</w:t>
      </w:r>
      <w:r w:rsidR="007C11F1" w:rsidRPr="00DB3840">
        <w:rPr>
          <w:sz w:val="28"/>
          <w:szCs w:val="28"/>
        </w:rPr>
        <w:t xml:space="preserve">, the traditional protections </w:t>
      </w:r>
      <w:r w:rsidR="00812393">
        <w:rPr>
          <w:sz w:val="28"/>
          <w:szCs w:val="28"/>
        </w:rPr>
        <w:t>to</w:t>
      </w:r>
      <w:r w:rsidR="007C11F1" w:rsidRPr="00DB3840">
        <w:rPr>
          <w:sz w:val="28"/>
          <w:szCs w:val="28"/>
        </w:rPr>
        <w:t xml:space="preserve"> the client’s information apply to all aspects of the business.</w:t>
      </w:r>
    </w:p>
    <w:p w:rsidR="001979A2" w:rsidRPr="00B71ADB" w:rsidRDefault="001979A2" w:rsidP="00CB2694">
      <w:pPr>
        <w:pStyle w:val="ListParagraph"/>
        <w:numPr>
          <w:ilvl w:val="0"/>
          <w:numId w:val="3"/>
        </w:numPr>
        <w:spacing w:after="120" w:line="480" w:lineRule="auto"/>
        <w:ind w:left="1440"/>
        <w:jc w:val="both"/>
        <w:rPr>
          <w:b/>
          <w:iCs/>
          <w:sz w:val="28"/>
          <w:szCs w:val="28"/>
        </w:rPr>
      </w:pPr>
      <w:r w:rsidRPr="00B71ADB">
        <w:rPr>
          <w:b/>
          <w:iCs/>
          <w:sz w:val="28"/>
          <w:szCs w:val="28"/>
        </w:rPr>
        <w:t>Conflict-free representation</w:t>
      </w:r>
      <w:r w:rsidR="00B313AE" w:rsidRPr="00B71ADB">
        <w:rPr>
          <w:b/>
          <w:iCs/>
          <w:sz w:val="28"/>
          <w:szCs w:val="28"/>
        </w:rPr>
        <w:t>: ER 1.7, ER 1.8, ER 1.10</w:t>
      </w:r>
    </w:p>
    <w:p w:rsidR="007F54A2" w:rsidRPr="00B71ADB" w:rsidRDefault="007C11F1" w:rsidP="00CB2694">
      <w:pPr>
        <w:pStyle w:val="ListParagraph"/>
        <w:numPr>
          <w:ilvl w:val="0"/>
          <w:numId w:val="6"/>
        </w:numPr>
        <w:spacing w:line="480" w:lineRule="auto"/>
        <w:jc w:val="both"/>
        <w:rPr>
          <w:b/>
          <w:iCs/>
          <w:sz w:val="28"/>
          <w:szCs w:val="28"/>
        </w:rPr>
      </w:pPr>
      <w:r w:rsidRPr="00B71ADB">
        <w:rPr>
          <w:b/>
          <w:iCs/>
          <w:sz w:val="28"/>
          <w:szCs w:val="28"/>
        </w:rPr>
        <w:t xml:space="preserve">ER 1.7 </w:t>
      </w:r>
      <w:r w:rsidR="009D1C29" w:rsidRPr="00B71ADB">
        <w:rPr>
          <w:b/>
          <w:iCs/>
          <w:sz w:val="28"/>
          <w:szCs w:val="28"/>
        </w:rPr>
        <w:t>(</w:t>
      </w:r>
      <w:r w:rsidRPr="00B71ADB">
        <w:rPr>
          <w:b/>
          <w:iCs/>
          <w:sz w:val="28"/>
          <w:szCs w:val="28"/>
        </w:rPr>
        <w:t>Conflict of Interest: Current Clients</w:t>
      </w:r>
      <w:r w:rsidR="00B313AE" w:rsidRPr="00B71ADB">
        <w:rPr>
          <w:b/>
          <w:iCs/>
          <w:sz w:val="28"/>
          <w:szCs w:val="28"/>
        </w:rPr>
        <w:t>)</w:t>
      </w:r>
    </w:p>
    <w:p w:rsidR="00B313AE" w:rsidRPr="007F54A2" w:rsidRDefault="007C11F1" w:rsidP="007F54A2">
      <w:pPr>
        <w:spacing w:line="480" w:lineRule="auto"/>
        <w:ind w:firstLine="720"/>
        <w:jc w:val="both"/>
        <w:rPr>
          <w:iCs/>
          <w:sz w:val="28"/>
          <w:szCs w:val="28"/>
        </w:rPr>
      </w:pPr>
      <w:r w:rsidRPr="00DB3840">
        <w:rPr>
          <w:iCs/>
          <w:sz w:val="28"/>
          <w:szCs w:val="28"/>
        </w:rPr>
        <w:t xml:space="preserve">There are no proposed amendments to ER 1.7. However, the concept of personal-interest conflicts addressed in </w:t>
      </w:r>
      <w:r w:rsidR="00A64585" w:rsidRPr="00DB3840">
        <w:rPr>
          <w:iCs/>
          <w:sz w:val="28"/>
          <w:szCs w:val="28"/>
        </w:rPr>
        <w:t xml:space="preserve">ER 1.7 </w:t>
      </w:r>
      <w:r w:rsidRPr="00DB3840">
        <w:rPr>
          <w:iCs/>
          <w:sz w:val="28"/>
          <w:szCs w:val="28"/>
        </w:rPr>
        <w:t xml:space="preserve">comment </w:t>
      </w:r>
      <w:r w:rsidR="001979A2" w:rsidRPr="00DB3840">
        <w:rPr>
          <w:iCs/>
          <w:sz w:val="28"/>
          <w:szCs w:val="28"/>
        </w:rPr>
        <w:t>[</w:t>
      </w:r>
      <w:r w:rsidRPr="00DB3840">
        <w:rPr>
          <w:iCs/>
          <w:sz w:val="28"/>
          <w:szCs w:val="28"/>
        </w:rPr>
        <w:t>10</w:t>
      </w:r>
      <w:r w:rsidR="001979A2" w:rsidRPr="00DB3840">
        <w:rPr>
          <w:iCs/>
          <w:sz w:val="28"/>
          <w:szCs w:val="28"/>
        </w:rPr>
        <w:t>]</w:t>
      </w:r>
      <w:r w:rsidRPr="00DB3840">
        <w:rPr>
          <w:iCs/>
          <w:sz w:val="28"/>
          <w:szCs w:val="28"/>
        </w:rPr>
        <w:t xml:space="preserve"> </w:t>
      </w:r>
      <w:r w:rsidR="001979A2" w:rsidRPr="00DB3840">
        <w:rPr>
          <w:iCs/>
          <w:sz w:val="28"/>
          <w:szCs w:val="28"/>
        </w:rPr>
        <w:t>was</w:t>
      </w:r>
      <w:r w:rsidRPr="00DB3840">
        <w:rPr>
          <w:iCs/>
          <w:sz w:val="28"/>
          <w:szCs w:val="28"/>
        </w:rPr>
        <w:t xml:space="preserve"> imported into </w:t>
      </w:r>
      <w:r w:rsidR="00812393">
        <w:rPr>
          <w:iCs/>
          <w:sz w:val="28"/>
          <w:szCs w:val="28"/>
        </w:rPr>
        <w:t>a</w:t>
      </w:r>
      <w:r w:rsidR="00812393" w:rsidRPr="00DB3840">
        <w:rPr>
          <w:iCs/>
          <w:sz w:val="28"/>
          <w:szCs w:val="28"/>
        </w:rPr>
        <w:t xml:space="preserve"> </w:t>
      </w:r>
      <w:r w:rsidRPr="00DB3840">
        <w:rPr>
          <w:iCs/>
          <w:sz w:val="28"/>
          <w:szCs w:val="28"/>
        </w:rPr>
        <w:t xml:space="preserve">new definition </w:t>
      </w:r>
      <w:r w:rsidR="00812393">
        <w:rPr>
          <w:iCs/>
          <w:sz w:val="28"/>
          <w:szCs w:val="28"/>
        </w:rPr>
        <w:t>of personal-interest conflict in</w:t>
      </w:r>
      <w:r w:rsidR="00812393" w:rsidRPr="00DB3840">
        <w:rPr>
          <w:iCs/>
          <w:sz w:val="28"/>
          <w:szCs w:val="28"/>
        </w:rPr>
        <w:t xml:space="preserve"> </w:t>
      </w:r>
      <w:r w:rsidRPr="00DB3840">
        <w:rPr>
          <w:iCs/>
          <w:sz w:val="28"/>
          <w:szCs w:val="28"/>
        </w:rPr>
        <w:t xml:space="preserve">ER 1.0(o). </w:t>
      </w:r>
      <w:r w:rsidR="001979A2" w:rsidRPr="00DB3840">
        <w:rPr>
          <w:iCs/>
          <w:sz w:val="28"/>
          <w:szCs w:val="28"/>
        </w:rPr>
        <w:t xml:space="preserve">Existing comment [10] </w:t>
      </w:r>
      <w:r w:rsidR="00A64585" w:rsidRPr="00DB3840">
        <w:rPr>
          <w:iCs/>
          <w:sz w:val="28"/>
          <w:szCs w:val="28"/>
        </w:rPr>
        <w:t xml:space="preserve">therefore </w:t>
      </w:r>
      <w:r w:rsidR="00466CFB">
        <w:rPr>
          <w:iCs/>
          <w:sz w:val="28"/>
          <w:szCs w:val="28"/>
        </w:rPr>
        <w:t>was</w:t>
      </w:r>
      <w:r w:rsidR="001979A2" w:rsidRPr="00DB3840">
        <w:rPr>
          <w:iCs/>
          <w:sz w:val="28"/>
          <w:szCs w:val="28"/>
        </w:rPr>
        <w:t xml:space="preserve"> eliminated.</w:t>
      </w:r>
    </w:p>
    <w:p w:rsidR="007C11F1" w:rsidRPr="00B71ADB" w:rsidRDefault="007C11F1" w:rsidP="00CB2694">
      <w:pPr>
        <w:pStyle w:val="ListParagraph"/>
        <w:numPr>
          <w:ilvl w:val="0"/>
          <w:numId w:val="6"/>
        </w:numPr>
        <w:jc w:val="both"/>
        <w:rPr>
          <w:b/>
          <w:iCs/>
          <w:sz w:val="28"/>
          <w:szCs w:val="28"/>
        </w:rPr>
      </w:pPr>
      <w:r w:rsidRPr="00B71ADB">
        <w:rPr>
          <w:b/>
          <w:iCs/>
          <w:sz w:val="28"/>
          <w:szCs w:val="28"/>
        </w:rPr>
        <w:t xml:space="preserve">ER 1.8 </w:t>
      </w:r>
      <w:r w:rsidR="009D1C29" w:rsidRPr="00B71ADB">
        <w:rPr>
          <w:b/>
          <w:iCs/>
          <w:sz w:val="28"/>
          <w:szCs w:val="28"/>
        </w:rPr>
        <w:t>(</w:t>
      </w:r>
      <w:r w:rsidRPr="00B71ADB">
        <w:rPr>
          <w:b/>
          <w:iCs/>
          <w:sz w:val="28"/>
          <w:szCs w:val="28"/>
        </w:rPr>
        <w:t>Conflict of Interest: Current Clients: Specific Rules</w:t>
      </w:r>
      <w:r w:rsidR="009D1C29" w:rsidRPr="00B71ADB">
        <w:rPr>
          <w:b/>
          <w:iCs/>
          <w:sz w:val="28"/>
          <w:szCs w:val="28"/>
        </w:rPr>
        <w:t>)</w:t>
      </w:r>
    </w:p>
    <w:p w:rsidR="007F54A2" w:rsidRPr="00DB3840" w:rsidRDefault="007F54A2" w:rsidP="007F54A2">
      <w:pPr>
        <w:pStyle w:val="ListParagraph"/>
        <w:ind w:left="2520"/>
        <w:jc w:val="both"/>
        <w:rPr>
          <w:b/>
          <w:iCs/>
          <w:sz w:val="28"/>
          <w:szCs w:val="28"/>
          <w:highlight w:val="yellow"/>
        </w:rPr>
      </w:pPr>
    </w:p>
    <w:p w:rsidR="001979A2" w:rsidRPr="00DB3840" w:rsidRDefault="007C11F1" w:rsidP="007F54A2">
      <w:pPr>
        <w:spacing w:line="480" w:lineRule="auto"/>
        <w:jc w:val="both"/>
        <w:rPr>
          <w:sz w:val="28"/>
          <w:szCs w:val="28"/>
        </w:rPr>
      </w:pPr>
      <w:r w:rsidRPr="00DB3840">
        <w:rPr>
          <w:sz w:val="28"/>
          <w:szCs w:val="28"/>
        </w:rPr>
        <w:tab/>
      </w:r>
      <w:r w:rsidR="001979A2" w:rsidRPr="00DB3840">
        <w:rPr>
          <w:sz w:val="28"/>
          <w:szCs w:val="28"/>
        </w:rPr>
        <w:t xml:space="preserve">The possibility that a firm may provide legal and non-legal services raises the specter of </w:t>
      </w:r>
      <w:r w:rsidR="00A64585" w:rsidRPr="00DB3840">
        <w:rPr>
          <w:sz w:val="28"/>
          <w:szCs w:val="28"/>
        </w:rPr>
        <w:t>lawyers referring their legal</w:t>
      </w:r>
      <w:r w:rsidR="001979A2" w:rsidRPr="00DB3840">
        <w:rPr>
          <w:sz w:val="28"/>
          <w:szCs w:val="28"/>
        </w:rPr>
        <w:t xml:space="preserve"> clients to the firm’s nonlawyers for services. This is not a new ethical issue, considering that law firms already may provide law-related services </w:t>
      </w:r>
      <w:r w:rsidR="00A64585" w:rsidRPr="00DB3840">
        <w:rPr>
          <w:sz w:val="28"/>
          <w:szCs w:val="28"/>
        </w:rPr>
        <w:t>and some</w:t>
      </w:r>
      <w:r w:rsidR="001979A2" w:rsidRPr="00DB3840">
        <w:rPr>
          <w:sz w:val="28"/>
          <w:szCs w:val="28"/>
        </w:rPr>
        <w:t xml:space="preserve"> lawyers have businesses </w:t>
      </w:r>
      <w:r w:rsidR="00A64585" w:rsidRPr="00DB3840">
        <w:rPr>
          <w:sz w:val="28"/>
          <w:szCs w:val="28"/>
        </w:rPr>
        <w:t>in addition</w:t>
      </w:r>
      <w:r w:rsidR="001979A2" w:rsidRPr="00DB3840">
        <w:rPr>
          <w:sz w:val="28"/>
          <w:szCs w:val="28"/>
        </w:rPr>
        <w:t xml:space="preserve"> </w:t>
      </w:r>
      <w:r w:rsidR="00254726">
        <w:rPr>
          <w:sz w:val="28"/>
          <w:szCs w:val="28"/>
        </w:rPr>
        <w:t>to</w:t>
      </w:r>
      <w:r w:rsidR="00254726" w:rsidRPr="00DB3840">
        <w:rPr>
          <w:sz w:val="28"/>
          <w:szCs w:val="28"/>
        </w:rPr>
        <w:t xml:space="preserve"> </w:t>
      </w:r>
      <w:r w:rsidR="001979A2" w:rsidRPr="00DB3840">
        <w:rPr>
          <w:sz w:val="28"/>
          <w:szCs w:val="28"/>
        </w:rPr>
        <w:t>their law practices. If</w:t>
      </w:r>
      <w:r w:rsidR="00DD4D89" w:rsidRPr="00DB3840">
        <w:rPr>
          <w:sz w:val="28"/>
          <w:szCs w:val="28"/>
        </w:rPr>
        <w:t xml:space="preserve">, however, </w:t>
      </w:r>
      <w:r w:rsidR="001979A2" w:rsidRPr="00DB3840">
        <w:rPr>
          <w:sz w:val="28"/>
          <w:szCs w:val="28"/>
        </w:rPr>
        <w:t xml:space="preserve">ER 5.4 is eliminated, and </w:t>
      </w:r>
      <w:r w:rsidR="00812393">
        <w:rPr>
          <w:sz w:val="28"/>
          <w:szCs w:val="28"/>
        </w:rPr>
        <w:t>an</w:t>
      </w:r>
      <w:r w:rsidR="001979A2" w:rsidRPr="00DB3840">
        <w:rPr>
          <w:sz w:val="28"/>
          <w:szCs w:val="28"/>
        </w:rPr>
        <w:t xml:space="preserve"> entity can </w:t>
      </w:r>
      <w:r w:rsidR="00DD4D89" w:rsidRPr="00DB3840">
        <w:rPr>
          <w:sz w:val="28"/>
          <w:szCs w:val="28"/>
        </w:rPr>
        <w:t>employ a lawyer to provide legal services to third parties</w:t>
      </w:r>
      <w:r w:rsidR="001979A2" w:rsidRPr="00DB3840">
        <w:rPr>
          <w:sz w:val="28"/>
          <w:szCs w:val="28"/>
        </w:rPr>
        <w:t xml:space="preserve">, </w:t>
      </w:r>
      <w:r w:rsidR="00DD4D89" w:rsidRPr="00DB3840">
        <w:rPr>
          <w:sz w:val="28"/>
          <w:szCs w:val="28"/>
        </w:rPr>
        <w:t xml:space="preserve">the referral issue becomes more </w:t>
      </w:r>
      <w:r w:rsidR="004C68FF" w:rsidRPr="00DB3840">
        <w:rPr>
          <w:sz w:val="28"/>
          <w:szCs w:val="28"/>
        </w:rPr>
        <w:t>significant</w:t>
      </w:r>
      <w:r w:rsidR="00DD4D89" w:rsidRPr="00DB3840">
        <w:rPr>
          <w:sz w:val="28"/>
          <w:szCs w:val="28"/>
        </w:rPr>
        <w:t>.</w:t>
      </w:r>
    </w:p>
    <w:p w:rsidR="00DD4D89" w:rsidRPr="00DB3840" w:rsidRDefault="00DD4D89" w:rsidP="007F54A2">
      <w:pPr>
        <w:spacing w:line="480" w:lineRule="auto"/>
        <w:jc w:val="both"/>
        <w:rPr>
          <w:sz w:val="28"/>
          <w:szCs w:val="28"/>
        </w:rPr>
      </w:pPr>
      <w:r w:rsidRPr="00DB3840">
        <w:rPr>
          <w:sz w:val="28"/>
          <w:szCs w:val="28"/>
        </w:rPr>
        <w:tab/>
      </w:r>
      <w:r w:rsidR="00812393">
        <w:rPr>
          <w:sz w:val="28"/>
          <w:szCs w:val="28"/>
        </w:rPr>
        <w:t>The</w:t>
      </w:r>
      <w:r w:rsidR="00812393" w:rsidRPr="00DB3840">
        <w:rPr>
          <w:sz w:val="28"/>
          <w:szCs w:val="28"/>
        </w:rPr>
        <w:t xml:space="preserve"> </w:t>
      </w:r>
      <w:r w:rsidR="004C68FF" w:rsidRPr="00DB3840">
        <w:rPr>
          <w:sz w:val="28"/>
          <w:szCs w:val="28"/>
        </w:rPr>
        <w:t xml:space="preserve">proposed </w:t>
      </w:r>
      <w:r w:rsidR="007C11F1" w:rsidRPr="00DB3840">
        <w:rPr>
          <w:sz w:val="28"/>
          <w:szCs w:val="28"/>
        </w:rPr>
        <w:t xml:space="preserve">amendment to </w:t>
      </w:r>
      <w:r w:rsidR="004C68FF" w:rsidRPr="00DB3840">
        <w:rPr>
          <w:sz w:val="28"/>
          <w:szCs w:val="28"/>
        </w:rPr>
        <w:t>ER 1.8</w:t>
      </w:r>
      <w:r w:rsidR="007C11F1" w:rsidRPr="00DB3840">
        <w:rPr>
          <w:sz w:val="28"/>
          <w:szCs w:val="28"/>
        </w:rPr>
        <w:t xml:space="preserve"> adds subsection (m), which </w:t>
      </w:r>
      <w:r w:rsidR="004462BD" w:rsidRPr="00DB3840">
        <w:rPr>
          <w:sz w:val="28"/>
          <w:szCs w:val="28"/>
        </w:rPr>
        <w:t>states</w:t>
      </w:r>
      <w:r w:rsidR="007C11F1" w:rsidRPr="00DB3840">
        <w:rPr>
          <w:sz w:val="28"/>
          <w:szCs w:val="28"/>
        </w:rPr>
        <w:t xml:space="preserve"> that when lawyers refer clients for nonlegal services provided either by the lawyer or nonlawyers in the firm or refer clients to a separate entity in which the lawyer has a financial interest, they must comply with ERs 1.7 and 1.8(a).  This </w:t>
      </w:r>
      <w:r w:rsidR="00812393">
        <w:rPr>
          <w:sz w:val="28"/>
          <w:szCs w:val="28"/>
        </w:rPr>
        <w:t>proposed amendment</w:t>
      </w:r>
      <w:r w:rsidR="00812393" w:rsidRPr="00DB3840">
        <w:rPr>
          <w:sz w:val="28"/>
          <w:szCs w:val="28"/>
        </w:rPr>
        <w:t xml:space="preserve"> </w:t>
      </w:r>
      <w:r w:rsidR="00812393">
        <w:rPr>
          <w:sz w:val="28"/>
          <w:szCs w:val="28"/>
        </w:rPr>
        <w:t>is based on</w:t>
      </w:r>
      <w:r w:rsidR="00812393" w:rsidRPr="00DB3840">
        <w:rPr>
          <w:sz w:val="28"/>
          <w:szCs w:val="28"/>
        </w:rPr>
        <w:t xml:space="preserve"> </w:t>
      </w:r>
      <w:r w:rsidR="007C11F1" w:rsidRPr="00DB3840">
        <w:rPr>
          <w:sz w:val="28"/>
          <w:szCs w:val="28"/>
        </w:rPr>
        <w:t xml:space="preserve">content from </w:t>
      </w:r>
      <w:r w:rsidRPr="00DB3840">
        <w:rPr>
          <w:sz w:val="28"/>
          <w:szCs w:val="28"/>
        </w:rPr>
        <w:t xml:space="preserve">ER 1.8 </w:t>
      </w:r>
      <w:r w:rsidR="007C11F1" w:rsidRPr="00DB3840">
        <w:rPr>
          <w:sz w:val="28"/>
          <w:szCs w:val="28"/>
        </w:rPr>
        <w:t xml:space="preserve">comment </w:t>
      </w:r>
      <w:r w:rsidRPr="00DB3840">
        <w:rPr>
          <w:sz w:val="28"/>
          <w:szCs w:val="28"/>
        </w:rPr>
        <w:t>[</w:t>
      </w:r>
      <w:r w:rsidR="007C11F1" w:rsidRPr="00DB3840">
        <w:rPr>
          <w:sz w:val="28"/>
          <w:szCs w:val="28"/>
        </w:rPr>
        <w:t>3</w:t>
      </w:r>
      <w:r w:rsidRPr="00DB3840">
        <w:rPr>
          <w:sz w:val="28"/>
          <w:szCs w:val="28"/>
        </w:rPr>
        <w:t>]</w:t>
      </w:r>
      <w:r w:rsidR="00812393">
        <w:rPr>
          <w:sz w:val="28"/>
          <w:szCs w:val="28"/>
        </w:rPr>
        <w:t>.</w:t>
      </w:r>
    </w:p>
    <w:p w:rsidR="009D1C29" w:rsidRDefault="00DD4D89" w:rsidP="00712F08">
      <w:pPr>
        <w:spacing w:line="480" w:lineRule="auto"/>
        <w:ind w:firstLine="720"/>
        <w:jc w:val="both"/>
        <w:rPr>
          <w:sz w:val="28"/>
          <w:szCs w:val="28"/>
        </w:rPr>
      </w:pPr>
      <w:r w:rsidRPr="00DB3840">
        <w:rPr>
          <w:sz w:val="28"/>
          <w:szCs w:val="28"/>
        </w:rPr>
        <w:t>ER 1.8</w:t>
      </w:r>
      <w:r w:rsidR="007C11F1" w:rsidRPr="00DB3840">
        <w:rPr>
          <w:sz w:val="28"/>
          <w:szCs w:val="28"/>
        </w:rPr>
        <w:t xml:space="preserve"> comments </w:t>
      </w:r>
      <w:r w:rsidRPr="00DB3840">
        <w:rPr>
          <w:sz w:val="28"/>
          <w:szCs w:val="28"/>
        </w:rPr>
        <w:t>[</w:t>
      </w:r>
      <w:r w:rsidR="007C11F1" w:rsidRPr="00DB3840">
        <w:rPr>
          <w:sz w:val="28"/>
          <w:szCs w:val="28"/>
        </w:rPr>
        <w:t>1</w:t>
      </w:r>
      <w:r w:rsidRPr="00DB3840">
        <w:rPr>
          <w:sz w:val="28"/>
          <w:szCs w:val="28"/>
        </w:rPr>
        <w:t>]</w:t>
      </w:r>
      <w:r w:rsidR="007C11F1" w:rsidRPr="00DB3840">
        <w:rPr>
          <w:sz w:val="28"/>
          <w:szCs w:val="28"/>
        </w:rPr>
        <w:t xml:space="preserve">, </w:t>
      </w:r>
      <w:r w:rsidRPr="00DB3840">
        <w:rPr>
          <w:sz w:val="28"/>
          <w:szCs w:val="28"/>
        </w:rPr>
        <w:t>[</w:t>
      </w:r>
      <w:r w:rsidR="007C11F1" w:rsidRPr="00DB3840">
        <w:rPr>
          <w:sz w:val="28"/>
          <w:szCs w:val="28"/>
        </w:rPr>
        <w:t>2</w:t>
      </w:r>
      <w:r w:rsidRPr="00DB3840">
        <w:rPr>
          <w:sz w:val="28"/>
          <w:szCs w:val="28"/>
        </w:rPr>
        <w:t>]</w:t>
      </w:r>
      <w:r w:rsidR="007C11F1" w:rsidRPr="00DB3840">
        <w:rPr>
          <w:sz w:val="28"/>
          <w:szCs w:val="28"/>
        </w:rPr>
        <w:t xml:space="preserve">, and </w:t>
      </w:r>
      <w:r w:rsidRPr="00DB3840">
        <w:rPr>
          <w:sz w:val="28"/>
          <w:szCs w:val="28"/>
        </w:rPr>
        <w:t>[</w:t>
      </w:r>
      <w:r w:rsidR="007C11F1" w:rsidRPr="00DB3840">
        <w:rPr>
          <w:sz w:val="28"/>
          <w:szCs w:val="28"/>
        </w:rPr>
        <w:t>3</w:t>
      </w:r>
      <w:r w:rsidRPr="00DB3840">
        <w:rPr>
          <w:sz w:val="28"/>
          <w:szCs w:val="28"/>
        </w:rPr>
        <w:t xml:space="preserve">] </w:t>
      </w:r>
      <w:r w:rsidR="00466CFB">
        <w:rPr>
          <w:sz w:val="28"/>
          <w:szCs w:val="28"/>
        </w:rPr>
        <w:t>were</w:t>
      </w:r>
      <w:r w:rsidR="007C11F1" w:rsidRPr="00DB3840">
        <w:rPr>
          <w:sz w:val="28"/>
          <w:szCs w:val="28"/>
        </w:rPr>
        <w:t xml:space="preserve"> deleted</w:t>
      </w:r>
      <w:r w:rsidR="004462BD" w:rsidRPr="00DB3840">
        <w:rPr>
          <w:sz w:val="28"/>
          <w:szCs w:val="28"/>
        </w:rPr>
        <w:t xml:space="preserve">. </w:t>
      </w:r>
      <w:r w:rsidR="007C11F1" w:rsidRPr="00DB3840">
        <w:rPr>
          <w:sz w:val="28"/>
          <w:szCs w:val="28"/>
        </w:rPr>
        <w:t xml:space="preserve"> </w:t>
      </w:r>
      <w:r w:rsidR="004462BD" w:rsidRPr="00DB3840">
        <w:rPr>
          <w:sz w:val="28"/>
          <w:szCs w:val="28"/>
        </w:rPr>
        <w:t>R</w:t>
      </w:r>
      <w:r w:rsidR="007C11F1" w:rsidRPr="00DB3840">
        <w:rPr>
          <w:sz w:val="28"/>
          <w:szCs w:val="28"/>
        </w:rPr>
        <w:t xml:space="preserve">elevant parts of comments </w:t>
      </w:r>
      <w:r w:rsidRPr="00DB3840">
        <w:rPr>
          <w:sz w:val="28"/>
          <w:szCs w:val="28"/>
        </w:rPr>
        <w:t>[</w:t>
      </w:r>
      <w:r w:rsidR="007C11F1" w:rsidRPr="00DB3840">
        <w:rPr>
          <w:sz w:val="28"/>
          <w:szCs w:val="28"/>
        </w:rPr>
        <w:t>1</w:t>
      </w:r>
      <w:r w:rsidRPr="00DB3840">
        <w:rPr>
          <w:sz w:val="28"/>
          <w:szCs w:val="28"/>
        </w:rPr>
        <w:t>]</w:t>
      </w:r>
      <w:r w:rsidR="007C11F1" w:rsidRPr="00DB3840">
        <w:rPr>
          <w:sz w:val="28"/>
          <w:szCs w:val="28"/>
        </w:rPr>
        <w:t xml:space="preserve"> and </w:t>
      </w:r>
      <w:r w:rsidRPr="00DB3840">
        <w:rPr>
          <w:sz w:val="28"/>
          <w:szCs w:val="28"/>
        </w:rPr>
        <w:t>[</w:t>
      </w:r>
      <w:r w:rsidR="007C11F1" w:rsidRPr="00DB3840">
        <w:rPr>
          <w:sz w:val="28"/>
          <w:szCs w:val="28"/>
        </w:rPr>
        <w:t>3</w:t>
      </w:r>
      <w:r w:rsidRPr="00DB3840">
        <w:rPr>
          <w:sz w:val="28"/>
          <w:szCs w:val="28"/>
        </w:rPr>
        <w:t>]</w:t>
      </w:r>
      <w:r w:rsidR="007C11F1" w:rsidRPr="00DB3840">
        <w:rPr>
          <w:sz w:val="28"/>
          <w:szCs w:val="28"/>
        </w:rPr>
        <w:t xml:space="preserve"> </w:t>
      </w:r>
      <w:r w:rsidR="004462BD" w:rsidRPr="00DB3840">
        <w:rPr>
          <w:sz w:val="28"/>
          <w:szCs w:val="28"/>
        </w:rPr>
        <w:t>have been</w:t>
      </w:r>
      <w:r w:rsidR="007C11F1" w:rsidRPr="00DB3840">
        <w:rPr>
          <w:sz w:val="28"/>
          <w:szCs w:val="28"/>
        </w:rPr>
        <w:t xml:space="preserve"> made part of a new definition of “business transaction” in ER 1.0(n)</w:t>
      </w:r>
      <w:r w:rsidR="004462BD" w:rsidRPr="00DB3840">
        <w:rPr>
          <w:sz w:val="28"/>
          <w:szCs w:val="28"/>
        </w:rPr>
        <w:t>. C</w:t>
      </w:r>
      <w:r w:rsidR="007C11F1" w:rsidRPr="00DB3840">
        <w:rPr>
          <w:sz w:val="28"/>
          <w:szCs w:val="28"/>
        </w:rPr>
        <w:t xml:space="preserve">omment </w:t>
      </w:r>
      <w:r w:rsidRPr="00DB3840">
        <w:rPr>
          <w:sz w:val="28"/>
          <w:szCs w:val="28"/>
        </w:rPr>
        <w:t>[</w:t>
      </w:r>
      <w:r w:rsidR="007C11F1" w:rsidRPr="00DB3840">
        <w:rPr>
          <w:sz w:val="28"/>
          <w:szCs w:val="28"/>
        </w:rPr>
        <w:t>2</w:t>
      </w:r>
      <w:r w:rsidRPr="00DB3840">
        <w:rPr>
          <w:sz w:val="28"/>
          <w:szCs w:val="28"/>
        </w:rPr>
        <w:t>]</w:t>
      </w:r>
      <w:r w:rsidR="007C11F1" w:rsidRPr="00DB3840">
        <w:rPr>
          <w:sz w:val="28"/>
          <w:szCs w:val="28"/>
        </w:rPr>
        <w:t xml:space="preserve"> merely restates ER 1.8(a) and is therefore redundant</w:t>
      </w:r>
      <w:r w:rsidR="00EC0A0D">
        <w:rPr>
          <w:sz w:val="28"/>
          <w:szCs w:val="28"/>
        </w:rPr>
        <w:t xml:space="preserve"> and thus deleted</w:t>
      </w:r>
      <w:r w:rsidR="007C11F1" w:rsidRPr="00DB3840">
        <w:rPr>
          <w:sz w:val="28"/>
          <w:szCs w:val="28"/>
        </w:rPr>
        <w:t>.</w:t>
      </w:r>
    </w:p>
    <w:p w:rsidR="00DB737F" w:rsidRPr="00DB3840" w:rsidRDefault="00DB737F" w:rsidP="00712F08">
      <w:pPr>
        <w:spacing w:line="480" w:lineRule="auto"/>
        <w:ind w:firstLine="720"/>
        <w:jc w:val="both"/>
        <w:rPr>
          <w:sz w:val="28"/>
          <w:szCs w:val="28"/>
        </w:rPr>
      </w:pPr>
    </w:p>
    <w:p w:rsidR="009D1C29" w:rsidRPr="00B71ADB" w:rsidRDefault="007C11F1" w:rsidP="00CB2694">
      <w:pPr>
        <w:pStyle w:val="ListParagraph"/>
        <w:numPr>
          <w:ilvl w:val="0"/>
          <w:numId w:val="6"/>
        </w:numPr>
        <w:jc w:val="both"/>
        <w:rPr>
          <w:b/>
          <w:iCs/>
          <w:sz w:val="28"/>
          <w:szCs w:val="28"/>
        </w:rPr>
      </w:pPr>
      <w:r w:rsidRPr="00B71ADB">
        <w:rPr>
          <w:b/>
          <w:iCs/>
          <w:sz w:val="28"/>
          <w:szCs w:val="28"/>
        </w:rPr>
        <w:t xml:space="preserve">ER 1.10 </w:t>
      </w:r>
      <w:r w:rsidR="009D1C29" w:rsidRPr="00B71ADB">
        <w:rPr>
          <w:b/>
          <w:iCs/>
          <w:sz w:val="28"/>
          <w:szCs w:val="28"/>
        </w:rPr>
        <w:t>(</w:t>
      </w:r>
      <w:r w:rsidRPr="00B71ADB">
        <w:rPr>
          <w:b/>
          <w:iCs/>
          <w:sz w:val="28"/>
          <w:szCs w:val="28"/>
        </w:rPr>
        <w:t>Imputation of Conflicts of Interest: General Rule</w:t>
      </w:r>
      <w:r w:rsidR="009D1C29" w:rsidRPr="00B71ADB">
        <w:rPr>
          <w:b/>
          <w:iCs/>
          <w:sz w:val="28"/>
          <w:szCs w:val="28"/>
        </w:rPr>
        <w:t>)</w:t>
      </w:r>
    </w:p>
    <w:p w:rsidR="007F54A2" w:rsidRPr="00DB3840" w:rsidRDefault="007F54A2" w:rsidP="007F54A2">
      <w:pPr>
        <w:pStyle w:val="ListParagraph"/>
        <w:ind w:left="2520"/>
        <w:jc w:val="both"/>
        <w:rPr>
          <w:b/>
          <w:iCs/>
          <w:sz w:val="28"/>
          <w:szCs w:val="28"/>
          <w:highlight w:val="yellow"/>
        </w:rPr>
      </w:pPr>
    </w:p>
    <w:p w:rsidR="00DD4D89" w:rsidRPr="00DB3840" w:rsidRDefault="007C11F1" w:rsidP="007F54A2">
      <w:pPr>
        <w:spacing w:line="480" w:lineRule="auto"/>
        <w:jc w:val="both"/>
        <w:rPr>
          <w:sz w:val="28"/>
          <w:szCs w:val="28"/>
        </w:rPr>
      </w:pPr>
      <w:r w:rsidRPr="00DB3840">
        <w:rPr>
          <w:sz w:val="28"/>
          <w:szCs w:val="28"/>
        </w:rPr>
        <w:tab/>
        <w:t xml:space="preserve">With the elimination of ER 5.4, nonlawyers </w:t>
      </w:r>
      <w:r w:rsidR="00812393">
        <w:rPr>
          <w:sz w:val="28"/>
          <w:szCs w:val="28"/>
        </w:rPr>
        <w:t>would</w:t>
      </w:r>
      <w:r w:rsidR="00812393" w:rsidRPr="00DB3840">
        <w:rPr>
          <w:sz w:val="28"/>
          <w:szCs w:val="28"/>
        </w:rPr>
        <w:t xml:space="preserve"> </w:t>
      </w:r>
      <w:r w:rsidRPr="00DB3840">
        <w:rPr>
          <w:sz w:val="28"/>
          <w:szCs w:val="28"/>
        </w:rPr>
        <w:t xml:space="preserve">be able to play significant roles in firms, including having ownership interests.  Therefore, </w:t>
      </w:r>
      <w:r w:rsidR="004462BD" w:rsidRPr="00DB3840">
        <w:rPr>
          <w:sz w:val="28"/>
          <w:szCs w:val="28"/>
        </w:rPr>
        <w:t>ER 1.10</w:t>
      </w:r>
      <w:r w:rsidRPr="00DB3840">
        <w:rPr>
          <w:sz w:val="28"/>
          <w:szCs w:val="28"/>
        </w:rPr>
        <w:t xml:space="preserve"> should explicitly address imputation of their conflicts</w:t>
      </w:r>
      <w:r w:rsidR="00812393">
        <w:rPr>
          <w:sz w:val="28"/>
          <w:szCs w:val="28"/>
        </w:rPr>
        <w:t xml:space="preserve"> to others</w:t>
      </w:r>
      <w:r w:rsidRPr="00DB3840">
        <w:rPr>
          <w:sz w:val="28"/>
          <w:szCs w:val="28"/>
        </w:rPr>
        <w:t>.</w:t>
      </w:r>
    </w:p>
    <w:p w:rsidR="00DD4D89" w:rsidRPr="00DB3840" w:rsidRDefault="007C11F1" w:rsidP="007F54A2">
      <w:pPr>
        <w:spacing w:line="480" w:lineRule="auto"/>
        <w:ind w:firstLine="720"/>
        <w:jc w:val="both"/>
        <w:rPr>
          <w:sz w:val="28"/>
          <w:szCs w:val="28"/>
        </w:rPr>
      </w:pPr>
      <w:r w:rsidRPr="00DB3840">
        <w:rPr>
          <w:sz w:val="28"/>
          <w:szCs w:val="28"/>
        </w:rPr>
        <w:t xml:space="preserve">Amendments include deleting comments 1 through 4. Comment 1, which discusses a “firm,” is no longer needed in light of the expanded definition of “firm” in ER 1.0(c).  Comments 2 and 3 summarize the concepts of imputation, with one important exception that addresses conflicts if a lawyer owns all or part of an opposing party.  That exception was expanded to include nonlawyers and was added to the rule’s text as subsection (f), which provides that a conflict is imputed to the entire firm if a lawyer or nonlawyer owns all or part of an opposing party. </w:t>
      </w:r>
    </w:p>
    <w:p w:rsidR="009D1C29" w:rsidRDefault="007C11F1" w:rsidP="007F54A2">
      <w:pPr>
        <w:spacing w:line="480" w:lineRule="auto"/>
        <w:ind w:firstLine="720"/>
        <w:jc w:val="both"/>
        <w:rPr>
          <w:sz w:val="28"/>
          <w:szCs w:val="28"/>
        </w:rPr>
      </w:pPr>
      <w:r w:rsidRPr="00DB3840">
        <w:rPr>
          <w:sz w:val="28"/>
          <w:szCs w:val="28"/>
        </w:rPr>
        <w:t xml:space="preserve"> Comment 4 contains important concepts the task force determined should be part of the rule itself.  New subsection (g) therefore allows disqualified nonlawyers to be screened from matters without imputing the conflict to the firm, unless the nonlawyer is an owner, shareholder, partner, officer or director of the firm.  Similarly, new subsection (h) allows lawyers to be screened if they are disqualified because of events or conduct that occurred before they became licensed lawyers, unless the lawyer is an owner, shareholder, partner, officer, or director of the firm.</w:t>
      </w:r>
    </w:p>
    <w:p w:rsidR="00DB737F" w:rsidRDefault="00DB737F" w:rsidP="007F54A2">
      <w:pPr>
        <w:spacing w:line="480" w:lineRule="auto"/>
        <w:ind w:firstLine="720"/>
        <w:jc w:val="both"/>
        <w:rPr>
          <w:sz w:val="28"/>
          <w:szCs w:val="28"/>
        </w:rPr>
      </w:pPr>
    </w:p>
    <w:p w:rsidR="00DB737F" w:rsidRPr="00DB3840" w:rsidRDefault="00DB737F" w:rsidP="007F54A2">
      <w:pPr>
        <w:spacing w:line="480" w:lineRule="auto"/>
        <w:ind w:firstLine="720"/>
        <w:jc w:val="both"/>
        <w:rPr>
          <w:sz w:val="28"/>
          <w:szCs w:val="28"/>
        </w:rPr>
      </w:pPr>
    </w:p>
    <w:p w:rsidR="009D1C29" w:rsidRPr="00B71ADB" w:rsidRDefault="00DD4D89" w:rsidP="00CB2694">
      <w:pPr>
        <w:pStyle w:val="BodyText"/>
        <w:numPr>
          <w:ilvl w:val="0"/>
          <w:numId w:val="2"/>
        </w:numPr>
        <w:spacing w:line="480" w:lineRule="auto"/>
        <w:ind w:left="720"/>
        <w:jc w:val="both"/>
        <w:rPr>
          <w:b/>
          <w:bCs/>
          <w:szCs w:val="28"/>
        </w:rPr>
      </w:pPr>
      <w:r w:rsidRPr="00B71ADB">
        <w:rPr>
          <w:b/>
          <w:bCs/>
          <w:szCs w:val="28"/>
        </w:rPr>
        <w:t>Other Ethical Rules</w:t>
      </w:r>
      <w:r w:rsidR="007C11F1" w:rsidRPr="00B71ADB">
        <w:rPr>
          <w:b/>
          <w:iCs/>
          <w:szCs w:val="28"/>
        </w:rPr>
        <w:t xml:space="preserve"> impacted </w:t>
      </w:r>
      <w:r w:rsidRPr="00B71ADB">
        <w:rPr>
          <w:b/>
          <w:iCs/>
          <w:szCs w:val="28"/>
        </w:rPr>
        <w:t>and therefore amended</w:t>
      </w:r>
    </w:p>
    <w:p w:rsidR="009D1C29" w:rsidRPr="00B71ADB" w:rsidRDefault="00E8029C" w:rsidP="00CB2694">
      <w:pPr>
        <w:pStyle w:val="ListParagraph"/>
        <w:numPr>
          <w:ilvl w:val="0"/>
          <w:numId w:val="4"/>
        </w:numPr>
        <w:spacing w:line="480" w:lineRule="auto"/>
        <w:ind w:left="1440"/>
        <w:jc w:val="both"/>
        <w:rPr>
          <w:b/>
          <w:iCs/>
          <w:sz w:val="28"/>
          <w:szCs w:val="28"/>
        </w:rPr>
      </w:pPr>
      <w:r w:rsidRPr="00B71ADB">
        <w:rPr>
          <w:b/>
          <w:iCs/>
          <w:sz w:val="28"/>
          <w:szCs w:val="28"/>
        </w:rPr>
        <w:t xml:space="preserve">ER 1.5 </w:t>
      </w:r>
      <w:r w:rsidR="009D1C29" w:rsidRPr="00B71ADB">
        <w:rPr>
          <w:b/>
          <w:iCs/>
          <w:sz w:val="28"/>
          <w:szCs w:val="28"/>
        </w:rPr>
        <w:t>(</w:t>
      </w:r>
      <w:r w:rsidRPr="00B71ADB">
        <w:rPr>
          <w:b/>
          <w:iCs/>
          <w:sz w:val="28"/>
          <w:szCs w:val="28"/>
        </w:rPr>
        <w:t>Fees</w:t>
      </w:r>
      <w:r w:rsidR="009D1C29" w:rsidRPr="00B71ADB">
        <w:rPr>
          <w:b/>
          <w:iCs/>
          <w:sz w:val="28"/>
          <w:szCs w:val="28"/>
        </w:rPr>
        <w:t>)</w:t>
      </w:r>
    </w:p>
    <w:p w:rsidR="009D1C29" w:rsidRPr="00DB3840" w:rsidRDefault="00E8029C" w:rsidP="007F54A2">
      <w:pPr>
        <w:spacing w:line="480" w:lineRule="auto"/>
        <w:jc w:val="both"/>
        <w:rPr>
          <w:sz w:val="28"/>
          <w:szCs w:val="28"/>
        </w:rPr>
      </w:pPr>
      <w:r w:rsidRPr="00DB3840">
        <w:rPr>
          <w:sz w:val="28"/>
          <w:szCs w:val="28"/>
        </w:rPr>
        <w:tab/>
        <w:t xml:space="preserve">The proposed amendments to ER 1.5 are </w:t>
      </w:r>
      <w:r w:rsidR="00812393">
        <w:rPr>
          <w:sz w:val="28"/>
          <w:szCs w:val="28"/>
        </w:rPr>
        <w:t>based on</w:t>
      </w:r>
      <w:r w:rsidR="00812393" w:rsidRPr="00DB3840">
        <w:rPr>
          <w:sz w:val="28"/>
          <w:szCs w:val="28"/>
        </w:rPr>
        <w:t xml:space="preserve"> </w:t>
      </w:r>
      <w:r w:rsidRPr="00DB3840">
        <w:rPr>
          <w:sz w:val="28"/>
          <w:szCs w:val="28"/>
        </w:rPr>
        <w:t>ensuring that the</w:t>
      </w:r>
      <w:r w:rsidR="004462BD" w:rsidRPr="00DB3840">
        <w:rPr>
          <w:sz w:val="28"/>
          <w:szCs w:val="28"/>
        </w:rPr>
        <w:t xml:space="preserve"> rule’s</w:t>
      </w:r>
      <w:r w:rsidRPr="00DB3840">
        <w:rPr>
          <w:sz w:val="28"/>
          <w:szCs w:val="28"/>
        </w:rPr>
        <w:t xml:space="preserve"> language reflects the change to the definition of “firm” in ER 1.0(c) </w:t>
      </w:r>
      <w:r w:rsidR="004462BD" w:rsidRPr="00DB3840">
        <w:rPr>
          <w:sz w:val="28"/>
          <w:szCs w:val="28"/>
        </w:rPr>
        <w:t>as well as the</w:t>
      </w:r>
      <w:r w:rsidRPr="00DB3840">
        <w:rPr>
          <w:sz w:val="28"/>
          <w:szCs w:val="28"/>
        </w:rPr>
        <w:t xml:space="preserve"> elimination of ER 5.4’s prohibition of </w:t>
      </w:r>
      <w:r w:rsidR="008F60C9">
        <w:rPr>
          <w:sz w:val="28"/>
          <w:szCs w:val="28"/>
        </w:rPr>
        <w:t xml:space="preserve">lawyer and nonlawyer co-ownership of </w:t>
      </w:r>
      <w:r w:rsidRPr="00DB3840">
        <w:rPr>
          <w:sz w:val="28"/>
          <w:szCs w:val="28"/>
        </w:rPr>
        <w:t>business</w:t>
      </w:r>
      <w:r w:rsidR="008F60C9">
        <w:rPr>
          <w:sz w:val="28"/>
          <w:szCs w:val="28"/>
        </w:rPr>
        <w:t>es</w:t>
      </w:r>
      <w:r w:rsidRPr="00DB3840">
        <w:rPr>
          <w:sz w:val="28"/>
          <w:szCs w:val="28"/>
        </w:rPr>
        <w:t xml:space="preserve"> providing legal services</w:t>
      </w:r>
      <w:r w:rsidR="004462BD" w:rsidRPr="00DB3840">
        <w:rPr>
          <w:sz w:val="28"/>
          <w:szCs w:val="28"/>
        </w:rPr>
        <w:t>.</w:t>
      </w:r>
      <w:r w:rsidRPr="00DB3840">
        <w:rPr>
          <w:sz w:val="28"/>
          <w:szCs w:val="28"/>
        </w:rPr>
        <w:t xml:space="preserve"> The proposed rule also incorporates language from current comments to clearly provide that the rule applies to firms dividing a single billing to a client and firms jointly working on a matter.  The rule further requires that division of responsibility must be reasonable.</w:t>
      </w:r>
    </w:p>
    <w:p w:rsidR="009D1C29" w:rsidRPr="00B71ADB" w:rsidRDefault="00663FD9" w:rsidP="00CB2694">
      <w:pPr>
        <w:pStyle w:val="ListParagraph"/>
        <w:numPr>
          <w:ilvl w:val="0"/>
          <w:numId w:val="4"/>
        </w:numPr>
        <w:spacing w:line="480" w:lineRule="auto"/>
        <w:ind w:left="1440"/>
        <w:jc w:val="both"/>
        <w:rPr>
          <w:b/>
          <w:iCs/>
          <w:sz w:val="28"/>
          <w:szCs w:val="28"/>
        </w:rPr>
      </w:pPr>
      <w:r w:rsidRPr="00B71ADB">
        <w:rPr>
          <w:b/>
          <w:iCs/>
          <w:sz w:val="28"/>
          <w:szCs w:val="28"/>
        </w:rPr>
        <w:t xml:space="preserve">ER 1.17 </w:t>
      </w:r>
      <w:r w:rsidR="009D1C29" w:rsidRPr="00B71ADB">
        <w:rPr>
          <w:b/>
          <w:iCs/>
          <w:sz w:val="28"/>
          <w:szCs w:val="28"/>
        </w:rPr>
        <w:t>(</w:t>
      </w:r>
      <w:r w:rsidRPr="00B71ADB">
        <w:rPr>
          <w:b/>
          <w:iCs/>
          <w:sz w:val="28"/>
          <w:szCs w:val="28"/>
        </w:rPr>
        <w:t>Sale of Law Practice or Firm</w:t>
      </w:r>
      <w:r w:rsidR="009D1C29" w:rsidRPr="00B71ADB">
        <w:rPr>
          <w:b/>
          <w:iCs/>
          <w:sz w:val="28"/>
          <w:szCs w:val="28"/>
        </w:rPr>
        <w:t>)</w:t>
      </w:r>
    </w:p>
    <w:p w:rsidR="00CC2DCD" w:rsidRPr="00DB3840" w:rsidRDefault="00663FD9" w:rsidP="007F54A2">
      <w:pPr>
        <w:spacing w:line="480" w:lineRule="auto"/>
        <w:jc w:val="both"/>
        <w:rPr>
          <w:sz w:val="28"/>
          <w:szCs w:val="28"/>
        </w:rPr>
      </w:pPr>
      <w:r w:rsidRPr="00DB3840">
        <w:rPr>
          <w:sz w:val="28"/>
          <w:szCs w:val="28"/>
        </w:rPr>
        <w:tab/>
      </w:r>
      <w:r w:rsidR="005E3239" w:rsidRPr="00DB3840">
        <w:rPr>
          <w:sz w:val="28"/>
          <w:szCs w:val="28"/>
        </w:rPr>
        <w:t>Removing the ER 5.4 restrictions on law-firm ownership conceptually impact</w:t>
      </w:r>
      <w:r w:rsidR="008F60C9">
        <w:rPr>
          <w:sz w:val="28"/>
          <w:szCs w:val="28"/>
        </w:rPr>
        <w:t>s</w:t>
      </w:r>
      <w:r w:rsidR="005E3239" w:rsidRPr="00DB3840">
        <w:rPr>
          <w:sz w:val="28"/>
          <w:szCs w:val="28"/>
        </w:rPr>
        <w:t xml:space="preserve"> ER 1.17, which governs selling a law practice. </w:t>
      </w:r>
      <w:r w:rsidR="00CC2DCD" w:rsidRPr="00DB3840">
        <w:rPr>
          <w:sz w:val="28"/>
          <w:szCs w:val="28"/>
        </w:rPr>
        <w:t>ER 1.17</w:t>
      </w:r>
      <w:r w:rsidR="0018046C" w:rsidRPr="00DB3840">
        <w:rPr>
          <w:sz w:val="28"/>
          <w:szCs w:val="28"/>
        </w:rPr>
        <w:t>(a) and (b)</w:t>
      </w:r>
      <w:r w:rsidR="00CC2DCD" w:rsidRPr="00DB3840">
        <w:rPr>
          <w:sz w:val="28"/>
          <w:szCs w:val="28"/>
        </w:rPr>
        <w:t xml:space="preserve">’s restrictions on lawyers selling their law practices </w:t>
      </w:r>
      <w:r w:rsidR="008F60C9">
        <w:rPr>
          <w:sz w:val="28"/>
          <w:szCs w:val="28"/>
        </w:rPr>
        <w:t xml:space="preserve">do not </w:t>
      </w:r>
      <w:r w:rsidR="00CC2DCD" w:rsidRPr="00DB3840">
        <w:rPr>
          <w:sz w:val="28"/>
          <w:szCs w:val="28"/>
        </w:rPr>
        <w:t>remained viable</w:t>
      </w:r>
      <w:r w:rsidR="008F60C9">
        <w:rPr>
          <w:sz w:val="28"/>
          <w:szCs w:val="28"/>
        </w:rPr>
        <w:t xml:space="preserve"> in light of elimination of ER 5.4.</w:t>
      </w:r>
    </w:p>
    <w:p w:rsidR="006654CE" w:rsidRPr="00DB3840" w:rsidRDefault="00CC2DCD" w:rsidP="007F54A2">
      <w:pPr>
        <w:spacing w:line="480" w:lineRule="auto"/>
        <w:ind w:firstLine="720"/>
        <w:jc w:val="both"/>
        <w:rPr>
          <w:sz w:val="28"/>
          <w:szCs w:val="28"/>
        </w:rPr>
      </w:pPr>
      <w:r w:rsidRPr="00DB3840">
        <w:rPr>
          <w:sz w:val="28"/>
          <w:szCs w:val="28"/>
        </w:rPr>
        <w:t xml:space="preserve">ER 1.17(a) currently requires that a lawyer who sells all or part of a private law practice stop practicing law </w:t>
      </w:r>
      <w:r w:rsidR="00466CFB" w:rsidRPr="00DB3840">
        <w:rPr>
          <w:sz w:val="28"/>
          <w:szCs w:val="28"/>
        </w:rPr>
        <w:t>–</w:t>
      </w:r>
      <w:r w:rsidRPr="00DB3840">
        <w:rPr>
          <w:sz w:val="28"/>
          <w:szCs w:val="28"/>
        </w:rPr>
        <w:t xml:space="preserve"> either entirely or in the practice area that has been sold – in the geographic area where the practice has been conducted. </w:t>
      </w:r>
      <w:r w:rsidR="006654CE" w:rsidRPr="00DB3840">
        <w:rPr>
          <w:sz w:val="28"/>
          <w:szCs w:val="28"/>
        </w:rPr>
        <w:t>This is in part rooted in ER 5.4, which contain</w:t>
      </w:r>
      <w:r w:rsidR="008F60C9">
        <w:rPr>
          <w:sz w:val="28"/>
          <w:szCs w:val="28"/>
        </w:rPr>
        <w:t>ed</w:t>
      </w:r>
      <w:r w:rsidR="006654CE" w:rsidRPr="00DB3840">
        <w:rPr>
          <w:sz w:val="28"/>
          <w:szCs w:val="28"/>
        </w:rPr>
        <w:t xml:space="preserve"> explicit exceptions to the ban on sharing fees with a nonlawyer for paying money to a lawyer’s estate. ER 5.4(a)(1), (2).</w:t>
      </w:r>
    </w:p>
    <w:p w:rsidR="00B039DD" w:rsidRPr="00DB3840" w:rsidRDefault="00B039DD" w:rsidP="007F54A2">
      <w:pPr>
        <w:spacing w:line="480" w:lineRule="auto"/>
        <w:ind w:firstLine="720"/>
        <w:jc w:val="both"/>
        <w:rPr>
          <w:sz w:val="28"/>
          <w:szCs w:val="28"/>
        </w:rPr>
      </w:pPr>
      <w:r w:rsidRPr="00DB3840">
        <w:rPr>
          <w:sz w:val="28"/>
          <w:szCs w:val="28"/>
        </w:rPr>
        <w:t xml:space="preserve">The comments to ER 1.17 contain exceptions that undercut the value of what is effectively </w:t>
      </w:r>
      <w:r w:rsidR="0018046C" w:rsidRPr="00DB3840">
        <w:rPr>
          <w:sz w:val="28"/>
          <w:szCs w:val="28"/>
        </w:rPr>
        <w:t xml:space="preserve">an artificial non-compete clause </w:t>
      </w:r>
      <w:r w:rsidRPr="00DB3840">
        <w:rPr>
          <w:sz w:val="28"/>
          <w:szCs w:val="28"/>
        </w:rPr>
        <w:t xml:space="preserve">imposed </w:t>
      </w:r>
      <w:r w:rsidR="0018046C" w:rsidRPr="00DB3840">
        <w:rPr>
          <w:sz w:val="28"/>
          <w:szCs w:val="28"/>
        </w:rPr>
        <w:t>on the selling lawyer</w:t>
      </w:r>
      <w:r w:rsidRPr="00DB3840">
        <w:rPr>
          <w:sz w:val="28"/>
          <w:szCs w:val="28"/>
        </w:rPr>
        <w:t xml:space="preserve">. For example, comment [2] explains that a lawyer who sells </w:t>
      </w:r>
      <w:r w:rsidR="004E2E51">
        <w:rPr>
          <w:sz w:val="28"/>
          <w:szCs w:val="28"/>
        </w:rPr>
        <w:t>their</w:t>
      </w:r>
      <w:r w:rsidR="004E2E51" w:rsidRPr="00DB3840">
        <w:rPr>
          <w:sz w:val="28"/>
          <w:szCs w:val="28"/>
        </w:rPr>
        <w:t xml:space="preserve"> </w:t>
      </w:r>
      <w:r w:rsidRPr="00DB3840">
        <w:rPr>
          <w:sz w:val="28"/>
          <w:szCs w:val="28"/>
        </w:rPr>
        <w:t>law practice but then returns to private practice “as a result of an unanticipated change in circumstances” does not necessarily violate subsection (a).</w:t>
      </w:r>
    </w:p>
    <w:p w:rsidR="00CC2DCD" w:rsidRPr="00DB3840" w:rsidRDefault="0018046C" w:rsidP="007F54A2">
      <w:pPr>
        <w:spacing w:line="480" w:lineRule="auto"/>
        <w:ind w:firstLine="720"/>
        <w:jc w:val="both"/>
        <w:rPr>
          <w:rFonts w:eastAsiaTheme="minorHAnsi"/>
          <w:color w:val="212121"/>
          <w:sz w:val="28"/>
          <w:szCs w:val="28"/>
        </w:rPr>
      </w:pPr>
      <w:r w:rsidRPr="00DB3840">
        <w:rPr>
          <w:sz w:val="28"/>
          <w:szCs w:val="28"/>
        </w:rPr>
        <w:t xml:space="preserve">ER 1.17(b) currently requires that </w:t>
      </w:r>
      <w:r w:rsidR="00903887" w:rsidRPr="00DB3840">
        <w:rPr>
          <w:sz w:val="28"/>
          <w:szCs w:val="28"/>
        </w:rPr>
        <w:t>an</w:t>
      </w:r>
      <w:r w:rsidRPr="00DB3840">
        <w:rPr>
          <w:sz w:val="28"/>
          <w:szCs w:val="28"/>
        </w:rPr>
        <w:t xml:space="preserve"> </w:t>
      </w:r>
      <w:r w:rsidR="00903887" w:rsidRPr="00DB3840">
        <w:rPr>
          <w:sz w:val="28"/>
          <w:szCs w:val="28"/>
        </w:rPr>
        <w:t>“</w:t>
      </w:r>
      <w:r w:rsidRPr="00DB3840">
        <w:rPr>
          <w:sz w:val="28"/>
          <w:szCs w:val="28"/>
        </w:rPr>
        <w:t>entire practice</w:t>
      </w:r>
      <w:r w:rsidR="00903887" w:rsidRPr="00DB3840">
        <w:rPr>
          <w:sz w:val="28"/>
          <w:szCs w:val="28"/>
        </w:rPr>
        <w:t xml:space="preserve">” </w:t>
      </w:r>
      <w:r w:rsidRPr="00DB3840">
        <w:rPr>
          <w:sz w:val="28"/>
          <w:szCs w:val="28"/>
        </w:rPr>
        <w:t xml:space="preserve">or </w:t>
      </w:r>
      <w:r w:rsidR="00903887" w:rsidRPr="00DB3840">
        <w:rPr>
          <w:sz w:val="28"/>
          <w:szCs w:val="28"/>
        </w:rPr>
        <w:t xml:space="preserve">an “entire </w:t>
      </w:r>
      <w:r w:rsidRPr="00DB3840">
        <w:rPr>
          <w:sz w:val="28"/>
          <w:szCs w:val="28"/>
        </w:rPr>
        <w:t>practice area</w:t>
      </w:r>
      <w:r w:rsidR="00903887" w:rsidRPr="00DB3840">
        <w:rPr>
          <w:sz w:val="28"/>
          <w:szCs w:val="28"/>
        </w:rPr>
        <w:t xml:space="preserve">” </w:t>
      </w:r>
      <w:r w:rsidRPr="00DB3840">
        <w:rPr>
          <w:sz w:val="28"/>
          <w:szCs w:val="28"/>
        </w:rPr>
        <w:t>be sold to one or more lawyers or law firms.</w:t>
      </w:r>
      <w:r w:rsidR="006654CE" w:rsidRPr="00DB3840">
        <w:rPr>
          <w:sz w:val="28"/>
          <w:szCs w:val="28"/>
        </w:rPr>
        <w:t xml:space="preserve"> </w:t>
      </w:r>
      <w:r w:rsidR="00F43C0E" w:rsidRPr="00DB3840">
        <w:rPr>
          <w:sz w:val="28"/>
          <w:szCs w:val="28"/>
        </w:rPr>
        <w:t>The stated reason is to protect “</w:t>
      </w:r>
      <w:r w:rsidR="00F43C0E" w:rsidRPr="00DB3840">
        <w:rPr>
          <w:rFonts w:eastAsiaTheme="minorHAnsi"/>
          <w:color w:val="212121"/>
          <w:sz w:val="28"/>
          <w:szCs w:val="28"/>
        </w:rPr>
        <w:t>those clients whose matters are less lucrative and who might find it difficult to</w:t>
      </w:r>
      <w:r w:rsidR="00F43C0E" w:rsidRPr="00DB3840">
        <w:rPr>
          <w:sz w:val="28"/>
          <w:szCs w:val="28"/>
        </w:rPr>
        <w:t xml:space="preserve"> </w:t>
      </w:r>
      <w:r w:rsidR="00F43C0E" w:rsidRPr="00DB3840">
        <w:rPr>
          <w:rFonts w:eastAsiaTheme="minorHAnsi"/>
          <w:color w:val="212121"/>
          <w:sz w:val="28"/>
          <w:szCs w:val="28"/>
        </w:rPr>
        <w:t>secure other counsel if a sale could be limited to substantial fee-generating matters.” ER 1.17 comment [6].</w:t>
      </w:r>
      <w:r w:rsidR="00903887" w:rsidRPr="00DB3840">
        <w:rPr>
          <w:rFonts w:eastAsiaTheme="minorHAnsi"/>
          <w:color w:val="212121"/>
          <w:sz w:val="28"/>
          <w:szCs w:val="28"/>
        </w:rPr>
        <w:t xml:space="preserve"> </w:t>
      </w:r>
      <w:r w:rsidR="006654CE" w:rsidRPr="00DB3840">
        <w:rPr>
          <w:sz w:val="28"/>
          <w:szCs w:val="28"/>
        </w:rPr>
        <w:t xml:space="preserve">The comments, however, </w:t>
      </w:r>
      <w:r w:rsidR="00F43C0E" w:rsidRPr="00DB3840">
        <w:rPr>
          <w:sz w:val="28"/>
          <w:szCs w:val="28"/>
        </w:rPr>
        <w:t>contain exceptions that swallow the rule.</w:t>
      </w:r>
      <w:r w:rsidR="00765480" w:rsidRPr="00DB3840">
        <w:rPr>
          <w:sz w:val="28"/>
          <w:szCs w:val="28"/>
        </w:rPr>
        <w:t xml:space="preserve"> They </w:t>
      </w:r>
      <w:r w:rsidR="006654CE" w:rsidRPr="00DB3840">
        <w:rPr>
          <w:sz w:val="28"/>
          <w:szCs w:val="28"/>
        </w:rPr>
        <w:t>recognize that not all of the seller’s clients will choose to be represented by the buyer</w:t>
      </w:r>
      <w:r w:rsidR="00F43C0E" w:rsidRPr="00DB3840">
        <w:rPr>
          <w:sz w:val="28"/>
          <w:szCs w:val="28"/>
        </w:rPr>
        <w:t xml:space="preserve"> (</w:t>
      </w:r>
      <w:r w:rsidR="006654CE" w:rsidRPr="00DB3840">
        <w:rPr>
          <w:sz w:val="28"/>
          <w:szCs w:val="28"/>
        </w:rPr>
        <w:t>ER 1.17 comment [2]</w:t>
      </w:r>
      <w:r w:rsidR="00F43C0E" w:rsidRPr="00DB3840">
        <w:rPr>
          <w:sz w:val="28"/>
          <w:szCs w:val="28"/>
        </w:rPr>
        <w:t>)</w:t>
      </w:r>
      <w:r w:rsidR="00A0412C">
        <w:rPr>
          <w:sz w:val="28"/>
          <w:szCs w:val="28"/>
        </w:rPr>
        <w:t>,</w:t>
      </w:r>
      <w:r w:rsidR="00F43C0E" w:rsidRPr="00DB3840">
        <w:rPr>
          <w:sz w:val="28"/>
          <w:szCs w:val="28"/>
        </w:rPr>
        <w:t xml:space="preserve"> and that a purchaser may not be able to take on a particular matter because of a conflict of interest (ER 1.17 comment [6]).</w:t>
      </w:r>
    </w:p>
    <w:p w:rsidR="0078545E" w:rsidRPr="00DB3840" w:rsidRDefault="00EC0A0D" w:rsidP="007F54A2">
      <w:pPr>
        <w:spacing w:line="480" w:lineRule="auto"/>
        <w:ind w:firstLine="720"/>
        <w:jc w:val="both"/>
        <w:rPr>
          <w:sz w:val="28"/>
          <w:szCs w:val="28"/>
        </w:rPr>
      </w:pPr>
      <w:r>
        <w:rPr>
          <w:sz w:val="28"/>
          <w:szCs w:val="28"/>
        </w:rPr>
        <w:t>Again, as with other ERs discussed above, a</w:t>
      </w:r>
      <w:r w:rsidR="00C5368A">
        <w:rPr>
          <w:sz w:val="28"/>
          <w:szCs w:val="28"/>
        </w:rPr>
        <w:t xml:space="preserve">mendments encompass </w:t>
      </w:r>
      <w:r w:rsidR="0078545E" w:rsidRPr="00DB3840">
        <w:rPr>
          <w:sz w:val="28"/>
          <w:szCs w:val="28"/>
        </w:rPr>
        <w:t>mov</w:t>
      </w:r>
      <w:r>
        <w:rPr>
          <w:sz w:val="28"/>
          <w:szCs w:val="28"/>
        </w:rPr>
        <w:t>ing</w:t>
      </w:r>
      <w:r w:rsidR="0078545E" w:rsidRPr="00DB3840">
        <w:rPr>
          <w:sz w:val="28"/>
          <w:szCs w:val="28"/>
        </w:rPr>
        <w:t xml:space="preserve"> i</w:t>
      </w:r>
      <w:r w:rsidR="00663FD9" w:rsidRPr="00DB3840">
        <w:rPr>
          <w:sz w:val="28"/>
          <w:szCs w:val="28"/>
        </w:rPr>
        <w:t>mportant information from remaining comments into the rule’s text.</w:t>
      </w:r>
      <w:r w:rsidR="005E3239" w:rsidRPr="00DB3840">
        <w:rPr>
          <w:sz w:val="28"/>
          <w:szCs w:val="28"/>
        </w:rPr>
        <w:t xml:space="preserve"> </w:t>
      </w:r>
      <w:r w:rsidR="00C5368A">
        <w:rPr>
          <w:sz w:val="28"/>
          <w:szCs w:val="28"/>
        </w:rPr>
        <w:t>The amendments require</w:t>
      </w:r>
      <w:r w:rsidR="00C5368A" w:rsidRPr="00DB3840">
        <w:rPr>
          <w:sz w:val="28"/>
          <w:szCs w:val="28"/>
        </w:rPr>
        <w:t xml:space="preserve"> </w:t>
      </w:r>
      <w:r w:rsidR="00903887" w:rsidRPr="00DB3840">
        <w:rPr>
          <w:sz w:val="28"/>
          <w:szCs w:val="28"/>
        </w:rPr>
        <w:t xml:space="preserve">that </w:t>
      </w:r>
      <w:r w:rsidR="0078545E" w:rsidRPr="00DB3840">
        <w:rPr>
          <w:sz w:val="28"/>
          <w:szCs w:val="28"/>
        </w:rPr>
        <w:t xml:space="preserve">clients be advised of the purchaser’s identity (new </w:t>
      </w:r>
      <w:r w:rsidR="00903887" w:rsidRPr="00DB3840">
        <w:rPr>
          <w:sz w:val="28"/>
          <w:szCs w:val="28"/>
        </w:rPr>
        <w:t>s</w:t>
      </w:r>
      <w:r w:rsidR="00663FD9" w:rsidRPr="00DB3840">
        <w:rPr>
          <w:sz w:val="28"/>
          <w:szCs w:val="28"/>
        </w:rPr>
        <w:t>ubsection (a)(1)</w:t>
      </w:r>
      <w:r w:rsidR="0078545E" w:rsidRPr="00DB3840">
        <w:rPr>
          <w:sz w:val="28"/>
          <w:szCs w:val="28"/>
        </w:rPr>
        <w:t xml:space="preserve">) and new subsection (c) </w:t>
      </w:r>
      <w:r w:rsidR="00BC74D8">
        <w:rPr>
          <w:sz w:val="28"/>
          <w:szCs w:val="28"/>
        </w:rPr>
        <w:t>requires</w:t>
      </w:r>
      <w:r w:rsidR="00BC74D8" w:rsidRPr="00DB3840">
        <w:rPr>
          <w:sz w:val="28"/>
          <w:szCs w:val="28"/>
        </w:rPr>
        <w:t xml:space="preserve"> </w:t>
      </w:r>
      <w:r w:rsidR="0078545E" w:rsidRPr="00DB3840">
        <w:rPr>
          <w:sz w:val="28"/>
          <w:szCs w:val="28"/>
        </w:rPr>
        <w:t xml:space="preserve">that </w:t>
      </w:r>
      <w:r w:rsidR="00663FD9" w:rsidRPr="00DB3840">
        <w:rPr>
          <w:sz w:val="28"/>
          <w:szCs w:val="28"/>
        </w:rPr>
        <w:t xml:space="preserve">the purchaser honor existing </w:t>
      </w:r>
      <w:r w:rsidR="0078545E" w:rsidRPr="00DB3840">
        <w:rPr>
          <w:sz w:val="28"/>
          <w:szCs w:val="28"/>
        </w:rPr>
        <w:t xml:space="preserve">fee and scope-of-work </w:t>
      </w:r>
      <w:r w:rsidR="00663FD9" w:rsidRPr="00DB3840">
        <w:rPr>
          <w:sz w:val="28"/>
          <w:szCs w:val="28"/>
        </w:rPr>
        <w:t xml:space="preserve">arrangements between the seller and </w:t>
      </w:r>
      <w:r w:rsidR="0078545E" w:rsidRPr="00DB3840">
        <w:rPr>
          <w:sz w:val="28"/>
          <w:szCs w:val="28"/>
        </w:rPr>
        <w:t>client</w:t>
      </w:r>
      <w:r w:rsidR="00663FD9" w:rsidRPr="00DB3840">
        <w:rPr>
          <w:sz w:val="28"/>
          <w:szCs w:val="28"/>
        </w:rPr>
        <w:t xml:space="preserve">.  New subsection (d) requires the seller to give notice to clients before allowing a purchaser to access detailed client information.  New subsection (e) requires the seller to ensure that a purchaser is qualified and new subsection (f) advises that if courts must approve substitution, the matter cannot be included in the sale until obtaining that approval.  Finally, new subsection (g) makes the rule inapplicable to transfers of legal representation unrelated to a sale of the firm.  </w:t>
      </w:r>
    </w:p>
    <w:p w:rsidR="009D1C29" w:rsidRPr="00DB3840" w:rsidRDefault="007C11F1" w:rsidP="007F54A2">
      <w:pPr>
        <w:spacing w:line="480" w:lineRule="auto"/>
        <w:ind w:firstLine="720"/>
        <w:jc w:val="both"/>
        <w:rPr>
          <w:sz w:val="28"/>
          <w:szCs w:val="28"/>
        </w:rPr>
      </w:pPr>
      <w:r w:rsidRPr="00DB3840">
        <w:rPr>
          <w:sz w:val="28"/>
          <w:szCs w:val="28"/>
        </w:rPr>
        <w:t xml:space="preserve">As a result of these changes, all comments </w:t>
      </w:r>
      <w:r w:rsidR="00C5368A">
        <w:rPr>
          <w:sz w:val="28"/>
          <w:szCs w:val="28"/>
        </w:rPr>
        <w:t>were</w:t>
      </w:r>
      <w:r w:rsidR="00C5368A" w:rsidRPr="00DB3840">
        <w:rPr>
          <w:sz w:val="28"/>
          <w:szCs w:val="28"/>
        </w:rPr>
        <w:t xml:space="preserve"> </w:t>
      </w:r>
      <w:r w:rsidR="004462BD" w:rsidRPr="00DB3840">
        <w:rPr>
          <w:sz w:val="28"/>
          <w:szCs w:val="28"/>
        </w:rPr>
        <w:t>eliminated</w:t>
      </w:r>
      <w:r w:rsidRPr="00DB3840">
        <w:rPr>
          <w:sz w:val="28"/>
          <w:szCs w:val="28"/>
        </w:rPr>
        <w:t>.</w:t>
      </w:r>
    </w:p>
    <w:p w:rsidR="00663FD9" w:rsidRPr="00B71ADB" w:rsidRDefault="00663FD9" w:rsidP="00CB2694">
      <w:pPr>
        <w:pStyle w:val="ListParagraph"/>
        <w:numPr>
          <w:ilvl w:val="0"/>
          <w:numId w:val="4"/>
        </w:numPr>
        <w:spacing w:line="480" w:lineRule="auto"/>
        <w:ind w:left="1440"/>
        <w:jc w:val="both"/>
        <w:rPr>
          <w:b/>
          <w:iCs/>
          <w:sz w:val="28"/>
          <w:szCs w:val="28"/>
        </w:rPr>
      </w:pPr>
      <w:r w:rsidRPr="00B71ADB">
        <w:rPr>
          <w:b/>
          <w:iCs/>
          <w:sz w:val="28"/>
          <w:szCs w:val="28"/>
        </w:rPr>
        <w:t>ER 5.7</w:t>
      </w:r>
      <w:r w:rsidR="009D1C29" w:rsidRPr="00B71ADB">
        <w:rPr>
          <w:b/>
          <w:iCs/>
          <w:sz w:val="28"/>
          <w:szCs w:val="28"/>
        </w:rPr>
        <w:t xml:space="preserve"> (</w:t>
      </w:r>
      <w:r w:rsidRPr="00B71ADB">
        <w:rPr>
          <w:b/>
          <w:iCs/>
          <w:sz w:val="28"/>
          <w:szCs w:val="28"/>
        </w:rPr>
        <w:t>Responsibilities Regarding Law Related Services</w:t>
      </w:r>
      <w:r w:rsidR="009D1C29" w:rsidRPr="00B71ADB">
        <w:rPr>
          <w:b/>
          <w:iCs/>
          <w:sz w:val="28"/>
          <w:szCs w:val="28"/>
        </w:rPr>
        <w:t>)</w:t>
      </w:r>
    </w:p>
    <w:p w:rsidR="00663FD9" w:rsidRPr="00DB3840" w:rsidRDefault="00663FD9" w:rsidP="007F54A2">
      <w:pPr>
        <w:spacing w:line="480" w:lineRule="auto"/>
        <w:jc w:val="both"/>
        <w:rPr>
          <w:bCs/>
          <w:sz w:val="28"/>
          <w:szCs w:val="28"/>
        </w:rPr>
      </w:pPr>
      <w:r w:rsidRPr="00DB3840">
        <w:rPr>
          <w:bCs/>
          <w:sz w:val="28"/>
          <w:szCs w:val="28"/>
        </w:rPr>
        <w:tab/>
        <w:t xml:space="preserve">In evaluating whether to recommend eliminating ER 5.4, the </w:t>
      </w:r>
      <w:r w:rsidR="00A0412C">
        <w:rPr>
          <w:bCs/>
          <w:sz w:val="28"/>
          <w:szCs w:val="28"/>
        </w:rPr>
        <w:t>T</w:t>
      </w:r>
      <w:r w:rsidRPr="00DB3840">
        <w:rPr>
          <w:bCs/>
          <w:sz w:val="28"/>
          <w:szCs w:val="28"/>
        </w:rPr>
        <w:t xml:space="preserve">ask </w:t>
      </w:r>
      <w:r w:rsidR="00A0412C">
        <w:rPr>
          <w:bCs/>
          <w:sz w:val="28"/>
          <w:szCs w:val="28"/>
        </w:rPr>
        <w:t>F</w:t>
      </w:r>
      <w:r w:rsidRPr="00DB3840">
        <w:rPr>
          <w:bCs/>
          <w:sz w:val="28"/>
          <w:szCs w:val="28"/>
        </w:rPr>
        <w:t xml:space="preserve">orce </w:t>
      </w:r>
      <w:r w:rsidR="004462BD" w:rsidRPr="00DB3840">
        <w:rPr>
          <w:bCs/>
          <w:sz w:val="28"/>
          <w:szCs w:val="28"/>
        </w:rPr>
        <w:t xml:space="preserve">also </w:t>
      </w:r>
      <w:r w:rsidRPr="00DB3840">
        <w:rPr>
          <w:bCs/>
          <w:sz w:val="28"/>
          <w:szCs w:val="28"/>
        </w:rPr>
        <w:t>considered</w:t>
      </w:r>
      <w:r w:rsidR="004462BD" w:rsidRPr="00DB3840">
        <w:rPr>
          <w:bCs/>
          <w:sz w:val="28"/>
          <w:szCs w:val="28"/>
        </w:rPr>
        <w:t xml:space="preserve"> </w:t>
      </w:r>
      <w:r w:rsidR="0078545E" w:rsidRPr="00DB3840">
        <w:rPr>
          <w:bCs/>
          <w:sz w:val="28"/>
          <w:szCs w:val="28"/>
        </w:rPr>
        <w:t>the viability of</w:t>
      </w:r>
      <w:r w:rsidR="004462BD" w:rsidRPr="00DB3840">
        <w:rPr>
          <w:bCs/>
          <w:sz w:val="28"/>
          <w:szCs w:val="28"/>
        </w:rPr>
        <w:t xml:space="preserve"> ER 5.7.</w:t>
      </w:r>
      <w:r w:rsidRPr="00DB3840">
        <w:rPr>
          <w:bCs/>
          <w:sz w:val="28"/>
          <w:szCs w:val="28"/>
        </w:rPr>
        <w:t xml:space="preserve">  Under th</w:t>
      </w:r>
      <w:r w:rsidR="0078545E" w:rsidRPr="00DB3840">
        <w:rPr>
          <w:bCs/>
          <w:sz w:val="28"/>
          <w:szCs w:val="28"/>
        </w:rPr>
        <w:t xml:space="preserve">at </w:t>
      </w:r>
      <w:r w:rsidRPr="00DB3840">
        <w:rPr>
          <w:bCs/>
          <w:sz w:val="28"/>
          <w:szCs w:val="28"/>
        </w:rPr>
        <w:t>rule, and depending on the circumstances, a lawyer may be obligated to provide the recipient of law-related services the full panoply of protections enjoyed by the lawyer-client relationship.</w:t>
      </w:r>
    </w:p>
    <w:p w:rsidR="009D1C29" w:rsidRPr="007F54A2" w:rsidRDefault="00663FD9" w:rsidP="007F54A2">
      <w:pPr>
        <w:spacing w:line="480" w:lineRule="auto"/>
        <w:jc w:val="both"/>
        <w:rPr>
          <w:sz w:val="28"/>
          <w:szCs w:val="28"/>
        </w:rPr>
      </w:pPr>
      <w:r w:rsidRPr="00DB3840">
        <w:rPr>
          <w:bCs/>
          <w:sz w:val="28"/>
          <w:szCs w:val="28"/>
        </w:rPr>
        <w:tab/>
        <w:t xml:space="preserve">Considering the recommendation to eliminate ER 5.4, and thus allow lawyers to partner with nonlawyers, ER 5.7 </w:t>
      </w:r>
      <w:r w:rsidR="00EC0A0D">
        <w:rPr>
          <w:bCs/>
          <w:sz w:val="28"/>
          <w:szCs w:val="28"/>
        </w:rPr>
        <w:t>is</w:t>
      </w:r>
      <w:r w:rsidR="00C5368A" w:rsidRPr="00DB3840">
        <w:rPr>
          <w:bCs/>
          <w:sz w:val="28"/>
          <w:szCs w:val="28"/>
        </w:rPr>
        <w:t xml:space="preserve"> </w:t>
      </w:r>
      <w:r w:rsidRPr="00DB3840">
        <w:rPr>
          <w:bCs/>
          <w:sz w:val="28"/>
          <w:szCs w:val="28"/>
        </w:rPr>
        <w:t>unnecessary</w:t>
      </w:r>
      <w:r w:rsidR="008F60C9">
        <w:rPr>
          <w:bCs/>
          <w:sz w:val="28"/>
          <w:szCs w:val="28"/>
        </w:rPr>
        <w:t xml:space="preserve">, </w:t>
      </w:r>
      <w:r w:rsidRPr="00DB3840">
        <w:rPr>
          <w:bCs/>
          <w:sz w:val="28"/>
          <w:szCs w:val="28"/>
        </w:rPr>
        <w:t>restrictive of innovation</w:t>
      </w:r>
      <w:r w:rsidR="00C5368A">
        <w:rPr>
          <w:bCs/>
          <w:sz w:val="28"/>
          <w:szCs w:val="28"/>
        </w:rPr>
        <w:t xml:space="preserve"> and therefore is eliminated</w:t>
      </w:r>
      <w:r w:rsidR="0078545E" w:rsidRPr="00DB3840">
        <w:rPr>
          <w:sz w:val="28"/>
          <w:szCs w:val="28"/>
        </w:rPr>
        <w:t>.</w:t>
      </w:r>
    </w:p>
    <w:p w:rsidR="009377F3" w:rsidRPr="00B71ADB" w:rsidRDefault="009377F3" w:rsidP="00CB2694">
      <w:pPr>
        <w:pStyle w:val="BodyText"/>
        <w:numPr>
          <w:ilvl w:val="0"/>
          <w:numId w:val="1"/>
        </w:numPr>
        <w:spacing w:line="480" w:lineRule="auto"/>
        <w:ind w:left="360" w:hanging="360"/>
        <w:jc w:val="both"/>
        <w:rPr>
          <w:b/>
          <w:bCs/>
          <w:szCs w:val="28"/>
        </w:rPr>
      </w:pPr>
      <w:r w:rsidRPr="00B71ADB">
        <w:rPr>
          <w:b/>
          <w:bCs/>
          <w:szCs w:val="28"/>
        </w:rPr>
        <w:t>Rule 31</w:t>
      </w:r>
    </w:p>
    <w:p w:rsidR="009377F3" w:rsidRPr="00DB3840" w:rsidRDefault="009377F3" w:rsidP="007F54A2">
      <w:pPr>
        <w:pStyle w:val="BodyText"/>
        <w:spacing w:line="480" w:lineRule="auto"/>
        <w:ind w:firstLine="720"/>
        <w:jc w:val="both"/>
        <w:rPr>
          <w:bCs/>
          <w:szCs w:val="28"/>
        </w:rPr>
      </w:pPr>
      <w:r w:rsidRPr="00DB3840">
        <w:rPr>
          <w:bCs/>
          <w:szCs w:val="28"/>
        </w:rPr>
        <w:t xml:space="preserve">As the Court directed, the Task Force reviewed Rule 31(d), which </w:t>
      </w:r>
      <w:r w:rsidR="00BC74D8">
        <w:rPr>
          <w:bCs/>
          <w:szCs w:val="28"/>
        </w:rPr>
        <w:t>over</w:t>
      </w:r>
      <w:r w:rsidR="00BC74D8" w:rsidRPr="00DB3840">
        <w:rPr>
          <w:bCs/>
          <w:szCs w:val="28"/>
        </w:rPr>
        <w:t xml:space="preserve"> </w:t>
      </w:r>
      <w:r w:rsidRPr="00DB3840">
        <w:rPr>
          <w:bCs/>
          <w:szCs w:val="28"/>
        </w:rPr>
        <w:t>years has expanded to include 31 exceptions to the general rule that only active lawyers may practice law, thus becoming cumbersome and difficult to navigate.</w:t>
      </w:r>
    </w:p>
    <w:p w:rsidR="009377F3" w:rsidRPr="00DB3840" w:rsidRDefault="009377F3" w:rsidP="007F54A2">
      <w:pPr>
        <w:pStyle w:val="BodyText"/>
        <w:spacing w:line="480" w:lineRule="auto"/>
        <w:ind w:firstLine="720"/>
        <w:jc w:val="both"/>
        <w:rPr>
          <w:bCs/>
          <w:szCs w:val="28"/>
        </w:rPr>
      </w:pPr>
      <w:r w:rsidRPr="00DB3840">
        <w:rPr>
          <w:bCs/>
          <w:szCs w:val="28"/>
        </w:rPr>
        <w:t>The Task Force opted to take a holistic view of Rule 31 and propose</w:t>
      </w:r>
      <w:r w:rsidR="00EC0A0D">
        <w:rPr>
          <w:bCs/>
          <w:szCs w:val="28"/>
        </w:rPr>
        <w:t>d</w:t>
      </w:r>
      <w:r w:rsidRPr="00DB3840">
        <w:rPr>
          <w:bCs/>
          <w:szCs w:val="28"/>
        </w:rPr>
        <w:t xml:space="preserve"> restyling and reorganizing </w:t>
      </w:r>
      <w:r w:rsidR="00BC74D8">
        <w:rPr>
          <w:bCs/>
          <w:szCs w:val="28"/>
        </w:rPr>
        <w:t>the entire rule, not just subsection (d),</w:t>
      </w:r>
      <w:r w:rsidR="00BC74D8" w:rsidRPr="00DB3840">
        <w:rPr>
          <w:bCs/>
          <w:szCs w:val="28"/>
        </w:rPr>
        <w:t xml:space="preserve"> </w:t>
      </w:r>
      <w:r w:rsidRPr="00DB3840">
        <w:rPr>
          <w:bCs/>
          <w:szCs w:val="28"/>
        </w:rPr>
        <w:t>into four separate rules. This makes the rule easier to navigate and understand and is consistent with other rule-restyling efforts.</w:t>
      </w:r>
    </w:p>
    <w:p w:rsidR="009377F3" w:rsidRPr="00DB3840" w:rsidRDefault="009377F3" w:rsidP="007F54A2">
      <w:pPr>
        <w:pStyle w:val="BodyText"/>
        <w:spacing w:line="480" w:lineRule="auto"/>
        <w:ind w:firstLine="720"/>
        <w:jc w:val="both"/>
        <w:rPr>
          <w:bCs/>
          <w:szCs w:val="28"/>
        </w:rPr>
      </w:pPr>
      <w:r w:rsidRPr="00DB3840">
        <w:rPr>
          <w:bCs/>
          <w:szCs w:val="28"/>
        </w:rPr>
        <w:t xml:space="preserve">Consistent with the Court’s restyling conventions, the </w:t>
      </w:r>
      <w:r w:rsidR="00EC0A0D">
        <w:rPr>
          <w:bCs/>
          <w:szCs w:val="28"/>
        </w:rPr>
        <w:t>new proposed</w:t>
      </w:r>
      <w:r w:rsidRPr="00DB3840">
        <w:rPr>
          <w:bCs/>
          <w:szCs w:val="28"/>
        </w:rPr>
        <w:t xml:space="preserve"> rules </w:t>
      </w:r>
      <w:r w:rsidR="00EC0A0D">
        <w:rPr>
          <w:bCs/>
          <w:szCs w:val="28"/>
        </w:rPr>
        <w:t>use</w:t>
      </w:r>
      <w:r w:rsidR="00EC0A0D" w:rsidRPr="00DB3840">
        <w:rPr>
          <w:bCs/>
          <w:szCs w:val="28"/>
        </w:rPr>
        <w:t xml:space="preserve"> </w:t>
      </w:r>
      <w:r w:rsidRPr="00DB3840">
        <w:rPr>
          <w:bCs/>
          <w:szCs w:val="28"/>
        </w:rPr>
        <w:t>the active voice and eliminate ambiguous words (especially “shall”) and archaic terms (</w:t>
      </w:r>
      <w:r w:rsidRPr="00DB3840">
        <w:rPr>
          <w:bCs/>
          <w:i/>
          <w:iCs/>
          <w:szCs w:val="28"/>
        </w:rPr>
        <w:t>e.g.,</w:t>
      </w:r>
      <w:r w:rsidRPr="00DB3840">
        <w:rPr>
          <w:bCs/>
          <w:szCs w:val="28"/>
        </w:rPr>
        <w:t xml:space="preserve"> “herein,” “thereto”). The rules </w:t>
      </w:r>
      <w:r w:rsidR="00EC0A0D">
        <w:rPr>
          <w:bCs/>
          <w:szCs w:val="28"/>
        </w:rPr>
        <w:t>are</w:t>
      </w:r>
      <w:r w:rsidR="00EC0A0D" w:rsidRPr="00DB3840">
        <w:rPr>
          <w:bCs/>
          <w:szCs w:val="28"/>
        </w:rPr>
        <w:t xml:space="preserve"> </w:t>
      </w:r>
      <w:r w:rsidRPr="00DB3840">
        <w:rPr>
          <w:bCs/>
          <w:szCs w:val="28"/>
        </w:rPr>
        <w:t>also restated in a positive—rather than prohibitory—manner (</w:t>
      </w:r>
      <w:r w:rsidRPr="00DB3840">
        <w:rPr>
          <w:bCs/>
          <w:i/>
          <w:iCs/>
          <w:szCs w:val="28"/>
        </w:rPr>
        <w:t>e.g.,</w:t>
      </w:r>
      <w:r w:rsidRPr="00DB3840">
        <w:rPr>
          <w:bCs/>
          <w:szCs w:val="28"/>
        </w:rPr>
        <w:t xml:space="preserve"> “a person may” rather than “a person may not,”; “a person or entity may” rather than “nothing in this rule prohibits”).</w:t>
      </w:r>
      <w:r w:rsidR="00B63C64">
        <w:rPr>
          <w:bCs/>
          <w:szCs w:val="28"/>
        </w:rPr>
        <w:t xml:space="preserve"> </w:t>
      </w:r>
      <w:r w:rsidR="00EC0A0D">
        <w:rPr>
          <w:bCs/>
          <w:szCs w:val="28"/>
        </w:rPr>
        <w:t xml:space="preserve"> </w:t>
      </w:r>
    </w:p>
    <w:p w:rsidR="009377F3" w:rsidRPr="00DB3840" w:rsidRDefault="00B63C64" w:rsidP="007F54A2">
      <w:pPr>
        <w:pStyle w:val="BodyText"/>
        <w:spacing w:line="480" w:lineRule="auto"/>
        <w:ind w:firstLine="720"/>
        <w:jc w:val="both"/>
        <w:rPr>
          <w:bCs/>
          <w:szCs w:val="28"/>
        </w:rPr>
      </w:pPr>
      <w:r>
        <w:rPr>
          <w:bCs/>
          <w:szCs w:val="28"/>
        </w:rPr>
        <w:t>The workgroup that developed recommended amendments for regulating ABSs and LLLPs did so in the context of the proposed restyled Rule 31.  Therefore, t</w:t>
      </w:r>
      <w:r w:rsidR="0008644D" w:rsidRPr="00DB3840">
        <w:rPr>
          <w:bCs/>
          <w:szCs w:val="28"/>
        </w:rPr>
        <w:t>h</w:t>
      </w:r>
      <w:r w:rsidR="00A928F1" w:rsidRPr="00DB3840">
        <w:rPr>
          <w:bCs/>
          <w:szCs w:val="28"/>
        </w:rPr>
        <w:t xml:space="preserve">e rules included in Appendix 2A and Appendix 2B show the restyled rules – not current Rule 31 </w:t>
      </w:r>
      <w:r w:rsidR="00712F08">
        <w:rPr>
          <w:bCs/>
          <w:szCs w:val="28"/>
        </w:rPr>
        <w:t>—</w:t>
      </w:r>
      <w:r w:rsidR="00A928F1" w:rsidRPr="00DB3840">
        <w:rPr>
          <w:bCs/>
          <w:szCs w:val="28"/>
        </w:rPr>
        <w:t>with the ABS additions</w:t>
      </w:r>
      <w:r w:rsidR="00C5368A">
        <w:rPr>
          <w:bCs/>
          <w:szCs w:val="28"/>
        </w:rPr>
        <w:t xml:space="preserve"> shown through underlining</w:t>
      </w:r>
      <w:r w:rsidR="00A928F1" w:rsidRPr="00DB3840">
        <w:rPr>
          <w:bCs/>
          <w:szCs w:val="28"/>
        </w:rPr>
        <w:t>. Original Rule 31 appears in the Task Force’s report at pages 150 through 155.</w:t>
      </w:r>
    </w:p>
    <w:p w:rsidR="009377F3" w:rsidRPr="00B71ADB" w:rsidRDefault="009377F3" w:rsidP="00CB2694">
      <w:pPr>
        <w:pStyle w:val="BodyText"/>
        <w:numPr>
          <w:ilvl w:val="0"/>
          <w:numId w:val="8"/>
        </w:numPr>
        <w:spacing w:line="480" w:lineRule="auto"/>
        <w:ind w:left="720"/>
        <w:jc w:val="both"/>
        <w:rPr>
          <w:b/>
          <w:szCs w:val="28"/>
        </w:rPr>
      </w:pPr>
      <w:r w:rsidRPr="00B71ADB">
        <w:rPr>
          <w:b/>
          <w:szCs w:val="28"/>
        </w:rPr>
        <w:t>Rule 31 (Supreme Court Jurisdiction)</w:t>
      </w:r>
      <w:r w:rsidR="00EE3DE5">
        <w:rPr>
          <w:rStyle w:val="FootnoteReference"/>
          <w:b/>
          <w:szCs w:val="28"/>
        </w:rPr>
        <w:footnoteReference w:id="17"/>
      </w:r>
    </w:p>
    <w:p w:rsidR="009377F3" w:rsidRPr="00DB3840" w:rsidRDefault="009377F3" w:rsidP="007F54A2">
      <w:pPr>
        <w:pStyle w:val="BodyText"/>
        <w:spacing w:line="480" w:lineRule="auto"/>
        <w:ind w:firstLine="720"/>
        <w:jc w:val="both"/>
        <w:rPr>
          <w:bCs/>
          <w:szCs w:val="28"/>
        </w:rPr>
      </w:pPr>
      <w:r w:rsidRPr="00DB3840">
        <w:rPr>
          <w:bCs/>
          <w:szCs w:val="28"/>
        </w:rPr>
        <w:t>The changes in proposed Rule 31, which incorporates much of current Rule 31(a), are stylistic, with one major exception.</w:t>
      </w:r>
    </w:p>
    <w:p w:rsidR="009377F3" w:rsidRPr="00DB3840" w:rsidRDefault="009377F3" w:rsidP="007F54A2">
      <w:pPr>
        <w:pStyle w:val="BodyText"/>
        <w:spacing w:line="480" w:lineRule="auto"/>
        <w:ind w:firstLine="720"/>
        <w:jc w:val="both"/>
        <w:rPr>
          <w:bCs/>
          <w:szCs w:val="28"/>
        </w:rPr>
      </w:pPr>
      <w:r w:rsidRPr="00DB3840">
        <w:rPr>
          <w:bCs/>
          <w:szCs w:val="28"/>
        </w:rPr>
        <w:t xml:space="preserve">Although </w:t>
      </w:r>
      <w:r w:rsidR="00B63C64">
        <w:rPr>
          <w:bCs/>
          <w:szCs w:val="28"/>
        </w:rPr>
        <w:t xml:space="preserve">current </w:t>
      </w:r>
      <w:r w:rsidRPr="00DB3840">
        <w:rPr>
          <w:bCs/>
          <w:szCs w:val="28"/>
        </w:rPr>
        <w:t>Rule 31(a) already refer</w:t>
      </w:r>
      <w:r w:rsidR="00B63C64">
        <w:rPr>
          <w:bCs/>
          <w:szCs w:val="28"/>
        </w:rPr>
        <w:t>red</w:t>
      </w:r>
      <w:r w:rsidRPr="00DB3840">
        <w:rPr>
          <w:bCs/>
          <w:szCs w:val="28"/>
        </w:rPr>
        <w:t xml:space="preserve"> to the Court having jurisdiction over “any person or </w:t>
      </w:r>
      <w:r w:rsidRPr="00DB3840">
        <w:rPr>
          <w:bCs/>
          <w:i/>
          <w:iCs/>
          <w:szCs w:val="28"/>
        </w:rPr>
        <w:t>entity</w:t>
      </w:r>
      <w:r w:rsidRPr="00DB3840">
        <w:rPr>
          <w:bCs/>
          <w:szCs w:val="28"/>
        </w:rPr>
        <w:t xml:space="preserve"> engaged in the authorized or unauthorized ‘practice of law’ in Arizona…” </w:t>
      </w:r>
      <w:r w:rsidR="00BC74D8">
        <w:rPr>
          <w:bCs/>
          <w:szCs w:val="28"/>
        </w:rPr>
        <w:t>(emphasis added)</w:t>
      </w:r>
      <w:r w:rsidR="00A0412C">
        <w:rPr>
          <w:bCs/>
          <w:szCs w:val="28"/>
        </w:rPr>
        <w:t>,</w:t>
      </w:r>
      <w:r w:rsidR="00BC74D8">
        <w:rPr>
          <w:bCs/>
          <w:szCs w:val="28"/>
        </w:rPr>
        <w:t xml:space="preserve"> </w:t>
      </w:r>
      <w:r w:rsidRPr="00DB3840">
        <w:rPr>
          <w:bCs/>
          <w:szCs w:val="28"/>
        </w:rPr>
        <w:t>a sentence has been added to make explicit that the Court has jurisdiction “over any ABS who is licensed pursuant to Rule 31.1(b) and ACJA 7-209.”</w:t>
      </w:r>
      <w:r w:rsidR="00B63C64">
        <w:rPr>
          <w:bCs/>
          <w:szCs w:val="28"/>
        </w:rPr>
        <w:t xml:space="preserve"> This amendment was necessary because the term “entity’ has particular meaning in the existing rules regulating the practice of law and it is ABSs that amendments in the petition are designed to regulate, not traditional law firms. </w:t>
      </w:r>
    </w:p>
    <w:p w:rsidR="009377F3" w:rsidRPr="00DB3840" w:rsidRDefault="009377F3" w:rsidP="007F54A2">
      <w:pPr>
        <w:pStyle w:val="BodyText"/>
        <w:spacing w:line="480" w:lineRule="auto"/>
        <w:ind w:firstLine="720"/>
        <w:jc w:val="both"/>
        <w:rPr>
          <w:bCs/>
          <w:szCs w:val="28"/>
        </w:rPr>
      </w:pPr>
      <w:r w:rsidRPr="00DB3840">
        <w:rPr>
          <w:bCs/>
          <w:szCs w:val="28"/>
        </w:rPr>
        <w:t xml:space="preserve">The restyled Rule 31 does not include all of </w:t>
      </w:r>
      <w:r w:rsidR="00BC74D8">
        <w:rPr>
          <w:bCs/>
          <w:szCs w:val="28"/>
        </w:rPr>
        <w:t xml:space="preserve">the content of </w:t>
      </w:r>
      <w:r w:rsidRPr="00DB3840">
        <w:rPr>
          <w:bCs/>
          <w:szCs w:val="28"/>
        </w:rPr>
        <w:t>current Rule 31(a). In particular, three definitions have been omitted:</w:t>
      </w:r>
    </w:p>
    <w:p w:rsidR="009377F3" w:rsidRPr="00DB3840" w:rsidRDefault="009377F3" w:rsidP="00D94875">
      <w:pPr>
        <w:pStyle w:val="BodyText"/>
        <w:numPr>
          <w:ilvl w:val="0"/>
          <w:numId w:val="9"/>
        </w:numPr>
        <w:spacing w:line="480" w:lineRule="auto"/>
        <w:ind w:left="720"/>
        <w:jc w:val="both"/>
        <w:rPr>
          <w:bCs/>
          <w:szCs w:val="28"/>
        </w:rPr>
      </w:pPr>
      <w:r w:rsidRPr="00DB3840">
        <w:rPr>
          <w:bCs/>
          <w:szCs w:val="28"/>
        </w:rPr>
        <w:t xml:space="preserve">“Legal assistant/paralegal” (defined by current Rule 31(a)(2)(C)) was removed as that term is not used in </w:t>
      </w:r>
      <w:r w:rsidR="00BC74D8">
        <w:rPr>
          <w:bCs/>
          <w:szCs w:val="28"/>
        </w:rPr>
        <w:t xml:space="preserve">either </w:t>
      </w:r>
      <w:r w:rsidRPr="00DB3840">
        <w:rPr>
          <w:bCs/>
          <w:szCs w:val="28"/>
        </w:rPr>
        <w:t xml:space="preserve">current or restyled Rule 31. </w:t>
      </w:r>
    </w:p>
    <w:p w:rsidR="009377F3" w:rsidRPr="00DB3840" w:rsidRDefault="009377F3" w:rsidP="00D94875">
      <w:pPr>
        <w:pStyle w:val="BodyText"/>
        <w:numPr>
          <w:ilvl w:val="0"/>
          <w:numId w:val="9"/>
        </w:numPr>
        <w:spacing w:line="480" w:lineRule="auto"/>
        <w:ind w:left="720"/>
        <w:jc w:val="both"/>
        <w:rPr>
          <w:bCs/>
          <w:szCs w:val="28"/>
        </w:rPr>
      </w:pPr>
      <w:r w:rsidRPr="00DB3840">
        <w:rPr>
          <w:bCs/>
          <w:szCs w:val="28"/>
        </w:rPr>
        <w:t>“Mediator” (defined by current Rule 31(a)(2)(D)) was not included in the restyled rule</w:t>
      </w:r>
      <w:r w:rsidR="004D037C">
        <w:rPr>
          <w:bCs/>
          <w:szCs w:val="28"/>
        </w:rPr>
        <w:t>. A</w:t>
      </w:r>
      <w:r w:rsidR="007F54A2">
        <w:rPr>
          <w:bCs/>
          <w:szCs w:val="28"/>
        </w:rPr>
        <w:t xml:space="preserve">n exception for mediators appears in </w:t>
      </w:r>
      <w:r w:rsidR="00BC74D8">
        <w:rPr>
          <w:bCs/>
          <w:szCs w:val="28"/>
        </w:rPr>
        <w:t xml:space="preserve">restyled </w:t>
      </w:r>
      <w:r w:rsidR="007F54A2">
        <w:rPr>
          <w:bCs/>
          <w:szCs w:val="28"/>
        </w:rPr>
        <w:t xml:space="preserve">Rule </w:t>
      </w:r>
      <w:r w:rsidR="004D037C">
        <w:rPr>
          <w:bCs/>
          <w:szCs w:val="28"/>
        </w:rPr>
        <w:t>31.3(</w:t>
      </w:r>
      <w:r w:rsidR="007F54A2">
        <w:rPr>
          <w:bCs/>
          <w:szCs w:val="28"/>
        </w:rPr>
        <w:t>e)(5).</w:t>
      </w:r>
    </w:p>
    <w:p w:rsidR="00B63C64" w:rsidRDefault="009377F3" w:rsidP="00D94875">
      <w:pPr>
        <w:pStyle w:val="BodyText"/>
        <w:numPr>
          <w:ilvl w:val="0"/>
          <w:numId w:val="9"/>
        </w:numPr>
        <w:spacing w:line="480" w:lineRule="auto"/>
        <w:ind w:left="720"/>
        <w:jc w:val="both"/>
        <w:rPr>
          <w:bCs/>
          <w:szCs w:val="28"/>
        </w:rPr>
      </w:pPr>
      <w:r w:rsidRPr="00DB3840">
        <w:rPr>
          <w:bCs/>
          <w:szCs w:val="28"/>
        </w:rPr>
        <w:t xml:space="preserve">“Unprofessional conduct” (defined by current Rule </w:t>
      </w:r>
      <w:r w:rsidR="00BC74D8">
        <w:rPr>
          <w:bCs/>
          <w:szCs w:val="28"/>
        </w:rPr>
        <w:t>31</w:t>
      </w:r>
      <w:r w:rsidRPr="00DB3840">
        <w:rPr>
          <w:bCs/>
          <w:szCs w:val="28"/>
        </w:rPr>
        <w:t xml:space="preserve">(a)(2)(E)) was not included because the term is not </w:t>
      </w:r>
      <w:r w:rsidR="00BC74D8">
        <w:rPr>
          <w:bCs/>
          <w:szCs w:val="28"/>
        </w:rPr>
        <w:t xml:space="preserve">otherwise </w:t>
      </w:r>
      <w:r w:rsidRPr="00DB3840">
        <w:rPr>
          <w:bCs/>
          <w:szCs w:val="28"/>
        </w:rPr>
        <w:t xml:space="preserve">used in Rule 31. </w:t>
      </w:r>
    </w:p>
    <w:p w:rsidR="009377F3" w:rsidRDefault="00B63C64" w:rsidP="00797BF2">
      <w:pPr>
        <w:pStyle w:val="BodyText"/>
        <w:spacing w:line="480" w:lineRule="auto"/>
        <w:ind w:firstLine="720"/>
        <w:jc w:val="both"/>
        <w:rPr>
          <w:bCs/>
          <w:szCs w:val="28"/>
        </w:rPr>
      </w:pPr>
      <w:r>
        <w:rPr>
          <w:bCs/>
          <w:szCs w:val="28"/>
        </w:rPr>
        <w:t xml:space="preserve">This petition recognizes that the definition of “unprofessional conduct” is a cornerstone of lawyer discipline. Therefore, it is proposed that definition be </w:t>
      </w:r>
      <w:r w:rsidR="009377F3" w:rsidRPr="00DB3840">
        <w:rPr>
          <w:bCs/>
          <w:szCs w:val="28"/>
        </w:rPr>
        <w:t xml:space="preserve"> relocat</w:t>
      </w:r>
      <w:r>
        <w:rPr>
          <w:bCs/>
          <w:szCs w:val="28"/>
        </w:rPr>
        <w:t>ed</w:t>
      </w:r>
      <w:r w:rsidR="009377F3" w:rsidRPr="00DB3840">
        <w:rPr>
          <w:bCs/>
          <w:szCs w:val="28"/>
        </w:rPr>
        <w:t xml:space="preserve"> to Rule 41, which </w:t>
      </w:r>
      <w:r w:rsidR="00BC74D8">
        <w:rPr>
          <w:bCs/>
          <w:szCs w:val="28"/>
        </w:rPr>
        <w:t>lists</w:t>
      </w:r>
      <w:r w:rsidR="00BC74D8" w:rsidRPr="00DB3840">
        <w:rPr>
          <w:bCs/>
          <w:szCs w:val="28"/>
        </w:rPr>
        <w:t xml:space="preserve"> </w:t>
      </w:r>
      <w:r w:rsidR="009377F3" w:rsidRPr="00DB3840">
        <w:rPr>
          <w:bCs/>
          <w:szCs w:val="28"/>
        </w:rPr>
        <w:t>the duties and obligations of members.</w:t>
      </w:r>
      <w:r w:rsidR="0008644D" w:rsidRPr="00DB3840">
        <w:rPr>
          <w:bCs/>
          <w:szCs w:val="28"/>
        </w:rPr>
        <w:t xml:space="preserve"> Rule 41 also has been amended to specifically incorporate the Oath of Admission to the Bar and the Lawyer’s Creed of Professionalism of the State Bar of Arizona, neither of which were previously</w:t>
      </w:r>
      <w:r w:rsidR="00BC74D8">
        <w:rPr>
          <w:bCs/>
          <w:szCs w:val="28"/>
        </w:rPr>
        <w:t xml:space="preserve"> officially part of</w:t>
      </w:r>
      <w:r w:rsidR="00015AD9">
        <w:rPr>
          <w:bCs/>
          <w:szCs w:val="28"/>
        </w:rPr>
        <w:t xml:space="preserve"> </w:t>
      </w:r>
      <w:r w:rsidR="0008644D" w:rsidRPr="00DB3840">
        <w:rPr>
          <w:bCs/>
          <w:szCs w:val="28"/>
        </w:rPr>
        <w:t>a rule.</w:t>
      </w:r>
    </w:p>
    <w:p w:rsidR="00DB737F" w:rsidRPr="007F54A2" w:rsidRDefault="00DB737F" w:rsidP="00797BF2">
      <w:pPr>
        <w:pStyle w:val="BodyText"/>
        <w:spacing w:line="480" w:lineRule="auto"/>
        <w:ind w:firstLine="720"/>
        <w:jc w:val="both"/>
        <w:rPr>
          <w:bCs/>
          <w:szCs w:val="28"/>
        </w:rPr>
      </w:pPr>
    </w:p>
    <w:p w:rsidR="009377F3" w:rsidRPr="00B71ADB" w:rsidRDefault="009377F3" w:rsidP="00CB2694">
      <w:pPr>
        <w:pStyle w:val="BodyText"/>
        <w:numPr>
          <w:ilvl w:val="0"/>
          <w:numId w:val="8"/>
        </w:numPr>
        <w:spacing w:line="480" w:lineRule="auto"/>
        <w:ind w:left="720"/>
        <w:jc w:val="both"/>
        <w:rPr>
          <w:b/>
          <w:szCs w:val="28"/>
        </w:rPr>
      </w:pPr>
      <w:r w:rsidRPr="00B71ADB">
        <w:rPr>
          <w:b/>
          <w:szCs w:val="28"/>
        </w:rPr>
        <w:t>Rule 31.1 (Authorized Practice of Law)</w:t>
      </w:r>
    </w:p>
    <w:p w:rsidR="009377F3" w:rsidRPr="00DB3840" w:rsidRDefault="009377F3" w:rsidP="007F54A2">
      <w:pPr>
        <w:pStyle w:val="BodyText"/>
        <w:spacing w:line="480" w:lineRule="auto"/>
        <w:ind w:firstLine="720"/>
        <w:jc w:val="both"/>
        <w:rPr>
          <w:bCs/>
          <w:szCs w:val="28"/>
        </w:rPr>
      </w:pPr>
      <w:r w:rsidRPr="00DB3840">
        <w:rPr>
          <w:bCs/>
          <w:szCs w:val="28"/>
        </w:rPr>
        <w:t>Proposed Rule 31.1 incorporates current Rule 31(b) as Rule 31.1(a).</w:t>
      </w:r>
    </w:p>
    <w:p w:rsidR="009377F3" w:rsidRPr="00DB3840" w:rsidRDefault="009377F3" w:rsidP="007F54A2">
      <w:pPr>
        <w:pStyle w:val="BodyText"/>
        <w:spacing w:line="480" w:lineRule="auto"/>
        <w:ind w:firstLine="720"/>
        <w:jc w:val="both"/>
        <w:rPr>
          <w:bCs/>
          <w:szCs w:val="28"/>
        </w:rPr>
      </w:pPr>
      <w:r w:rsidRPr="00DB3840">
        <w:rPr>
          <w:bCs/>
          <w:szCs w:val="28"/>
        </w:rPr>
        <w:t xml:space="preserve">A new proposed Rule 31.1(b) defines </w:t>
      </w:r>
      <w:r w:rsidR="00BC74D8">
        <w:rPr>
          <w:bCs/>
          <w:szCs w:val="28"/>
        </w:rPr>
        <w:t xml:space="preserve">an </w:t>
      </w:r>
      <w:r w:rsidRPr="00DB3840">
        <w:rPr>
          <w:bCs/>
          <w:szCs w:val="28"/>
        </w:rPr>
        <w:t>Alternative Business Structure. Although the criteria for an ABS will be in ACJA 7-209, adding this definition is important to clarify that an ABS must employ an active State Bar member in good standing; must be licensed pursuant to ACJA 7-209; and that legal services only may be provided by authorized persons and in compliance with Court rules.</w:t>
      </w:r>
    </w:p>
    <w:p w:rsidR="009377F3" w:rsidRPr="00B71ADB" w:rsidRDefault="009377F3" w:rsidP="00CB2694">
      <w:pPr>
        <w:pStyle w:val="BodyText"/>
        <w:numPr>
          <w:ilvl w:val="0"/>
          <w:numId w:val="8"/>
        </w:numPr>
        <w:spacing w:line="480" w:lineRule="auto"/>
        <w:ind w:left="720"/>
        <w:jc w:val="both"/>
        <w:rPr>
          <w:b/>
          <w:szCs w:val="28"/>
        </w:rPr>
      </w:pPr>
      <w:r w:rsidRPr="00B71ADB">
        <w:rPr>
          <w:b/>
          <w:szCs w:val="28"/>
        </w:rPr>
        <w:t>Rule 31.2 (Unauthorized Practice of Law)</w:t>
      </w:r>
    </w:p>
    <w:p w:rsidR="009377F3" w:rsidRPr="00DB3840" w:rsidRDefault="009377F3" w:rsidP="007F54A2">
      <w:pPr>
        <w:pStyle w:val="BodyText"/>
        <w:spacing w:line="480" w:lineRule="auto"/>
        <w:ind w:firstLine="720"/>
        <w:jc w:val="both"/>
        <w:rPr>
          <w:bCs/>
          <w:szCs w:val="28"/>
        </w:rPr>
      </w:pPr>
      <w:r w:rsidRPr="00DB3840">
        <w:rPr>
          <w:bCs/>
          <w:szCs w:val="28"/>
        </w:rPr>
        <w:t xml:space="preserve">Current Rule 31(a)(2)(B) describes the “unauthorized practice of law.” Restyled Rule 31.2(a) carries over but broadens the definition of who may engage in the practice of law by acknowledging that </w:t>
      </w:r>
      <w:r w:rsidR="00BC74D8">
        <w:rPr>
          <w:bCs/>
          <w:szCs w:val="28"/>
        </w:rPr>
        <w:t xml:space="preserve">lawyers </w:t>
      </w:r>
      <w:r w:rsidRPr="00DB3840">
        <w:rPr>
          <w:bCs/>
          <w:szCs w:val="28"/>
        </w:rPr>
        <w:t xml:space="preserve">such as </w:t>
      </w:r>
      <w:r w:rsidR="00BC74D8">
        <w:rPr>
          <w:bCs/>
          <w:szCs w:val="28"/>
        </w:rPr>
        <w:t xml:space="preserve">registered </w:t>
      </w:r>
      <w:r w:rsidRPr="00DB3840">
        <w:rPr>
          <w:bCs/>
          <w:szCs w:val="28"/>
        </w:rPr>
        <w:t xml:space="preserve">in-house counsel and out-of-state lawyers admitted pro hac vice </w:t>
      </w:r>
      <w:r w:rsidR="00BC74D8">
        <w:rPr>
          <w:bCs/>
          <w:szCs w:val="28"/>
        </w:rPr>
        <w:t>may</w:t>
      </w:r>
      <w:r w:rsidR="00BC74D8" w:rsidRPr="00DB3840">
        <w:rPr>
          <w:bCs/>
          <w:szCs w:val="28"/>
        </w:rPr>
        <w:t xml:space="preserve"> </w:t>
      </w:r>
      <w:r w:rsidRPr="00DB3840">
        <w:rPr>
          <w:bCs/>
          <w:szCs w:val="28"/>
        </w:rPr>
        <w:t>practice law in Arizona.</w:t>
      </w:r>
    </w:p>
    <w:p w:rsidR="009377F3" w:rsidRPr="00DB3840" w:rsidRDefault="009377F3" w:rsidP="007F54A2">
      <w:pPr>
        <w:pStyle w:val="BodyText"/>
        <w:spacing w:line="480" w:lineRule="auto"/>
        <w:ind w:firstLine="720"/>
        <w:jc w:val="both"/>
        <w:rPr>
          <w:bCs/>
          <w:szCs w:val="28"/>
        </w:rPr>
      </w:pPr>
      <w:r w:rsidRPr="00DB3840">
        <w:rPr>
          <w:bCs/>
          <w:szCs w:val="28"/>
        </w:rPr>
        <w:t xml:space="preserve">Restyled Rule 31.2(b) adds “alternative business structure” to the list </w:t>
      </w:r>
      <w:r w:rsidR="0021015C" w:rsidRPr="00DB3840">
        <w:rPr>
          <w:bCs/>
          <w:szCs w:val="28"/>
        </w:rPr>
        <w:t>of descriptions</w:t>
      </w:r>
      <w:r w:rsidRPr="00DB3840">
        <w:rPr>
          <w:bCs/>
          <w:szCs w:val="28"/>
        </w:rPr>
        <w:t xml:space="preserve"> that are reasonably likely to induce others to believe that the person or entity is able to practice law or provide legal services in this state.</w:t>
      </w:r>
    </w:p>
    <w:p w:rsidR="0008644D" w:rsidRPr="00B71ADB" w:rsidRDefault="0008644D" w:rsidP="00CB2694">
      <w:pPr>
        <w:pStyle w:val="BodyText"/>
        <w:numPr>
          <w:ilvl w:val="0"/>
          <w:numId w:val="8"/>
        </w:numPr>
        <w:spacing w:line="480" w:lineRule="auto"/>
        <w:ind w:left="720"/>
        <w:jc w:val="both"/>
        <w:rPr>
          <w:b/>
          <w:szCs w:val="28"/>
        </w:rPr>
      </w:pPr>
      <w:r w:rsidRPr="00B71ADB">
        <w:rPr>
          <w:b/>
          <w:szCs w:val="28"/>
        </w:rPr>
        <w:t>Rule 31.3 (Exceptions to Rule 31.2)</w:t>
      </w:r>
    </w:p>
    <w:p w:rsidR="0008644D" w:rsidRPr="00DB3840" w:rsidRDefault="009377F3" w:rsidP="007F54A2">
      <w:pPr>
        <w:pStyle w:val="BodyText"/>
        <w:spacing w:line="480" w:lineRule="auto"/>
        <w:ind w:firstLine="720"/>
        <w:jc w:val="both"/>
        <w:rPr>
          <w:bCs/>
          <w:szCs w:val="28"/>
        </w:rPr>
      </w:pPr>
      <w:r w:rsidRPr="00DB3840">
        <w:rPr>
          <w:bCs/>
          <w:szCs w:val="28"/>
        </w:rPr>
        <w:t xml:space="preserve">The most extensive </w:t>
      </w:r>
      <w:r w:rsidR="00C5368A">
        <w:rPr>
          <w:bCs/>
          <w:szCs w:val="28"/>
        </w:rPr>
        <w:t>resty</w:t>
      </w:r>
      <w:r w:rsidR="00797BF2">
        <w:rPr>
          <w:bCs/>
          <w:szCs w:val="28"/>
        </w:rPr>
        <w:t>l</w:t>
      </w:r>
      <w:r w:rsidR="00C5368A">
        <w:rPr>
          <w:bCs/>
          <w:szCs w:val="28"/>
        </w:rPr>
        <w:t xml:space="preserve">ing </w:t>
      </w:r>
      <w:r w:rsidRPr="00DB3840">
        <w:rPr>
          <w:bCs/>
          <w:szCs w:val="28"/>
        </w:rPr>
        <w:t>occur</w:t>
      </w:r>
      <w:r w:rsidR="00C5368A">
        <w:rPr>
          <w:bCs/>
          <w:szCs w:val="28"/>
        </w:rPr>
        <w:t>s</w:t>
      </w:r>
      <w:r w:rsidRPr="00DB3840">
        <w:rPr>
          <w:bCs/>
          <w:szCs w:val="28"/>
        </w:rPr>
        <w:t xml:space="preserve"> to current Rule 31(d), which the proposed rule denominates as Rule 31.3. Rule 31(d) currently has </w:t>
      </w:r>
      <w:r w:rsidR="0008644D" w:rsidRPr="00DB3840">
        <w:rPr>
          <w:bCs/>
          <w:szCs w:val="28"/>
        </w:rPr>
        <w:t>31</w:t>
      </w:r>
      <w:r w:rsidRPr="00DB3840">
        <w:rPr>
          <w:bCs/>
          <w:szCs w:val="28"/>
        </w:rPr>
        <w:t xml:space="preserve"> subsections with little reason to their order. </w:t>
      </w:r>
    </w:p>
    <w:p w:rsidR="0008644D" w:rsidRPr="00DB3840" w:rsidRDefault="009377F3" w:rsidP="007F54A2">
      <w:pPr>
        <w:pStyle w:val="BodyText"/>
        <w:spacing w:line="480" w:lineRule="auto"/>
        <w:ind w:firstLine="720"/>
        <w:jc w:val="both"/>
        <w:rPr>
          <w:bCs/>
          <w:szCs w:val="28"/>
        </w:rPr>
      </w:pPr>
      <w:r w:rsidRPr="00DB3840">
        <w:rPr>
          <w:bCs/>
          <w:szCs w:val="28"/>
        </w:rPr>
        <w:t xml:space="preserve">To make the rule more useful, subsection (d) was reorganized into </w:t>
      </w:r>
      <w:r w:rsidR="0008644D" w:rsidRPr="00DB3840">
        <w:rPr>
          <w:bCs/>
          <w:szCs w:val="28"/>
        </w:rPr>
        <w:t>10</w:t>
      </w:r>
      <w:r w:rsidRPr="00DB3840">
        <w:rPr>
          <w:bCs/>
          <w:szCs w:val="28"/>
        </w:rPr>
        <w:t xml:space="preserve"> subsections in proposed Rule 31.3: (1) a “Generally” section; (2) Governmental Activities and Court Forms; (3) Corporations, Limited Liability Companies, Associations, and Other Entities; (4) Administrative Hearings and Agency Proceedings; (5) Tax-Related Activities and Proceedings; (6) Legal Document Preparers; (7) Mediators; (8) Legal Assistants and Out-of-State Attorneys; (9) Fiduciaries; and (10) Other.</w:t>
      </w:r>
    </w:p>
    <w:p w:rsidR="00A928F1" w:rsidRPr="00DB3840" w:rsidRDefault="009377F3" w:rsidP="007F54A2">
      <w:pPr>
        <w:pStyle w:val="BodyText"/>
        <w:spacing w:line="480" w:lineRule="auto"/>
        <w:ind w:firstLine="720"/>
        <w:jc w:val="both"/>
        <w:rPr>
          <w:bCs/>
          <w:szCs w:val="28"/>
        </w:rPr>
      </w:pPr>
      <w:r w:rsidRPr="00DB3840">
        <w:rPr>
          <w:bCs/>
          <w:szCs w:val="28"/>
        </w:rPr>
        <w:t>The following merit specific mention</w:t>
      </w:r>
      <w:r w:rsidR="0008644D" w:rsidRPr="00DB3840">
        <w:rPr>
          <w:bCs/>
          <w:szCs w:val="28"/>
        </w:rPr>
        <w:t>:</w:t>
      </w:r>
    </w:p>
    <w:p w:rsidR="0008644D" w:rsidRPr="00DB3840" w:rsidRDefault="007F54A2" w:rsidP="00EE3DE5">
      <w:pPr>
        <w:pStyle w:val="BodyText"/>
        <w:numPr>
          <w:ilvl w:val="0"/>
          <w:numId w:val="10"/>
        </w:numPr>
        <w:spacing w:line="480" w:lineRule="auto"/>
        <w:ind w:left="720"/>
        <w:jc w:val="both"/>
        <w:rPr>
          <w:bCs/>
          <w:szCs w:val="28"/>
        </w:rPr>
      </w:pPr>
      <w:r w:rsidRPr="00DB3840">
        <w:rPr>
          <w:bCs/>
          <w:szCs w:val="28"/>
        </w:rPr>
        <w:t xml:space="preserve">Proposed restyled Rule 31.3(c)(1) provides a definition of “legal entity.” </w:t>
      </w:r>
    </w:p>
    <w:p w:rsidR="0008644D" w:rsidRPr="00DB3840" w:rsidRDefault="0008644D" w:rsidP="00D94875">
      <w:pPr>
        <w:pStyle w:val="BodyText"/>
        <w:numPr>
          <w:ilvl w:val="0"/>
          <w:numId w:val="10"/>
        </w:numPr>
        <w:spacing w:line="480" w:lineRule="auto"/>
        <w:ind w:left="720"/>
        <w:jc w:val="both"/>
        <w:rPr>
          <w:bCs/>
          <w:szCs w:val="28"/>
        </w:rPr>
      </w:pPr>
      <w:r w:rsidRPr="00DB3840">
        <w:rPr>
          <w:bCs/>
          <w:szCs w:val="28"/>
        </w:rPr>
        <w:t>S</w:t>
      </w:r>
      <w:r w:rsidR="009377F3" w:rsidRPr="00DB3840">
        <w:rPr>
          <w:bCs/>
          <w:szCs w:val="28"/>
        </w:rPr>
        <w:t>ubsection (3) collapses the three current provisions regarding the representation of companies and associations in municipal or justice courts.</w:t>
      </w:r>
    </w:p>
    <w:p w:rsidR="0008644D" w:rsidRPr="00DB3840" w:rsidRDefault="0008644D" w:rsidP="00D94875">
      <w:pPr>
        <w:pStyle w:val="BodyText"/>
        <w:numPr>
          <w:ilvl w:val="0"/>
          <w:numId w:val="10"/>
        </w:numPr>
        <w:spacing w:line="480" w:lineRule="auto"/>
        <w:ind w:left="720"/>
        <w:jc w:val="both"/>
        <w:rPr>
          <w:bCs/>
          <w:szCs w:val="28"/>
        </w:rPr>
      </w:pPr>
      <w:r w:rsidRPr="00DB3840">
        <w:rPr>
          <w:bCs/>
          <w:szCs w:val="28"/>
        </w:rPr>
        <w:t>S</w:t>
      </w:r>
      <w:r w:rsidR="009377F3" w:rsidRPr="00DB3840">
        <w:rPr>
          <w:bCs/>
          <w:szCs w:val="28"/>
        </w:rPr>
        <w:t>ubsection (4) retains the provision authorizing a person to represent entities in superior court in general stream adjudications.</w:t>
      </w:r>
    </w:p>
    <w:p w:rsidR="0008644D" w:rsidRPr="00DB3840" w:rsidRDefault="0008644D" w:rsidP="00D94875">
      <w:pPr>
        <w:pStyle w:val="BodyText"/>
        <w:numPr>
          <w:ilvl w:val="0"/>
          <w:numId w:val="10"/>
        </w:numPr>
        <w:spacing w:line="480" w:lineRule="auto"/>
        <w:ind w:left="720"/>
        <w:jc w:val="both"/>
        <w:rPr>
          <w:bCs/>
          <w:szCs w:val="28"/>
        </w:rPr>
      </w:pPr>
      <w:r w:rsidRPr="00DB3840">
        <w:rPr>
          <w:bCs/>
          <w:szCs w:val="28"/>
        </w:rPr>
        <w:t>S</w:t>
      </w:r>
      <w:r w:rsidR="009377F3" w:rsidRPr="00DB3840">
        <w:rPr>
          <w:bCs/>
          <w:szCs w:val="28"/>
        </w:rPr>
        <w:t>ubsection (5) collapses seven current rules regarding the representation of various types of legal entities in administrative hearings or</w:t>
      </w:r>
      <w:r w:rsidRPr="00DB3840">
        <w:rPr>
          <w:bCs/>
          <w:szCs w:val="28"/>
        </w:rPr>
        <w:t xml:space="preserve"> </w:t>
      </w:r>
      <w:r w:rsidR="009377F3" w:rsidRPr="00DB3840">
        <w:rPr>
          <w:bCs/>
          <w:szCs w:val="28"/>
        </w:rPr>
        <w:t>administrative proceedings</w:t>
      </w:r>
      <w:r w:rsidR="00DB737F">
        <w:rPr>
          <w:bCs/>
          <w:szCs w:val="28"/>
        </w:rPr>
        <w:t>.</w:t>
      </w:r>
    </w:p>
    <w:p w:rsidR="0008644D" w:rsidRPr="007F54A2" w:rsidRDefault="0008644D" w:rsidP="00D94875">
      <w:pPr>
        <w:pStyle w:val="BodyText"/>
        <w:numPr>
          <w:ilvl w:val="0"/>
          <w:numId w:val="10"/>
        </w:numPr>
        <w:spacing w:line="480" w:lineRule="auto"/>
        <w:ind w:left="720"/>
        <w:jc w:val="both"/>
        <w:rPr>
          <w:bCs/>
          <w:szCs w:val="28"/>
        </w:rPr>
      </w:pPr>
      <w:r w:rsidRPr="00DB3840">
        <w:rPr>
          <w:bCs/>
          <w:szCs w:val="28"/>
        </w:rPr>
        <w:t>S</w:t>
      </w:r>
      <w:r w:rsidR="009377F3" w:rsidRPr="00DB3840">
        <w:rPr>
          <w:bCs/>
          <w:szCs w:val="28"/>
        </w:rPr>
        <w:t>ubsection (6) sets forth in a single location a general exception saying that a hearing officer or presiding officer can order an entity to be represented by counsel.</w:t>
      </w:r>
    </w:p>
    <w:p w:rsidR="0008644D" w:rsidRPr="00DB3840" w:rsidRDefault="0008644D" w:rsidP="007F54A2">
      <w:pPr>
        <w:pStyle w:val="BodyText"/>
        <w:spacing w:line="480" w:lineRule="auto"/>
        <w:ind w:firstLine="720"/>
        <w:jc w:val="both"/>
        <w:rPr>
          <w:bCs/>
          <w:szCs w:val="28"/>
        </w:rPr>
      </w:pPr>
      <w:r w:rsidRPr="00DB3840">
        <w:rPr>
          <w:bCs/>
          <w:szCs w:val="28"/>
        </w:rPr>
        <w:t>The T</w:t>
      </w:r>
      <w:r w:rsidR="009377F3" w:rsidRPr="00DB3840">
        <w:rPr>
          <w:bCs/>
          <w:szCs w:val="28"/>
        </w:rPr>
        <w:t xml:space="preserve">ask </w:t>
      </w:r>
      <w:r w:rsidRPr="00DB3840">
        <w:rPr>
          <w:bCs/>
          <w:szCs w:val="28"/>
        </w:rPr>
        <w:t>F</w:t>
      </w:r>
      <w:r w:rsidR="009377F3" w:rsidRPr="00DB3840">
        <w:rPr>
          <w:bCs/>
          <w:szCs w:val="28"/>
        </w:rPr>
        <w:t xml:space="preserve">orce </w:t>
      </w:r>
      <w:r w:rsidRPr="00DB3840">
        <w:rPr>
          <w:bCs/>
          <w:szCs w:val="28"/>
        </w:rPr>
        <w:t xml:space="preserve">also </w:t>
      </w:r>
      <w:r w:rsidR="009377F3" w:rsidRPr="00DB3840">
        <w:rPr>
          <w:bCs/>
          <w:szCs w:val="28"/>
        </w:rPr>
        <w:t xml:space="preserve">considered rule petition R-18-0004, which the Supreme Court had continued pending the </w:t>
      </w:r>
      <w:r w:rsidRPr="00DB3840">
        <w:rPr>
          <w:bCs/>
          <w:szCs w:val="28"/>
        </w:rPr>
        <w:t>T</w:t>
      </w:r>
      <w:r w:rsidR="009377F3" w:rsidRPr="00DB3840">
        <w:rPr>
          <w:bCs/>
          <w:szCs w:val="28"/>
        </w:rPr>
        <w:t xml:space="preserve">ask </w:t>
      </w:r>
      <w:r w:rsidRPr="00DB3840">
        <w:rPr>
          <w:bCs/>
          <w:szCs w:val="28"/>
        </w:rPr>
        <w:t>F</w:t>
      </w:r>
      <w:r w:rsidR="009377F3" w:rsidRPr="00DB3840">
        <w:rPr>
          <w:bCs/>
          <w:szCs w:val="28"/>
        </w:rPr>
        <w:t xml:space="preserve">orce’s recommendation. That petition </w:t>
      </w:r>
      <w:r w:rsidR="00C5368A">
        <w:rPr>
          <w:bCs/>
          <w:szCs w:val="28"/>
        </w:rPr>
        <w:t>sought</w:t>
      </w:r>
      <w:r w:rsidR="00C5368A" w:rsidRPr="00DB3840">
        <w:rPr>
          <w:bCs/>
          <w:szCs w:val="28"/>
        </w:rPr>
        <w:t xml:space="preserve"> </w:t>
      </w:r>
      <w:r w:rsidR="009377F3" w:rsidRPr="00DB3840">
        <w:rPr>
          <w:bCs/>
          <w:szCs w:val="28"/>
        </w:rPr>
        <w:t xml:space="preserve">an amendment to the rule that would permit owners of closely held corporations and like entities, or their designees, to represent the entities in litigation. While the </w:t>
      </w:r>
      <w:r w:rsidRPr="00DB3840">
        <w:rPr>
          <w:bCs/>
          <w:szCs w:val="28"/>
        </w:rPr>
        <w:t>T</w:t>
      </w:r>
      <w:r w:rsidR="009377F3" w:rsidRPr="00DB3840">
        <w:rPr>
          <w:bCs/>
          <w:szCs w:val="28"/>
        </w:rPr>
        <w:t xml:space="preserve">ask </w:t>
      </w:r>
      <w:r w:rsidRPr="00DB3840">
        <w:rPr>
          <w:bCs/>
          <w:szCs w:val="28"/>
        </w:rPr>
        <w:t>F</w:t>
      </w:r>
      <w:r w:rsidR="009377F3" w:rsidRPr="00DB3840">
        <w:rPr>
          <w:bCs/>
          <w:szCs w:val="28"/>
        </w:rPr>
        <w:t xml:space="preserve">orce empathized with the plight of “mom and pop” entities that cannot afford counsel and yet are deprived of the ability to represent the entities in court, the </w:t>
      </w:r>
      <w:r w:rsidRPr="00DB3840">
        <w:rPr>
          <w:bCs/>
          <w:szCs w:val="28"/>
        </w:rPr>
        <w:t>T</w:t>
      </w:r>
      <w:r w:rsidR="009377F3" w:rsidRPr="00DB3840">
        <w:rPr>
          <w:bCs/>
          <w:szCs w:val="28"/>
        </w:rPr>
        <w:t xml:space="preserve">ask </w:t>
      </w:r>
      <w:r w:rsidRPr="00DB3840">
        <w:rPr>
          <w:bCs/>
          <w:szCs w:val="28"/>
        </w:rPr>
        <w:t>F</w:t>
      </w:r>
      <w:r w:rsidR="009377F3" w:rsidRPr="00DB3840">
        <w:rPr>
          <w:bCs/>
          <w:szCs w:val="28"/>
        </w:rPr>
        <w:t xml:space="preserve">orce </w:t>
      </w:r>
      <w:r w:rsidR="00C5368A">
        <w:rPr>
          <w:bCs/>
          <w:szCs w:val="28"/>
        </w:rPr>
        <w:t>did</w:t>
      </w:r>
      <w:r w:rsidR="00C5368A" w:rsidRPr="00DB3840">
        <w:rPr>
          <w:bCs/>
          <w:szCs w:val="28"/>
        </w:rPr>
        <w:t xml:space="preserve"> </w:t>
      </w:r>
      <w:r w:rsidR="009377F3" w:rsidRPr="00DB3840">
        <w:rPr>
          <w:bCs/>
          <w:szCs w:val="28"/>
        </w:rPr>
        <w:t xml:space="preserve">not recommend this proposal. </w:t>
      </w:r>
      <w:r w:rsidR="0021015C">
        <w:rPr>
          <w:bCs/>
          <w:szCs w:val="28"/>
        </w:rPr>
        <w:t>However, t</w:t>
      </w:r>
      <w:r w:rsidR="009377F3" w:rsidRPr="00DB3840">
        <w:rPr>
          <w:bCs/>
          <w:szCs w:val="28"/>
        </w:rPr>
        <w:t xml:space="preserve">he proposed restyling of Rule 31(d) </w:t>
      </w:r>
      <w:r w:rsidR="0021015C">
        <w:rPr>
          <w:bCs/>
          <w:szCs w:val="28"/>
        </w:rPr>
        <w:t xml:space="preserve">herein </w:t>
      </w:r>
      <w:r w:rsidR="009377F3" w:rsidRPr="00DB3840">
        <w:rPr>
          <w:bCs/>
          <w:szCs w:val="28"/>
        </w:rPr>
        <w:t xml:space="preserve">addresses the organizational issues raised by </w:t>
      </w:r>
      <w:r w:rsidR="00C5368A" w:rsidRPr="00DB3840">
        <w:rPr>
          <w:bCs/>
          <w:szCs w:val="28"/>
        </w:rPr>
        <w:t>rule petition R-18-0004</w:t>
      </w:r>
      <w:r w:rsidR="009377F3" w:rsidRPr="00DB3840">
        <w:rPr>
          <w:bCs/>
          <w:szCs w:val="28"/>
        </w:rPr>
        <w:t>.</w:t>
      </w:r>
    </w:p>
    <w:p w:rsidR="009377F3" w:rsidRPr="007F54A2" w:rsidRDefault="009377F3" w:rsidP="007F54A2">
      <w:pPr>
        <w:pStyle w:val="BodyText"/>
        <w:spacing w:line="480" w:lineRule="auto"/>
        <w:ind w:firstLine="720"/>
        <w:jc w:val="both"/>
        <w:rPr>
          <w:bCs/>
          <w:szCs w:val="28"/>
        </w:rPr>
      </w:pPr>
      <w:r w:rsidRPr="00DB3840">
        <w:rPr>
          <w:bCs/>
          <w:szCs w:val="28"/>
        </w:rPr>
        <w:t xml:space="preserve">Finally, to the extent practicable, </w:t>
      </w:r>
      <w:r w:rsidR="0021015C">
        <w:rPr>
          <w:bCs/>
          <w:szCs w:val="28"/>
        </w:rPr>
        <w:t>the proposed restyling</w:t>
      </w:r>
      <w:r w:rsidRPr="00DB3840">
        <w:rPr>
          <w:bCs/>
          <w:szCs w:val="28"/>
        </w:rPr>
        <w:t xml:space="preserve"> endeavor</w:t>
      </w:r>
      <w:r w:rsidR="0021015C">
        <w:rPr>
          <w:bCs/>
          <w:szCs w:val="28"/>
        </w:rPr>
        <w:t>s</w:t>
      </w:r>
      <w:r w:rsidRPr="00DB3840">
        <w:rPr>
          <w:bCs/>
          <w:szCs w:val="28"/>
        </w:rPr>
        <w:t xml:space="preserve"> to conform the rules to one another to avoid expressing identical requirements in different ways. With one possible exception, </w:t>
      </w:r>
      <w:r w:rsidR="0021015C">
        <w:rPr>
          <w:bCs/>
          <w:szCs w:val="28"/>
        </w:rPr>
        <w:t>this petition does</w:t>
      </w:r>
      <w:r w:rsidRPr="00DB3840">
        <w:rPr>
          <w:bCs/>
          <w:szCs w:val="28"/>
        </w:rPr>
        <w:t xml:space="preserve"> not recommend substantive changes to </w:t>
      </w:r>
      <w:r w:rsidR="00BC74D8">
        <w:rPr>
          <w:bCs/>
          <w:szCs w:val="28"/>
        </w:rPr>
        <w:t xml:space="preserve">existing </w:t>
      </w:r>
      <w:r w:rsidRPr="00DB3840">
        <w:rPr>
          <w:bCs/>
          <w:szCs w:val="28"/>
        </w:rPr>
        <w:t>Rule 31</w:t>
      </w:r>
      <w:r w:rsidR="00BC74D8">
        <w:rPr>
          <w:bCs/>
          <w:szCs w:val="28"/>
        </w:rPr>
        <w:t xml:space="preserve"> language</w:t>
      </w:r>
      <w:r w:rsidRPr="00DB3840">
        <w:rPr>
          <w:bCs/>
          <w:szCs w:val="28"/>
        </w:rPr>
        <w:t xml:space="preserve">. The </w:t>
      </w:r>
      <w:r w:rsidR="0008644D" w:rsidRPr="00DB3840">
        <w:rPr>
          <w:bCs/>
          <w:szCs w:val="28"/>
        </w:rPr>
        <w:t>T</w:t>
      </w:r>
      <w:r w:rsidRPr="00DB3840">
        <w:rPr>
          <w:bCs/>
          <w:szCs w:val="28"/>
        </w:rPr>
        <w:t xml:space="preserve">ask </w:t>
      </w:r>
      <w:r w:rsidR="0008644D" w:rsidRPr="00DB3840">
        <w:rPr>
          <w:bCs/>
          <w:szCs w:val="28"/>
        </w:rPr>
        <w:t>F</w:t>
      </w:r>
      <w:r w:rsidRPr="00DB3840">
        <w:rPr>
          <w:bCs/>
          <w:szCs w:val="28"/>
        </w:rPr>
        <w:t xml:space="preserve">orce clarified language in proposed </w:t>
      </w:r>
      <w:r w:rsidR="0008644D" w:rsidRPr="00DB3840">
        <w:rPr>
          <w:bCs/>
          <w:szCs w:val="28"/>
        </w:rPr>
        <w:t xml:space="preserve">Rule </w:t>
      </w:r>
      <w:r w:rsidRPr="00DB3840">
        <w:rPr>
          <w:bCs/>
          <w:szCs w:val="28"/>
        </w:rPr>
        <w:t xml:space="preserve">31.3(d), which addresses “Tax-Related Activities and Proceedings.” Even assuming this clarification effects a substantive change, the </w:t>
      </w:r>
      <w:r w:rsidR="0008644D" w:rsidRPr="00DB3840">
        <w:rPr>
          <w:bCs/>
          <w:szCs w:val="28"/>
        </w:rPr>
        <w:t>T</w:t>
      </w:r>
      <w:r w:rsidRPr="00DB3840">
        <w:rPr>
          <w:bCs/>
          <w:szCs w:val="28"/>
        </w:rPr>
        <w:t xml:space="preserve">ask </w:t>
      </w:r>
      <w:r w:rsidR="0008644D" w:rsidRPr="00DB3840">
        <w:rPr>
          <w:bCs/>
          <w:szCs w:val="28"/>
        </w:rPr>
        <w:t>F</w:t>
      </w:r>
      <w:r w:rsidRPr="00DB3840">
        <w:rPr>
          <w:bCs/>
          <w:szCs w:val="28"/>
        </w:rPr>
        <w:t>orce believe</w:t>
      </w:r>
      <w:r w:rsidR="00DC3CBC">
        <w:rPr>
          <w:bCs/>
          <w:szCs w:val="28"/>
        </w:rPr>
        <w:t>d</w:t>
      </w:r>
      <w:r w:rsidRPr="00DB3840">
        <w:rPr>
          <w:bCs/>
          <w:szCs w:val="28"/>
        </w:rPr>
        <w:t xml:space="preserve"> the change </w:t>
      </w:r>
      <w:r w:rsidR="00DC3CBC">
        <w:rPr>
          <w:bCs/>
          <w:szCs w:val="28"/>
        </w:rPr>
        <w:t>was</w:t>
      </w:r>
      <w:r w:rsidR="00DC3CBC" w:rsidRPr="00DB3840">
        <w:rPr>
          <w:bCs/>
          <w:szCs w:val="28"/>
        </w:rPr>
        <w:t xml:space="preserve"> </w:t>
      </w:r>
      <w:r w:rsidRPr="00DB3840">
        <w:rPr>
          <w:bCs/>
          <w:szCs w:val="28"/>
        </w:rPr>
        <w:t xml:space="preserve">within its charge to simplify and clarify the </w:t>
      </w:r>
      <w:r w:rsidR="0008644D" w:rsidRPr="00DB3840">
        <w:rPr>
          <w:bCs/>
          <w:szCs w:val="28"/>
        </w:rPr>
        <w:t>r</w:t>
      </w:r>
      <w:r w:rsidRPr="00DB3840">
        <w:rPr>
          <w:bCs/>
          <w:szCs w:val="28"/>
        </w:rPr>
        <w:t>ule.</w:t>
      </w:r>
      <w:r w:rsidR="00DC3CBC">
        <w:rPr>
          <w:rStyle w:val="FootnoteReference"/>
          <w:bCs/>
          <w:szCs w:val="28"/>
        </w:rPr>
        <w:footnoteReference w:id="18"/>
      </w:r>
    </w:p>
    <w:p w:rsidR="009D1C29" w:rsidRPr="00B71ADB" w:rsidRDefault="00EC54A9" w:rsidP="00CB2694">
      <w:pPr>
        <w:pStyle w:val="BodyText"/>
        <w:numPr>
          <w:ilvl w:val="0"/>
          <w:numId w:val="1"/>
        </w:numPr>
        <w:spacing w:line="480" w:lineRule="auto"/>
        <w:ind w:left="360" w:hanging="360"/>
        <w:jc w:val="both"/>
        <w:rPr>
          <w:b/>
          <w:bCs/>
          <w:szCs w:val="28"/>
        </w:rPr>
      </w:pPr>
      <w:r w:rsidRPr="00B71ADB">
        <w:rPr>
          <w:b/>
          <w:bCs/>
          <w:szCs w:val="28"/>
        </w:rPr>
        <w:t>ABS/</w:t>
      </w:r>
      <w:r w:rsidR="006E3245" w:rsidRPr="00B71ADB">
        <w:rPr>
          <w:b/>
          <w:bCs/>
          <w:szCs w:val="28"/>
        </w:rPr>
        <w:t>Entity Regulation proposals</w:t>
      </w:r>
    </w:p>
    <w:p w:rsidR="00BC74D8" w:rsidRDefault="00CD1CF2" w:rsidP="007F54A2">
      <w:pPr>
        <w:pStyle w:val="BodyText"/>
        <w:spacing w:line="480" w:lineRule="auto"/>
        <w:ind w:firstLine="720"/>
        <w:jc w:val="both"/>
        <w:rPr>
          <w:szCs w:val="28"/>
        </w:rPr>
      </w:pPr>
      <w:r w:rsidRPr="00DB3840">
        <w:rPr>
          <w:szCs w:val="28"/>
        </w:rPr>
        <w:t xml:space="preserve">Arizona’s </w:t>
      </w:r>
      <w:r w:rsidR="00F247CF" w:rsidRPr="00DB3840">
        <w:rPr>
          <w:szCs w:val="28"/>
        </w:rPr>
        <w:t>current professional-</w:t>
      </w:r>
      <w:r w:rsidR="007F54A2">
        <w:rPr>
          <w:szCs w:val="28"/>
        </w:rPr>
        <w:t>responsibility</w:t>
      </w:r>
      <w:r w:rsidR="00F247CF" w:rsidRPr="00DB3840">
        <w:rPr>
          <w:szCs w:val="28"/>
        </w:rPr>
        <w:t xml:space="preserve"> rules apply only to</w:t>
      </w:r>
      <w:r w:rsidR="00BC74D8">
        <w:rPr>
          <w:szCs w:val="28"/>
        </w:rPr>
        <w:t xml:space="preserve"> individual</w:t>
      </w:r>
      <w:r w:rsidR="00F247CF" w:rsidRPr="00DB3840">
        <w:rPr>
          <w:szCs w:val="28"/>
        </w:rPr>
        <w:t xml:space="preserve"> lawyers. </w:t>
      </w:r>
      <w:r w:rsidR="00BC74D8">
        <w:rPr>
          <w:szCs w:val="28"/>
        </w:rPr>
        <w:t xml:space="preserve">Regulating ABSs, however, requires adopting rules that apply to entities. </w:t>
      </w:r>
    </w:p>
    <w:p w:rsidR="008273B6" w:rsidRPr="00DB3840" w:rsidRDefault="00F247CF" w:rsidP="007F54A2">
      <w:pPr>
        <w:pStyle w:val="BodyText"/>
        <w:spacing w:line="480" w:lineRule="auto"/>
        <w:ind w:firstLine="720"/>
        <w:jc w:val="both"/>
        <w:rPr>
          <w:szCs w:val="28"/>
        </w:rPr>
      </w:pPr>
      <w:r w:rsidRPr="00DB3840">
        <w:rPr>
          <w:szCs w:val="28"/>
        </w:rPr>
        <w:t>E</w:t>
      </w:r>
      <w:r w:rsidR="00CD1CF2" w:rsidRPr="00DB3840">
        <w:rPr>
          <w:szCs w:val="28"/>
        </w:rPr>
        <w:t>ntity regulation</w:t>
      </w:r>
      <w:r w:rsidR="00860362">
        <w:rPr>
          <w:szCs w:val="28"/>
        </w:rPr>
        <w:t xml:space="preserve"> </w:t>
      </w:r>
      <w:r w:rsidR="00CD1CF2" w:rsidRPr="00DB3840">
        <w:rPr>
          <w:szCs w:val="28"/>
        </w:rPr>
        <w:t xml:space="preserve">is not a unique concept. </w:t>
      </w:r>
      <w:r w:rsidR="00A73614" w:rsidRPr="00DB3840">
        <w:rPr>
          <w:rFonts w:eastAsiaTheme="minorHAnsi"/>
          <w:color w:val="222222"/>
          <w:szCs w:val="28"/>
        </w:rPr>
        <w:t xml:space="preserve">Australia, England and Wales, and </w:t>
      </w:r>
      <w:r w:rsidR="00A73614" w:rsidRPr="00DB3840">
        <w:rPr>
          <w:rFonts w:eastAsiaTheme="minorHAnsi"/>
          <w:color w:val="1B3F3B"/>
          <w:szCs w:val="28"/>
        </w:rPr>
        <w:t xml:space="preserve">parts </w:t>
      </w:r>
      <w:r w:rsidR="00A73614" w:rsidRPr="00DB3840">
        <w:rPr>
          <w:rFonts w:eastAsiaTheme="minorHAnsi"/>
          <w:color w:val="222222"/>
          <w:szCs w:val="28"/>
        </w:rPr>
        <w:t xml:space="preserve">of </w:t>
      </w:r>
      <w:r w:rsidR="00A73614" w:rsidRPr="00DB3840">
        <w:rPr>
          <w:rFonts w:eastAsiaTheme="minorHAnsi"/>
          <w:color w:val="1B3F3B"/>
          <w:szCs w:val="28"/>
        </w:rPr>
        <w:t xml:space="preserve">Canada already </w:t>
      </w:r>
      <w:r w:rsidR="00A73614" w:rsidRPr="00DB3840">
        <w:rPr>
          <w:rFonts w:eastAsiaTheme="minorHAnsi"/>
          <w:color w:val="222222"/>
          <w:szCs w:val="28"/>
        </w:rPr>
        <w:t>use some form of entity regulation that supplements individual lawyer responsibility for ethical behavior.</w:t>
      </w:r>
      <w:r w:rsidR="00A73614" w:rsidRPr="00DB3840">
        <w:rPr>
          <w:rStyle w:val="FootnoteReference"/>
          <w:rFonts w:eastAsiaTheme="minorHAnsi"/>
          <w:color w:val="222222"/>
          <w:szCs w:val="28"/>
        </w:rPr>
        <w:footnoteReference w:id="19"/>
      </w:r>
      <w:r w:rsidR="00103778">
        <w:rPr>
          <w:rFonts w:eastAsiaTheme="minorHAnsi"/>
          <w:color w:val="222222"/>
          <w:szCs w:val="28"/>
        </w:rPr>
        <w:t xml:space="preserve"> It is notable that after ten years of experience in the UK, the traditional legal field thrives with no decrease in billings </w:t>
      </w:r>
      <w:r w:rsidR="00DC3CBC">
        <w:rPr>
          <w:rFonts w:eastAsiaTheme="minorHAnsi"/>
          <w:color w:val="222222"/>
          <w:szCs w:val="28"/>
        </w:rPr>
        <w:t xml:space="preserve">by traditional legal practices </w:t>
      </w:r>
      <w:r w:rsidR="00103778">
        <w:rPr>
          <w:rFonts w:eastAsiaTheme="minorHAnsi"/>
          <w:color w:val="222222"/>
          <w:szCs w:val="28"/>
        </w:rPr>
        <w:t>even with the implementation of the ABS structure.</w:t>
      </w:r>
    </w:p>
    <w:p w:rsidR="003029D0" w:rsidRDefault="00F247CF" w:rsidP="007F54A2">
      <w:pPr>
        <w:pStyle w:val="BodyText"/>
        <w:spacing w:line="480" w:lineRule="auto"/>
        <w:ind w:firstLine="720"/>
        <w:jc w:val="both"/>
        <w:rPr>
          <w:rFonts w:ascii="TimesNewRomanPSMT" w:hAnsi="TimesNewRomanPSMT"/>
        </w:rPr>
      </w:pPr>
      <w:r w:rsidRPr="00DB3840">
        <w:rPr>
          <w:szCs w:val="28"/>
        </w:rPr>
        <w:t>In the United States, New Jersey</w:t>
      </w:r>
      <w:r w:rsidR="00A73614" w:rsidRPr="00DB3840">
        <w:rPr>
          <w:szCs w:val="28"/>
        </w:rPr>
        <w:t xml:space="preserve"> and New York require law firms – not just individual lawyers – to comply with professional rules. </w:t>
      </w:r>
      <w:r w:rsidR="007F1984" w:rsidRPr="00DB3840">
        <w:rPr>
          <w:i/>
          <w:iCs/>
          <w:szCs w:val="28"/>
        </w:rPr>
        <w:t>See, e.g</w:t>
      </w:r>
      <w:r w:rsidR="007F1984" w:rsidRPr="00DB3840">
        <w:rPr>
          <w:szCs w:val="28"/>
        </w:rPr>
        <w:t>., New Jersey Rule of Professional Conduct 5.1(a) (“Every law firm, government entity, and organization authorized by the Court Rules to practice law in this jurisdiction shall make reasonable efforts to ensure that member lawyers or lawyers otherwise participating in the organization's work undertake measures giving reasonable assurance that all lawyers conform to the Rules of Professional Conduct.”).</w:t>
      </w:r>
      <w:r w:rsidR="004E2E51">
        <w:rPr>
          <w:szCs w:val="28"/>
        </w:rPr>
        <w:t xml:space="preserve">  </w:t>
      </w:r>
      <w:r w:rsidR="004230F6">
        <w:t xml:space="preserve">Entity regulation is not foreign to Arizona. The state already regulates Licensed Document Preparer businesses (ACJA 7-208 et seq) as well as </w:t>
      </w:r>
      <w:r w:rsidR="00797BF2">
        <w:t>defensive driving schools (</w:t>
      </w:r>
      <w:r w:rsidR="004230F6">
        <w:t>ACJA 7-205 et seq.) and licensed fiduciary business entities (ACJA 7-202 et seq.)</w:t>
      </w:r>
      <w:r w:rsidR="004230F6" w:rsidRPr="004230F6">
        <w:rPr>
          <w:rFonts w:ascii="TimesNewRomanPSMT" w:hAnsi="TimesNewRomanPSMT"/>
        </w:rPr>
        <w:t xml:space="preserve"> </w:t>
      </w:r>
    </w:p>
    <w:p w:rsidR="008273B6" w:rsidRPr="00DB3840" w:rsidRDefault="008273B6" w:rsidP="007F54A2">
      <w:pPr>
        <w:pStyle w:val="BodyText"/>
        <w:spacing w:line="480" w:lineRule="auto"/>
        <w:ind w:firstLine="720"/>
        <w:jc w:val="both"/>
        <w:rPr>
          <w:szCs w:val="28"/>
        </w:rPr>
      </w:pPr>
      <w:r w:rsidRPr="00DB3840">
        <w:rPr>
          <w:szCs w:val="28"/>
        </w:rPr>
        <w:t>The Task Force recommended that the Court adopt a system of entity regulation</w:t>
      </w:r>
      <w:r w:rsidR="00BC74D8">
        <w:rPr>
          <w:szCs w:val="28"/>
        </w:rPr>
        <w:t xml:space="preserve"> for ABSs</w:t>
      </w:r>
      <w:r w:rsidRPr="00DB3840">
        <w:rPr>
          <w:szCs w:val="28"/>
        </w:rPr>
        <w:t>; the post-task-force work fleshed out that recommendation with a framework</w:t>
      </w:r>
      <w:r w:rsidR="00BC74D8">
        <w:rPr>
          <w:szCs w:val="28"/>
        </w:rPr>
        <w:t>.</w:t>
      </w:r>
      <w:r w:rsidRPr="00DB3840">
        <w:rPr>
          <w:szCs w:val="28"/>
        </w:rPr>
        <w:t xml:space="preserve"> </w:t>
      </w:r>
    </w:p>
    <w:p w:rsidR="008273B6" w:rsidRPr="00DB3840" w:rsidRDefault="008273B6" w:rsidP="007F54A2">
      <w:pPr>
        <w:pStyle w:val="BodyText"/>
        <w:spacing w:line="480" w:lineRule="auto"/>
        <w:ind w:firstLine="720"/>
        <w:jc w:val="both"/>
        <w:rPr>
          <w:szCs w:val="28"/>
        </w:rPr>
      </w:pPr>
      <w:r w:rsidRPr="00DB3840">
        <w:rPr>
          <w:szCs w:val="28"/>
        </w:rPr>
        <w:t xml:space="preserve">Under that framework, </w:t>
      </w:r>
      <w:r w:rsidR="00BC74D8">
        <w:rPr>
          <w:szCs w:val="28"/>
        </w:rPr>
        <w:t>ABSs</w:t>
      </w:r>
      <w:r w:rsidRPr="00DB3840">
        <w:rPr>
          <w:szCs w:val="28"/>
        </w:rPr>
        <w:t xml:space="preserve"> would be licensed by this Court after being vetted by a new court committee, and then folded into the existing lawyer discipline system</w:t>
      </w:r>
      <w:r w:rsidR="005227A8">
        <w:rPr>
          <w:szCs w:val="28"/>
        </w:rPr>
        <w:t xml:space="preserve">, with investigation and prosecution by the State Bar; assessment by the Attorney Discipline Probable Cause Committee of </w:t>
      </w:r>
      <w:r w:rsidR="00336C8A">
        <w:rPr>
          <w:szCs w:val="28"/>
        </w:rPr>
        <w:t xml:space="preserve">reports of investigation by the </w:t>
      </w:r>
      <w:r w:rsidR="005227A8">
        <w:rPr>
          <w:szCs w:val="28"/>
        </w:rPr>
        <w:t xml:space="preserve">State Bar; and adjudication by the Presiding </w:t>
      </w:r>
      <w:r w:rsidR="007F54A2">
        <w:rPr>
          <w:szCs w:val="28"/>
        </w:rPr>
        <w:t>Disciplinary</w:t>
      </w:r>
      <w:r w:rsidR="005227A8">
        <w:rPr>
          <w:szCs w:val="28"/>
        </w:rPr>
        <w:t xml:space="preserve"> Judge.</w:t>
      </w:r>
    </w:p>
    <w:p w:rsidR="00570C83" w:rsidRPr="00DB3840" w:rsidRDefault="00570C83" w:rsidP="007F54A2">
      <w:pPr>
        <w:pStyle w:val="BodyText"/>
        <w:spacing w:line="480" w:lineRule="auto"/>
        <w:ind w:firstLine="720"/>
        <w:jc w:val="both"/>
        <w:rPr>
          <w:szCs w:val="28"/>
        </w:rPr>
      </w:pPr>
      <w:r w:rsidRPr="00DB3840">
        <w:rPr>
          <w:szCs w:val="28"/>
        </w:rPr>
        <w:t>All definitions, criteria and process for licensing, code of conduct, requirements for the compliance lawyer, disciplinary sanctions, and other specifics will be regulations in ACJ</w:t>
      </w:r>
      <w:r w:rsidR="008964F3" w:rsidRPr="00DB3840">
        <w:rPr>
          <w:szCs w:val="28"/>
        </w:rPr>
        <w:t>A 7-209,</w:t>
      </w:r>
      <w:r w:rsidRPr="00DB3840">
        <w:rPr>
          <w:szCs w:val="28"/>
        </w:rPr>
        <w:t xml:space="preserve"> rather than as Supreme Court rules.</w:t>
      </w:r>
    </w:p>
    <w:p w:rsidR="00F34E3D" w:rsidRPr="00DB3840" w:rsidRDefault="007F54A2" w:rsidP="007F54A2">
      <w:pPr>
        <w:pStyle w:val="BodyText"/>
        <w:spacing w:line="480" w:lineRule="auto"/>
        <w:ind w:firstLine="720"/>
        <w:jc w:val="both"/>
        <w:rPr>
          <w:szCs w:val="28"/>
        </w:rPr>
      </w:pPr>
      <w:r w:rsidRPr="00DB3840">
        <w:rPr>
          <w:szCs w:val="28"/>
        </w:rPr>
        <w:t>Significant</w:t>
      </w:r>
      <w:r w:rsidR="00F34E3D" w:rsidRPr="00DB3840">
        <w:rPr>
          <w:szCs w:val="28"/>
        </w:rPr>
        <w:t xml:space="preserve"> substantive proposed rule changes</w:t>
      </w:r>
      <w:r w:rsidR="00DC3CBC">
        <w:rPr>
          <w:szCs w:val="28"/>
        </w:rPr>
        <w:t xml:space="preserve"> proposed by this petition</w:t>
      </w:r>
      <w:r w:rsidR="00F34E3D" w:rsidRPr="00DB3840">
        <w:rPr>
          <w:szCs w:val="28"/>
        </w:rPr>
        <w:t xml:space="preserve"> include the following.</w:t>
      </w:r>
    </w:p>
    <w:p w:rsidR="00CD3B99" w:rsidRPr="00B71ADB" w:rsidRDefault="009D1C29" w:rsidP="00CB2694">
      <w:pPr>
        <w:pStyle w:val="BodyText"/>
        <w:numPr>
          <w:ilvl w:val="0"/>
          <w:numId w:val="7"/>
        </w:numPr>
        <w:spacing w:line="480" w:lineRule="auto"/>
        <w:ind w:left="720"/>
        <w:jc w:val="both"/>
        <w:rPr>
          <w:b/>
          <w:szCs w:val="28"/>
        </w:rPr>
      </w:pPr>
      <w:r w:rsidRPr="00B71ADB">
        <w:rPr>
          <w:b/>
          <w:szCs w:val="28"/>
        </w:rPr>
        <w:t>Rule 31</w:t>
      </w:r>
    </w:p>
    <w:p w:rsidR="004E2E51" w:rsidRPr="00DB3840" w:rsidRDefault="00A928F1" w:rsidP="007F54A2">
      <w:pPr>
        <w:pStyle w:val="BodyText"/>
        <w:spacing w:line="480" w:lineRule="auto"/>
        <w:ind w:firstLine="720"/>
        <w:jc w:val="both"/>
        <w:rPr>
          <w:bCs/>
          <w:szCs w:val="28"/>
        </w:rPr>
      </w:pPr>
      <w:r w:rsidRPr="00DB3840">
        <w:rPr>
          <w:bCs/>
          <w:szCs w:val="28"/>
        </w:rPr>
        <w:t xml:space="preserve">As described in section </w:t>
      </w:r>
      <w:r w:rsidR="00BC74D8">
        <w:rPr>
          <w:bCs/>
          <w:szCs w:val="28"/>
        </w:rPr>
        <w:t>IV</w:t>
      </w:r>
      <w:r w:rsidR="00BC74D8" w:rsidRPr="00DB3840">
        <w:rPr>
          <w:bCs/>
          <w:szCs w:val="28"/>
        </w:rPr>
        <w:t xml:space="preserve"> </w:t>
      </w:r>
      <w:r w:rsidRPr="00DB3840">
        <w:rPr>
          <w:bCs/>
          <w:szCs w:val="28"/>
        </w:rPr>
        <w:t xml:space="preserve">above, the Task Force proposes </w:t>
      </w:r>
      <w:r w:rsidR="007F54A2">
        <w:rPr>
          <w:bCs/>
          <w:szCs w:val="28"/>
        </w:rPr>
        <w:t>adding provisions to</w:t>
      </w:r>
      <w:r w:rsidRPr="00DB3840">
        <w:rPr>
          <w:bCs/>
          <w:szCs w:val="28"/>
        </w:rPr>
        <w:t xml:space="preserve"> restyled Rules 31, 31.1, 31.2 and 31.3 to effectuate ABS regulation.</w:t>
      </w:r>
    </w:p>
    <w:p w:rsidR="00A928F1" w:rsidRPr="00B71ADB" w:rsidRDefault="00A928F1" w:rsidP="00CB2694">
      <w:pPr>
        <w:pStyle w:val="BodyText"/>
        <w:numPr>
          <w:ilvl w:val="0"/>
          <w:numId w:val="7"/>
        </w:numPr>
        <w:spacing w:line="480" w:lineRule="auto"/>
        <w:ind w:left="720"/>
        <w:jc w:val="both"/>
        <w:rPr>
          <w:b/>
          <w:szCs w:val="28"/>
        </w:rPr>
      </w:pPr>
      <w:r w:rsidRPr="00B71ADB">
        <w:rPr>
          <w:b/>
          <w:szCs w:val="28"/>
        </w:rPr>
        <w:t>Rule 32 (Organization of the State Bar of Arizona)</w:t>
      </w:r>
    </w:p>
    <w:p w:rsidR="00156303" w:rsidRPr="00DB3840" w:rsidRDefault="00156303" w:rsidP="007F54A2">
      <w:pPr>
        <w:pStyle w:val="BodyText"/>
        <w:spacing w:line="480" w:lineRule="auto"/>
        <w:ind w:firstLine="720"/>
        <w:jc w:val="both"/>
        <w:rPr>
          <w:bCs/>
          <w:szCs w:val="28"/>
        </w:rPr>
      </w:pPr>
      <w:r w:rsidRPr="00DB3840">
        <w:rPr>
          <w:bCs/>
          <w:szCs w:val="28"/>
        </w:rPr>
        <w:t>Substantive proposed amendments include adding to Rule 32(a)(2)(D)</w:t>
      </w:r>
      <w:r w:rsidR="00BC74D8">
        <w:rPr>
          <w:bCs/>
          <w:szCs w:val="28"/>
        </w:rPr>
        <w:t xml:space="preserve"> that</w:t>
      </w:r>
      <w:r w:rsidRPr="00DB3840">
        <w:rPr>
          <w:bCs/>
          <w:szCs w:val="28"/>
        </w:rPr>
        <w:t xml:space="preserve"> the </w:t>
      </w:r>
      <w:r w:rsidR="00BC74D8">
        <w:rPr>
          <w:bCs/>
          <w:szCs w:val="28"/>
        </w:rPr>
        <w:t xml:space="preserve">State Bar is obligated </w:t>
      </w:r>
      <w:r w:rsidRPr="00DB3840">
        <w:rPr>
          <w:bCs/>
          <w:szCs w:val="28"/>
        </w:rPr>
        <w:t>to assist the Court with regulating ABSs; defining “discipline” in Rule 32(b)(3) to include sanctions and limitations on ABSs; defining “respondent” in Rule 32(b)(7) to include ABSs;</w:t>
      </w:r>
      <w:r w:rsidR="00015AD9">
        <w:rPr>
          <w:bCs/>
          <w:szCs w:val="28"/>
        </w:rPr>
        <w:t xml:space="preserve"> </w:t>
      </w:r>
      <w:r w:rsidR="00BC74D8">
        <w:rPr>
          <w:bCs/>
          <w:szCs w:val="28"/>
        </w:rPr>
        <w:t xml:space="preserve">and </w:t>
      </w:r>
      <w:r w:rsidRPr="00DB3840">
        <w:rPr>
          <w:bCs/>
          <w:szCs w:val="28"/>
        </w:rPr>
        <w:t xml:space="preserve"> adding to Rule 32(h) a reference that ABSs </w:t>
      </w:r>
      <w:r w:rsidR="007F54A2" w:rsidRPr="00DB3840">
        <w:rPr>
          <w:bCs/>
          <w:szCs w:val="28"/>
        </w:rPr>
        <w:t>will</w:t>
      </w:r>
      <w:r w:rsidRPr="00DB3840">
        <w:rPr>
          <w:bCs/>
          <w:szCs w:val="28"/>
        </w:rPr>
        <w:t xml:space="preserve"> be licensed by </w:t>
      </w:r>
      <w:r w:rsidR="00BC74D8">
        <w:rPr>
          <w:bCs/>
          <w:szCs w:val="28"/>
        </w:rPr>
        <w:t>the new Committee on Alternative Business Structures.</w:t>
      </w:r>
      <w:r w:rsidRPr="00DB3840">
        <w:rPr>
          <w:bCs/>
          <w:szCs w:val="28"/>
        </w:rPr>
        <w:t xml:space="preserve"> </w:t>
      </w:r>
    </w:p>
    <w:p w:rsidR="00156303" w:rsidRPr="00DB3840" w:rsidRDefault="00156303" w:rsidP="007F54A2">
      <w:pPr>
        <w:pStyle w:val="BodyText"/>
        <w:spacing w:line="480" w:lineRule="auto"/>
        <w:ind w:firstLine="720"/>
        <w:jc w:val="both"/>
        <w:rPr>
          <w:bCs/>
          <w:szCs w:val="28"/>
        </w:rPr>
      </w:pPr>
      <w:r w:rsidRPr="00DB3840">
        <w:rPr>
          <w:bCs/>
          <w:szCs w:val="28"/>
        </w:rPr>
        <w:t xml:space="preserve">Rule 32(l) now includes a sentence allowing the State Bar and the Administrative Office of the Courts to recoup “extraordinary costs” beyond the Court-adopted schedule of fees. The concern is that </w:t>
      </w:r>
      <w:r w:rsidR="00BC74D8">
        <w:rPr>
          <w:bCs/>
          <w:szCs w:val="28"/>
        </w:rPr>
        <w:t xml:space="preserve">investigating the application of or </w:t>
      </w:r>
      <w:r w:rsidRPr="00DB3840">
        <w:rPr>
          <w:bCs/>
          <w:szCs w:val="28"/>
        </w:rPr>
        <w:t>a complaint against an ABS could entail extraordinary investigation, prosecution and adjudication costs, depending on the size</w:t>
      </w:r>
      <w:r w:rsidR="00336C8A">
        <w:rPr>
          <w:bCs/>
          <w:szCs w:val="28"/>
        </w:rPr>
        <w:t xml:space="preserve"> and organizational structure</w:t>
      </w:r>
      <w:r w:rsidRPr="00DB3840">
        <w:rPr>
          <w:bCs/>
          <w:szCs w:val="28"/>
        </w:rPr>
        <w:t xml:space="preserve"> of the ABS.</w:t>
      </w:r>
    </w:p>
    <w:p w:rsidR="00156303" w:rsidRPr="00B71ADB" w:rsidRDefault="00156303" w:rsidP="00CB2694">
      <w:pPr>
        <w:pStyle w:val="BodyText"/>
        <w:numPr>
          <w:ilvl w:val="0"/>
          <w:numId w:val="7"/>
        </w:numPr>
        <w:spacing w:line="480" w:lineRule="auto"/>
        <w:ind w:left="720"/>
        <w:jc w:val="both"/>
        <w:rPr>
          <w:b/>
          <w:szCs w:val="28"/>
        </w:rPr>
      </w:pPr>
      <w:r w:rsidRPr="00B71ADB">
        <w:rPr>
          <w:b/>
          <w:szCs w:val="28"/>
        </w:rPr>
        <w:t xml:space="preserve">New Rule 33.1 (Committee; Entity </w:t>
      </w:r>
      <w:r w:rsidR="007F54A2" w:rsidRPr="00B71ADB">
        <w:rPr>
          <w:b/>
          <w:szCs w:val="28"/>
        </w:rPr>
        <w:t>Regulation</w:t>
      </w:r>
      <w:r w:rsidRPr="00B71ADB">
        <w:rPr>
          <w:b/>
          <w:szCs w:val="28"/>
        </w:rPr>
        <w:t>)</w:t>
      </w:r>
    </w:p>
    <w:p w:rsidR="00156303" w:rsidRPr="00DB3840" w:rsidRDefault="00156303" w:rsidP="007F54A2">
      <w:pPr>
        <w:pStyle w:val="BodyText"/>
        <w:spacing w:line="480" w:lineRule="auto"/>
        <w:ind w:firstLine="720"/>
        <w:jc w:val="both"/>
        <w:rPr>
          <w:bCs/>
          <w:szCs w:val="28"/>
        </w:rPr>
      </w:pPr>
      <w:r w:rsidRPr="00DB3840">
        <w:rPr>
          <w:bCs/>
          <w:szCs w:val="28"/>
        </w:rPr>
        <w:t xml:space="preserve">This new rule creates the Committee on Alternative </w:t>
      </w:r>
      <w:r w:rsidR="007F54A2" w:rsidRPr="00DB3840">
        <w:rPr>
          <w:bCs/>
          <w:szCs w:val="28"/>
        </w:rPr>
        <w:t>Business</w:t>
      </w:r>
      <w:r w:rsidRPr="00DB3840">
        <w:rPr>
          <w:bCs/>
          <w:szCs w:val="28"/>
        </w:rPr>
        <w:t xml:space="preserve"> Structures, which will review </w:t>
      </w:r>
      <w:r w:rsidR="007F54A2" w:rsidRPr="00DB3840">
        <w:rPr>
          <w:bCs/>
          <w:szCs w:val="28"/>
        </w:rPr>
        <w:t>applications</w:t>
      </w:r>
      <w:r w:rsidRPr="00DB3840">
        <w:rPr>
          <w:bCs/>
          <w:szCs w:val="28"/>
        </w:rPr>
        <w:t xml:space="preserve"> and licensure of ABSs</w:t>
      </w:r>
      <w:r w:rsidR="006C7FEE" w:rsidRPr="00DB3840">
        <w:rPr>
          <w:bCs/>
          <w:szCs w:val="28"/>
        </w:rPr>
        <w:t xml:space="preserve"> and make recommendations to the Court.</w:t>
      </w:r>
    </w:p>
    <w:p w:rsidR="006C7FEE" w:rsidRPr="00DB3840" w:rsidRDefault="00156303" w:rsidP="007F54A2">
      <w:pPr>
        <w:pStyle w:val="BodyText"/>
        <w:spacing w:line="480" w:lineRule="auto"/>
        <w:ind w:firstLine="720"/>
        <w:jc w:val="both"/>
        <w:rPr>
          <w:bCs/>
          <w:szCs w:val="28"/>
        </w:rPr>
      </w:pPr>
      <w:r w:rsidRPr="00DB3840">
        <w:rPr>
          <w:bCs/>
          <w:szCs w:val="28"/>
        </w:rPr>
        <w:t>Proposed Rule 33.1(b)</w:t>
      </w:r>
      <w:r w:rsidR="006C7FEE" w:rsidRPr="00DB3840">
        <w:rPr>
          <w:bCs/>
          <w:szCs w:val="28"/>
        </w:rPr>
        <w:t>(1)</w:t>
      </w:r>
      <w:r w:rsidRPr="00DB3840">
        <w:rPr>
          <w:bCs/>
          <w:szCs w:val="28"/>
        </w:rPr>
        <w:t xml:space="preserve"> </w:t>
      </w:r>
      <w:r w:rsidR="00BC74D8">
        <w:rPr>
          <w:bCs/>
          <w:szCs w:val="28"/>
        </w:rPr>
        <w:t>requires</w:t>
      </w:r>
      <w:r w:rsidR="00BC74D8" w:rsidRPr="00DB3840">
        <w:rPr>
          <w:bCs/>
          <w:szCs w:val="28"/>
        </w:rPr>
        <w:t xml:space="preserve"> </w:t>
      </w:r>
      <w:r w:rsidRPr="00DB3840">
        <w:rPr>
          <w:bCs/>
          <w:szCs w:val="28"/>
        </w:rPr>
        <w:t xml:space="preserve">that </w:t>
      </w:r>
      <w:r w:rsidR="006C7FEE" w:rsidRPr="00DB3840">
        <w:rPr>
          <w:bCs/>
          <w:szCs w:val="28"/>
        </w:rPr>
        <w:t>the Committee take into consideration these regulatory objectives:</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(A)  protecting and promoting the public interest;</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(B)  promoting access to legal services</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(C)  advancing the administration of justice and the rule of law;</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(D)</w:t>
      </w:r>
      <w:r w:rsidR="005966C8">
        <w:rPr>
          <w:sz w:val="28"/>
          <w:szCs w:val="28"/>
        </w:rPr>
        <w:t xml:space="preserve"> </w:t>
      </w:r>
      <w:r w:rsidRPr="00DB3840">
        <w:rPr>
          <w:sz w:val="28"/>
          <w:szCs w:val="28"/>
        </w:rPr>
        <w:t>encouraging an independent, strong, diverse, and effective legal profession; and</w:t>
      </w:r>
    </w:p>
    <w:p w:rsidR="006C7FEE" w:rsidRPr="007F54A2" w:rsidRDefault="006C7FEE" w:rsidP="007F54A2">
      <w:pPr>
        <w:widowControl w:val="0"/>
        <w:autoSpaceDE w:val="0"/>
        <w:autoSpaceDN w:val="0"/>
        <w:adjustRightInd w:val="0"/>
        <w:spacing w:line="480" w:lineRule="auto"/>
        <w:ind w:left="1170"/>
        <w:jc w:val="both"/>
        <w:rPr>
          <w:sz w:val="28"/>
          <w:szCs w:val="28"/>
        </w:rPr>
      </w:pPr>
      <w:r w:rsidRPr="00DB3840">
        <w:rPr>
          <w:sz w:val="28"/>
          <w:szCs w:val="28"/>
        </w:rPr>
        <w:t>(E)  promoting and maintaining adherence to professional principles.</w:t>
      </w:r>
    </w:p>
    <w:p w:rsidR="006C7FEE" w:rsidRPr="00DB3840" w:rsidRDefault="006C7FEE" w:rsidP="007F54A2">
      <w:pPr>
        <w:pStyle w:val="BodyText"/>
        <w:spacing w:line="480" w:lineRule="auto"/>
        <w:ind w:firstLine="720"/>
        <w:jc w:val="both"/>
        <w:rPr>
          <w:bCs/>
          <w:szCs w:val="28"/>
        </w:rPr>
      </w:pPr>
      <w:r w:rsidRPr="00DB3840">
        <w:rPr>
          <w:bCs/>
          <w:szCs w:val="28"/>
        </w:rPr>
        <w:t>Proposed Rule 33.1(b)(2) requires that the Committee examine whether an ABS applicant has “adequate governance structures and policies in place to ensure</w:t>
      </w:r>
      <w:r w:rsidR="00BC74D8">
        <w:rPr>
          <w:bCs/>
          <w:szCs w:val="28"/>
        </w:rPr>
        <w:t>”</w:t>
      </w:r>
      <w:r w:rsidRPr="00DB3840">
        <w:rPr>
          <w:bCs/>
          <w:szCs w:val="28"/>
        </w:rPr>
        <w:t xml:space="preserve"> that</w:t>
      </w:r>
      <w:r w:rsidR="005966C8">
        <w:rPr>
          <w:bCs/>
          <w:szCs w:val="28"/>
        </w:rPr>
        <w:t>:</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(A)  lawyers providing legal services to consumers act with independence consistent with the lawyers’ professional responsibilities;</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(B)  the alternative business structure maintains proper standards of work;</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 xml:space="preserve">(C)  the lawyer makes decisions in the best interest of clients; </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(D)  confidentiality consistent with Arizona Rule of Supreme Court 42 is maintained; and</w:t>
      </w:r>
    </w:p>
    <w:p w:rsidR="006C7FEE" w:rsidRPr="00DB3840" w:rsidRDefault="006C7FEE" w:rsidP="007F54A2">
      <w:pPr>
        <w:widowControl w:val="0"/>
        <w:autoSpaceDE w:val="0"/>
        <w:autoSpaceDN w:val="0"/>
        <w:adjustRightInd w:val="0"/>
        <w:spacing w:line="480" w:lineRule="auto"/>
        <w:ind w:left="1170"/>
        <w:jc w:val="both"/>
        <w:rPr>
          <w:sz w:val="28"/>
          <w:szCs w:val="28"/>
        </w:rPr>
      </w:pPr>
      <w:r w:rsidRPr="00DB3840">
        <w:rPr>
          <w:sz w:val="28"/>
          <w:szCs w:val="28"/>
        </w:rPr>
        <w:t>(E) any other business policies or procedures do not interfere with a lawyers’ duties and responsibilities to clients.</w:t>
      </w:r>
    </w:p>
    <w:p w:rsidR="006C7FEE" w:rsidRPr="00B71ADB" w:rsidRDefault="006C7FEE" w:rsidP="00CB2694">
      <w:pPr>
        <w:pStyle w:val="BodyText"/>
        <w:numPr>
          <w:ilvl w:val="0"/>
          <w:numId w:val="7"/>
        </w:numPr>
        <w:spacing w:line="480" w:lineRule="auto"/>
        <w:ind w:left="720"/>
        <w:jc w:val="both"/>
        <w:rPr>
          <w:b/>
          <w:szCs w:val="28"/>
        </w:rPr>
      </w:pPr>
      <w:r w:rsidRPr="00B71ADB">
        <w:rPr>
          <w:b/>
          <w:szCs w:val="28"/>
        </w:rPr>
        <w:t>Rule 46 (Jurisdiction in Discipline and Disability Matters; Definitions</w:t>
      </w:r>
      <w:r w:rsidR="00AD34E3">
        <w:rPr>
          <w:b/>
          <w:szCs w:val="28"/>
        </w:rPr>
        <w:t>)</w:t>
      </w:r>
    </w:p>
    <w:p w:rsidR="006C7FEE" w:rsidRPr="007F54A2" w:rsidRDefault="007F54A2" w:rsidP="007F54A2">
      <w:pPr>
        <w:pStyle w:val="BodyText"/>
        <w:spacing w:line="480" w:lineRule="auto"/>
        <w:ind w:firstLine="720"/>
        <w:jc w:val="both"/>
        <w:rPr>
          <w:bCs/>
          <w:szCs w:val="28"/>
        </w:rPr>
      </w:pPr>
      <w:r w:rsidRPr="00DB3840">
        <w:rPr>
          <w:bCs/>
          <w:szCs w:val="28"/>
        </w:rPr>
        <w:t>A new paragraph provides that an ABS applicant’s false statements or misrepresentations may be independent grounds for discipline and an aggravating factor in any discipline proceeding, and that fraudulent misstatements or material misrepr</w:t>
      </w:r>
      <w:r>
        <w:rPr>
          <w:bCs/>
          <w:szCs w:val="28"/>
        </w:rPr>
        <w:t>es</w:t>
      </w:r>
      <w:r w:rsidRPr="00DB3840">
        <w:rPr>
          <w:bCs/>
          <w:szCs w:val="28"/>
        </w:rPr>
        <w:t>entations may result in an ABS’s license being revoked.</w:t>
      </w:r>
    </w:p>
    <w:p w:rsidR="00F34E3D" w:rsidRPr="00B71ADB" w:rsidRDefault="00F34E3D" w:rsidP="00CB2694">
      <w:pPr>
        <w:pStyle w:val="BodyText"/>
        <w:numPr>
          <w:ilvl w:val="0"/>
          <w:numId w:val="7"/>
        </w:numPr>
        <w:spacing w:line="480" w:lineRule="auto"/>
        <w:ind w:left="720"/>
        <w:jc w:val="both"/>
        <w:rPr>
          <w:b/>
          <w:szCs w:val="28"/>
        </w:rPr>
      </w:pPr>
      <w:r w:rsidRPr="00B71ADB">
        <w:rPr>
          <w:b/>
          <w:szCs w:val="28"/>
        </w:rPr>
        <w:t>Rule 47 (General Procedural Matters)</w:t>
      </w:r>
    </w:p>
    <w:p w:rsidR="00F34E3D" w:rsidRPr="007F54A2" w:rsidRDefault="00F34E3D" w:rsidP="007F54A2">
      <w:pPr>
        <w:pStyle w:val="BodyText"/>
        <w:spacing w:line="480" w:lineRule="auto"/>
        <w:ind w:firstLine="720"/>
        <w:jc w:val="both"/>
        <w:rPr>
          <w:bCs/>
          <w:szCs w:val="28"/>
        </w:rPr>
      </w:pPr>
      <w:r w:rsidRPr="00DB3840">
        <w:rPr>
          <w:bCs/>
          <w:szCs w:val="28"/>
        </w:rPr>
        <w:t>Service of discipline complaints on ABS respondents may be made on a designated agent for service.</w:t>
      </w:r>
    </w:p>
    <w:p w:rsidR="00F34E3D" w:rsidRPr="00B71ADB" w:rsidRDefault="00F34E3D" w:rsidP="00CB2694">
      <w:pPr>
        <w:pStyle w:val="BodyText"/>
        <w:numPr>
          <w:ilvl w:val="0"/>
          <w:numId w:val="7"/>
        </w:numPr>
        <w:spacing w:line="480" w:lineRule="auto"/>
        <w:ind w:left="720"/>
        <w:jc w:val="both"/>
        <w:rPr>
          <w:b/>
          <w:szCs w:val="28"/>
        </w:rPr>
      </w:pPr>
      <w:r w:rsidRPr="00B71ADB">
        <w:rPr>
          <w:b/>
          <w:color w:val="212121"/>
          <w:szCs w:val="28"/>
        </w:rPr>
        <w:t>Rule 48 (Rules of Construction)</w:t>
      </w:r>
    </w:p>
    <w:p w:rsidR="009D1C29" w:rsidRPr="007F54A2" w:rsidRDefault="00F34E3D" w:rsidP="007F54A2">
      <w:pPr>
        <w:pStyle w:val="BodyText"/>
        <w:spacing w:line="480" w:lineRule="auto"/>
        <w:ind w:firstLine="720"/>
        <w:jc w:val="both"/>
        <w:rPr>
          <w:bCs/>
          <w:szCs w:val="28"/>
        </w:rPr>
      </w:pPr>
      <w:r w:rsidRPr="00DB3840">
        <w:rPr>
          <w:bCs/>
          <w:szCs w:val="28"/>
        </w:rPr>
        <w:t>Proposed Rule 48(d)(2) provides that allegations in a complaint against an ABS shall be established by a preponderance of the evidence</w:t>
      </w:r>
      <w:r w:rsidR="00054D64">
        <w:rPr>
          <w:bCs/>
          <w:szCs w:val="28"/>
        </w:rPr>
        <w:t xml:space="preserve">, compared to the clear-and-convincing </w:t>
      </w:r>
      <w:r w:rsidR="00BC74D8">
        <w:rPr>
          <w:bCs/>
          <w:szCs w:val="28"/>
        </w:rPr>
        <w:t xml:space="preserve">standard </w:t>
      </w:r>
      <w:r w:rsidR="005227A8">
        <w:rPr>
          <w:bCs/>
          <w:szCs w:val="28"/>
        </w:rPr>
        <w:t xml:space="preserve">required for </w:t>
      </w:r>
      <w:r w:rsidR="007F54A2">
        <w:rPr>
          <w:bCs/>
          <w:szCs w:val="28"/>
        </w:rPr>
        <w:t>lawyers</w:t>
      </w:r>
      <w:r w:rsidR="005227A8">
        <w:rPr>
          <w:bCs/>
          <w:szCs w:val="28"/>
        </w:rPr>
        <w:t>.</w:t>
      </w:r>
      <w:r w:rsidRPr="00DB3840">
        <w:rPr>
          <w:bCs/>
          <w:szCs w:val="28"/>
        </w:rPr>
        <w:t xml:space="preserve"> The rule includes the same rebuttable presumptions for failing to maintain trust account records as lawyers are subjected to in Rule 48(d)(1). </w:t>
      </w:r>
    </w:p>
    <w:p w:rsidR="009D1C29" w:rsidRPr="00B71ADB" w:rsidRDefault="00F34E3D" w:rsidP="00CB2694">
      <w:pPr>
        <w:pStyle w:val="BodyText"/>
        <w:numPr>
          <w:ilvl w:val="0"/>
          <w:numId w:val="7"/>
        </w:numPr>
        <w:spacing w:line="480" w:lineRule="auto"/>
        <w:ind w:left="810"/>
        <w:jc w:val="both"/>
        <w:rPr>
          <w:b/>
          <w:szCs w:val="28"/>
        </w:rPr>
      </w:pPr>
      <w:r w:rsidRPr="00B71ADB">
        <w:rPr>
          <w:b/>
          <w:szCs w:val="28"/>
        </w:rPr>
        <w:t>Rule 49 (Bar Counsel)</w:t>
      </w:r>
    </w:p>
    <w:p w:rsidR="007320EF" w:rsidRPr="00DB3840" w:rsidRDefault="00F34E3D" w:rsidP="007F54A2">
      <w:pPr>
        <w:spacing w:line="480" w:lineRule="auto"/>
        <w:ind w:firstLine="720"/>
        <w:jc w:val="both"/>
        <w:rPr>
          <w:color w:val="212121"/>
          <w:sz w:val="28"/>
          <w:szCs w:val="28"/>
        </w:rPr>
      </w:pPr>
      <w:r w:rsidRPr="00DB3840">
        <w:rPr>
          <w:color w:val="212121"/>
          <w:sz w:val="28"/>
          <w:szCs w:val="28"/>
        </w:rPr>
        <w:t xml:space="preserve">Proposed Rule 49(c)(2)(C) would be amended to </w:t>
      </w:r>
      <w:r w:rsidR="00BC74D8">
        <w:rPr>
          <w:color w:val="212121"/>
          <w:sz w:val="28"/>
          <w:szCs w:val="28"/>
        </w:rPr>
        <w:t>require</w:t>
      </w:r>
      <w:r w:rsidR="00BC74D8" w:rsidRPr="00DB3840">
        <w:rPr>
          <w:color w:val="212121"/>
          <w:sz w:val="28"/>
          <w:szCs w:val="28"/>
        </w:rPr>
        <w:t xml:space="preserve"> </w:t>
      </w:r>
      <w:r w:rsidRPr="00DB3840">
        <w:rPr>
          <w:color w:val="212121"/>
          <w:sz w:val="28"/>
          <w:szCs w:val="28"/>
        </w:rPr>
        <w:t xml:space="preserve">that </w:t>
      </w:r>
      <w:r w:rsidR="007320EF" w:rsidRPr="00DB3840">
        <w:rPr>
          <w:color w:val="212121"/>
          <w:sz w:val="28"/>
          <w:szCs w:val="28"/>
        </w:rPr>
        <w:t xml:space="preserve">all sanctions against ABSs be published in </w:t>
      </w:r>
      <w:r w:rsidR="007320EF" w:rsidRPr="00DB3840">
        <w:rPr>
          <w:i/>
          <w:iCs/>
          <w:color w:val="212121"/>
          <w:sz w:val="28"/>
          <w:szCs w:val="28"/>
        </w:rPr>
        <w:t>Arizona Attorney</w:t>
      </w:r>
      <w:r w:rsidR="007320EF" w:rsidRPr="00DB3840">
        <w:rPr>
          <w:color w:val="212121"/>
          <w:sz w:val="28"/>
          <w:szCs w:val="28"/>
        </w:rPr>
        <w:t xml:space="preserve"> magazine, and revocation, suspension, reprimand, and licensing after a period of revocation be posted on the State Bar’s website for an indefinite period.</w:t>
      </w:r>
    </w:p>
    <w:p w:rsidR="007320EF" w:rsidRPr="00B71ADB" w:rsidRDefault="007320EF" w:rsidP="00CB2694">
      <w:pPr>
        <w:pStyle w:val="BodyText"/>
        <w:numPr>
          <w:ilvl w:val="0"/>
          <w:numId w:val="7"/>
        </w:numPr>
        <w:spacing w:line="480" w:lineRule="auto"/>
        <w:ind w:left="810"/>
        <w:jc w:val="both"/>
        <w:rPr>
          <w:b/>
          <w:szCs w:val="28"/>
        </w:rPr>
      </w:pPr>
      <w:r w:rsidRPr="00B71ADB">
        <w:rPr>
          <w:b/>
          <w:szCs w:val="28"/>
        </w:rPr>
        <w:t>Rule 50 (Attorney Discipline Probable Cause Committee)</w:t>
      </w:r>
    </w:p>
    <w:p w:rsidR="004E2E51" w:rsidRPr="00DB3840" w:rsidRDefault="007320EF" w:rsidP="007F54A2">
      <w:pPr>
        <w:spacing w:line="480" w:lineRule="auto"/>
        <w:ind w:firstLine="720"/>
        <w:jc w:val="both"/>
        <w:rPr>
          <w:color w:val="212121"/>
          <w:sz w:val="28"/>
          <w:szCs w:val="28"/>
        </w:rPr>
      </w:pPr>
      <w:r w:rsidRPr="00DB3840">
        <w:rPr>
          <w:color w:val="212121"/>
          <w:sz w:val="28"/>
          <w:szCs w:val="28"/>
        </w:rPr>
        <w:t xml:space="preserve">The ADPCC’s jurisdiction is expanded to include an ABS’s </w:t>
      </w:r>
      <w:r w:rsidR="007F54A2" w:rsidRPr="00DB3840">
        <w:rPr>
          <w:color w:val="212121"/>
          <w:sz w:val="28"/>
          <w:szCs w:val="28"/>
        </w:rPr>
        <w:t>violations</w:t>
      </w:r>
      <w:r w:rsidRPr="00DB3840">
        <w:rPr>
          <w:color w:val="212121"/>
          <w:sz w:val="28"/>
          <w:szCs w:val="28"/>
        </w:rPr>
        <w:t xml:space="preserve"> of ACJA 7-209.</w:t>
      </w:r>
    </w:p>
    <w:p w:rsidR="007320EF" w:rsidRPr="00B71ADB" w:rsidRDefault="007320EF" w:rsidP="00CB2694">
      <w:pPr>
        <w:pStyle w:val="BodyText"/>
        <w:numPr>
          <w:ilvl w:val="0"/>
          <w:numId w:val="7"/>
        </w:numPr>
        <w:spacing w:line="480" w:lineRule="auto"/>
        <w:ind w:left="810"/>
        <w:jc w:val="both"/>
        <w:rPr>
          <w:b/>
          <w:szCs w:val="28"/>
        </w:rPr>
      </w:pPr>
      <w:r w:rsidRPr="00B71ADB">
        <w:rPr>
          <w:b/>
          <w:szCs w:val="28"/>
        </w:rPr>
        <w:t>Rule 51 (Presiding Disciplinary Judge)</w:t>
      </w:r>
    </w:p>
    <w:p w:rsidR="007320EF" w:rsidRPr="007F54A2" w:rsidRDefault="007320EF" w:rsidP="007F54A2">
      <w:pPr>
        <w:pStyle w:val="BodyText"/>
        <w:spacing w:line="480" w:lineRule="auto"/>
        <w:ind w:firstLine="720"/>
        <w:jc w:val="both"/>
        <w:rPr>
          <w:bCs/>
          <w:szCs w:val="28"/>
        </w:rPr>
      </w:pPr>
      <w:r w:rsidRPr="00DB3840">
        <w:rPr>
          <w:bCs/>
          <w:szCs w:val="28"/>
        </w:rPr>
        <w:t xml:space="preserve">The presiding </w:t>
      </w:r>
      <w:r w:rsidR="007F54A2" w:rsidRPr="00DB3840">
        <w:rPr>
          <w:bCs/>
          <w:szCs w:val="28"/>
        </w:rPr>
        <w:t>disciplinary</w:t>
      </w:r>
      <w:r w:rsidRPr="00DB3840">
        <w:rPr>
          <w:bCs/>
          <w:szCs w:val="28"/>
        </w:rPr>
        <w:t xml:space="preserve"> judge’s jurisdiction is expanded to include imposing discipline on ABSs.</w:t>
      </w:r>
    </w:p>
    <w:p w:rsidR="007320EF" w:rsidRPr="00B71ADB" w:rsidRDefault="007320EF" w:rsidP="00CB2694">
      <w:pPr>
        <w:pStyle w:val="BodyText"/>
        <w:numPr>
          <w:ilvl w:val="0"/>
          <w:numId w:val="7"/>
        </w:numPr>
        <w:spacing w:line="480" w:lineRule="auto"/>
        <w:ind w:left="810"/>
        <w:jc w:val="both"/>
        <w:rPr>
          <w:b/>
          <w:szCs w:val="28"/>
        </w:rPr>
      </w:pPr>
      <w:r w:rsidRPr="00B71ADB">
        <w:rPr>
          <w:b/>
          <w:szCs w:val="28"/>
        </w:rPr>
        <w:t>Rule 54 (Grounds for Discipline)</w:t>
      </w:r>
    </w:p>
    <w:p w:rsidR="007320EF" w:rsidRDefault="007320EF" w:rsidP="007F54A2">
      <w:pPr>
        <w:pStyle w:val="BodyText"/>
        <w:spacing w:line="480" w:lineRule="auto"/>
        <w:ind w:left="720"/>
        <w:jc w:val="both"/>
        <w:rPr>
          <w:bCs/>
          <w:szCs w:val="28"/>
        </w:rPr>
      </w:pPr>
      <w:r w:rsidRPr="00DB3840">
        <w:rPr>
          <w:bCs/>
          <w:szCs w:val="28"/>
        </w:rPr>
        <w:t>The rule is expanded to include ABSs and violations of ACJA 7-209.</w:t>
      </w:r>
    </w:p>
    <w:p w:rsidR="005966C8" w:rsidRPr="007F54A2" w:rsidRDefault="005966C8" w:rsidP="007F54A2">
      <w:pPr>
        <w:pStyle w:val="BodyText"/>
        <w:spacing w:line="480" w:lineRule="auto"/>
        <w:ind w:left="720"/>
        <w:jc w:val="both"/>
        <w:rPr>
          <w:bCs/>
          <w:szCs w:val="28"/>
        </w:rPr>
      </w:pPr>
    </w:p>
    <w:p w:rsidR="007320EF" w:rsidRPr="00B71ADB" w:rsidRDefault="007320EF" w:rsidP="00CB2694">
      <w:pPr>
        <w:pStyle w:val="BodyText"/>
        <w:numPr>
          <w:ilvl w:val="0"/>
          <w:numId w:val="7"/>
        </w:numPr>
        <w:spacing w:line="480" w:lineRule="auto"/>
        <w:ind w:left="810"/>
        <w:jc w:val="both"/>
        <w:rPr>
          <w:b/>
          <w:szCs w:val="28"/>
        </w:rPr>
      </w:pPr>
      <w:r w:rsidRPr="00B71ADB">
        <w:rPr>
          <w:b/>
          <w:szCs w:val="28"/>
        </w:rPr>
        <w:t>Rule 56 (Diversion)</w:t>
      </w:r>
    </w:p>
    <w:p w:rsidR="007320EF" w:rsidRPr="007F54A2" w:rsidRDefault="007320EF" w:rsidP="007F54A2">
      <w:pPr>
        <w:pStyle w:val="BodyText"/>
        <w:spacing w:line="480" w:lineRule="auto"/>
        <w:ind w:left="720"/>
        <w:jc w:val="both"/>
        <w:rPr>
          <w:bCs/>
          <w:szCs w:val="28"/>
        </w:rPr>
      </w:pPr>
      <w:r w:rsidRPr="00DB3840">
        <w:rPr>
          <w:bCs/>
          <w:szCs w:val="28"/>
        </w:rPr>
        <w:t>Amendments to this rule make ABSs eligible for diversion.</w:t>
      </w:r>
    </w:p>
    <w:p w:rsidR="007320EF" w:rsidRPr="00B71ADB" w:rsidRDefault="007320EF" w:rsidP="00CB2694">
      <w:pPr>
        <w:pStyle w:val="BodyText"/>
        <w:numPr>
          <w:ilvl w:val="0"/>
          <w:numId w:val="7"/>
        </w:numPr>
        <w:spacing w:line="480" w:lineRule="auto"/>
        <w:ind w:left="810"/>
        <w:jc w:val="both"/>
        <w:rPr>
          <w:b/>
          <w:szCs w:val="28"/>
        </w:rPr>
      </w:pPr>
      <w:r w:rsidRPr="00B71ADB">
        <w:rPr>
          <w:b/>
          <w:szCs w:val="28"/>
        </w:rPr>
        <w:t>Rule 58 (Formal Proceedings)</w:t>
      </w:r>
    </w:p>
    <w:p w:rsidR="007320EF" w:rsidRPr="007F54A2" w:rsidRDefault="007320EF" w:rsidP="007F54A2">
      <w:pPr>
        <w:pStyle w:val="BodyText"/>
        <w:spacing w:line="480" w:lineRule="auto"/>
        <w:ind w:firstLine="720"/>
        <w:jc w:val="both"/>
        <w:rPr>
          <w:bCs/>
          <w:szCs w:val="28"/>
        </w:rPr>
      </w:pPr>
      <w:r w:rsidRPr="00DB3840">
        <w:rPr>
          <w:bCs/>
          <w:szCs w:val="28"/>
        </w:rPr>
        <w:t xml:space="preserve">Under </w:t>
      </w:r>
      <w:r w:rsidR="00654AF9" w:rsidRPr="00DB3840">
        <w:rPr>
          <w:bCs/>
          <w:szCs w:val="28"/>
        </w:rPr>
        <w:t xml:space="preserve">the </w:t>
      </w:r>
      <w:r w:rsidRPr="00DB3840">
        <w:rPr>
          <w:bCs/>
          <w:szCs w:val="28"/>
        </w:rPr>
        <w:t xml:space="preserve">proposed </w:t>
      </w:r>
      <w:r w:rsidR="00654AF9" w:rsidRPr="00DB3840">
        <w:rPr>
          <w:bCs/>
          <w:szCs w:val="28"/>
        </w:rPr>
        <w:t xml:space="preserve">amendment to Rule 58(k), </w:t>
      </w:r>
      <w:r w:rsidR="00654AF9" w:rsidRPr="00DB3840">
        <w:rPr>
          <w:color w:val="212121"/>
          <w:szCs w:val="28"/>
        </w:rPr>
        <w:t>sanctions imposed against an ABS shall be determined in accordance ACJA 7-209 and to the extent applicable, with the American Bar Association </w:t>
      </w:r>
      <w:r w:rsidR="00654AF9" w:rsidRPr="00DB3840">
        <w:rPr>
          <w:i/>
          <w:iCs/>
          <w:color w:val="212121"/>
          <w:szCs w:val="28"/>
        </w:rPr>
        <w:t>Standards for Imposing Lawyer Sanctions</w:t>
      </w:r>
      <w:r w:rsidR="00654AF9" w:rsidRPr="00DB3840">
        <w:rPr>
          <w:color w:val="212121"/>
          <w:szCs w:val="28"/>
        </w:rPr>
        <w:t>.</w:t>
      </w:r>
    </w:p>
    <w:p w:rsidR="00654AF9" w:rsidRPr="00B71ADB" w:rsidRDefault="00654AF9" w:rsidP="00CB2694">
      <w:pPr>
        <w:pStyle w:val="BodyText"/>
        <w:numPr>
          <w:ilvl w:val="0"/>
          <w:numId w:val="7"/>
        </w:numPr>
        <w:spacing w:line="480" w:lineRule="auto"/>
        <w:ind w:left="810"/>
        <w:jc w:val="both"/>
        <w:rPr>
          <w:b/>
          <w:szCs w:val="28"/>
        </w:rPr>
      </w:pPr>
      <w:r w:rsidRPr="00B71ADB">
        <w:rPr>
          <w:b/>
          <w:szCs w:val="28"/>
        </w:rPr>
        <w:t xml:space="preserve"> Rule 60 (Sanctions)</w:t>
      </w:r>
    </w:p>
    <w:p w:rsidR="00654AF9" w:rsidRPr="007F54A2" w:rsidRDefault="00654AF9" w:rsidP="007F54A2">
      <w:pPr>
        <w:pStyle w:val="BodyText"/>
        <w:spacing w:line="480" w:lineRule="auto"/>
        <w:ind w:firstLine="720"/>
        <w:jc w:val="both"/>
        <w:rPr>
          <w:bCs/>
          <w:szCs w:val="28"/>
        </w:rPr>
      </w:pPr>
      <w:r w:rsidRPr="00DB3840">
        <w:rPr>
          <w:bCs/>
          <w:szCs w:val="28"/>
        </w:rPr>
        <w:t>Misconduct by an ABS would be grounds for sanctions specified by ACJA 7-209, which will include license revocation, suspension, reprimand, probation, restitution, disgorgement of profits</w:t>
      </w:r>
      <w:r w:rsidR="00DB4C1A">
        <w:rPr>
          <w:bCs/>
          <w:szCs w:val="28"/>
        </w:rPr>
        <w:t>,</w:t>
      </w:r>
      <w:r w:rsidRPr="00DB3840">
        <w:rPr>
          <w:bCs/>
          <w:szCs w:val="28"/>
        </w:rPr>
        <w:t xml:space="preserve"> and civil fines.</w:t>
      </w:r>
    </w:p>
    <w:p w:rsidR="00654AF9" w:rsidRPr="00B71ADB" w:rsidRDefault="00654AF9" w:rsidP="00CB2694">
      <w:pPr>
        <w:pStyle w:val="BodyText"/>
        <w:numPr>
          <w:ilvl w:val="0"/>
          <w:numId w:val="7"/>
        </w:numPr>
        <w:spacing w:line="480" w:lineRule="auto"/>
        <w:ind w:left="810"/>
        <w:jc w:val="both"/>
        <w:rPr>
          <w:b/>
          <w:szCs w:val="28"/>
        </w:rPr>
      </w:pPr>
      <w:r w:rsidRPr="00B71ADB">
        <w:rPr>
          <w:b/>
          <w:szCs w:val="28"/>
        </w:rPr>
        <w:t>Rule 75 (Unauthorized Practice of Law, Jurisdiction)</w:t>
      </w:r>
    </w:p>
    <w:p w:rsidR="004E2E51" w:rsidRPr="007F54A2" w:rsidRDefault="007F54A2" w:rsidP="007F54A2">
      <w:pPr>
        <w:pStyle w:val="BodyText"/>
        <w:spacing w:line="480" w:lineRule="auto"/>
        <w:ind w:firstLine="720"/>
        <w:jc w:val="both"/>
        <w:rPr>
          <w:bCs/>
          <w:szCs w:val="28"/>
        </w:rPr>
      </w:pPr>
      <w:r>
        <w:rPr>
          <w:bCs/>
          <w:szCs w:val="28"/>
        </w:rPr>
        <w:t>Amendments e</w:t>
      </w:r>
      <w:r w:rsidR="00654AF9" w:rsidRPr="00DB3840">
        <w:rPr>
          <w:bCs/>
          <w:szCs w:val="28"/>
        </w:rPr>
        <w:t>xtend jurisdiction to pursue allegations of UPL against an ABS.</w:t>
      </w:r>
    </w:p>
    <w:p w:rsidR="007F54A2" w:rsidRPr="00B71ADB" w:rsidRDefault="00654AF9" w:rsidP="00CB2694">
      <w:pPr>
        <w:pStyle w:val="BodyText"/>
        <w:numPr>
          <w:ilvl w:val="0"/>
          <w:numId w:val="7"/>
        </w:numPr>
        <w:ind w:left="806"/>
        <w:jc w:val="both"/>
        <w:rPr>
          <w:b/>
          <w:szCs w:val="28"/>
        </w:rPr>
      </w:pPr>
      <w:r w:rsidRPr="00B71ADB">
        <w:rPr>
          <w:b/>
          <w:szCs w:val="28"/>
        </w:rPr>
        <w:t>Rule 76 (</w:t>
      </w:r>
      <w:r w:rsidR="007F54A2" w:rsidRPr="00B71ADB">
        <w:rPr>
          <w:b/>
          <w:szCs w:val="28"/>
        </w:rPr>
        <w:t>Unauthorized</w:t>
      </w:r>
      <w:r w:rsidRPr="00B71ADB">
        <w:rPr>
          <w:b/>
          <w:szCs w:val="28"/>
        </w:rPr>
        <w:t xml:space="preserve"> Practice of Law, Grounds for Sanctions, </w:t>
      </w:r>
      <w:r w:rsidR="007F54A2" w:rsidRPr="00B71ADB">
        <w:rPr>
          <w:b/>
          <w:szCs w:val="28"/>
        </w:rPr>
        <w:t>Sanctions</w:t>
      </w:r>
      <w:r w:rsidRPr="00B71ADB">
        <w:rPr>
          <w:b/>
          <w:szCs w:val="28"/>
        </w:rPr>
        <w:t xml:space="preserve"> and Implementation)</w:t>
      </w:r>
    </w:p>
    <w:p w:rsidR="007F54A2" w:rsidRPr="007F54A2" w:rsidRDefault="007F54A2" w:rsidP="007F54A2">
      <w:pPr>
        <w:pStyle w:val="BodyText"/>
        <w:ind w:left="806"/>
        <w:jc w:val="both"/>
        <w:rPr>
          <w:b/>
          <w:szCs w:val="28"/>
          <w:highlight w:val="yellow"/>
        </w:rPr>
      </w:pPr>
    </w:p>
    <w:p w:rsidR="006E3245" w:rsidRPr="00DB3840" w:rsidRDefault="007F54A2" w:rsidP="007F54A2">
      <w:pPr>
        <w:pStyle w:val="BodyText"/>
        <w:spacing w:line="480" w:lineRule="auto"/>
        <w:ind w:firstLine="720"/>
        <w:jc w:val="both"/>
        <w:rPr>
          <w:bCs/>
          <w:szCs w:val="28"/>
        </w:rPr>
      </w:pPr>
      <w:r>
        <w:rPr>
          <w:bCs/>
          <w:szCs w:val="28"/>
        </w:rPr>
        <w:t>An amendment adds</w:t>
      </w:r>
      <w:r w:rsidR="00654AF9" w:rsidRPr="00DB3840">
        <w:rPr>
          <w:bCs/>
          <w:szCs w:val="28"/>
        </w:rPr>
        <w:t xml:space="preserve"> </w:t>
      </w:r>
      <w:r w:rsidR="00BC74D8">
        <w:rPr>
          <w:bCs/>
          <w:szCs w:val="28"/>
        </w:rPr>
        <w:t>authority for the Superior Court to impose</w:t>
      </w:r>
      <w:r w:rsidR="00654AF9" w:rsidRPr="00DB3840">
        <w:rPr>
          <w:bCs/>
          <w:szCs w:val="28"/>
        </w:rPr>
        <w:t xml:space="preserve"> a civil penalty</w:t>
      </w:r>
      <w:r w:rsidR="009B2086" w:rsidRPr="00DB3840">
        <w:rPr>
          <w:bCs/>
          <w:szCs w:val="28"/>
        </w:rPr>
        <w:t xml:space="preserve"> of up to $25,000 against respondents upon whom another sanction is imposed.</w:t>
      </w:r>
    </w:p>
    <w:p w:rsidR="00FA7762" w:rsidRPr="00B71ADB" w:rsidRDefault="00947DAA" w:rsidP="00CB2694">
      <w:pPr>
        <w:pStyle w:val="ListParagraph"/>
        <w:numPr>
          <w:ilvl w:val="0"/>
          <w:numId w:val="1"/>
        </w:numPr>
        <w:spacing w:line="480" w:lineRule="auto"/>
        <w:ind w:left="720"/>
        <w:jc w:val="both"/>
        <w:rPr>
          <w:b/>
          <w:sz w:val="28"/>
          <w:szCs w:val="28"/>
        </w:rPr>
      </w:pPr>
      <w:r w:rsidRPr="00B71ADB">
        <w:rPr>
          <w:b/>
          <w:sz w:val="28"/>
          <w:szCs w:val="28"/>
        </w:rPr>
        <w:t xml:space="preserve">Limited License Legal </w:t>
      </w:r>
      <w:r w:rsidR="007F54A2" w:rsidRPr="00B71ADB">
        <w:rPr>
          <w:b/>
          <w:sz w:val="28"/>
          <w:szCs w:val="28"/>
        </w:rPr>
        <w:t>Practitioner</w:t>
      </w:r>
      <w:r w:rsidRPr="00B71ADB">
        <w:rPr>
          <w:b/>
          <w:sz w:val="28"/>
          <w:szCs w:val="28"/>
        </w:rPr>
        <w:t xml:space="preserve"> (LLLP)</w:t>
      </w:r>
    </w:p>
    <w:p w:rsidR="00267A0F" w:rsidRPr="00DB3840" w:rsidRDefault="00947DAA" w:rsidP="007F54A2">
      <w:pPr>
        <w:spacing w:line="480" w:lineRule="auto"/>
        <w:ind w:firstLine="720"/>
        <w:jc w:val="both"/>
        <w:rPr>
          <w:bCs/>
          <w:sz w:val="28"/>
          <w:szCs w:val="28"/>
        </w:rPr>
      </w:pPr>
      <w:r w:rsidRPr="00DB3840">
        <w:rPr>
          <w:bCs/>
          <w:sz w:val="28"/>
          <w:szCs w:val="28"/>
        </w:rPr>
        <w:t xml:space="preserve">The Task Force </w:t>
      </w:r>
      <w:r w:rsidR="00267A0F" w:rsidRPr="00DB3840">
        <w:rPr>
          <w:bCs/>
          <w:sz w:val="28"/>
          <w:szCs w:val="28"/>
        </w:rPr>
        <w:t>propose</w:t>
      </w:r>
      <w:r w:rsidR="00DC3CBC">
        <w:rPr>
          <w:bCs/>
          <w:sz w:val="28"/>
          <w:szCs w:val="28"/>
        </w:rPr>
        <w:t>d</w:t>
      </w:r>
      <w:r w:rsidRPr="00DB3840">
        <w:rPr>
          <w:bCs/>
          <w:sz w:val="28"/>
          <w:szCs w:val="28"/>
        </w:rPr>
        <w:t xml:space="preserve"> that the Court adopt a new category of nonlawyer legal-service provider, the LLLP, who would be licensed and able to provide limited legal services to clients</w:t>
      </w:r>
      <w:r w:rsidR="00267A0F" w:rsidRPr="00DB3840">
        <w:rPr>
          <w:bCs/>
          <w:sz w:val="28"/>
          <w:szCs w:val="28"/>
        </w:rPr>
        <w:t xml:space="preserve">, including appearing in court and administrative hearings in limited practice areas, such as family law. </w:t>
      </w:r>
    </w:p>
    <w:p w:rsidR="00267A0F" w:rsidRDefault="00267A0F" w:rsidP="007F54A2">
      <w:pPr>
        <w:spacing w:line="480" w:lineRule="auto"/>
        <w:ind w:firstLine="720"/>
        <w:jc w:val="both"/>
        <w:rPr>
          <w:bCs/>
          <w:sz w:val="28"/>
          <w:szCs w:val="28"/>
        </w:rPr>
      </w:pPr>
      <w:r w:rsidRPr="00DB3840">
        <w:rPr>
          <w:bCs/>
          <w:sz w:val="28"/>
          <w:szCs w:val="28"/>
        </w:rPr>
        <w:t>The Task Force conclude</w:t>
      </w:r>
      <w:r w:rsidR="00DC3CBC">
        <w:rPr>
          <w:bCs/>
          <w:sz w:val="28"/>
          <w:szCs w:val="28"/>
        </w:rPr>
        <w:t>d</w:t>
      </w:r>
      <w:r w:rsidRPr="00DB3840">
        <w:rPr>
          <w:bCs/>
          <w:sz w:val="28"/>
          <w:szCs w:val="28"/>
        </w:rPr>
        <w:t xml:space="preserve"> that licensing nonlawyers to provide limited legal services will not undermine the employment of lawyers for several reasons. First, the legal needs targeted for LLLPs involve routine, relatively straight-forward, high-volume but low-paying work that lawyers rarely perform, if ever. Second, lawyers could team with LLLPs to provide complementary services, thereby increasing business opportunities for lawyers. Moreover, to date no jurisdiction that allows certified nonlawyers to provide limited legal services has reported any diminution in lawyer employment. While some lawyers may prove instinctive skeptics on this issue, the Task Force was not able to find empirical evidence that lawyers </w:t>
      </w:r>
      <w:r w:rsidR="00DC3CBC">
        <w:rPr>
          <w:bCs/>
          <w:sz w:val="28"/>
          <w:szCs w:val="28"/>
        </w:rPr>
        <w:t xml:space="preserve">are at </w:t>
      </w:r>
      <w:r w:rsidRPr="00DB3840">
        <w:rPr>
          <w:bCs/>
          <w:sz w:val="28"/>
          <w:szCs w:val="28"/>
        </w:rPr>
        <w:t xml:space="preserve">risk </w:t>
      </w:r>
      <w:r w:rsidR="00DC3CBC">
        <w:rPr>
          <w:bCs/>
          <w:sz w:val="28"/>
          <w:szCs w:val="28"/>
        </w:rPr>
        <w:t xml:space="preserve">of </w:t>
      </w:r>
      <w:r w:rsidRPr="00DB3840">
        <w:rPr>
          <w:bCs/>
          <w:sz w:val="28"/>
          <w:szCs w:val="28"/>
        </w:rPr>
        <w:t>economic harm from certified LLLPs who provide limited legal services to clients with unmet legal needs.</w:t>
      </w:r>
      <w:r w:rsidR="00252744">
        <w:rPr>
          <w:bCs/>
          <w:sz w:val="28"/>
          <w:szCs w:val="28"/>
        </w:rPr>
        <w:t xml:space="preserve"> </w:t>
      </w:r>
    </w:p>
    <w:p w:rsidR="004323E2" w:rsidRPr="004323E2" w:rsidRDefault="004323E2" w:rsidP="007F54A2">
      <w:pPr>
        <w:spacing w:line="480" w:lineRule="auto"/>
        <w:ind w:firstLine="720"/>
        <w:jc w:val="both"/>
        <w:rPr>
          <w:bCs/>
          <w:sz w:val="28"/>
          <w:szCs w:val="28"/>
        </w:rPr>
      </w:pPr>
      <w:r w:rsidRPr="004323E2">
        <w:rPr>
          <w:bCs/>
          <w:sz w:val="28"/>
          <w:szCs w:val="28"/>
        </w:rPr>
        <w:t xml:space="preserve">LLLPs would provide services distinctly different from Legal Document Preparers. LDPs may not give legal advice nor may appear in court for customers who hire them to prepare documents. The Task Force recommended that LLLPs, on the other hand, </w:t>
      </w:r>
      <w:r w:rsidRPr="00A667A0">
        <w:rPr>
          <w:sz w:val="28"/>
          <w:szCs w:val="28"/>
        </w:rPr>
        <w:t>be able to provide legal advice and to make appearances in court on behalf of clients.</w:t>
      </w:r>
      <w:r>
        <w:rPr>
          <w:rStyle w:val="FootnoteReference"/>
          <w:sz w:val="28"/>
          <w:szCs w:val="28"/>
        </w:rPr>
        <w:footnoteReference w:id="20"/>
      </w:r>
    </w:p>
    <w:p w:rsidR="0008612E" w:rsidRPr="007F54A2" w:rsidRDefault="00DC3CBC" w:rsidP="007F54A2">
      <w:pPr>
        <w:pStyle w:val="BodyText"/>
        <w:spacing w:line="480" w:lineRule="auto"/>
        <w:ind w:firstLine="720"/>
        <w:jc w:val="both"/>
        <w:rPr>
          <w:szCs w:val="28"/>
        </w:rPr>
      </w:pPr>
      <w:r>
        <w:rPr>
          <w:bCs/>
          <w:szCs w:val="28"/>
        </w:rPr>
        <w:t xml:space="preserve">Therefore, this petition proposes rule amendments that would effect regulation and licensing of LLLPs. </w:t>
      </w:r>
      <w:r w:rsidR="0008612E" w:rsidRPr="00DB3840">
        <w:rPr>
          <w:bCs/>
          <w:szCs w:val="28"/>
        </w:rPr>
        <w:t>As with ABSs,</w:t>
      </w:r>
      <w:r w:rsidR="00267A0F" w:rsidRPr="00DB3840">
        <w:rPr>
          <w:bCs/>
          <w:szCs w:val="28"/>
        </w:rPr>
        <w:t xml:space="preserve"> the definitions, criteria and process for licensing, code of conduct, and other specifics </w:t>
      </w:r>
      <w:r w:rsidR="0008612E" w:rsidRPr="00DB3840">
        <w:rPr>
          <w:bCs/>
          <w:szCs w:val="28"/>
        </w:rPr>
        <w:t xml:space="preserve">regarding LLLPs </w:t>
      </w:r>
      <w:r w:rsidR="00267A0F" w:rsidRPr="00DB3840">
        <w:rPr>
          <w:bCs/>
          <w:szCs w:val="28"/>
        </w:rPr>
        <w:t xml:space="preserve">will be regulations in </w:t>
      </w:r>
      <w:r w:rsidR="0008612E" w:rsidRPr="00DB3840">
        <w:rPr>
          <w:bCs/>
          <w:szCs w:val="28"/>
        </w:rPr>
        <w:t xml:space="preserve">an </w:t>
      </w:r>
      <w:r w:rsidR="00267A0F" w:rsidRPr="00DB3840">
        <w:rPr>
          <w:bCs/>
          <w:szCs w:val="28"/>
        </w:rPr>
        <w:t>ACJA section</w:t>
      </w:r>
      <w:r w:rsidR="009B2086" w:rsidRPr="00DB3840">
        <w:rPr>
          <w:bCs/>
          <w:szCs w:val="28"/>
        </w:rPr>
        <w:t xml:space="preserve"> (ACJA 7-210)</w:t>
      </w:r>
      <w:r w:rsidR="00267A0F" w:rsidRPr="00DB3840">
        <w:rPr>
          <w:bCs/>
          <w:szCs w:val="28"/>
        </w:rPr>
        <w:t>, rather than Supreme Court rules.</w:t>
      </w:r>
      <w:r w:rsidR="0008612E" w:rsidRPr="00DB3840">
        <w:rPr>
          <w:bCs/>
          <w:szCs w:val="28"/>
        </w:rPr>
        <w:t xml:space="preserve"> </w:t>
      </w:r>
      <w:r w:rsidRPr="00DB3840">
        <w:rPr>
          <w:bCs/>
          <w:szCs w:val="28"/>
        </w:rPr>
        <w:t>Also,</w:t>
      </w:r>
      <w:r w:rsidR="0008612E" w:rsidRPr="00DB3840">
        <w:rPr>
          <w:bCs/>
          <w:szCs w:val="28"/>
        </w:rPr>
        <w:t xml:space="preserve"> like ABSs, LLLPs would be folded into the existing lawyer discipline system</w:t>
      </w:r>
      <w:r w:rsidR="005227A8">
        <w:rPr>
          <w:bCs/>
          <w:szCs w:val="28"/>
        </w:rPr>
        <w:t xml:space="preserve">, </w:t>
      </w:r>
      <w:r w:rsidR="005227A8">
        <w:rPr>
          <w:szCs w:val="28"/>
        </w:rPr>
        <w:t xml:space="preserve">with investigation and prosecution by the State Bar; assessment by the </w:t>
      </w:r>
      <w:r w:rsidR="004E2E51">
        <w:rPr>
          <w:szCs w:val="28"/>
        </w:rPr>
        <w:t>ADPCC</w:t>
      </w:r>
      <w:r w:rsidR="005227A8">
        <w:rPr>
          <w:szCs w:val="28"/>
        </w:rPr>
        <w:t xml:space="preserve"> of reports of investigation</w:t>
      </w:r>
      <w:r w:rsidR="00336C8A">
        <w:rPr>
          <w:szCs w:val="28"/>
        </w:rPr>
        <w:t xml:space="preserve"> by the State Bar</w:t>
      </w:r>
      <w:r w:rsidR="005227A8">
        <w:rPr>
          <w:szCs w:val="28"/>
        </w:rPr>
        <w:t xml:space="preserve">; and adjudication by the Presiding </w:t>
      </w:r>
      <w:r w:rsidR="007F54A2">
        <w:rPr>
          <w:szCs w:val="28"/>
        </w:rPr>
        <w:t>Disciplinary</w:t>
      </w:r>
      <w:r w:rsidR="005227A8">
        <w:rPr>
          <w:szCs w:val="28"/>
        </w:rPr>
        <w:t xml:space="preserve"> Judge.</w:t>
      </w:r>
    </w:p>
    <w:p w:rsidR="0008612E" w:rsidRPr="00DB3840" w:rsidRDefault="0008612E" w:rsidP="007F54A2">
      <w:pPr>
        <w:pStyle w:val="BodyText"/>
        <w:spacing w:line="480" w:lineRule="auto"/>
        <w:ind w:firstLine="720"/>
        <w:jc w:val="both"/>
        <w:rPr>
          <w:bCs/>
          <w:szCs w:val="28"/>
        </w:rPr>
      </w:pPr>
      <w:r w:rsidRPr="00DB3840">
        <w:rPr>
          <w:bCs/>
          <w:szCs w:val="28"/>
        </w:rPr>
        <w:t>Unlike ABSs, however, LLLPs would becom</w:t>
      </w:r>
      <w:r w:rsidR="009B2086" w:rsidRPr="00DB3840">
        <w:rPr>
          <w:bCs/>
          <w:szCs w:val="28"/>
        </w:rPr>
        <w:t>e</w:t>
      </w:r>
      <w:r w:rsidRPr="00DB3840">
        <w:rPr>
          <w:bCs/>
          <w:szCs w:val="28"/>
        </w:rPr>
        <w:t xml:space="preserve"> </w:t>
      </w:r>
      <w:r w:rsidR="007F54A2" w:rsidRPr="00DB3840">
        <w:rPr>
          <w:bCs/>
          <w:szCs w:val="28"/>
        </w:rPr>
        <w:t>affiliate</w:t>
      </w:r>
      <w:r w:rsidRPr="00DB3840">
        <w:rPr>
          <w:bCs/>
          <w:szCs w:val="28"/>
        </w:rPr>
        <w:t xml:space="preserve"> members of the State Bar</w:t>
      </w:r>
      <w:r w:rsidR="00F54368">
        <w:rPr>
          <w:bCs/>
          <w:szCs w:val="28"/>
        </w:rPr>
        <w:t xml:space="preserve"> with limited benefits of membership, such as access to the ethics hotline. </w:t>
      </w:r>
    </w:p>
    <w:p w:rsidR="00267A0F" w:rsidRPr="00DB3840" w:rsidRDefault="007F54A2" w:rsidP="007F54A2">
      <w:pPr>
        <w:spacing w:line="480" w:lineRule="auto"/>
        <w:ind w:firstLine="720"/>
        <w:jc w:val="both"/>
        <w:rPr>
          <w:bCs/>
          <w:sz w:val="28"/>
          <w:szCs w:val="28"/>
        </w:rPr>
      </w:pPr>
      <w:r w:rsidRPr="00DB3840">
        <w:rPr>
          <w:bCs/>
          <w:sz w:val="28"/>
          <w:szCs w:val="28"/>
        </w:rPr>
        <w:t>Significant</w:t>
      </w:r>
      <w:r w:rsidR="00267A0F" w:rsidRPr="00DB3840">
        <w:rPr>
          <w:bCs/>
          <w:sz w:val="28"/>
          <w:szCs w:val="28"/>
        </w:rPr>
        <w:t xml:space="preserve"> substantive proposed rule changes include</w:t>
      </w:r>
      <w:r w:rsidR="009B2086" w:rsidRPr="00DB3840">
        <w:rPr>
          <w:bCs/>
          <w:sz w:val="28"/>
          <w:szCs w:val="28"/>
        </w:rPr>
        <w:t>:</w:t>
      </w:r>
    </w:p>
    <w:p w:rsidR="00267A0F" w:rsidRPr="00B71ADB" w:rsidRDefault="00267A0F" w:rsidP="00CB2694">
      <w:pPr>
        <w:pStyle w:val="BodyText"/>
        <w:numPr>
          <w:ilvl w:val="0"/>
          <w:numId w:val="11"/>
        </w:numPr>
        <w:spacing w:line="480" w:lineRule="auto"/>
        <w:ind w:left="720"/>
        <w:jc w:val="both"/>
        <w:rPr>
          <w:b/>
          <w:szCs w:val="28"/>
        </w:rPr>
      </w:pPr>
      <w:r w:rsidRPr="00B71ADB">
        <w:rPr>
          <w:b/>
          <w:szCs w:val="28"/>
        </w:rPr>
        <w:t>Rule 32 (Organization of the State Bar of Arizona)</w:t>
      </w:r>
    </w:p>
    <w:p w:rsidR="00267A0F" w:rsidRPr="00DB3840" w:rsidRDefault="0008612E" w:rsidP="007F54A2">
      <w:pPr>
        <w:pStyle w:val="BodyText"/>
        <w:spacing w:line="480" w:lineRule="auto"/>
        <w:ind w:firstLine="720"/>
        <w:jc w:val="both"/>
        <w:rPr>
          <w:bCs/>
          <w:szCs w:val="28"/>
        </w:rPr>
      </w:pPr>
      <w:r w:rsidRPr="00DB3840">
        <w:rPr>
          <w:bCs/>
          <w:szCs w:val="28"/>
        </w:rPr>
        <w:t xml:space="preserve">Rule 32(c)(1) currently provides that the State Bar has five classes of membership: </w:t>
      </w:r>
      <w:r w:rsidRPr="00DB3840">
        <w:rPr>
          <w:color w:val="212121"/>
          <w:szCs w:val="28"/>
        </w:rPr>
        <w:t>active, inactive, retired, suspended, and</w:t>
      </w:r>
      <w:r w:rsidR="005966C8">
        <w:rPr>
          <w:color w:val="212121"/>
          <w:szCs w:val="28"/>
        </w:rPr>
        <w:t xml:space="preserve"> </w:t>
      </w:r>
      <w:r w:rsidRPr="00DB3840">
        <w:rPr>
          <w:color w:val="212121"/>
          <w:szCs w:val="28"/>
        </w:rPr>
        <w:t xml:space="preserve">judicial. </w:t>
      </w:r>
      <w:r w:rsidRPr="00DB3840">
        <w:rPr>
          <w:bCs/>
          <w:szCs w:val="28"/>
        </w:rPr>
        <w:t>Proposed Rule 32(c)(3) creates a sixth category of membership for LLLPs. They would be “affiliate members” for the purposes of regulation and discipline</w:t>
      </w:r>
      <w:r w:rsidR="00EC6BD8">
        <w:rPr>
          <w:bCs/>
          <w:szCs w:val="28"/>
        </w:rPr>
        <w:t xml:space="preserve"> only</w:t>
      </w:r>
      <w:r w:rsidRPr="00DB3840">
        <w:rPr>
          <w:bCs/>
          <w:szCs w:val="28"/>
        </w:rPr>
        <w:t>.</w:t>
      </w:r>
      <w:r w:rsidR="00EC6BD8">
        <w:rPr>
          <w:bCs/>
          <w:szCs w:val="28"/>
        </w:rPr>
        <w:t xml:space="preserve"> They would pay annual fees, including an amount designated for the Client Protection Fund.</w:t>
      </w:r>
      <w:r w:rsidRPr="00DB3840">
        <w:rPr>
          <w:bCs/>
          <w:szCs w:val="28"/>
        </w:rPr>
        <w:t xml:space="preserve"> They would receive a certificate of licensure, not a bar card.</w:t>
      </w:r>
    </w:p>
    <w:p w:rsidR="00267A0F" w:rsidRPr="007F54A2" w:rsidRDefault="0008612E" w:rsidP="007F54A2">
      <w:pPr>
        <w:pStyle w:val="BodyText"/>
        <w:spacing w:line="480" w:lineRule="auto"/>
        <w:ind w:firstLine="720"/>
        <w:jc w:val="both"/>
        <w:rPr>
          <w:bCs/>
          <w:szCs w:val="28"/>
        </w:rPr>
      </w:pPr>
      <w:r w:rsidRPr="00DB3840">
        <w:rPr>
          <w:bCs/>
          <w:szCs w:val="28"/>
        </w:rPr>
        <w:t>Rule 32</w:t>
      </w:r>
      <w:r w:rsidR="009B2086" w:rsidRPr="00DB3840">
        <w:rPr>
          <w:bCs/>
          <w:szCs w:val="28"/>
        </w:rPr>
        <w:t>(c)(13) would be amended to require that LLLPs, like active lawyers in private practice, disclose whether they have professional liability insurance.</w:t>
      </w:r>
    </w:p>
    <w:p w:rsidR="00267A0F" w:rsidRPr="00B71ADB" w:rsidRDefault="00267A0F" w:rsidP="00CB2694">
      <w:pPr>
        <w:pStyle w:val="BodyText"/>
        <w:numPr>
          <w:ilvl w:val="0"/>
          <w:numId w:val="11"/>
        </w:numPr>
        <w:spacing w:line="480" w:lineRule="auto"/>
        <w:ind w:left="720"/>
        <w:jc w:val="both"/>
        <w:rPr>
          <w:b/>
          <w:szCs w:val="28"/>
        </w:rPr>
      </w:pPr>
      <w:r w:rsidRPr="00B71ADB">
        <w:rPr>
          <w:b/>
          <w:szCs w:val="28"/>
        </w:rPr>
        <w:t>Rule 46 (Jurisdiction in Discipline and Disability Matters; Definitions</w:t>
      </w:r>
      <w:r w:rsidR="00AD34E3">
        <w:rPr>
          <w:b/>
          <w:szCs w:val="28"/>
        </w:rPr>
        <w:t>)</w:t>
      </w:r>
    </w:p>
    <w:p w:rsidR="00267A0F" w:rsidRDefault="007F54A2" w:rsidP="007F54A2">
      <w:pPr>
        <w:pStyle w:val="BodyText"/>
        <w:spacing w:line="480" w:lineRule="auto"/>
        <w:ind w:firstLine="720"/>
        <w:jc w:val="both"/>
        <w:rPr>
          <w:bCs/>
          <w:szCs w:val="28"/>
        </w:rPr>
      </w:pPr>
      <w:r w:rsidRPr="00DB3840">
        <w:rPr>
          <w:bCs/>
          <w:szCs w:val="28"/>
        </w:rPr>
        <w:t>A new paragraph provides that an LLLP applicant’s false statements or misrepresentations may be independent grounds for discipline and an aggravating factor in any discipline proceeding, and that fraudulent misstatements or material misrepre</w:t>
      </w:r>
      <w:r>
        <w:rPr>
          <w:bCs/>
          <w:szCs w:val="28"/>
        </w:rPr>
        <w:t>se</w:t>
      </w:r>
      <w:r w:rsidRPr="00DB3840">
        <w:rPr>
          <w:bCs/>
          <w:szCs w:val="28"/>
        </w:rPr>
        <w:t>ntations may result in an LLLP’s license being revoked.</w:t>
      </w:r>
    </w:p>
    <w:p w:rsidR="004E2E51" w:rsidRPr="007F54A2" w:rsidRDefault="00EC6BD8" w:rsidP="007F54A2">
      <w:pPr>
        <w:pStyle w:val="BodyText"/>
        <w:spacing w:line="480" w:lineRule="auto"/>
        <w:ind w:firstLine="720"/>
        <w:jc w:val="both"/>
        <w:rPr>
          <w:bCs/>
          <w:szCs w:val="28"/>
        </w:rPr>
      </w:pPr>
      <w:r>
        <w:rPr>
          <w:bCs/>
          <w:szCs w:val="28"/>
        </w:rPr>
        <w:t>The definitions of “discipline</w:t>
      </w:r>
      <w:r w:rsidR="005966C8">
        <w:rPr>
          <w:bCs/>
          <w:szCs w:val="28"/>
        </w:rPr>
        <w:t>,</w:t>
      </w:r>
      <w:r>
        <w:rPr>
          <w:bCs/>
          <w:szCs w:val="28"/>
        </w:rPr>
        <w:t>” “misconduct</w:t>
      </w:r>
      <w:r w:rsidR="005966C8">
        <w:rPr>
          <w:bCs/>
          <w:szCs w:val="28"/>
        </w:rPr>
        <w:t>,</w:t>
      </w:r>
      <w:r>
        <w:rPr>
          <w:bCs/>
          <w:szCs w:val="28"/>
        </w:rPr>
        <w:t>” and “respondent” were amended to include LLLPs.</w:t>
      </w:r>
    </w:p>
    <w:p w:rsidR="00EC6BD8" w:rsidRPr="00B71ADB" w:rsidRDefault="00EC6BD8" w:rsidP="00CB2694">
      <w:pPr>
        <w:pStyle w:val="BodyText"/>
        <w:numPr>
          <w:ilvl w:val="0"/>
          <w:numId w:val="11"/>
        </w:numPr>
        <w:spacing w:line="480" w:lineRule="auto"/>
        <w:ind w:left="810"/>
        <w:jc w:val="both"/>
        <w:rPr>
          <w:b/>
          <w:szCs w:val="28"/>
        </w:rPr>
      </w:pPr>
      <w:r w:rsidRPr="00B71ADB">
        <w:rPr>
          <w:b/>
          <w:szCs w:val="28"/>
        </w:rPr>
        <w:t>Rule 49. (Bar Counsel)</w:t>
      </w:r>
    </w:p>
    <w:p w:rsidR="00EC6BD8" w:rsidRDefault="006943EA" w:rsidP="006943EA">
      <w:pPr>
        <w:pStyle w:val="BodyText"/>
        <w:spacing w:line="480" w:lineRule="auto"/>
        <w:jc w:val="both"/>
        <w:rPr>
          <w:bCs/>
          <w:szCs w:val="28"/>
        </w:rPr>
      </w:pPr>
      <w:r>
        <w:rPr>
          <w:bCs/>
          <w:szCs w:val="28"/>
        </w:rPr>
        <w:tab/>
      </w:r>
      <w:r w:rsidR="00EC6BD8" w:rsidRPr="006943EA">
        <w:rPr>
          <w:bCs/>
          <w:szCs w:val="28"/>
        </w:rPr>
        <w:t xml:space="preserve">Amendment to Rule 49(c)(1) ensures chief bar counsel has prosecutorial oversight over LLLPs and amendment to Rule 49(c)(2)(C) specifies that </w:t>
      </w:r>
      <w:r w:rsidR="00BC74D8">
        <w:rPr>
          <w:bCs/>
          <w:szCs w:val="28"/>
        </w:rPr>
        <w:t xml:space="preserve">as </w:t>
      </w:r>
      <w:r w:rsidR="00EC6BD8" w:rsidRPr="006943EA">
        <w:rPr>
          <w:bCs/>
          <w:szCs w:val="28"/>
        </w:rPr>
        <w:t xml:space="preserve">with ABSs, all sanctions against an LLLP would be reported </w:t>
      </w:r>
      <w:r w:rsidRPr="006943EA">
        <w:rPr>
          <w:bCs/>
          <w:szCs w:val="28"/>
        </w:rPr>
        <w:t>publicly.</w:t>
      </w:r>
    </w:p>
    <w:p w:rsidR="006943EA" w:rsidRDefault="006943EA" w:rsidP="00B71ADB">
      <w:pPr>
        <w:pStyle w:val="BodyText"/>
        <w:numPr>
          <w:ilvl w:val="0"/>
          <w:numId w:val="11"/>
        </w:numPr>
        <w:ind w:left="806"/>
        <w:jc w:val="both"/>
        <w:rPr>
          <w:b/>
          <w:szCs w:val="28"/>
        </w:rPr>
      </w:pPr>
      <w:r w:rsidRPr="00B71ADB">
        <w:rPr>
          <w:b/>
          <w:szCs w:val="28"/>
        </w:rPr>
        <w:t>Rules 50 (Attorney Discipline Probable Cause Committee) and 51 (Presiding Disciplinary Judge)</w:t>
      </w:r>
    </w:p>
    <w:p w:rsidR="00B71ADB" w:rsidRPr="00B71ADB" w:rsidRDefault="00B71ADB" w:rsidP="00B71ADB">
      <w:pPr>
        <w:pStyle w:val="BodyText"/>
        <w:ind w:left="806"/>
        <w:jc w:val="both"/>
        <w:rPr>
          <w:b/>
          <w:szCs w:val="28"/>
        </w:rPr>
      </w:pPr>
    </w:p>
    <w:p w:rsidR="006943EA" w:rsidRPr="006943EA" w:rsidRDefault="006943EA" w:rsidP="006943EA">
      <w:pPr>
        <w:pStyle w:val="BodyText"/>
        <w:spacing w:line="480" w:lineRule="auto"/>
        <w:jc w:val="both"/>
        <w:rPr>
          <w:szCs w:val="28"/>
          <w:highlight w:val="yellow"/>
        </w:rPr>
      </w:pPr>
      <w:r w:rsidRPr="00F54368">
        <w:rPr>
          <w:szCs w:val="28"/>
        </w:rPr>
        <w:tab/>
        <w:t>Amendments to both rules expand jurisdiction to include discipline-related activities involving LLLPs.</w:t>
      </w:r>
    </w:p>
    <w:p w:rsidR="006943EA" w:rsidRPr="00B71ADB" w:rsidRDefault="006943EA" w:rsidP="00CB2694">
      <w:pPr>
        <w:pStyle w:val="BodyText"/>
        <w:numPr>
          <w:ilvl w:val="0"/>
          <w:numId w:val="11"/>
        </w:numPr>
        <w:spacing w:line="480" w:lineRule="auto"/>
        <w:ind w:left="810"/>
        <w:jc w:val="both"/>
        <w:rPr>
          <w:b/>
          <w:szCs w:val="28"/>
        </w:rPr>
      </w:pPr>
      <w:r w:rsidRPr="00B71ADB">
        <w:rPr>
          <w:b/>
          <w:szCs w:val="28"/>
        </w:rPr>
        <w:t>Rule 54 (Grounds for Discipline)</w:t>
      </w:r>
    </w:p>
    <w:p w:rsidR="006943EA" w:rsidRPr="006943EA" w:rsidRDefault="006943EA" w:rsidP="006943EA">
      <w:pPr>
        <w:pStyle w:val="BodyText"/>
        <w:spacing w:line="480" w:lineRule="auto"/>
        <w:jc w:val="both"/>
        <w:rPr>
          <w:szCs w:val="28"/>
          <w:highlight w:val="yellow"/>
        </w:rPr>
      </w:pPr>
      <w:r w:rsidRPr="00F54368">
        <w:rPr>
          <w:szCs w:val="28"/>
        </w:rPr>
        <w:tab/>
        <w:t>This rule is expanded to include LLLPs and violations of ACJA 7-210, which will be the ACJA section governing LLLPs.</w:t>
      </w:r>
    </w:p>
    <w:p w:rsidR="00267A0F" w:rsidRPr="00B71ADB" w:rsidRDefault="00267A0F" w:rsidP="00CB2694">
      <w:pPr>
        <w:pStyle w:val="BodyText"/>
        <w:numPr>
          <w:ilvl w:val="0"/>
          <w:numId w:val="11"/>
        </w:numPr>
        <w:spacing w:line="480" w:lineRule="auto"/>
        <w:ind w:left="810"/>
        <w:jc w:val="both"/>
        <w:rPr>
          <w:b/>
          <w:szCs w:val="28"/>
        </w:rPr>
      </w:pPr>
      <w:r w:rsidRPr="00B71ADB">
        <w:rPr>
          <w:b/>
          <w:szCs w:val="28"/>
        </w:rPr>
        <w:t>Rule 56 (Diversion)</w:t>
      </w:r>
    </w:p>
    <w:p w:rsidR="00DB3840" w:rsidRDefault="00267A0F" w:rsidP="007F54A2">
      <w:pPr>
        <w:pStyle w:val="BodyText"/>
        <w:spacing w:line="480" w:lineRule="auto"/>
        <w:ind w:left="720"/>
        <w:jc w:val="both"/>
        <w:rPr>
          <w:bCs/>
          <w:szCs w:val="28"/>
        </w:rPr>
      </w:pPr>
      <w:r w:rsidRPr="00DB3840">
        <w:rPr>
          <w:bCs/>
          <w:szCs w:val="28"/>
        </w:rPr>
        <w:t xml:space="preserve">Amendments to this rule make </w:t>
      </w:r>
      <w:r w:rsidR="009B2086" w:rsidRPr="00DB3840">
        <w:rPr>
          <w:bCs/>
          <w:szCs w:val="28"/>
        </w:rPr>
        <w:t>LLLPs</w:t>
      </w:r>
      <w:r w:rsidRPr="00DB3840">
        <w:rPr>
          <w:bCs/>
          <w:szCs w:val="28"/>
        </w:rPr>
        <w:t xml:space="preserve"> eligible for diversion.</w:t>
      </w:r>
    </w:p>
    <w:p w:rsidR="005966C8" w:rsidRDefault="005966C8" w:rsidP="007F54A2">
      <w:pPr>
        <w:pStyle w:val="BodyText"/>
        <w:spacing w:line="480" w:lineRule="auto"/>
        <w:ind w:left="720"/>
        <w:jc w:val="both"/>
        <w:rPr>
          <w:bCs/>
          <w:szCs w:val="28"/>
        </w:rPr>
      </w:pPr>
    </w:p>
    <w:p w:rsidR="006943EA" w:rsidRDefault="006943EA" w:rsidP="00B71ADB">
      <w:pPr>
        <w:pStyle w:val="BodyText"/>
        <w:spacing w:line="480" w:lineRule="auto"/>
        <w:ind w:left="450"/>
        <w:jc w:val="both"/>
        <w:rPr>
          <w:b/>
          <w:bCs/>
          <w:szCs w:val="28"/>
        </w:rPr>
      </w:pPr>
      <w:r w:rsidRPr="00B71ADB">
        <w:rPr>
          <w:b/>
          <w:bCs/>
          <w:szCs w:val="28"/>
        </w:rPr>
        <w:t>G. Rule 60 (Sanctions)</w:t>
      </w:r>
    </w:p>
    <w:p w:rsidR="006943EA" w:rsidRPr="006943EA" w:rsidRDefault="006943EA" w:rsidP="00015AD9">
      <w:pPr>
        <w:pStyle w:val="BodyText"/>
        <w:spacing w:line="480" w:lineRule="auto"/>
        <w:jc w:val="both"/>
        <w:rPr>
          <w:bCs/>
          <w:szCs w:val="28"/>
        </w:rPr>
      </w:pPr>
      <w:r>
        <w:rPr>
          <w:bCs/>
          <w:szCs w:val="28"/>
        </w:rPr>
        <w:tab/>
        <w:t xml:space="preserve">Misconduct by an LLLP would be grounds for sanctions specified by ACJA 7-210, which will closely resemble the sanctions for misconduct by lawyers including revocation of license, suspension, reprimand, probation, and civil fines. </w:t>
      </w:r>
    </w:p>
    <w:p w:rsidR="005227A8" w:rsidRPr="00B71ADB" w:rsidRDefault="00E66DE6" w:rsidP="00CB2694">
      <w:pPr>
        <w:pStyle w:val="ListParagraph"/>
        <w:numPr>
          <w:ilvl w:val="0"/>
          <w:numId w:val="1"/>
        </w:numPr>
        <w:spacing w:line="480" w:lineRule="auto"/>
        <w:ind w:left="720"/>
        <w:jc w:val="both"/>
        <w:rPr>
          <w:b/>
          <w:sz w:val="28"/>
          <w:szCs w:val="28"/>
        </w:rPr>
      </w:pPr>
      <w:r w:rsidRPr="00B71ADB">
        <w:rPr>
          <w:b/>
          <w:sz w:val="28"/>
          <w:szCs w:val="28"/>
        </w:rPr>
        <w:t>Conclusion</w:t>
      </w:r>
    </w:p>
    <w:p w:rsidR="005227A8" w:rsidRPr="00DB3840" w:rsidRDefault="002508B4" w:rsidP="007F54A2">
      <w:pPr>
        <w:spacing w:line="480" w:lineRule="auto"/>
        <w:ind w:firstLine="720"/>
        <w:jc w:val="both"/>
        <w:rPr>
          <w:bCs/>
          <w:sz w:val="28"/>
          <w:szCs w:val="28"/>
        </w:rPr>
      </w:pPr>
      <w:r w:rsidRPr="00DB3840">
        <w:rPr>
          <w:bCs/>
          <w:sz w:val="28"/>
          <w:szCs w:val="28"/>
        </w:rPr>
        <w:t xml:space="preserve">Petitioner respectfully requests that the Court consider this petition and proposed rule changes at its </w:t>
      </w:r>
      <w:r w:rsidR="002C45C8">
        <w:rPr>
          <w:bCs/>
          <w:sz w:val="28"/>
          <w:szCs w:val="28"/>
        </w:rPr>
        <w:t>scheduled August rules conference</w:t>
      </w:r>
      <w:r w:rsidRPr="00DB3840">
        <w:rPr>
          <w:bCs/>
          <w:sz w:val="28"/>
          <w:szCs w:val="28"/>
        </w:rPr>
        <w:t>. Petitioner additionally requests that the petition be circulated for public comment,</w:t>
      </w:r>
      <w:r w:rsidR="006943EA">
        <w:rPr>
          <w:bCs/>
          <w:sz w:val="28"/>
          <w:szCs w:val="28"/>
        </w:rPr>
        <w:t xml:space="preserve"> and that a staggered comment period as follows be ordered: (a) initial comments due on March 30, 2020; (b) </w:t>
      </w:r>
      <w:r w:rsidR="00006A94">
        <w:rPr>
          <w:bCs/>
          <w:sz w:val="28"/>
          <w:szCs w:val="28"/>
        </w:rPr>
        <w:t xml:space="preserve">response to initial comments on April 27, 2020; (c) second round comments due on May 26, 2020; and (d) reply and final </w:t>
      </w:r>
      <w:r w:rsidR="00F54368">
        <w:rPr>
          <w:bCs/>
          <w:sz w:val="28"/>
          <w:szCs w:val="28"/>
        </w:rPr>
        <w:t xml:space="preserve">amended </w:t>
      </w:r>
      <w:r w:rsidR="00006A94">
        <w:rPr>
          <w:bCs/>
          <w:sz w:val="28"/>
          <w:szCs w:val="28"/>
        </w:rPr>
        <w:t xml:space="preserve">petition </w:t>
      </w:r>
      <w:r w:rsidR="00F54368">
        <w:rPr>
          <w:bCs/>
          <w:sz w:val="28"/>
          <w:szCs w:val="28"/>
        </w:rPr>
        <w:t xml:space="preserve">due </w:t>
      </w:r>
      <w:r w:rsidR="00006A94">
        <w:rPr>
          <w:bCs/>
          <w:sz w:val="28"/>
          <w:szCs w:val="28"/>
        </w:rPr>
        <w:t>on June 22, 2020. Petiti</w:t>
      </w:r>
      <w:r w:rsidR="00BB55B1">
        <w:rPr>
          <w:bCs/>
          <w:sz w:val="28"/>
          <w:szCs w:val="28"/>
        </w:rPr>
        <w:t>o</w:t>
      </w:r>
      <w:r w:rsidR="00006A94">
        <w:rPr>
          <w:bCs/>
          <w:sz w:val="28"/>
          <w:szCs w:val="28"/>
        </w:rPr>
        <w:t>ner respectfully requests</w:t>
      </w:r>
      <w:r w:rsidRPr="00DB3840">
        <w:rPr>
          <w:bCs/>
          <w:sz w:val="28"/>
          <w:szCs w:val="28"/>
        </w:rPr>
        <w:t xml:space="preserve"> that the Court adopt the proposed rules as they currently appear, or as modified considering comments received, with an effective date of January 1, 2021.</w:t>
      </w:r>
    </w:p>
    <w:p w:rsidR="002508B4" w:rsidRPr="00DB3840" w:rsidRDefault="002508B4" w:rsidP="007F54A2">
      <w:pPr>
        <w:ind w:firstLine="720"/>
        <w:jc w:val="both"/>
        <w:rPr>
          <w:sz w:val="28"/>
          <w:szCs w:val="28"/>
        </w:rPr>
      </w:pPr>
      <w:r w:rsidRPr="00DB3840">
        <w:rPr>
          <w:sz w:val="28"/>
          <w:szCs w:val="28"/>
        </w:rPr>
        <w:t xml:space="preserve">DATED this </w:t>
      </w:r>
      <w:r w:rsidR="00CC6458">
        <w:rPr>
          <w:sz w:val="28"/>
          <w:szCs w:val="28"/>
        </w:rPr>
        <w:t>3</w:t>
      </w:r>
      <w:r w:rsidR="00297D1E">
        <w:rPr>
          <w:sz w:val="28"/>
          <w:szCs w:val="28"/>
        </w:rPr>
        <w:t>1st</w:t>
      </w:r>
      <w:r w:rsidR="00CC6458" w:rsidRPr="00DB3840">
        <w:rPr>
          <w:sz w:val="28"/>
          <w:szCs w:val="28"/>
        </w:rPr>
        <w:t xml:space="preserve"> </w:t>
      </w:r>
      <w:r w:rsidRPr="00DB3840">
        <w:rPr>
          <w:sz w:val="28"/>
          <w:szCs w:val="28"/>
        </w:rPr>
        <w:t xml:space="preserve">day of </w:t>
      </w:r>
      <w:r w:rsidR="00CC6458">
        <w:rPr>
          <w:sz w:val="28"/>
          <w:szCs w:val="28"/>
        </w:rPr>
        <w:t>January</w:t>
      </w:r>
      <w:r w:rsidR="00CC6458" w:rsidRPr="00DB3840">
        <w:rPr>
          <w:sz w:val="28"/>
          <w:szCs w:val="28"/>
        </w:rPr>
        <w:t xml:space="preserve">, </w:t>
      </w:r>
      <w:r w:rsidRPr="00DB3840">
        <w:rPr>
          <w:sz w:val="28"/>
          <w:szCs w:val="28"/>
        </w:rPr>
        <w:t>20</w:t>
      </w:r>
      <w:r w:rsidR="00CC6458">
        <w:rPr>
          <w:sz w:val="28"/>
          <w:szCs w:val="28"/>
        </w:rPr>
        <w:t>20</w:t>
      </w:r>
      <w:r w:rsidRPr="00DB3840">
        <w:rPr>
          <w:sz w:val="28"/>
          <w:szCs w:val="28"/>
        </w:rPr>
        <w:t>.</w:t>
      </w:r>
    </w:p>
    <w:p w:rsidR="002508B4" w:rsidRPr="00DB3840" w:rsidRDefault="002508B4" w:rsidP="007F54A2">
      <w:pPr>
        <w:jc w:val="both"/>
        <w:rPr>
          <w:sz w:val="28"/>
          <w:szCs w:val="28"/>
        </w:rPr>
      </w:pPr>
    </w:p>
    <w:p w:rsidR="002508B4" w:rsidRPr="00DB3840" w:rsidRDefault="002508B4" w:rsidP="007F54A2">
      <w:pPr>
        <w:jc w:val="both"/>
        <w:rPr>
          <w:sz w:val="28"/>
          <w:szCs w:val="28"/>
        </w:rPr>
      </w:pPr>
    </w:p>
    <w:p w:rsidR="002508B4" w:rsidRPr="00DB3840" w:rsidRDefault="002508B4" w:rsidP="007F54A2">
      <w:pPr>
        <w:jc w:val="both"/>
        <w:rPr>
          <w:sz w:val="28"/>
          <w:szCs w:val="28"/>
        </w:rPr>
      </w:pPr>
      <w:r w:rsidRPr="00DB3840">
        <w:rPr>
          <w:sz w:val="28"/>
          <w:szCs w:val="28"/>
        </w:rPr>
        <w:t xml:space="preserve">                                             </w:t>
      </w:r>
      <w:r w:rsidRPr="00DB3840">
        <w:rPr>
          <w:sz w:val="28"/>
          <w:szCs w:val="28"/>
        </w:rPr>
        <w:tab/>
        <w:t xml:space="preserve">   ___/s/______________________</w:t>
      </w:r>
    </w:p>
    <w:p w:rsidR="002508B4" w:rsidRPr="00DB3840" w:rsidRDefault="002508B4" w:rsidP="007F54A2">
      <w:pPr>
        <w:jc w:val="both"/>
        <w:rPr>
          <w:sz w:val="28"/>
          <w:szCs w:val="28"/>
        </w:rPr>
      </w:pPr>
      <w:r w:rsidRPr="00DB3840">
        <w:rPr>
          <w:sz w:val="28"/>
          <w:szCs w:val="28"/>
        </w:rPr>
        <w:t xml:space="preserve">                                             </w:t>
      </w:r>
      <w:r w:rsidRPr="00DB3840">
        <w:rPr>
          <w:sz w:val="28"/>
          <w:szCs w:val="28"/>
        </w:rPr>
        <w:tab/>
        <w:t xml:space="preserve">   Dave Byers</w:t>
      </w:r>
    </w:p>
    <w:p w:rsidR="00504D26" w:rsidRPr="00DB3840" w:rsidRDefault="00504D26" w:rsidP="007F54A2">
      <w:pPr>
        <w:ind w:left="3810"/>
        <w:jc w:val="both"/>
        <w:rPr>
          <w:sz w:val="28"/>
          <w:szCs w:val="28"/>
        </w:rPr>
      </w:pPr>
      <w:r w:rsidRPr="00DB3840">
        <w:rPr>
          <w:sz w:val="28"/>
          <w:szCs w:val="28"/>
        </w:rPr>
        <w:t>Administrative Director</w:t>
      </w:r>
    </w:p>
    <w:p w:rsidR="00504D26" w:rsidRPr="00DB3840" w:rsidRDefault="00504D26" w:rsidP="007F54A2">
      <w:pPr>
        <w:ind w:left="3810"/>
        <w:jc w:val="both"/>
        <w:rPr>
          <w:sz w:val="28"/>
          <w:szCs w:val="28"/>
        </w:rPr>
      </w:pPr>
      <w:r w:rsidRPr="00DB3840">
        <w:rPr>
          <w:sz w:val="28"/>
          <w:szCs w:val="28"/>
        </w:rPr>
        <w:t>Arizona Administrative Office of Courts</w:t>
      </w:r>
    </w:p>
    <w:p w:rsidR="00504D26" w:rsidRPr="00DB3840" w:rsidRDefault="00504D26" w:rsidP="007F54A2">
      <w:pPr>
        <w:ind w:left="3600"/>
        <w:jc w:val="both"/>
        <w:rPr>
          <w:sz w:val="28"/>
          <w:szCs w:val="28"/>
        </w:rPr>
      </w:pPr>
      <w:r w:rsidRPr="00DB3840">
        <w:rPr>
          <w:sz w:val="28"/>
          <w:szCs w:val="28"/>
        </w:rPr>
        <w:t xml:space="preserve">   State Courts Building</w:t>
      </w:r>
    </w:p>
    <w:p w:rsidR="00504D26" w:rsidRPr="00DB3840" w:rsidRDefault="00504D26" w:rsidP="007F54A2">
      <w:pPr>
        <w:ind w:left="3600"/>
        <w:jc w:val="both"/>
        <w:rPr>
          <w:sz w:val="28"/>
          <w:szCs w:val="28"/>
        </w:rPr>
      </w:pPr>
      <w:r w:rsidRPr="00DB3840">
        <w:rPr>
          <w:sz w:val="28"/>
          <w:szCs w:val="28"/>
        </w:rPr>
        <w:t xml:space="preserve">   1501 West Washington</w:t>
      </w:r>
    </w:p>
    <w:p w:rsidR="00504D26" w:rsidRPr="00DB3840" w:rsidRDefault="00504D26" w:rsidP="007F54A2">
      <w:pPr>
        <w:ind w:left="3600"/>
        <w:jc w:val="both"/>
        <w:rPr>
          <w:sz w:val="28"/>
          <w:szCs w:val="28"/>
        </w:rPr>
      </w:pPr>
      <w:r w:rsidRPr="00DB3840">
        <w:rPr>
          <w:sz w:val="28"/>
          <w:szCs w:val="28"/>
        </w:rPr>
        <w:t xml:space="preserve">   Phoenix, Arizona 85007</w:t>
      </w:r>
    </w:p>
    <w:p w:rsidR="00504D26" w:rsidRPr="00DB3840" w:rsidRDefault="00504D26" w:rsidP="007F54A2">
      <w:pPr>
        <w:ind w:left="3600"/>
        <w:jc w:val="both"/>
        <w:rPr>
          <w:sz w:val="28"/>
          <w:szCs w:val="28"/>
        </w:rPr>
      </w:pPr>
      <w:r w:rsidRPr="00DB3840">
        <w:rPr>
          <w:sz w:val="28"/>
          <w:szCs w:val="28"/>
        </w:rPr>
        <w:t xml:space="preserve">   Telephone: (602) 452-3301</w:t>
      </w:r>
    </w:p>
    <w:p w:rsidR="002508B4" w:rsidRPr="007F54A2" w:rsidRDefault="00504D26" w:rsidP="00A243C4">
      <w:pPr>
        <w:jc w:val="both"/>
        <w:rPr>
          <w:b/>
          <w:bCs/>
          <w:sz w:val="28"/>
          <w:szCs w:val="28"/>
        </w:rPr>
      </w:pPr>
      <w:r w:rsidRPr="00DB3840">
        <w:rPr>
          <w:sz w:val="28"/>
          <w:szCs w:val="28"/>
        </w:rPr>
        <w:t xml:space="preserve">  </w:t>
      </w:r>
      <w:r w:rsidRPr="00DB3840">
        <w:rPr>
          <w:sz w:val="28"/>
          <w:szCs w:val="28"/>
        </w:rPr>
        <w:tab/>
      </w:r>
      <w:r w:rsidRPr="00DB3840">
        <w:rPr>
          <w:sz w:val="28"/>
          <w:szCs w:val="28"/>
        </w:rPr>
        <w:tab/>
      </w:r>
      <w:r w:rsidRPr="00DB3840">
        <w:rPr>
          <w:sz w:val="28"/>
          <w:szCs w:val="28"/>
        </w:rPr>
        <w:tab/>
      </w:r>
      <w:r w:rsidRPr="00DB3840">
        <w:rPr>
          <w:sz w:val="28"/>
          <w:szCs w:val="28"/>
        </w:rPr>
        <w:tab/>
      </w:r>
      <w:r w:rsidRPr="00DB3840">
        <w:rPr>
          <w:sz w:val="28"/>
          <w:szCs w:val="28"/>
        </w:rPr>
        <w:tab/>
        <w:t xml:space="preserve">   Projects2@courts.az.gov</w:t>
      </w:r>
      <w:r w:rsidRPr="00DB3840">
        <w:rPr>
          <w:b/>
          <w:bCs/>
          <w:sz w:val="28"/>
          <w:szCs w:val="28"/>
        </w:rPr>
        <w:t xml:space="preserve"> </w:t>
      </w:r>
    </w:p>
    <w:sectPr w:rsidR="002508B4" w:rsidRPr="007F54A2" w:rsidSect="0010377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28E" w:rsidRDefault="0014028E" w:rsidP="002508B4">
      <w:r>
        <w:separator/>
      </w:r>
    </w:p>
  </w:endnote>
  <w:endnote w:type="continuationSeparator" w:id="0">
    <w:p w:rsidR="0014028E" w:rsidRDefault="0014028E" w:rsidP="0025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15C" w:rsidRDefault="0021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rsidR="0021015C" w:rsidRDefault="002101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1015C" w:rsidRDefault="0021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15C" w:rsidRDefault="0021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28E" w:rsidRDefault="0014028E" w:rsidP="002508B4">
      <w:r>
        <w:separator/>
      </w:r>
    </w:p>
  </w:footnote>
  <w:footnote w:type="continuationSeparator" w:id="0">
    <w:p w:rsidR="0014028E" w:rsidRDefault="0014028E" w:rsidP="002508B4">
      <w:r>
        <w:continuationSeparator/>
      </w:r>
    </w:p>
  </w:footnote>
  <w:footnote w:id="1">
    <w:p w:rsidR="0021015C" w:rsidRPr="007F1EB4" w:rsidRDefault="0021015C" w:rsidP="004D037C">
      <w:pPr>
        <w:pStyle w:val="FootnoteText"/>
        <w:jc w:val="both"/>
        <w:rPr>
          <w:sz w:val="24"/>
          <w:szCs w:val="24"/>
        </w:rPr>
      </w:pPr>
      <w:r w:rsidRPr="007F1EB4">
        <w:rPr>
          <w:rStyle w:val="FootnoteReference"/>
          <w:sz w:val="24"/>
          <w:szCs w:val="24"/>
        </w:rPr>
        <w:footnoteRef/>
      </w:r>
      <w:r w:rsidRPr="007F1EB4">
        <w:rPr>
          <w:sz w:val="24"/>
          <w:szCs w:val="24"/>
        </w:rPr>
        <w:t xml:space="preserve"> Mr. Byers files this petition in his capacity of a member of the Task Force and as chairman of </w:t>
      </w:r>
      <w:r>
        <w:rPr>
          <w:sz w:val="24"/>
          <w:szCs w:val="24"/>
        </w:rPr>
        <w:t>the</w:t>
      </w:r>
      <w:r w:rsidRPr="007F1EB4">
        <w:rPr>
          <w:sz w:val="24"/>
          <w:szCs w:val="24"/>
        </w:rPr>
        <w:t xml:space="preserve"> workgroup </w:t>
      </w:r>
      <w:r>
        <w:rPr>
          <w:sz w:val="24"/>
          <w:szCs w:val="24"/>
        </w:rPr>
        <w:t>established to develop proposed</w:t>
      </w:r>
      <w:r w:rsidRPr="007F1EB4">
        <w:rPr>
          <w:sz w:val="24"/>
          <w:szCs w:val="24"/>
        </w:rPr>
        <w:t xml:space="preserve"> rule changes to accomplish entity regulation.</w:t>
      </w:r>
    </w:p>
  </w:footnote>
  <w:footnote w:id="2">
    <w:p w:rsidR="0021015C" w:rsidRPr="007F1EB4" w:rsidRDefault="0021015C" w:rsidP="004D037C">
      <w:pPr>
        <w:pStyle w:val="FootnoteText"/>
        <w:jc w:val="both"/>
        <w:rPr>
          <w:sz w:val="24"/>
          <w:szCs w:val="24"/>
        </w:rPr>
      </w:pPr>
      <w:r w:rsidRPr="007F1EB4">
        <w:rPr>
          <w:rStyle w:val="FootnoteReference"/>
          <w:sz w:val="24"/>
          <w:szCs w:val="24"/>
        </w:rPr>
        <w:footnoteRef/>
      </w:r>
      <w:r w:rsidRPr="007F1EB4">
        <w:rPr>
          <w:sz w:val="24"/>
          <w:szCs w:val="24"/>
        </w:rPr>
        <w:t xml:space="preserve"> The </w:t>
      </w:r>
      <w:r>
        <w:rPr>
          <w:sz w:val="24"/>
          <w:szCs w:val="24"/>
        </w:rPr>
        <w:t xml:space="preserve">Task Force’s October 4, 2019, report and recommendations </w:t>
      </w:r>
      <w:r w:rsidRPr="007F1EB4">
        <w:rPr>
          <w:sz w:val="24"/>
          <w:szCs w:val="24"/>
        </w:rPr>
        <w:t xml:space="preserve">and other Task Force information is available at </w:t>
      </w:r>
      <w:hyperlink r:id="rId1" w:history="1">
        <w:r w:rsidRPr="007F1EB4">
          <w:rPr>
            <w:rStyle w:val="Hyperlink"/>
            <w:sz w:val="24"/>
            <w:szCs w:val="24"/>
          </w:rPr>
          <w:t>https://www.azcourts.gov/cscommittees/Legal-Services-Task-Force</w:t>
        </w:r>
      </w:hyperlink>
      <w:r w:rsidRPr="007F1EB4">
        <w:rPr>
          <w:sz w:val="24"/>
          <w:szCs w:val="24"/>
        </w:rPr>
        <w:t>.</w:t>
      </w:r>
    </w:p>
  </w:footnote>
  <w:footnote w:id="3">
    <w:p w:rsidR="00FD3174" w:rsidRDefault="00FD3174">
      <w:pPr>
        <w:pStyle w:val="FootnoteText"/>
      </w:pPr>
      <w:r w:rsidRPr="00FD3174">
        <w:rPr>
          <w:rStyle w:val="FootnoteReference"/>
          <w:sz w:val="24"/>
          <w:szCs w:val="24"/>
        </w:rPr>
        <w:footnoteRef/>
      </w:r>
      <w:r>
        <w:t xml:space="preserve"> </w:t>
      </w:r>
      <w:r w:rsidRPr="008C0A40">
        <w:rPr>
          <w:i/>
          <w:iCs/>
          <w:sz w:val="24"/>
          <w:szCs w:val="24"/>
        </w:rPr>
        <w:t>See</w:t>
      </w:r>
      <w:r w:rsidRPr="008C0A40">
        <w:rPr>
          <w:sz w:val="24"/>
          <w:szCs w:val="24"/>
        </w:rPr>
        <w:t xml:space="preserve"> Task Force report at</w:t>
      </w:r>
      <w:r>
        <w:rPr>
          <w:sz w:val="24"/>
          <w:szCs w:val="24"/>
        </w:rPr>
        <w:t xml:space="preserve"> 14.</w:t>
      </w:r>
    </w:p>
  </w:footnote>
  <w:footnote w:id="4">
    <w:p w:rsidR="0021015C" w:rsidRPr="008C0A40" w:rsidRDefault="0021015C">
      <w:pPr>
        <w:pStyle w:val="FootnoteText"/>
        <w:rPr>
          <w:sz w:val="24"/>
          <w:szCs w:val="24"/>
        </w:rPr>
      </w:pPr>
      <w:r w:rsidRPr="008C0A40">
        <w:rPr>
          <w:rStyle w:val="FootnoteReference"/>
          <w:sz w:val="24"/>
          <w:szCs w:val="24"/>
        </w:rPr>
        <w:footnoteRef/>
      </w:r>
      <w:r w:rsidRPr="008C0A40">
        <w:rPr>
          <w:sz w:val="24"/>
          <w:szCs w:val="24"/>
        </w:rPr>
        <w:t xml:space="preserve"> </w:t>
      </w:r>
      <w:r w:rsidRPr="008C0A40">
        <w:rPr>
          <w:i/>
          <w:iCs/>
          <w:sz w:val="24"/>
          <w:szCs w:val="24"/>
        </w:rPr>
        <w:t>See</w:t>
      </w:r>
      <w:r w:rsidRPr="008C0A40">
        <w:rPr>
          <w:sz w:val="24"/>
          <w:szCs w:val="24"/>
        </w:rPr>
        <w:t xml:space="preserve"> Task Force report at</w:t>
      </w:r>
      <w:r>
        <w:rPr>
          <w:sz w:val="24"/>
          <w:szCs w:val="24"/>
        </w:rPr>
        <w:t xml:space="preserve"> 10</w:t>
      </w:r>
      <w:r w:rsidRPr="008C0A40">
        <w:rPr>
          <w:sz w:val="24"/>
          <w:szCs w:val="24"/>
        </w:rPr>
        <w:t>.</w:t>
      </w:r>
    </w:p>
  </w:footnote>
  <w:footnote w:id="5">
    <w:p w:rsidR="0021015C" w:rsidRPr="00C31485" w:rsidRDefault="0021015C" w:rsidP="008D0150">
      <w:pPr>
        <w:pStyle w:val="FootnoteText"/>
        <w:jc w:val="both"/>
        <w:rPr>
          <w:sz w:val="24"/>
          <w:szCs w:val="24"/>
        </w:rPr>
      </w:pPr>
      <w:r w:rsidRPr="00C31485">
        <w:rPr>
          <w:rStyle w:val="FootnoteReference"/>
          <w:sz w:val="24"/>
          <w:szCs w:val="24"/>
        </w:rPr>
        <w:footnoteRef/>
      </w:r>
      <w:r w:rsidRPr="00C31485">
        <w:rPr>
          <w:sz w:val="24"/>
          <w:szCs w:val="24"/>
        </w:rPr>
        <w:t xml:space="preserve"> The Bar Examiner, “Limited Practice Legal Professionals: A Look at Three Models,” available at </w:t>
      </w:r>
      <w:hyperlink r:id="rId2" w:history="1">
        <w:r w:rsidRPr="00C31485">
          <w:rPr>
            <w:rStyle w:val="Hyperlink"/>
            <w:sz w:val="24"/>
            <w:szCs w:val="24"/>
          </w:rPr>
          <w:t>https://thebarexaminer.org/article/winter-2018-2019/limited-practice-legal-professionals-a-look-at-three-models/</w:t>
        </w:r>
      </w:hyperlink>
      <w:r w:rsidRPr="00C31485">
        <w:rPr>
          <w:sz w:val="24"/>
          <w:szCs w:val="24"/>
        </w:rPr>
        <w:t xml:space="preserve"> (winter 2018-19).</w:t>
      </w:r>
    </w:p>
  </w:footnote>
  <w:footnote w:id="6">
    <w:p w:rsidR="0021015C" w:rsidRDefault="0021015C">
      <w:pPr>
        <w:pStyle w:val="FootnoteText"/>
      </w:pPr>
      <w:r>
        <w:rPr>
          <w:rStyle w:val="FootnoteReference"/>
        </w:rPr>
        <w:footnoteRef/>
      </w:r>
      <w:r>
        <w:t xml:space="preserve"> </w:t>
      </w:r>
      <w:r w:rsidRPr="008C0A40">
        <w:rPr>
          <w:i/>
          <w:iCs/>
          <w:sz w:val="24"/>
          <w:szCs w:val="24"/>
        </w:rPr>
        <w:t>See</w:t>
      </w:r>
      <w:r w:rsidRPr="008C0A40">
        <w:rPr>
          <w:sz w:val="24"/>
          <w:szCs w:val="24"/>
        </w:rPr>
        <w:t xml:space="preserve"> Task Force report at </w:t>
      </w:r>
      <w:r>
        <w:rPr>
          <w:sz w:val="24"/>
          <w:szCs w:val="24"/>
        </w:rPr>
        <w:t>3-5</w:t>
      </w:r>
      <w:r w:rsidRPr="008C0A40">
        <w:rPr>
          <w:sz w:val="24"/>
          <w:szCs w:val="24"/>
        </w:rPr>
        <w:t>.</w:t>
      </w:r>
    </w:p>
  </w:footnote>
  <w:footnote w:id="7">
    <w:p w:rsidR="0021015C" w:rsidRPr="00F40367" w:rsidRDefault="0021015C" w:rsidP="00EE1C50">
      <w:pPr>
        <w:pStyle w:val="FootnoteText"/>
        <w:jc w:val="both"/>
        <w:rPr>
          <w:sz w:val="24"/>
          <w:szCs w:val="24"/>
        </w:rPr>
      </w:pPr>
      <w:r w:rsidRPr="00F40367">
        <w:rPr>
          <w:rStyle w:val="FootnoteReference"/>
          <w:sz w:val="24"/>
          <w:szCs w:val="24"/>
        </w:rPr>
        <w:footnoteRef/>
      </w:r>
      <w:r w:rsidRPr="00F40367">
        <w:rPr>
          <w:sz w:val="24"/>
          <w:szCs w:val="24"/>
        </w:rPr>
        <w:t xml:space="preserve"> </w:t>
      </w:r>
      <w:r>
        <w:rPr>
          <w:sz w:val="24"/>
          <w:szCs w:val="24"/>
        </w:rPr>
        <w:t xml:space="preserve">In addition to the rule changes proposed in this petition, the Task Force also recommended </w:t>
      </w:r>
      <w:r w:rsidRPr="00F40367">
        <w:rPr>
          <w:sz w:val="24"/>
          <w:szCs w:val="24"/>
        </w:rPr>
        <w:t>amending ERs 7.1 through 7.5 (information about legal services) and amending Rule 38(d), which deals with law practice by clinical law professors and law students</w:t>
      </w:r>
      <w:r>
        <w:rPr>
          <w:sz w:val="24"/>
          <w:szCs w:val="24"/>
        </w:rPr>
        <w:t xml:space="preserve">. Those rule changes </w:t>
      </w:r>
      <w:r w:rsidRPr="00F40367">
        <w:rPr>
          <w:sz w:val="24"/>
          <w:szCs w:val="24"/>
        </w:rPr>
        <w:t>are the subjects of petitions</w:t>
      </w:r>
      <w:r>
        <w:rPr>
          <w:sz w:val="24"/>
          <w:szCs w:val="24"/>
        </w:rPr>
        <w:t xml:space="preserve"> R-20-0030 and R-20-0007, respectively.</w:t>
      </w:r>
    </w:p>
  </w:footnote>
  <w:footnote w:id="8">
    <w:p w:rsidR="0021015C" w:rsidRDefault="0021015C" w:rsidP="008E47B6">
      <w:pPr>
        <w:pStyle w:val="FootnoteText"/>
        <w:jc w:val="both"/>
      </w:pPr>
      <w:r>
        <w:rPr>
          <w:rStyle w:val="FootnoteReference"/>
        </w:rPr>
        <w:footnoteRef/>
      </w:r>
      <w:r>
        <w:t xml:space="preserve"> </w:t>
      </w:r>
      <w:r w:rsidRPr="000A1D16">
        <w:rPr>
          <w:sz w:val="24"/>
          <w:szCs w:val="40"/>
        </w:rPr>
        <w:t xml:space="preserve">The </w:t>
      </w:r>
      <w:r>
        <w:rPr>
          <w:sz w:val="24"/>
          <w:szCs w:val="40"/>
        </w:rPr>
        <w:t>ACJA</w:t>
      </w:r>
      <w:r w:rsidRPr="000A1D16">
        <w:rPr>
          <w:sz w:val="24"/>
          <w:szCs w:val="40"/>
        </w:rPr>
        <w:t xml:space="preserve"> </w:t>
      </w:r>
      <w:r w:rsidR="00C04276">
        <w:rPr>
          <w:sz w:val="24"/>
          <w:szCs w:val="40"/>
        </w:rPr>
        <w:t xml:space="preserve">code </w:t>
      </w:r>
      <w:r w:rsidRPr="000A1D16">
        <w:rPr>
          <w:sz w:val="24"/>
          <w:szCs w:val="40"/>
        </w:rPr>
        <w:t xml:space="preserve">section </w:t>
      </w:r>
      <w:r w:rsidR="00C04276">
        <w:rPr>
          <w:sz w:val="24"/>
          <w:szCs w:val="40"/>
        </w:rPr>
        <w:t xml:space="preserve">proposal </w:t>
      </w:r>
      <w:r w:rsidRPr="000A1D16">
        <w:rPr>
          <w:sz w:val="24"/>
          <w:szCs w:val="40"/>
        </w:rPr>
        <w:t>will be filed shortly after the filing of this rule petition</w:t>
      </w:r>
      <w:r>
        <w:rPr>
          <w:sz w:val="24"/>
          <w:szCs w:val="40"/>
        </w:rPr>
        <w:t xml:space="preserve"> and a link to the </w:t>
      </w:r>
      <w:r w:rsidR="00C04276">
        <w:rPr>
          <w:sz w:val="24"/>
          <w:szCs w:val="40"/>
        </w:rPr>
        <w:t xml:space="preserve">code section proposal </w:t>
      </w:r>
      <w:r>
        <w:rPr>
          <w:sz w:val="24"/>
          <w:szCs w:val="40"/>
        </w:rPr>
        <w:t>will be provided in the Rules Forum. ACJA code section</w:t>
      </w:r>
      <w:r w:rsidR="00C04276">
        <w:rPr>
          <w:sz w:val="24"/>
          <w:szCs w:val="40"/>
        </w:rPr>
        <w:t xml:space="preserve"> proposals </w:t>
      </w:r>
      <w:r>
        <w:rPr>
          <w:sz w:val="24"/>
          <w:szCs w:val="40"/>
        </w:rPr>
        <w:t xml:space="preserve">are open for public comment.  </w:t>
      </w:r>
    </w:p>
  </w:footnote>
  <w:footnote w:id="9">
    <w:p w:rsidR="0021015C" w:rsidRDefault="0021015C" w:rsidP="008E47B6">
      <w:pPr>
        <w:pStyle w:val="FootnoteText"/>
        <w:jc w:val="both"/>
      </w:pPr>
      <w:r>
        <w:rPr>
          <w:rStyle w:val="FootnoteReference"/>
        </w:rPr>
        <w:footnoteRef/>
      </w:r>
      <w:r>
        <w:t xml:space="preserve"> </w:t>
      </w:r>
      <w:r w:rsidRPr="005C3D6F">
        <w:rPr>
          <w:sz w:val="24"/>
          <w:szCs w:val="40"/>
        </w:rPr>
        <w:t>A</w:t>
      </w:r>
      <w:r w:rsidR="00797BF2">
        <w:rPr>
          <w:sz w:val="24"/>
          <w:szCs w:val="40"/>
        </w:rPr>
        <w:t>n</w:t>
      </w:r>
      <w:r w:rsidRPr="005C3D6F">
        <w:rPr>
          <w:sz w:val="24"/>
          <w:szCs w:val="40"/>
        </w:rPr>
        <w:t xml:space="preserve"> </w:t>
      </w:r>
      <w:r w:rsidR="00C04276">
        <w:rPr>
          <w:sz w:val="24"/>
          <w:szCs w:val="40"/>
        </w:rPr>
        <w:t>ACJA code section proposal</w:t>
      </w:r>
      <w:r w:rsidRPr="005C3D6F">
        <w:rPr>
          <w:sz w:val="24"/>
          <w:szCs w:val="40"/>
        </w:rPr>
        <w:t xml:space="preserve"> containing </w:t>
      </w:r>
      <w:r w:rsidR="00C04276">
        <w:rPr>
          <w:sz w:val="24"/>
          <w:szCs w:val="40"/>
        </w:rPr>
        <w:t>the</w:t>
      </w:r>
      <w:r w:rsidRPr="005C3D6F">
        <w:rPr>
          <w:sz w:val="24"/>
          <w:szCs w:val="40"/>
        </w:rPr>
        <w:t xml:space="preserve"> regulatory requirements</w:t>
      </w:r>
      <w:r>
        <w:rPr>
          <w:sz w:val="24"/>
          <w:szCs w:val="40"/>
        </w:rPr>
        <w:t xml:space="preserve"> for the LLLP program</w:t>
      </w:r>
      <w:r w:rsidRPr="005C3D6F">
        <w:rPr>
          <w:sz w:val="24"/>
          <w:szCs w:val="40"/>
        </w:rPr>
        <w:t xml:space="preserve"> will be filed and open for public comment in the Spring of 2020.</w:t>
      </w:r>
      <w:r>
        <w:t xml:space="preserve"> </w:t>
      </w:r>
    </w:p>
  </w:footnote>
  <w:footnote w:id="10">
    <w:p w:rsidR="0021015C" w:rsidRPr="003B3C09" w:rsidRDefault="0021015C" w:rsidP="00EE1C50">
      <w:pPr>
        <w:pStyle w:val="FootnoteText"/>
        <w:jc w:val="both"/>
        <w:rPr>
          <w:sz w:val="24"/>
          <w:szCs w:val="24"/>
        </w:rPr>
      </w:pPr>
      <w:r w:rsidRPr="003B3C09">
        <w:rPr>
          <w:rStyle w:val="FootnoteReference"/>
          <w:sz w:val="24"/>
          <w:szCs w:val="24"/>
        </w:rPr>
        <w:footnoteRef/>
      </w:r>
      <w:r w:rsidRPr="003B3C09">
        <w:rPr>
          <w:sz w:val="24"/>
          <w:szCs w:val="24"/>
        </w:rPr>
        <w:t xml:space="preserve"> Bruce A. Green, </w:t>
      </w:r>
      <w:r w:rsidRPr="003B3C09">
        <w:rPr>
          <w:i/>
          <w:sz w:val="24"/>
          <w:szCs w:val="24"/>
        </w:rPr>
        <w:t>Lawyers</w:t>
      </w:r>
      <w:r>
        <w:rPr>
          <w:i/>
          <w:sz w:val="24"/>
          <w:szCs w:val="24"/>
        </w:rPr>
        <w:t>’</w:t>
      </w:r>
      <w:r w:rsidRPr="003B3C09">
        <w:rPr>
          <w:i/>
          <w:sz w:val="24"/>
          <w:szCs w:val="24"/>
        </w:rPr>
        <w:t xml:space="preserve"> Professional Independence: Overrated or Undervalued?</w:t>
      </w:r>
      <w:r>
        <w:rPr>
          <w:i/>
          <w:sz w:val="24"/>
          <w:szCs w:val="24"/>
        </w:rPr>
        <w:t>,</w:t>
      </w:r>
      <w:r w:rsidRPr="003B3C09">
        <w:rPr>
          <w:sz w:val="24"/>
          <w:szCs w:val="24"/>
        </w:rPr>
        <w:t xml:space="preserve"> 46 Akron L. Rev. 599, 618 (2013).</w:t>
      </w:r>
    </w:p>
  </w:footnote>
  <w:footnote w:id="11">
    <w:p w:rsidR="0021015C" w:rsidRPr="003B3C09" w:rsidRDefault="0021015C" w:rsidP="00EE1C50">
      <w:pPr>
        <w:pStyle w:val="FootnoteText"/>
        <w:jc w:val="both"/>
        <w:rPr>
          <w:sz w:val="24"/>
          <w:szCs w:val="24"/>
        </w:rPr>
      </w:pPr>
      <w:r w:rsidRPr="003B3C09">
        <w:rPr>
          <w:rStyle w:val="FootnoteReference"/>
          <w:sz w:val="24"/>
          <w:szCs w:val="24"/>
        </w:rPr>
        <w:footnoteRef/>
      </w:r>
      <w:r w:rsidRPr="003B3C09">
        <w:rPr>
          <w:sz w:val="24"/>
          <w:szCs w:val="24"/>
        </w:rPr>
        <w:t xml:space="preserve"> </w:t>
      </w:r>
      <w:r w:rsidRPr="003B3C09">
        <w:rPr>
          <w:i/>
          <w:sz w:val="24"/>
          <w:szCs w:val="24"/>
        </w:rPr>
        <w:t xml:space="preserve">Id. </w:t>
      </w:r>
    </w:p>
  </w:footnote>
  <w:footnote w:id="12">
    <w:p w:rsidR="0021015C" w:rsidRPr="003B3C09" w:rsidRDefault="0021015C" w:rsidP="00EE1C50">
      <w:pPr>
        <w:pStyle w:val="FootnoteText"/>
        <w:jc w:val="both"/>
        <w:rPr>
          <w:sz w:val="24"/>
          <w:szCs w:val="24"/>
        </w:rPr>
      </w:pPr>
      <w:r w:rsidRPr="003B3C09">
        <w:rPr>
          <w:rStyle w:val="FootnoteReference"/>
          <w:sz w:val="24"/>
          <w:szCs w:val="24"/>
        </w:rPr>
        <w:footnoteRef/>
      </w:r>
      <w:r w:rsidRPr="003B3C09">
        <w:rPr>
          <w:sz w:val="24"/>
          <w:szCs w:val="24"/>
        </w:rPr>
        <w:t xml:space="preserve"> ABA Formal Ethics Opinion 01-423 (2001).</w:t>
      </w:r>
    </w:p>
  </w:footnote>
  <w:footnote w:id="13">
    <w:p w:rsidR="0021015C" w:rsidRPr="003B3C09" w:rsidRDefault="0021015C" w:rsidP="00EE1C50">
      <w:pPr>
        <w:pStyle w:val="FootnoteText"/>
        <w:jc w:val="both"/>
        <w:rPr>
          <w:sz w:val="24"/>
          <w:szCs w:val="24"/>
        </w:rPr>
      </w:pPr>
      <w:r w:rsidRPr="003B3C09">
        <w:rPr>
          <w:rStyle w:val="FootnoteReference"/>
          <w:sz w:val="24"/>
          <w:szCs w:val="24"/>
        </w:rPr>
        <w:footnoteRef/>
      </w:r>
      <w:r w:rsidRPr="003B3C09">
        <w:rPr>
          <w:sz w:val="24"/>
          <w:szCs w:val="24"/>
        </w:rPr>
        <w:t xml:space="preserve"> </w:t>
      </w:r>
      <w:r>
        <w:rPr>
          <w:sz w:val="24"/>
          <w:szCs w:val="24"/>
        </w:rPr>
        <w:t>Task Force report at 10.</w:t>
      </w:r>
      <w:r w:rsidRPr="003B3C09">
        <w:rPr>
          <w:sz w:val="24"/>
          <w:szCs w:val="24"/>
        </w:rPr>
        <w:t xml:space="preserve"> </w:t>
      </w:r>
    </w:p>
  </w:footnote>
  <w:footnote w:id="14">
    <w:p w:rsidR="0021015C" w:rsidRPr="007F54A2" w:rsidRDefault="0021015C" w:rsidP="00EE1C50">
      <w:pPr>
        <w:pStyle w:val="FootnoteText"/>
        <w:jc w:val="both"/>
        <w:rPr>
          <w:sz w:val="24"/>
          <w:szCs w:val="24"/>
        </w:rPr>
      </w:pPr>
      <w:r w:rsidRPr="007F54A2">
        <w:rPr>
          <w:rStyle w:val="FootnoteReference"/>
          <w:sz w:val="24"/>
          <w:szCs w:val="24"/>
        </w:rPr>
        <w:footnoteRef/>
      </w:r>
      <w:r w:rsidRPr="007F54A2">
        <w:rPr>
          <w:sz w:val="24"/>
          <w:szCs w:val="24"/>
        </w:rPr>
        <w:t xml:space="preserve"> ABA Op. 01-423.</w:t>
      </w:r>
    </w:p>
  </w:footnote>
  <w:footnote w:id="15">
    <w:p w:rsidR="0021015C" w:rsidRDefault="0021015C">
      <w:pPr>
        <w:pStyle w:val="FootnoteText"/>
      </w:pPr>
      <w:r w:rsidRPr="007F54A2">
        <w:rPr>
          <w:rStyle w:val="FootnoteReference"/>
          <w:sz w:val="24"/>
          <w:szCs w:val="24"/>
        </w:rPr>
        <w:footnoteRef/>
      </w:r>
      <w:r w:rsidRPr="007F54A2">
        <w:rPr>
          <w:sz w:val="24"/>
          <w:szCs w:val="24"/>
        </w:rPr>
        <w:t xml:space="preserve"> ABA Formal Ethics Opinion 03-430 (2003).</w:t>
      </w:r>
    </w:p>
  </w:footnote>
  <w:footnote w:id="16">
    <w:p w:rsidR="0021015C" w:rsidRDefault="0021015C" w:rsidP="008E47B6">
      <w:pPr>
        <w:pStyle w:val="FootnoteText"/>
        <w:jc w:val="both"/>
      </w:pPr>
      <w:r>
        <w:rPr>
          <w:rStyle w:val="FootnoteReference"/>
        </w:rPr>
        <w:footnoteRef/>
      </w:r>
      <w:r>
        <w:t xml:space="preserve"> </w:t>
      </w:r>
      <w:r w:rsidRPr="007F54A2">
        <w:rPr>
          <w:sz w:val="24"/>
          <w:szCs w:val="24"/>
        </w:rPr>
        <w:t xml:space="preserve">The Utah Work Group on Regulatory Reform, </w:t>
      </w:r>
      <w:r w:rsidRPr="007F54A2">
        <w:rPr>
          <w:i/>
          <w:iCs/>
          <w:sz w:val="24"/>
          <w:szCs w:val="24"/>
        </w:rPr>
        <w:t>Narrowing the Access-to-Justice Gap by Reimagining Regulation</w:t>
      </w:r>
      <w:r w:rsidRPr="007F54A2">
        <w:rPr>
          <w:sz w:val="24"/>
          <w:szCs w:val="24"/>
        </w:rPr>
        <w:t xml:space="preserve">, 15, 21 (2019) available at </w:t>
      </w:r>
      <w:r w:rsidRPr="007F54A2">
        <w:rPr>
          <w:color w:val="0461C1"/>
          <w:sz w:val="24"/>
          <w:szCs w:val="24"/>
        </w:rPr>
        <w:t xml:space="preserve">https://www.utahbar.org/wp-content/uploads/2019/08/FINAL-Task-Force-Report.pdf; </w:t>
      </w:r>
      <w:r w:rsidRPr="007F54A2">
        <w:rPr>
          <w:color w:val="000000" w:themeColor="text1"/>
          <w:sz w:val="24"/>
          <w:szCs w:val="24"/>
        </w:rPr>
        <w:t xml:space="preserve">“Utah Supreme Court Adopts Groundbreaking Changes to Legal Service Regulation,” available at </w:t>
      </w:r>
      <w:hyperlink r:id="rId3" w:history="1">
        <w:r w:rsidRPr="007F54A2">
          <w:rPr>
            <w:rStyle w:val="Hyperlink"/>
            <w:sz w:val="24"/>
            <w:szCs w:val="24"/>
          </w:rPr>
          <w:t>https://www.utcourts.gov/utc/news/2019/08/29/utah-supreme-court-adopts-groundbreaking-changes-to-legal-service-regulation/</w:t>
        </w:r>
      </w:hyperlink>
      <w:r w:rsidRPr="007F54A2">
        <w:rPr>
          <w:color w:val="000000" w:themeColor="text1"/>
          <w:sz w:val="24"/>
          <w:szCs w:val="24"/>
        </w:rPr>
        <w:t>.</w:t>
      </w:r>
    </w:p>
  </w:footnote>
  <w:footnote w:id="17">
    <w:p w:rsidR="00EE3DE5" w:rsidRPr="00EE3DE5" w:rsidRDefault="00EE3DE5" w:rsidP="00715859">
      <w:pPr>
        <w:pStyle w:val="FootnoteText"/>
        <w:jc w:val="both"/>
        <w:rPr>
          <w:sz w:val="24"/>
          <w:szCs w:val="24"/>
        </w:rPr>
      </w:pPr>
      <w:r w:rsidRPr="00EE3DE5">
        <w:rPr>
          <w:rStyle w:val="FootnoteReference"/>
          <w:sz w:val="24"/>
          <w:szCs w:val="24"/>
        </w:rPr>
        <w:footnoteRef/>
      </w:r>
      <w:r w:rsidRPr="00EE3DE5">
        <w:rPr>
          <w:sz w:val="24"/>
          <w:szCs w:val="24"/>
        </w:rPr>
        <w:t xml:space="preserve"> </w:t>
      </w:r>
      <w:r>
        <w:rPr>
          <w:sz w:val="24"/>
          <w:szCs w:val="24"/>
        </w:rPr>
        <w:t>Rest</w:t>
      </w:r>
      <w:r w:rsidR="00715859">
        <w:rPr>
          <w:sz w:val="24"/>
          <w:szCs w:val="24"/>
        </w:rPr>
        <w:t>y</w:t>
      </w:r>
      <w:r>
        <w:rPr>
          <w:sz w:val="24"/>
          <w:szCs w:val="24"/>
        </w:rPr>
        <w:t xml:space="preserve">ling as described </w:t>
      </w:r>
      <w:r w:rsidRPr="00EE3DE5">
        <w:rPr>
          <w:sz w:val="24"/>
          <w:szCs w:val="24"/>
        </w:rPr>
        <w:t>led to amendment</w:t>
      </w:r>
      <w:r>
        <w:rPr>
          <w:sz w:val="24"/>
          <w:szCs w:val="24"/>
        </w:rPr>
        <w:t>s</w:t>
      </w:r>
      <w:r w:rsidRPr="00EE3DE5">
        <w:rPr>
          <w:sz w:val="24"/>
          <w:szCs w:val="24"/>
        </w:rPr>
        <w:t xml:space="preserve"> to Rule 41 </w:t>
      </w:r>
      <w:r>
        <w:rPr>
          <w:sz w:val="24"/>
          <w:szCs w:val="24"/>
        </w:rPr>
        <w:t xml:space="preserve">(but not substantive changes) </w:t>
      </w:r>
      <w:r w:rsidRPr="00EE3DE5">
        <w:rPr>
          <w:sz w:val="24"/>
          <w:szCs w:val="24"/>
        </w:rPr>
        <w:t>to incorporate content</w:t>
      </w:r>
      <w:r>
        <w:rPr>
          <w:sz w:val="24"/>
          <w:szCs w:val="24"/>
        </w:rPr>
        <w:t xml:space="preserve"> </w:t>
      </w:r>
      <w:r w:rsidRPr="00EE3DE5">
        <w:rPr>
          <w:sz w:val="24"/>
          <w:szCs w:val="24"/>
        </w:rPr>
        <w:t xml:space="preserve">deleted from restyled Rule 31. </w:t>
      </w:r>
    </w:p>
  </w:footnote>
  <w:footnote w:id="18">
    <w:p w:rsidR="00DC3CBC" w:rsidRDefault="00DC3CBC" w:rsidP="00715859">
      <w:pPr>
        <w:pStyle w:val="FootnoteText"/>
        <w:jc w:val="both"/>
      </w:pPr>
      <w:r>
        <w:rPr>
          <w:rStyle w:val="FootnoteReference"/>
        </w:rPr>
        <w:footnoteRef/>
      </w:r>
      <w:r>
        <w:t xml:space="preserve"> </w:t>
      </w:r>
      <w:r>
        <w:rPr>
          <w:sz w:val="24"/>
          <w:szCs w:val="24"/>
        </w:rPr>
        <w:t>Task Force report at 38.</w:t>
      </w:r>
    </w:p>
  </w:footnote>
  <w:footnote w:id="19">
    <w:p w:rsidR="0021015C" w:rsidRPr="007F54A2" w:rsidRDefault="0021015C" w:rsidP="00715859">
      <w:pPr>
        <w:pStyle w:val="FootnoteText"/>
        <w:jc w:val="both"/>
        <w:rPr>
          <w:sz w:val="24"/>
          <w:szCs w:val="24"/>
        </w:rPr>
      </w:pPr>
      <w:r w:rsidRPr="007F54A2">
        <w:rPr>
          <w:rStyle w:val="FootnoteReference"/>
          <w:sz w:val="24"/>
          <w:szCs w:val="24"/>
        </w:rPr>
        <w:footnoteRef/>
      </w:r>
      <w:r w:rsidRPr="007F54A2">
        <w:rPr>
          <w:sz w:val="24"/>
          <w:szCs w:val="24"/>
        </w:rPr>
        <w:t xml:space="preserve"> </w:t>
      </w:r>
      <w:r w:rsidRPr="007F54A2">
        <w:rPr>
          <w:i/>
          <w:iCs/>
          <w:sz w:val="24"/>
          <w:szCs w:val="24"/>
        </w:rPr>
        <w:t>See, e.g.,</w:t>
      </w:r>
      <w:r w:rsidRPr="007F54A2">
        <w:rPr>
          <w:sz w:val="24"/>
          <w:szCs w:val="24"/>
        </w:rPr>
        <w:t xml:space="preserve"> Jayne Reardon, “Would Entity Regulation Improve Consumer Protection?” available at  </w:t>
      </w:r>
      <w:hyperlink r:id="rId4" w:history="1">
        <w:r w:rsidRPr="007F54A2">
          <w:rPr>
            <w:rStyle w:val="Hyperlink"/>
            <w:sz w:val="24"/>
            <w:szCs w:val="24"/>
          </w:rPr>
          <w:t>https://www.2civility.org/can-entity-regulation-protect-consumers/</w:t>
        </w:r>
      </w:hyperlink>
    </w:p>
  </w:footnote>
  <w:footnote w:id="20">
    <w:p w:rsidR="004323E2" w:rsidRPr="00A667A0" w:rsidRDefault="004323E2" w:rsidP="00A667A0">
      <w:pPr>
        <w:pStyle w:val="FootnoteText"/>
        <w:jc w:val="both"/>
        <w:rPr>
          <w:sz w:val="24"/>
          <w:szCs w:val="24"/>
        </w:rPr>
      </w:pPr>
      <w:r w:rsidRPr="00A667A0">
        <w:rPr>
          <w:rStyle w:val="FootnoteReference"/>
          <w:sz w:val="24"/>
          <w:szCs w:val="24"/>
        </w:rPr>
        <w:footnoteRef/>
      </w:r>
      <w:r w:rsidRPr="00A667A0">
        <w:rPr>
          <w:sz w:val="24"/>
          <w:szCs w:val="24"/>
        </w:rPr>
        <w:t xml:space="preserve"> The exact parameters of </w:t>
      </w:r>
      <w:r w:rsidR="00C7187B" w:rsidRPr="00A667A0">
        <w:rPr>
          <w:sz w:val="24"/>
          <w:szCs w:val="24"/>
        </w:rPr>
        <w:t xml:space="preserve">an </w:t>
      </w:r>
      <w:r w:rsidRPr="00A667A0">
        <w:rPr>
          <w:sz w:val="24"/>
          <w:szCs w:val="24"/>
        </w:rPr>
        <w:t>LLLP’s authority, such as particular</w:t>
      </w:r>
      <w:r w:rsidR="00C7187B" w:rsidRPr="00A667A0">
        <w:rPr>
          <w:sz w:val="24"/>
          <w:szCs w:val="24"/>
        </w:rPr>
        <w:t xml:space="preserve"> legal</w:t>
      </w:r>
      <w:r w:rsidRPr="00A667A0">
        <w:rPr>
          <w:sz w:val="24"/>
          <w:szCs w:val="24"/>
        </w:rPr>
        <w:t xml:space="preserve"> tasks suitable for LLLPs to perform</w:t>
      </w:r>
      <w:r w:rsidR="00C7187B" w:rsidRPr="00A667A0">
        <w:rPr>
          <w:sz w:val="24"/>
          <w:szCs w:val="24"/>
        </w:rPr>
        <w:t xml:space="preserve"> and whether LLLPs could provide “pre-litigation education about legal rights and responsibilities,” would need to be developed by a steering committee. Task Force report at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15C" w:rsidRDefault="00210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15C" w:rsidRDefault="0021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15C" w:rsidRDefault="0021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1EE4"/>
    <w:multiLevelType w:val="hybridMultilevel"/>
    <w:tmpl w:val="8B1884D4"/>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1" w15:restartNumberingAfterBreak="0">
    <w:nsid w:val="0BE45530"/>
    <w:multiLevelType w:val="hybridMultilevel"/>
    <w:tmpl w:val="154A3BAC"/>
    <w:lvl w:ilvl="0" w:tplc="04090015">
      <w:start w:val="1"/>
      <w:numFmt w:val="upperLetter"/>
      <w:lvlText w:val="%1."/>
      <w:lvlJc w:val="left"/>
      <w:pPr>
        <w:ind w:left="234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25956BDA"/>
    <w:multiLevelType w:val="hybridMultilevel"/>
    <w:tmpl w:val="E5AA4C3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A0634C4"/>
    <w:multiLevelType w:val="hybridMultilevel"/>
    <w:tmpl w:val="FB78F1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77200A"/>
    <w:multiLevelType w:val="hybridMultilevel"/>
    <w:tmpl w:val="11540488"/>
    <w:lvl w:ilvl="0" w:tplc="18BA1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25AB3"/>
    <w:multiLevelType w:val="hybridMultilevel"/>
    <w:tmpl w:val="069AC64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E702D22"/>
    <w:multiLevelType w:val="hybridMultilevel"/>
    <w:tmpl w:val="48AC7E24"/>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abstractNum w:abstractNumId="7" w15:restartNumberingAfterBreak="0">
    <w:nsid w:val="64266053"/>
    <w:multiLevelType w:val="hybridMultilevel"/>
    <w:tmpl w:val="154A3BAC"/>
    <w:lvl w:ilvl="0" w:tplc="04090015">
      <w:start w:val="1"/>
      <w:numFmt w:val="upperLetter"/>
      <w:lvlText w:val="%1."/>
      <w:lvlJc w:val="left"/>
      <w:pPr>
        <w:ind w:left="621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8" w15:restartNumberingAfterBreak="0">
    <w:nsid w:val="6DAB0CD6"/>
    <w:multiLevelType w:val="hybridMultilevel"/>
    <w:tmpl w:val="22FED9AA"/>
    <w:lvl w:ilvl="0" w:tplc="0409000F">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FE56E6F"/>
    <w:multiLevelType w:val="hybridMultilevel"/>
    <w:tmpl w:val="3FD8A0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5C383D"/>
    <w:multiLevelType w:val="hybridMultilevel"/>
    <w:tmpl w:val="7FE6380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3"/>
  </w:num>
  <w:num w:numId="3">
    <w:abstractNumId w:val="8"/>
  </w:num>
  <w:num w:numId="4">
    <w:abstractNumId w:val="2"/>
  </w:num>
  <w:num w:numId="5">
    <w:abstractNumId w:val="5"/>
  </w:num>
  <w:num w:numId="6">
    <w:abstractNumId w:val="10"/>
  </w:num>
  <w:num w:numId="7">
    <w:abstractNumId w:val="1"/>
  </w:num>
  <w:num w:numId="8">
    <w:abstractNumId w:val="9"/>
  </w:num>
  <w:num w:numId="9">
    <w:abstractNumId w:val="0"/>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B4"/>
    <w:rsid w:val="00006A94"/>
    <w:rsid w:val="00015AD9"/>
    <w:rsid w:val="00017F44"/>
    <w:rsid w:val="000372D2"/>
    <w:rsid w:val="00042509"/>
    <w:rsid w:val="000539FF"/>
    <w:rsid w:val="00054D64"/>
    <w:rsid w:val="00081C60"/>
    <w:rsid w:val="0008612E"/>
    <w:rsid w:val="0008644D"/>
    <w:rsid w:val="00097C1E"/>
    <w:rsid w:val="000A1D16"/>
    <w:rsid w:val="000B5DF1"/>
    <w:rsid w:val="000C36E8"/>
    <w:rsid w:val="000D1F6D"/>
    <w:rsid w:val="00103778"/>
    <w:rsid w:val="0014028E"/>
    <w:rsid w:val="00141A4D"/>
    <w:rsid w:val="00156303"/>
    <w:rsid w:val="00170D2F"/>
    <w:rsid w:val="0018046C"/>
    <w:rsid w:val="0019088D"/>
    <w:rsid w:val="00195B93"/>
    <w:rsid w:val="00196589"/>
    <w:rsid w:val="001974D4"/>
    <w:rsid w:val="001979A2"/>
    <w:rsid w:val="001F4BB3"/>
    <w:rsid w:val="0021015C"/>
    <w:rsid w:val="002306C1"/>
    <w:rsid w:val="00232265"/>
    <w:rsid w:val="00250056"/>
    <w:rsid w:val="002508B4"/>
    <w:rsid w:val="00252744"/>
    <w:rsid w:val="00254726"/>
    <w:rsid w:val="002641C1"/>
    <w:rsid w:val="00267A0F"/>
    <w:rsid w:val="00276F03"/>
    <w:rsid w:val="00297D1E"/>
    <w:rsid w:val="002A44D7"/>
    <w:rsid w:val="002A763A"/>
    <w:rsid w:val="002C45C8"/>
    <w:rsid w:val="002E20D7"/>
    <w:rsid w:val="002E3488"/>
    <w:rsid w:val="003000F0"/>
    <w:rsid w:val="003005D8"/>
    <w:rsid w:val="003029D0"/>
    <w:rsid w:val="00311FF1"/>
    <w:rsid w:val="003330F7"/>
    <w:rsid w:val="00336C8A"/>
    <w:rsid w:val="00351931"/>
    <w:rsid w:val="00372F8A"/>
    <w:rsid w:val="00387EB8"/>
    <w:rsid w:val="003970A4"/>
    <w:rsid w:val="003B1178"/>
    <w:rsid w:val="003B3C09"/>
    <w:rsid w:val="004017D1"/>
    <w:rsid w:val="00401CB4"/>
    <w:rsid w:val="00413F2A"/>
    <w:rsid w:val="00422297"/>
    <w:rsid w:val="004230F6"/>
    <w:rsid w:val="004323E2"/>
    <w:rsid w:val="004462BD"/>
    <w:rsid w:val="00453B94"/>
    <w:rsid w:val="004617C9"/>
    <w:rsid w:val="004625F2"/>
    <w:rsid w:val="00464C4C"/>
    <w:rsid w:val="00466CFB"/>
    <w:rsid w:val="004706EF"/>
    <w:rsid w:val="00477FE9"/>
    <w:rsid w:val="004C68FF"/>
    <w:rsid w:val="004D037C"/>
    <w:rsid w:val="004E1F8F"/>
    <w:rsid w:val="004E2E51"/>
    <w:rsid w:val="00504D26"/>
    <w:rsid w:val="00515816"/>
    <w:rsid w:val="005227A8"/>
    <w:rsid w:val="00533C1B"/>
    <w:rsid w:val="005673BF"/>
    <w:rsid w:val="00570C83"/>
    <w:rsid w:val="00581C6C"/>
    <w:rsid w:val="00581D0C"/>
    <w:rsid w:val="005832F6"/>
    <w:rsid w:val="005966C8"/>
    <w:rsid w:val="005C2501"/>
    <w:rsid w:val="005C3D6F"/>
    <w:rsid w:val="005D1B60"/>
    <w:rsid w:val="005E3239"/>
    <w:rsid w:val="005E34A8"/>
    <w:rsid w:val="006178A8"/>
    <w:rsid w:val="00621ACA"/>
    <w:rsid w:val="00623A46"/>
    <w:rsid w:val="0063353B"/>
    <w:rsid w:val="00643CE4"/>
    <w:rsid w:val="00652F50"/>
    <w:rsid w:val="00654AF9"/>
    <w:rsid w:val="00660DBB"/>
    <w:rsid w:val="00661819"/>
    <w:rsid w:val="00661834"/>
    <w:rsid w:val="00663FD9"/>
    <w:rsid w:val="006654CE"/>
    <w:rsid w:val="006861ED"/>
    <w:rsid w:val="006943EA"/>
    <w:rsid w:val="006C7FEE"/>
    <w:rsid w:val="006E3245"/>
    <w:rsid w:val="00706799"/>
    <w:rsid w:val="0070699F"/>
    <w:rsid w:val="00712F08"/>
    <w:rsid w:val="00715859"/>
    <w:rsid w:val="007320EF"/>
    <w:rsid w:val="00765480"/>
    <w:rsid w:val="007711EC"/>
    <w:rsid w:val="0078545E"/>
    <w:rsid w:val="007916A2"/>
    <w:rsid w:val="00797BF2"/>
    <w:rsid w:val="007A2CD9"/>
    <w:rsid w:val="007C11F1"/>
    <w:rsid w:val="007D6710"/>
    <w:rsid w:val="007D6DAE"/>
    <w:rsid w:val="007E1B4E"/>
    <w:rsid w:val="007F1984"/>
    <w:rsid w:val="007F1EB4"/>
    <w:rsid w:val="007F54A2"/>
    <w:rsid w:val="00812393"/>
    <w:rsid w:val="008173F4"/>
    <w:rsid w:val="008231F1"/>
    <w:rsid w:val="008273B6"/>
    <w:rsid w:val="0083172F"/>
    <w:rsid w:val="00840729"/>
    <w:rsid w:val="008454C9"/>
    <w:rsid w:val="00860362"/>
    <w:rsid w:val="0087577A"/>
    <w:rsid w:val="00880CAE"/>
    <w:rsid w:val="008964F3"/>
    <w:rsid w:val="008C0A40"/>
    <w:rsid w:val="008D0150"/>
    <w:rsid w:val="008D0C1A"/>
    <w:rsid w:val="008E47B6"/>
    <w:rsid w:val="008F46B1"/>
    <w:rsid w:val="008F60C9"/>
    <w:rsid w:val="00903887"/>
    <w:rsid w:val="009127A0"/>
    <w:rsid w:val="009138D7"/>
    <w:rsid w:val="00920F7C"/>
    <w:rsid w:val="00934A69"/>
    <w:rsid w:val="009377F3"/>
    <w:rsid w:val="00947DAA"/>
    <w:rsid w:val="00953EF6"/>
    <w:rsid w:val="00957117"/>
    <w:rsid w:val="0096257B"/>
    <w:rsid w:val="0096303E"/>
    <w:rsid w:val="00977FD9"/>
    <w:rsid w:val="00980424"/>
    <w:rsid w:val="00983266"/>
    <w:rsid w:val="009840EB"/>
    <w:rsid w:val="00985E86"/>
    <w:rsid w:val="009A7A39"/>
    <w:rsid w:val="009B2086"/>
    <w:rsid w:val="009B73EB"/>
    <w:rsid w:val="009D1C29"/>
    <w:rsid w:val="009D5236"/>
    <w:rsid w:val="009E276D"/>
    <w:rsid w:val="00A0231C"/>
    <w:rsid w:val="00A0412C"/>
    <w:rsid w:val="00A243C4"/>
    <w:rsid w:val="00A621EE"/>
    <w:rsid w:val="00A64585"/>
    <w:rsid w:val="00A6470B"/>
    <w:rsid w:val="00A667A0"/>
    <w:rsid w:val="00A73614"/>
    <w:rsid w:val="00A80457"/>
    <w:rsid w:val="00A928F1"/>
    <w:rsid w:val="00AB5159"/>
    <w:rsid w:val="00AC2F29"/>
    <w:rsid w:val="00AC5E3C"/>
    <w:rsid w:val="00AD1CAA"/>
    <w:rsid w:val="00AD34E3"/>
    <w:rsid w:val="00AE6AAF"/>
    <w:rsid w:val="00AE6C5D"/>
    <w:rsid w:val="00AF4CE2"/>
    <w:rsid w:val="00AF61CC"/>
    <w:rsid w:val="00AF64F8"/>
    <w:rsid w:val="00B0189E"/>
    <w:rsid w:val="00B039DD"/>
    <w:rsid w:val="00B152B4"/>
    <w:rsid w:val="00B313AE"/>
    <w:rsid w:val="00B45F7F"/>
    <w:rsid w:val="00B63C64"/>
    <w:rsid w:val="00B65F2D"/>
    <w:rsid w:val="00B71ADB"/>
    <w:rsid w:val="00B925C1"/>
    <w:rsid w:val="00BA40B8"/>
    <w:rsid w:val="00BA7A2D"/>
    <w:rsid w:val="00BB55B1"/>
    <w:rsid w:val="00BC4CB1"/>
    <w:rsid w:val="00BC74D8"/>
    <w:rsid w:val="00C04276"/>
    <w:rsid w:val="00C11152"/>
    <w:rsid w:val="00C13F35"/>
    <w:rsid w:val="00C24108"/>
    <w:rsid w:val="00C30081"/>
    <w:rsid w:val="00C5368A"/>
    <w:rsid w:val="00C7187B"/>
    <w:rsid w:val="00C80448"/>
    <w:rsid w:val="00CA244E"/>
    <w:rsid w:val="00CA4211"/>
    <w:rsid w:val="00CB2694"/>
    <w:rsid w:val="00CC2DCD"/>
    <w:rsid w:val="00CC6458"/>
    <w:rsid w:val="00CD1CF2"/>
    <w:rsid w:val="00CD3B99"/>
    <w:rsid w:val="00CE17CF"/>
    <w:rsid w:val="00CE38F3"/>
    <w:rsid w:val="00D02A94"/>
    <w:rsid w:val="00D150D2"/>
    <w:rsid w:val="00D17666"/>
    <w:rsid w:val="00D64EF7"/>
    <w:rsid w:val="00D8418C"/>
    <w:rsid w:val="00D94875"/>
    <w:rsid w:val="00DB3840"/>
    <w:rsid w:val="00DB4C1A"/>
    <w:rsid w:val="00DB737F"/>
    <w:rsid w:val="00DC3CBC"/>
    <w:rsid w:val="00DC4122"/>
    <w:rsid w:val="00DC48B1"/>
    <w:rsid w:val="00DD0EA4"/>
    <w:rsid w:val="00DD2C6C"/>
    <w:rsid w:val="00DD4D89"/>
    <w:rsid w:val="00E16AA9"/>
    <w:rsid w:val="00E179A2"/>
    <w:rsid w:val="00E25BB3"/>
    <w:rsid w:val="00E36E5F"/>
    <w:rsid w:val="00E40115"/>
    <w:rsid w:val="00E41908"/>
    <w:rsid w:val="00E66DE6"/>
    <w:rsid w:val="00E737AD"/>
    <w:rsid w:val="00E8029C"/>
    <w:rsid w:val="00E96453"/>
    <w:rsid w:val="00EA03CC"/>
    <w:rsid w:val="00EC0A0D"/>
    <w:rsid w:val="00EC54A9"/>
    <w:rsid w:val="00EC6BD8"/>
    <w:rsid w:val="00EE1C50"/>
    <w:rsid w:val="00EE1F87"/>
    <w:rsid w:val="00EE3DE5"/>
    <w:rsid w:val="00F06387"/>
    <w:rsid w:val="00F247CF"/>
    <w:rsid w:val="00F34E3D"/>
    <w:rsid w:val="00F40367"/>
    <w:rsid w:val="00F43657"/>
    <w:rsid w:val="00F43C0E"/>
    <w:rsid w:val="00F446A1"/>
    <w:rsid w:val="00F54368"/>
    <w:rsid w:val="00F66AD7"/>
    <w:rsid w:val="00F72FB4"/>
    <w:rsid w:val="00FA7762"/>
    <w:rsid w:val="00FD3174"/>
    <w:rsid w:val="00FD4A15"/>
    <w:rsid w:val="00FE399F"/>
    <w:rsid w:val="042361AD"/>
    <w:rsid w:val="12BB519A"/>
    <w:rsid w:val="2673D5A8"/>
    <w:rsid w:val="275FDB88"/>
    <w:rsid w:val="34DB096D"/>
    <w:rsid w:val="360F80FE"/>
    <w:rsid w:val="375B671E"/>
    <w:rsid w:val="46020A66"/>
    <w:rsid w:val="493581BC"/>
    <w:rsid w:val="6BB04F5A"/>
    <w:rsid w:val="7F9AC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E2E5A"/>
  <w15:chartTrackingRefBased/>
  <w15:docId w15:val="{3AC55000-56F4-4BFF-8CC4-F0796CE1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6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508B4"/>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663F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FD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081"/>
    <w:pPr>
      <w:keepNext/>
      <w:keepLines/>
      <w:spacing w:before="40" w:line="259"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63F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0081"/>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rsid w:val="002508B4"/>
    <w:rPr>
      <w:sz w:val="20"/>
    </w:rPr>
  </w:style>
  <w:style w:type="character" w:customStyle="1" w:styleId="FootnoteTextChar">
    <w:name w:val="Footnote Text Char"/>
    <w:basedOn w:val="DefaultParagraphFont"/>
    <w:link w:val="FootnoteText"/>
    <w:uiPriority w:val="99"/>
    <w:rsid w:val="00250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08B4"/>
    <w:rPr>
      <w:vertAlign w:val="superscript"/>
    </w:rPr>
  </w:style>
  <w:style w:type="paragraph" w:styleId="BodyText">
    <w:name w:val="Body Text"/>
    <w:basedOn w:val="Normal"/>
    <w:link w:val="BodyTextChar"/>
    <w:uiPriority w:val="1"/>
    <w:qFormat/>
    <w:rsid w:val="002508B4"/>
    <w:rPr>
      <w:sz w:val="28"/>
    </w:rPr>
  </w:style>
  <w:style w:type="character" w:customStyle="1" w:styleId="BodyTextChar">
    <w:name w:val="Body Text Char"/>
    <w:basedOn w:val="DefaultParagraphFont"/>
    <w:link w:val="BodyText"/>
    <w:uiPriority w:val="99"/>
    <w:rsid w:val="002508B4"/>
    <w:rPr>
      <w:rFonts w:ascii="Times New Roman" w:eastAsia="Times New Roman" w:hAnsi="Times New Roman" w:cs="Times New Roman"/>
      <w:sz w:val="28"/>
      <w:szCs w:val="20"/>
    </w:rPr>
  </w:style>
  <w:style w:type="character" w:styleId="Hyperlink">
    <w:name w:val="Hyperlink"/>
    <w:basedOn w:val="DefaultParagraphFont"/>
    <w:uiPriority w:val="99"/>
    <w:rsid w:val="002508B4"/>
    <w:rPr>
      <w:color w:val="0000FF"/>
      <w:u w:val="single"/>
    </w:rPr>
  </w:style>
  <w:style w:type="paragraph" w:styleId="ListParagraph">
    <w:name w:val="List Paragraph"/>
    <w:basedOn w:val="Normal"/>
    <w:uiPriority w:val="34"/>
    <w:qFormat/>
    <w:rsid w:val="002508B4"/>
    <w:pPr>
      <w:ind w:left="720"/>
    </w:pPr>
  </w:style>
  <w:style w:type="paragraph" w:styleId="Header">
    <w:name w:val="header"/>
    <w:basedOn w:val="Normal"/>
    <w:link w:val="HeaderChar"/>
    <w:uiPriority w:val="99"/>
    <w:unhideWhenUsed/>
    <w:rsid w:val="002508B4"/>
    <w:pPr>
      <w:tabs>
        <w:tab w:val="center" w:pos="4680"/>
        <w:tab w:val="right" w:pos="9360"/>
      </w:tabs>
    </w:pPr>
  </w:style>
  <w:style w:type="character" w:customStyle="1" w:styleId="HeaderChar">
    <w:name w:val="Header Char"/>
    <w:basedOn w:val="DefaultParagraphFont"/>
    <w:link w:val="Header"/>
    <w:uiPriority w:val="99"/>
    <w:rsid w:val="002508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8B4"/>
    <w:pPr>
      <w:tabs>
        <w:tab w:val="center" w:pos="4680"/>
        <w:tab w:val="right" w:pos="9360"/>
      </w:tabs>
    </w:pPr>
  </w:style>
  <w:style w:type="character" w:customStyle="1" w:styleId="FooterChar">
    <w:name w:val="Footer Char"/>
    <w:basedOn w:val="DefaultParagraphFont"/>
    <w:link w:val="Footer"/>
    <w:uiPriority w:val="99"/>
    <w:rsid w:val="002508B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663FD9"/>
    <w:rPr>
      <w:rFonts w:eastAsiaTheme="minorHAnsi"/>
      <w:sz w:val="20"/>
    </w:rPr>
  </w:style>
  <w:style w:type="character" w:customStyle="1" w:styleId="CommentTextChar">
    <w:name w:val="Comment Text Char"/>
    <w:basedOn w:val="DefaultParagraphFont"/>
    <w:link w:val="CommentText"/>
    <w:uiPriority w:val="99"/>
    <w:rsid w:val="00663F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7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37AD"/>
    <w:rPr>
      <w:sz w:val="16"/>
      <w:szCs w:val="16"/>
    </w:rPr>
  </w:style>
  <w:style w:type="paragraph" w:styleId="CommentSubject">
    <w:name w:val="annotation subject"/>
    <w:basedOn w:val="CommentText"/>
    <w:next w:val="CommentText"/>
    <w:link w:val="CommentSubjectChar"/>
    <w:uiPriority w:val="99"/>
    <w:semiHidden/>
    <w:unhideWhenUsed/>
    <w:rsid w:val="00E737AD"/>
    <w:rPr>
      <w:rFonts w:eastAsia="Times New Roman"/>
      <w:b/>
      <w:bCs/>
    </w:rPr>
  </w:style>
  <w:style w:type="character" w:customStyle="1" w:styleId="CommentSubjectChar">
    <w:name w:val="Comment Subject Char"/>
    <w:basedOn w:val="CommentTextChar"/>
    <w:link w:val="CommentSubject"/>
    <w:uiPriority w:val="99"/>
    <w:semiHidden/>
    <w:rsid w:val="00E737AD"/>
    <w:rPr>
      <w:rFonts w:ascii="Times New Roman" w:eastAsia="Times New Roman" w:hAnsi="Times New Roman" w:cs="Times New Roman"/>
      <w:b/>
      <w:bCs/>
      <w:sz w:val="20"/>
      <w:szCs w:val="20"/>
    </w:rPr>
  </w:style>
  <w:style w:type="paragraph" w:styleId="NormalWeb">
    <w:name w:val="Normal (Web)"/>
    <w:basedOn w:val="Normal"/>
    <w:uiPriority w:val="99"/>
    <w:unhideWhenUsed/>
    <w:rsid w:val="00C30081"/>
    <w:pPr>
      <w:spacing w:before="100" w:beforeAutospacing="1" w:after="100" w:afterAutospacing="1"/>
    </w:pPr>
    <w:rPr>
      <w:szCs w:val="24"/>
    </w:rPr>
  </w:style>
  <w:style w:type="character" w:styleId="Strong">
    <w:name w:val="Strong"/>
    <w:basedOn w:val="DefaultParagraphFont"/>
    <w:uiPriority w:val="22"/>
    <w:qFormat/>
    <w:rsid w:val="00C30081"/>
    <w:rPr>
      <w:b/>
      <w:bCs/>
    </w:rPr>
  </w:style>
  <w:style w:type="paragraph" w:styleId="Caption">
    <w:name w:val="caption"/>
    <w:basedOn w:val="Normal"/>
    <w:next w:val="Normal"/>
    <w:uiPriority w:val="35"/>
    <w:qFormat/>
    <w:rsid w:val="00C30081"/>
    <w:pPr>
      <w:tabs>
        <w:tab w:val="left" w:pos="3870"/>
      </w:tabs>
    </w:pPr>
  </w:style>
  <w:style w:type="table" w:styleId="TableGrid">
    <w:name w:val="Table Grid"/>
    <w:basedOn w:val="TableNormal"/>
    <w:uiPriority w:val="39"/>
    <w:rsid w:val="00C300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30081"/>
    <w:rPr>
      <w:smallCaps/>
      <w:color w:val="5A5A5A" w:themeColor="text1" w:themeTint="A5"/>
    </w:rPr>
  </w:style>
  <w:style w:type="paragraph" w:styleId="TOCHeading">
    <w:name w:val="TOC Heading"/>
    <w:basedOn w:val="Heading1"/>
    <w:next w:val="Normal"/>
    <w:uiPriority w:val="39"/>
    <w:unhideWhenUsed/>
    <w:qFormat/>
    <w:rsid w:val="00C3008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30081"/>
    <w:pPr>
      <w:spacing w:after="100" w:line="259" w:lineRule="auto"/>
    </w:pPr>
    <w:rPr>
      <w:rFonts w:eastAsiaTheme="minorHAnsi"/>
      <w:szCs w:val="24"/>
    </w:rPr>
  </w:style>
  <w:style w:type="paragraph" w:styleId="TOC2">
    <w:name w:val="toc 2"/>
    <w:basedOn w:val="Normal"/>
    <w:next w:val="Normal"/>
    <w:autoRedefine/>
    <w:uiPriority w:val="39"/>
    <w:unhideWhenUsed/>
    <w:rsid w:val="00C30081"/>
    <w:pPr>
      <w:spacing w:after="100" w:line="259" w:lineRule="auto"/>
      <w:ind w:left="240"/>
    </w:pPr>
    <w:rPr>
      <w:rFonts w:eastAsiaTheme="minorHAnsi"/>
      <w:szCs w:val="24"/>
    </w:rPr>
  </w:style>
  <w:style w:type="paragraph" w:styleId="TOC3">
    <w:name w:val="toc 3"/>
    <w:basedOn w:val="Normal"/>
    <w:next w:val="Normal"/>
    <w:autoRedefine/>
    <w:uiPriority w:val="39"/>
    <w:unhideWhenUsed/>
    <w:rsid w:val="00C30081"/>
    <w:pPr>
      <w:spacing w:after="100" w:line="259" w:lineRule="auto"/>
      <w:ind w:left="480"/>
    </w:pPr>
    <w:rPr>
      <w:rFonts w:eastAsiaTheme="minorHAnsi"/>
      <w:szCs w:val="24"/>
    </w:rPr>
  </w:style>
  <w:style w:type="paragraph" w:styleId="TOC4">
    <w:name w:val="toc 4"/>
    <w:basedOn w:val="Normal"/>
    <w:next w:val="Normal"/>
    <w:autoRedefine/>
    <w:uiPriority w:val="39"/>
    <w:unhideWhenUsed/>
    <w:rsid w:val="00C30081"/>
    <w:pPr>
      <w:spacing w:after="100" w:line="259" w:lineRule="auto"/>
      <w:ind w:left="720"/>
    </w:pPr>
    <w:rPr>
      <w:rFonts w:eastAsiaTheme="minorHAnsi"/>
      <w:szCs w:val="24"/>
    </w:rPr>
  </w:style>
  <w:style w:type="character" w:styleId="FollowedHyperlink">
    <w:name w:val="FollowedHyperlink"/>
    <w:basedOn w:val="DefaultParagraphFont"/>
    <w:uiPriority w:val="99"/>
    <w:semiHidden/>
    <w:unhideWhenUsed/>
    <w:rsid w:val="00017F44"/>
    <w:rPr>
      <w:color w:val="954F72" w:themeColor="followedHyperlink"/>
      <w:u w:val="single"/>
    </w:rPr>
  </w:style>
  <w:style w:type="character" w:customStyle="1" w:styleId="apple-converted-space">
    <w:name w:val="apple-converted-space"/>
    <w:basedOn w:val="DefaultParagraphFont"/>
    <w:rsid w:val="00953EF6"/>
  </w:style>
  <w:style w:type="character" w:styleId="Emphasis">
    <w:name w:val="Emphasis"/>
    <w:basedOn w:val="DefaultParagraphFont"/>
    <w:uiPriority w:val="20"/>
    <w:qFormat/>
    <w:rsid w:val="00953EF6"/>
    <w:rPr>
      <w:i/>
      <w:iCs/>
    </w:rPr>
  </w:style>
  <w:style w:type="character" w:styleId="UnresolvedMention">
    <w:name w:val="Unresolved Mention"/>
    <w:basedOn w:val="DefaultParagraphFont"/>
    <w:uiPriority w:val="99"/>
    <w:semiHidden/>
    <w:unhideWhenUsed/>
    <w:rsid w:val="00A73614"/>
    <w:rPr>
      <w:color w:val="605E5C"/>
      <w:shd w:val="clear" w:color="auto" w:fill="E1DFDD"/>
    </w:rPr>
  </w:style>
  <w:style w:type="paragraph" w:styleId="Revision">
    <w:name w:val="Revision"/>
    <w:hidden/>
    <w:uiPriority w:val="99"/>
    <w:semiHidden/>
    <w:rsid w:val="008D015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4405">
      <w:bodyDiv w:val="1"/>
      <w:marLeft w:val="0"/>
      <w:marRight w:val="0"/>
      <w:marTop w:val="0"/>
      <w:marBottom w:val="0"/>
      <w:divBdr>
        <w:top w:val="none" w:sz="0" w:space="0" w:color="auto"/>
        <w:left w:val="none" w:sz="0" w:space="0" w:color="auto"/>
        <w:bottom w:val="none" w:sz="0" w:space="0" w:color="auto"/>
        <w:right w:val="none" w:sz="0" w:space="0" w:color="auto"/>
      </w:divBdr>
      <w:divsChild>
        <w:div w:id="1799253286">
          <w:marLeft w:val="0"/>
          <w:marRight w:val="0"/>
          <w:marTop w:val="0"/>
          <w:marBottom w:val="0"/>
          <w:divBdr>
            <w:top w:val="none" w:sz="0" w:space="0" w:color="auto"/>
            <w:left w:val="none" w:sz="0" w:space="0" w:color="auto"/>
            <w:bottom w:val="none" w:sz="0" w:space="0" w:color="auto"/>
            <w:right w:val="none" w:sz="0" w:space="0" w:color="auto"/>
          </w:divBdr>
          <w:divsChild>
            <w:div w:id="429591198">
              <w:marLeft w:val="0"/>
              <w:marRight w:val="0"/>
              <w:marTop w:val="0"/>
              <w:marBottom w:val="0"/>
              <w:divBdr>
                <w:top w:val="none" w:sz="0" w:space="0" w:color="auto"/>
                <w:left w:val="none" w:sz="0" w:space="0" w:color="auto"/>
                <w:bottom w:val="none" w:sz="0" w:space="0" w:color="auto"/>
                <w:right w:val="none" w:sz="0" w:space="0" w:color="auto"/>
              </w:divBdr>
              <w:divsChild>
                <w:div w:id="7665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10438">
      <w:bodyDiv w:val="1"/>
      <w:marLeft w:val="0"/>
      <w:marRight w:val="0"/>
      <w:marTop w:val="0"/>
      <w:marBottom w:val="0"/>
      <w:divBdr>
        <w:top w:val="none" w:sz="0" w:space="0" w:color="auto"/>
        <w:left w:val="none" w:sz="0" w:space="0" w:color="auto"/>
        <w:bottom w:val="none" w:sz="0" w:space="0" w:color="auto"/>
        <w:right w:val="none" w:sz="0" w:space="0" w:color="auto"/>
      </w:divBdr>
    </w:div>
    <w:div w:id="956060502">
      <w:bodyDiv w:val="1"/>
      <w:marLeft w:val="0"/>
      <w:marRight w:val="0"/>
      <w:marTop w:val="0"/>
      <w:marBottom w:val="0"/>
      <w:divBdr>
        <w:top w:val="none" w:sz="0" w:space="0" w:color="auto"/>
        <w:left w:val="none" w:sz="0" w:space="0" w:color="auto"/>
        <w:bottom w:val="none" w:sz="0" w:space="0" w:color="auto"/>
        <w:right w:val="none" w:sz="0" w:space="0" w:color="auto"/>
      </w:divBdr>
      <w:divsChild>
        <w:div w:id="439767521">
          <w:marLeft w:val="0"/>
          <w:marRight w:val="0"/>
          <w:marTop w:val="0"/>
          <w:marBottom w:val="0"/>
          <w:divBdr>
            <w:top w:val="none" w:sz="0" w:space="0" w:color="auto"/>
            <w:left w:val="none" w:sz="0" w:space="0" w:color="auto"/>
            <w:bottom w:val="none" w:sz="0" w:space="0" w:color="auto"/>
            <w:right w:val="none" w:sz="0" w:space="0" w:color="auto"/>
          </w:divBdr>
          <w:divsChild>
            <w:div w:id="865487631">
              <w:marLeft w:val="0"/>
              <w:marRight w:val="0"/>
              <w:marTop w:val="0"/>
              <w:marBottom w:val="0"/>
              <w:divBdr>
                <w:top w:val="none" w:sz="0" w:space="0" w:color="auto"/>
                <w:left w:val="none" w:sz="0" w:space="0" w:color="auto"/>
                <w:bottom w:val="none" w:sz="0" w:space="0" w:color="auto"/>
                <w:right w:val="none" w:sz="0" w:space="0" w:color="auto"/>
              </w:divBdr>
              <w:divsChild>
                <w:div w:id="998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780">
      <w:bodyDiv w:val="1"/>
      <w:marLeft w:val="0"/>
      <w:marRight w:val="0"/>
      <w:marTop w:val="0"/>
      <w:marBottom w:val="0"/>
      <w:divBdr>
        <w:top w:val="none" w:sz="0" w:space="0" w:color="auto"/>
        <w:left w:val="none" w:sz="0" w:space="0" w:color="auto"/>
        <w:bottom w:val="none" w:sz="0" w:space="0" w:color="auto"/>
        <w:right w:val="none" w:sz="0" w:space="0" w:color="auto"/>
      </w:divBdr>
    </w:div>
    <w:div w:id="1970739795">
      <w:bodyDiv w:val="1"/>
      <w:marLeft w:val="0"/>
      <w:marRight w:val="0"/>
      <w:marTop w:val="0"/>
      <w:marBottom w:val="0"/>
      <w:divBdr>
        <w:top w:val="none" w:sz="0" w:space="0" w:color="auto"/>
        <w:left w:val="none" w:sz="0" w:space="0" w:color="auto"/>
        <w:bottom w:val="none" w:sz="0" w:space="0" w:color="auto"/>
        <w:right w:val="none" w:sz="0" w:space="0" w:color="auto"/>
      </w:divBdr>
      <w:divsChild>
        <w:div w:id="803234205">
          <w:marLeft w:val="0"/>
          <w:marRight w:val="0"/>
          <w:marTop w:val="0"/>
          <w:marBottom w:val="0"/>
          <w:divBdr>
            <w:top w:val="none" w:sz="0" w:space="0" w:color="auto"/>
            <w:left w:val="none" w:sz="0" w:space="0" w:color="auto"/>
            <w:bottom w:val="none" w:sz="0" w:space="0" w:color="auto"/>
            <w:right w:val="none" w:sz="0" w:space="0" w:color="auto"/>
          </w:divBdr>
          <w:divsChild>
            <w:div w:id="1249844631">
              <w:marLeft w:val="0"/>
              <w:marRight w:val="0"/>
              <w:marTop w:val="0"/>
              <w:marBottom w:val="0"/>
              <w:divBdr>
                <w:top w:val="none" w:sz="0" w:space="0" w:color="auto"/>
                <w:left w:val="none" w:sz="0" w:space="0" w:color="auto"/>
                <w:bottom w:val="none" w:sz="0" w:space="0" w:color="auto"/>
                <w:right w:val="none" w:sz="0" w:space="0" w:color="auto"/>
              </w:divBdr>
              <w:divsChild>
                <w:div w:id="19683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utcourts.gov/utc/news/2019/08/29/utah-supreme-court-adopts-groundbreaking-changes-to-legal-service-regulation/" TargetMode="External"/><Relationship Id="rId2" Type="http://schemas.openxmlformats.org/officeDocument/2006/relationships/hyperlink" Target="https://thebarexaminer.org/article/winter-2018-2019/limited-practice-legal-professionals-a-look-at-three-models/" TargetMode="External"/><Relationship Id="rId1" Type="http://schemas.openxmlformats.org/officeDocument/2006/relationships/hyperlink" Target="https://www.azcourts.gov/cscommittees/Legal-Services-Task-Force" TargetMode="External"/><Relationship Id="rId4" Type="http://schemas.openxmlformats.org/officeDocument/2006/relationships/hyperlink" Target="https://www.2civility.org/can-entity-regulation-protect-consu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1B1BDD77AE546ACC160E66A1749E5" ma:contentTypeVersion="7" ma:contentTypeDescription="Create a new document." ma:contentTypeScope="" ma:versionID="39f87905ae7dc231056d3ee21ce8dec9">
  <xsd:schema xmlns:xsd="http://www.w3.org/2001/XMLSchema" xmlns:xs="http://www.w3.org/2001/XMLSchema" xmlns:p="http://schemas.microsoft.com/office/2006/metadata/properties" xmlns:ns3="0ffb37f9-1bcf-4e3e-b04f-292b64b553dd" xmlns:ns4="a5f9cf5d-3140-4b8d-8193-5fb0ac3f6142" targetNamespace="http://schemas.microsoft.com/office/2006/metadata/properties" ma:root="true" ma:fieldsID="c34614527dc1bd54043edf4c20a7a2a8" ns3:_="" ns4:_="">
    <xsd:import namespace="0ffb37f9-1bcf-4e3e-b04f-292b64b553dd"/>
    <xsd:import namespace="a5f9cf5d-3140-4b8d-8193-5fb0ac3f614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9cf5d-3140-4b8d-8193-5fb0ac3f6142"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B13B-6F37-440E-A442-5C70EECC5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188B3-7B3C-4E27-81B7-D3075E317060}">
  <ds:schemaRefs>
    <ds:schemaRef ds:uri="http://schemas.microsoft.com/sharepoint/v3/contenttype/forms"/>
  </ds:schemaRefs>
</ds:datastoreItem>
</file>

<file path=customXml/itemProps3.xml><?xml version="1.0" encoding="utf-8"?>
<ds:datastoreItem xmlns:ds="http://schemas.openxmlformats.org/officeDocument/2006/customXml" ds:itemID="{EECED25C-52E5-4FF2-989E-C7D27B5F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a5f9cf5d-3140-4b8d-8193-5fb0ac3f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807CA-95D2-4FC0-A3CC-54C8548E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7025</Words>
  <Characters>40048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46980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Barrett, Theresa</cp:lastModifiedBy>
  <cp:revision>3</cp:revision>
  <cp:lastPrinted>2020-01-29T23:06:00Z</cp:lastPrinted>
  <dcterms:created xsi:type="dcterms:W3CDTF">2020-01-31T18:38:00Z</dcterms:created>
  <dcterms:modified xsi:type="dcterms:W3CDTF">2020-01-31T18:39:00Z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0x01010072E1B1BDD77AE546ACC160E66A1749E5</vt:lpwstr>
  </property>
</Properties>
</file>